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5F25" w:rsidRPr="00B14501" w:rsidRDefault="00E65F25" w:rsidP="00E65F25">
      <w:pPr>
        <w:spacing w:line="276" w:lineRule="auto"/>
        <w:jc w:val="both"/>
        <w:rPr>
          <w:rFonts w:ascii="Arial" w:hAnsi="Arial" w:cs="Arial"/>
          <w:b/>
          <w:sz w:val="24"/>
          <w:szCs w:val="24"/>
        </w:rPr>
      </w:pPr>
    </w:p>
    <w:p w:rsidR="00E65F25" w:rsidRPr="00B14501" w:rsidRDefault="00E65F25" w:rsidP="00E65F25">
      <w:pPr>
        <w:spacing w:line="276" w:lineRule="auto"/>
        <w:jc w:val="both"/>
        <w:rPr>
          <w:rFonts w:ascii="Arial" w:hAnsi="Arial" w:cs="Arial"/>
          <w:b/>
          <w:sz w:val="24"/>
          <w:szCs w:val="24"/>
        </w:rPr>
      </w:pPr>
      <w:r w:rsidRPr="00B14501">
        <w:rPr>
          <w:rFonts w:ascii="Arial" w:hAnsi="Arial" w:cs="Arial"/>
          <w:b/>
          <w:sz w:val="24"/>
          <w:szCs w:val="24"/>
        </w:rPr>
        <w:t>CONCEPTO DE DERECHO EN LA JURISPRUDENCIA Y LA DOCTRINA COLOMBIANA</w:t>
      </w: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b/>
          <w:sz w:val="24"/>
          <w:szCs w:val="24"/>
        </w:rPr>
      </w:pPr>
      <w:r w:rsidRPr="00B14501">
        <w:rPr>
          <w:rFonts w:ascii="Arial" w:hAnsi="Arial" w:cs="Arial"/>
          <w:b/>
          <w:sz w:val="24"/>
          <w:szCs w:val="24"/>
        </w:rPr>
        <w:t>Fabián Libardo Martínez Cubides</w:t>
      </w:r>
    </w:p>
    <w:p w:rsidR="00E65F25" w:rsidRPr="00B14501" w:rsidRDefault="00E65F25" w:rsidP="00E65F25">
      <w:pPr>
        <w:spacing w:line="276" w:lineRule="auto"/>
        <w:jc w:val="both"/>
        <w:rPr>
          <w:rFonts w:ascii="Arial" w:hAnsi="Arial" w:cs="Arial"/>
          <w:b/>
          <w:sz w:val="24"/>
          <w:szCs w:val="24"/>
        </w:rPr>
      </w:pPr>
      <w:r w:rsidRPr="00B14501">
        <w:rPr>
          <w:rFonts w:ascii="Arial" w:hAnsi="Arial" w:cs="Arial"/>
          <w:b/>
          <w:sz w:val="24"/>
          <w:szCs w:val="24"/>
        </w:rPr>
        <w:t>Jesica Estefanía González Buitrago</w:t>
      </w:r>
    </w:p>
    <w:p w:rsidR="00E65F25" w:rsidRPr="00B14501" w:rsidRDefault="00E65F25" w:rsidP="00E65F25">
      <w:pPr>
        <w:spacing w:line="276" w:lineRule="auto"/>
        <w:jc w:val="both"/>
        <w:rPr>
          <w:rFonts w:ascii="Arial" w:hAnsi="Arial" w:cs="Arial"/>
          <w:b/>
          <w:sz w:val="24"/>
          <w:szCs w:val="24"/>
        </w:rPr>
      </w:pPr>
      <w:r w:rsidRPr="00B14501">
        <w:rPr>
          <w:rFonts w:ascii="Arial" w:hAnsi="Arial" w:cs="Arial"/>
          <w:b/>
          <w:sz w:val="24"/>
          <w:szCs w:val="24"/>
        </w:rPr>
        <w:t>Natalia Carrasco Boshell</w:t>
      </w: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b/>
          <w:sz w:val="24"/>
          <w:szCs w:val="24"/>
        </w:rPr>
      </w:pPr>
      <w:r w:rsidRPr="00B14501">
        <w:rPr>
          <w:rFonts w:ascii="Arial" w:hAnsi="Arial" w:cs="Arial"/>
          <w:b/>
          <w:sz w:val="24"/>
          <w:szCs w:val="24"/>
        </w:rPr>
        <w:t>UNIVERSIDAD SANTO TOMAS</w:t>
      </w:r>
    </w:p>
    <w:p w:rsidR="00E65F25" w:rsidRPr="00B14501" w:rsidRDefault="00E65F25" w:rsidP="00E65F25">
      <w:pPr>
        <w:spacing w:line="276" w:lineRule="auto"/>
        <w:jc w:val="both"/>
        <w:rPr>
          <w:rFonts w:ascii="Arial" w:hAnsi="Arial" w:cs="Arial"/>
          <w:b/>
          <w:sz w:val="24"/>
          <w:szCs w:val="24"/>
        </w:rPr>
      </w:pPr>
      <w:r w:rsidRPr="00B14501">
        <w:rPr>
          <w:rFonts w:ascii="Arial" w:hAnsi="Arial" w:cs="Arial"/>
          <w:b/>
          <w:sz w:val="24"/>
          <w:szCs w:val="24"/>
        </w:rPr>
        <w:t>15 DE JULIO DE 2014</w:t>
      </w:r>
    </w:p>
    <w:p w:rsidR="00E65F25" w:rsidRDefault="00E65F25" w:rsidP="00E65F25">
      <w:pPr>
        <w:spacing w:line="276" w:lineRule="auto"/>
        <w:jc w:val="both"/>
        <w:rPr>
          <w:rFonts w:ascii="Arial" w:hAnsi="Arial" w:cs="Arial"/>
          <w:b/>
          <w:sz w:val="24"/>
          <w:szCs w:val="24"/>
        </w:rPr>
      </w:pPr>
      <w:r w:rsidRPr="00B14501">
        <w:rPr>
          <w:rFonts w:ascii="Arial" w:hAnsi="Arial" w:cs="Arial"/>
          <w:b/>
          <w:sz w:val="24"/>
          <w:szCs w:val="24"/>
        </w:rPr>
        <w:t>VILLAVICENCIO, META</w:t>
      </w:r>
    </w:p>
    <w:p w:rsidR="00E65F25" w:rsidRDefault="00E65F25" w:rsidP="00E65F25">
      <w:pPr>
        <w:spacing w:line="276" w:lineRule="auto"/>
        <w:jc w:val="both"/>
        <w:rPr>
          <w:rFonts w:ascii="Arial" w:hAnsi="Arial" w:cs="Arial"/>
          <w:b/>
          <w:sz w:val="24"/>
          <w:szCs w:val="24"/>
        </w:rPr>
      </w:pPr>
    </w:p>
    <w:p w:rsidR="00E65F25" w:rsidRDefault="00E65F25" w:rsidP="00E65F25">
      <w:pPr>
        <w:spacing w:line="276" w:lineRule="auto"/>
        <w:jc w:val="both"/>
        <w:rPr>
          <w:rFonts w:ascii="Arial" w:hAnsi="Arial" w:cs="Arial"/>
          <w:b/>
          <w:sz w:val="24"/>
          <w:szCs w:val="24"/>
        </w:rPr>
      </w:pPr>
    </w:p>
    <w:p w:rsidR="00E65F25" w:rsidRDefault="00E65F25" w:rsidP="00E65F25">
      <w:pPr>
        <w:spacing w:line="276" w:lineRule="auto"/>
        <w:jc w:val="both"/>
        <w:rPr>
          <w:rFonts w:ascii="Arial" w:hAnsi="Arial" w:cs="Arial"/>
          <w:b/>
          <w:sz w:val="24"/>
          <w:szCs w:val="24"/>
        </w:rPr>
      </w:pPr>
    </w:p>
    <w:p w:rsidR="00E65F25" w:rsidRDefault="00E65F25" w:rsidP="00E65F25">
      <w:pPr>
        <w:spacing w:line="276" w:lineRule="auto"/>
        <w:jc w:val="both"/>
        <w:rPr>
          <w:rFonts w:ascii="Arial" w:hAnsi="Arial" w:cs="Arial"/>
          <w:b/>
          <w:sz w:val="24"/>
          <w:szCs w:val="24"/>
        </w:rPr>
      </w:pPr>
    </w:p>
    <w:p w:rsidR="00E65F25" w:rsidRPr="00B14501" w:rsidRDefault="00E65F25" w:rsidP="00E65F25">
      <w:pPr>
        <w:spacing w:line="276" w:lineRule="auto"/>
        <w:jc w:val="both"/>
        <w:rPr>
          <w:rFonts w:ascii="Arial" w:hAnsi="Arial" w:cs="Arial"/>
          <w:b/>
          <w:sz w:val="24"/>
          <w:szCs w:val="24"/>
        </w:rPr>
      </w:pPr>
    </w:p>
    <w:p w:rsidR="00E65F25" w:rsidRDefault="00E65F25" w:rsidP="00E65F25">
      <w:pPr>
        <w:spacing w:line="276" w:lineRule="auto"/>
        <w:jc w:val="center"/>
        <w:rPr>
          <w:rFonts w:ascii="Arial" w:hAnsi="Arial" w:cs="Arial"/>
          <w:b/>
          <w:sz w:val="24"/>
          <w:szCs w:val="24"/>
        </w:rPr>
      </w:pPr>
      <w:r w:rsidRPr="00B14501">
        <w:rPr>
          <w:rFonts w:ascii="Arial" w:hAnsi="Arial" w:cs="Arial"/>
          <w:b/>
          <w:sz w:val="24"/>
          <w:szCs w:val="24"/>
        </w:rPr>
        <w:t>RESUMEN</w:t>
      </w:r>
    </w:p>
    <w:p w:rsidR="00E65F25" w:rsidRDefault="00E65F25" w:rsidP="00E65F25">
      <w:pPr>
        <w:spacing w:line="276" w:lineRule="auto"/>
        <w:jc w:val="center"/>
        <w:rPr>
          <w:rFonts w:ascii="Arial" w:hAnsi="Arial" w:cs="Arial"/>
          <w:b/>
          <w:sz w:val="24"/>
          <w:szCs w:val="24"/>
        </w:rPr>
      </w:pP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La filosofía y teoría del derecho ha realizado un arduo trabajo en la cuestión del concepto de derecho.  Los usos y significados del concepto de derecho han sido tema de estudio y reflexión a través de la historia, este ha sido determinado por teorías positivistas, manifestadas en los numerosos libros de introducción al derecho. En Colombia se ha denotado una corriente positivista bien marcada, evidenciado en las enseñanzas del profesor de Introducción al Derecho, al igual en libros y en sentencias proferidas por las altas cortes (corte suprema de justicia, Consejo de Estado, Corte Constitucional) que son objeto de estudio y fundamento de este artículo.</w:t>
      </w:r>
    </w:p>
    <w:p w:rsidR="00E65F25" w:rsidRDefault="00E65F25" w:rsidP="00E65F25">
      <w:pPr>
        <w:spacing w:line="276" w:lineRule="auto"/>
        <w:jc w:val="both"/>
        <w:rPr>
          <w:rFonts w:ascii="Arial" w:hAnsi="Arial" w:cs="Arial"/>
          <w:sz w:val="24"/>
          <w:szCs w:val="24"/>
        </w:rPr>
      </w:pPr>
      <w:r w:rsidRPr="00B14501">
        <w:rPr>
          <w:rFonts w:ascii="Arial" w:hAnsi="Arial" w:cs="Arial"/>
          <w:b/>
          <w:sz w:val="24"/>
          <w:szCs w:val="24"/>
        </w:rPr>
        <w:t xml:space="preserve">PALABRAS CLAVES: </w:t>
      </w:r>
      <w:r w:rsidRPr="00B14501">
        <w:rPr>
          <w:rFonts w:ascii="Arial" w:hAnsi="Arial" w:cs="Arial"/>
          <w:sz w:val="24"/>
          <w:szCs w:val="24"/>
        </w:rPr>
        <w:t>Concepto de Derecho, Norma jurídica, ordenamiento jurídico, sistema Normativo, precedente jurisprudencial.</w:t>
      </w:r>
    </w:p>
    <w:p w:rsidR="00E65F25" w:rsidRDefault="00E65F25" w:rsidP="00E65F25">
      <w:pPr>
        <w:spacing w:line="276" w:lineRule="auto"/>
        <w:jc w:val="both"/>
        <w:rPr>
          <w:rFonts w:ascii="Arial" w:hAnsi="Arial" w:cs="Arial"/>
          <w:sz w:val="24"/>
          <w:szCs w:val="24"/>
        </w:rPr>
      </w:pPr>
    </w:p>
    <w:p w:rsidR="00E65F25" w:rsidRPr="00B14501" w:rsidRDefault="00E65F25" w:rsidP="00E65F25">
      <w:pPr>
        <w:spacing w:line="276" w:lineRule="auto"/>
        <w:jc w:val="both"/>
        <w:rPr>
          <w:rFonts w:ascii="Arial" w:hAnsi="Arial" w:cs="Arial"/>
          <w:sz w:val="24"/>
          <w:szCs w:val="24"/>
        </w:rPr>
      </w:pPr>
    </w:p>
    <w:p w:rsidR="00E65F25" w:rsidRDefault="00E65F25" w:rsidP="00E65F25">
      <w:pPr>
        <w:spacing w:line="276" w:lineRule="auto"/>
        <w:jc w:val="center"/>
        <w:rPr>
          <w:rFonts w:ascii="Arial" w:hAnsi="Arial" w:cs="Arial"/>
          <w:b/>
          <w:sz w:val="24"/>
          <w:szCs w:val="24"/>
        </w:rPr>
      </w:pPr>
      <w:r w:rsidRPr="00B14501">
        <w:rPr>
          <w:rFonts w:ascii="Arial" w:hAnsi="Arial" w:cs="Arial"/>
          <w:b/>
          <w:sz w:val="24"/>
          <w:szCs w:val="24"/>
        </w:rPr>
        <w:t>ABSTRACT</w:t>
      </w:r>
    </w:p>
    <w:p w:rsidR="00E65F25" w:rsidRDefault="00E65F25" w:rsidP="00E65F25">
      <w:pPr>
        <w:spacing w:line="276" w:lineRule="auto"/>
        <w:jc w:val="center"/>
        <w:rPr>
          <w:rFonts w:ascii="Arial" w:hAnsi="Arial" w:cs="Arial"/>
          <w:b/>
          <w:sz w:val="24"/>
          <w:szCs w:val="24"/>
        </w:rPr>
      </w:pPr>
    </w:p>
    <w:p w:rsidR="00E65F25" w:rsidRPr="00B14501" w:rsidRDefault="00E65F25" w:rsidP="00E65F25">
      <w:pPr>
        <w:spacing w:line="276" w:lineRule="auto"/>
        <w:jc w:val="both"/>
        <w:rPr>
          <w:rFonts w:ascii="Arial" w:hAnsi="Arial" w:cs="Arial"/>
          <w:sz w:val="24"/>
          <w:szCs w:val="24"/>
        </w:rPr>
      </w:pPr>
      <w:proofErr w:type="spellStart"/>
      <w:r w:rsidRPr="00B14501">
        <w:rPr>
          <w:rFonts w:ascii="Arial" w:hAnsi="Arial" w:cs="Arial"/>
          <w:sz w:val="24"/>
          <w:szCs w:val="24"/>
        </w:rPr>
        <w:t>Philosophy</w:t>
      </w:r>
      <w:proofErr w:type="spellEnd"/>
      <w:r w:rsidRPr="00B14501">
        <w:rPr>
          <w:rFonts w:ascii="Arial" w:hAnsi="Arial" w:cs="Arial"/>
          <w:sz w:val="24"/>
          <w:szCs w:val="24"/>
        </w:rPr>
        <w:t xml:space="preserve"> and </w:t>
      </w:r>
      <w:proofErr w:type="spellStart"/>
      <w:r w:rsidRPr="00B14501">
        <w:rPr>
          <w:rFonts w:ascii="Arial" w:hAnsi="Arial" w:cs="Arial"/>
          <w:sz w:val="24"/>
          <w:szCs w:val="24"/>
        </w:rPr>
        <w:t>theory</w:t>
      </w:r>
      <w:proofErr w:type="spellEnd"/>
      <w:r w:rsidRPr="00B14501">
        <w:rPr>
          <w:rFonts w:ascii="Arial" w:hAnsi="Arial" w:cs="Arial"/>
          <w:sz w:val="24"/>
          <w:szCs w:val="24"/>
        </w:rPr>
        <w:t xml:space="preserve"> of </w:t>
      </w:r>
      <w:proofErr w:type="spellStart"/>
      <w:r w:rsidRPr="00B14501">
        <w:rPr>
          <w:rFonts w:ascii="Arial" w:hAnsi="Arial" w:cs="Arial"/>
          <w:sz w:val="24"/>
          <w:szCs w:val="24"/>
        </w:rPr>
        <w:t>law</w:t>
      </w:r>
      <w:proofErr w:type="spellEnd"/>
      <w:r w:rsidRPr="00B14501">
        <w:rPr>
          <w:rFonts w:ascii="Arial" w:hAnsi="Arial" w:cs="Arial"/>
          <w:sz w:val="24"/>
          <w:szCs w:val="24"/>
        </w:rPr>
        <w:t xml:space="preserve"> has </w:t>
      </w:r>
      <w:proofErr w:type="spellStart"/>
      <w:r w:rsidRPr="00B14501">
        <w:rPr>
          <w:rFonts w:ascii="Arial" w:hAnsi="Arial" w:cs="Arial"/>
          <w:sz w:val="24"/>
          <w:szCs w:val="24"/>
        </w:rPr>
        <w:t>made</w:t>
      </w:r>
      <w:proofErr w:type="spellEnd"/>
      <w:r w:rsidRPr="00B14501">
        <w:rPr>
          <w:rFonts w:ascii="Arial" w:hAnsi="Arial" w:cs="Arial"/>
          <w:sz w:val="24"/>
          <w:szCs w:val="24"/>
        </w:rPr>
        <w:t xml:space="preserve"> a </w:t>
      </w:r>
      <w:proofErr w:type="spellStart"/>
      <w:r w:rsidRPr="00B14501">
        <w:rPr>
          <w:rFonts w:ascii="Arial" w:hAnsi="Arial" w:cs="Arial"/>
          <w:sz w:val="24"/>
          <w:szCs w:val="24"/>
        </w:rPr>
        <w:t>hard</w:t>
      </w:r>
      <w:proofErr w:type="spellEnd"/>
      <w:r w:rsidRPr="00B14501">
        <w:rPr>
          <w:rFonts w:ascii="Arial" w:hAnsi="Arial" w:cs="Arial"/>
          <w:sz w:val="24"/>
          <w:szCs w:val="24"/>
        </w:rPr>
        <w:t xml:space="preserve"> </w:t>
      </w:r>
      <w:proofErr w:type="spellStart"/>
      <w:r w:rsidRPr="00B14501">
        <w:rPr>
          <w:rFonts w:ascii="Arial" w:hAnsi="Arial" w:cs="Arial"/>
          <w:sz w:val="24"/>
          <w:szCs w:val="24"/>
        </w:rPr>
        <w:t>work</w:t>
      </w:r>
      <w:proofErr w:type="spellEnd"/>
      <w:r w:rsidRPr="00B14501">
        <w:rPr>
          <w:rFonts w:ascii="Arial" w:hAnsi="Arial" w:cs="Arial"/>
          <w:sz w:val="24"/>
          <w:szCs w:val="24"/>
        </w:rPr>
        <w:t xml:space="preserve"> </w:t>
      </w:r>
      <w:proofErr w:type="spellStart"/>
      <w:r w:rsidRPr="00B14501">
        <w:rPr>
          <w:rFonts w:ascii="Arial" w:hAnsi="Arial" w:cs="Arial"/>
          <w:sz w:val="24"/>
          <w:szCs w:val="24"/>
        </w:rPr>
        <w:t>on</w:t>
      </w:r>
      <w:proofErr w:type="spellEnd"/>
      <w:r w:rsidRPr="00B14501">
        <w:rPr>
          <w:rFonts w:ascii="Arial" w:hAnsi="Arial" w:cs="Arial"/>
          <w:sz w:val="24"/>
          <w:szCs w:val="24"/>
        </w:rPr>
        <w:t xml:space="preserve"> </w:t>
      </w:r>
      <w:proofErr w:type="spellStart"/>
      <w:r w:rsidRPr="00B14501">
        <w:rPr>
          <w:rFonts w:ascii="Arial" w:hAnsi="Arial" w:cs="Arial"/>
          <w:sz w:val="24"/>
          <w:szCs w:val="24"/>
        </w:rPr>
        <w:t>the</w:t>
      </w:r>
      <w:proofErr w:type="spellEnd"/>
      <w:r w:rsidRPr="00B14501">
        <w:rPr>
          <w:rFonts w:ascii="Arial" w:hAnsi="Arial" w:cs="Arial"/>
          <w:sz w:val="24"/>
          <w:szCs w:val="24"/>
        </w:rPr>
        <w:t xml:space="preserve"> </w:t>
      </w:r>
      <w:proofErr w:type="spellStart"/>
      <w:r w:rsidRPr="00B14501">
        <w:rPr>
          <w:rFonts w:ascii="Arial" w:hAnsi="Arial" w:cs="Arial"/>
          <w:sz w:val="24"/>
          <w:szCs w:val="24"/>
        </w:rPr>
        <w:t>question</w:t>
      </w:r>
      <w:proofErr w:type="spellEnd"/>
      <w:r w:rsidRPr="00B14501">
        <w:rPr>
          <w:rFonts w:ascii="Arial" w:hAnsi="Arial" w:cs="Arial"/>
          <w:sz w:val="24"/>
          <w:szCs w:val="24"/>
        </w:rPr>
        <w:t xml:space="preserve"> of </w:t>
      </w:r>
      <w:proofErr w:type="spellStart"/>
      <w:r w:rsidRPr="00B14501">
        <w:rPr>
          <w:rFonts w:ascii="Arial" w:hAnsi="Arial" w:cs="Arial"/>
          <w:sz w:val="24"/>
          <w:szCs w:val="24"/>
        </w:rPr>
        <w:t>the</w:t>
      </w:r>
      <w:proofErr w:type="spellEnd"/>
      <w:r w:rsidRPr="00B14501">
        <w:rPr>
          <w:rFonts w:ascii="Arial" w:hAnsi="Arial" w:cs="Arial"/>
          <w:sz w:val="24"/>
          <w:szCs w:val="24"/>
        </w:rPr>
        <w:t xml:space="preserve"> concept of </w:t>
      </w:r>
      <w:proofErr w:type="spellStart"/>
      <w:r w:rsidRPr="00B14501">
        <w:rPr>
          <w:rFonts w:ascii="Arial" w:hAnsi="Arial" w:cs="Arial"/>
          <w:sz w:val="24"/>
          <w:szCs w:val="24"/>
        </w:rPr>
        <w:t>law</w:t>
      </w:r>
      <w:proofErr w:type="spellEnd"/>
      <w:r w:rsidRPr="00B14501">
        <w:rPr>
          <w:rFonts w:ascii="Arial" w:hAnsi="Arial" w:cs="Arial"/>
          <w:sz w:val="24"/>
          <w:szCs w:val="24"/>
        </w:rPr>
        <w:t xml:space="preserve">. </w:t>
      </w:r>
      <w:proofErr w:type="spellStart"/>
      <w:r w:rsidRPr="00B14501">
        <w:rPr>
          <w:rFonts w:ascii="Arial" w:hAnsi="Arial" w:cs="Arial"/>
          <w:sz w:val="24"/>
          <w:szCs w:val="24"/>
        </w:rPr>
        <w:t>The</w:t>
      </w:r>
      <w:proofErr w:type="spellEnd"/>
      <w:r w:rsidRPr="00B14501">
        <w:rPr>
          <w:rFonts w:ascii="Arial" w:hAnsi="Arial" w:cs="Arial"/>
          <w:sz w:val="24"/>
          <w:szCs w:val="24"/>
        </w:rPr>
        <w:t xml:space="preserve"> uses and </w:t>
      </w:r>
      <w:proofErr w:type="spellStart"/>
      <w:r w:rsidRPr="00B14501">
        <w:rPr>
          <w:rFonts w:ascii="Arial" w:hAnsi="Arial" w:cs="Arial"/>
          <w:sz w:val="24"/>
          <w:szCs w:val="24"/>
        </w:rPr>
        <w:t>meanings</w:t>
      </w:r>
      <w:proofErr w:type="spellEnd"/>
      <w:r w:rsidRPr="00B14501">
        <w:rPr>
          <w:rFonts w:ascii="Arial" w:hAnsi="Arial" w:cs="Arial"/>
          <w:sz w:val="24"/>
          <w:szCs w:val="24"/>
        </w:rPr>
        <w:t xml:space="preserve"> of </w:t>
      </w:r>
      <w:proofErr w:type="spellStart"/>
      <w:r w:rsidRPr="00B14501">
        <w:rPr>
          <w:rFonts w:ascii="Arial" w:hAnsi="Arial" w:cs="Arial"/>
          <w:sz w:val="24"/>
          <w:szCs w:val="24"/>
        </w:rPr>
        <w:t>the</w:t>
      </w:r>
      <w:proofErr w:type="spellEnd"/>
      <w:r w:rsidRPr="00B14501">
        <w:rPr>
          <w:rFonts w:ascii="Arial" w:hAnsi="Arial" w:cs="Arial"/>
          <w:sz w:val="24"/>
          <w:szCs w:val="24"/>
        </w:rPr>
        <w:t xml:space="preserve"> concept of </w:t>
      </w:r>
      <w:proofErr w:type="spellStart"/>
      <w:r w:rsidRPr="00B14501">
        <w:rPr>
          <w:rFonts w:ascii="Arial" w:hAnsi="Arial" w:cs="Arial"/>
          <w:sz w:val="24"/>
          <w:szCs w:val="24"/>
        </w:rPr>
        <w:t>law</w:t>
      </w:r>
      <w:proofErr w:type="spellEnd"/>
      <w:r w:rsidRPr="00B14501">
        <w:rPr>
          <w:rFonts w:ascii="Arial" w:hAnsi="Arial" w:cs="Arial"/>
          <w:sz w:val="24"/>
          <w:szCs w:val="24"/>
        </w:rPr>
        <w:t xml:space="preserve"> has </w:t>
      </w:r>
      <w:proofErr w:type="spellStart"/>
      <w:r w:rsidRPr="00B14501">
        <w:rPr>
          <w:rFonts w:ascii="Arial" w:hAnsi="Arial" w:cs="Arial"/>
          <w:sz w:val="24"/>
          <w:szCs w:val="24"/>
        </w:rPr>
        <w:t>been</w:t>
      </w:r>
      <w:proofErr w:type="spellEnd"/>
      <w:r w:rsidRPr="00B14501">
        <w:rPr>
          <w:rFonts w:ascii="Arial" w:hAnsi="Arial" w:cs="Arial"/>
          <w:sz w:val="24"/>
          <w:szCs w:val="24"/>
        </w:rPr>
        <w:t xml:space="preserve"> </w:t>
      </w:r>
      <w:proofErr w:type="spellStart"/>
      <w:r w:rsidRPr="00B14501">
        <w:rPr>
          <w:rFonts w:ascii="Arial" w:hAnsi="Arial" w:cs="Arial"/>
          <w:sz w:val="24"/>
          <w:szCs w:val="24"/>
        </w:rPr>
        <w:t>the</w:t>
      </w:r>
      <w:proofErr w:type="spellEnd"/>
      <w:r w:rsidRPr="00B14501">
        <w:rPr>
          <w:rFonts w:ascii="Arial" w:hAnsi="Arial" w:cs="Arial"/>
          <w:sz w:val="24"/>
          <w:szCs w:val="24"/>
        </w:rPr>
        <w:t xml:space="preserve"> </w:t>
      </w:r>
      <w:proofErr w:type="spellStart"/>
      <w:r w:rsidRPr="00B14501">
        <w:rPr>
          <w:rFonts w:ascii="Arial" w:hAnsi="Arial" w:cs="Arial"/>
          <w:sz w:val="24"/>
          <w:szCs w:val="24"/>
        </w:rPr>
        <w:t>subject</w:t>
      </w:r>
      <w:proofErr w:type="spellEnd"/>
      <w:r w:rsidRPr="00B14501">
        <w:rPr>
          <w:rFonts w:ascii="Arial" w:hAnsi="Arial" w:cs="Arial"/>
          <w:sz w:val="24"/>
          <w:szCs w:val="24"/>
        </w:rPr>
        <w:t xml:space="preserve"> of </w:t>
      </w:r>
      <w:proofErr w:type="spellStart"/>
      <w:r w:rsidRPr="00B14501">
        <w:rPr>
          <w:rFonts w:ascii="Arial" w:hAnsi="Arial" w:cs="Arial"/>
          <w:sz w:val="24"/>
          <w:szCs w:val="24"/>
        </w:rPr>
        <w:t>study</w:t>
      </w:r>
      <w:proofErr w:type="spellEnd"/>
      <w:r w:rsidRPr="00B14501">
        <w:rPr>
          <w:rFonts w:ascii="Arial" w:hAnsi="Arial" w:cs="Arial"/>
          <w:sz w:val="24"/>
          <w:szCs w:val="24"/>
        </w:rPr>
        <w:t xml:space="preserve"> and </w:t>
      </w:r>
      <w:proofErr w:type="spellStart"/>
      <w:r w:rsidRPr="00B14501">
        <w:rPr>
          <w:rFonts w:ascii="Arial" w:hAnsi="Arial" w:cs="Arial"/>
          <w:sz w:val="24"/>
          <w:szCs w:val="24"/>
        </w:rPr>
        <w:t>reflection</w:t>
      </w:r>
      <w:proofErr w:type="spellEnd"/>
      <w:r w:rsidRPr="00B14501">
        <w:rPr>
          <w:rFonts w:ascii="Arial" w:hAnsi="Arial" w:cs="Arial"/>
          <w:sz w:val="24"/>
          <w:szCs w:val="24"/>
        </w:rPr>
        <w:t xml:space="preserve"> </w:t>
      </w:r>
      <w:proofErr w:type="spellStart"/>
      <w:r w:rsidRPr="00B14501">
        <w:rPr>
          <w:rFonts w:ascii="Arial" w:hAnsi="Arial" w:cs="Arial"/>
          <w:sz w:val="24"/>
          <w:szCs w:val="24"/>
        </w:rPr>
        <w:t>through</w:t>
      </w:r>
      <w:proofErr w:type="spellEnd"/>
      <w:r w:rsidRPr="00B14501">
        <w:rPr>
          <w:rFonts w:ascii="Arial" w:hAnsi="Arial" w:cs="Arial"/>
          <w:sz w:val="24"/>
          <w:szCs w:val="24"/>
        </w:rPr>
        <w:t xml:space="preserve"> </w:t>
      </w:r>
      <w:proofErr w:type="spellStart"/>
      <w:r w:rsidRPr="00B14501">
        <w:rPr>
          <w:rFonts w:ascii="Arial" w:hAnsi="Arial" w:cs="Arial"/>
          <w:sz w:val="24"/>
          <w:szCs w:val="24"/>
        </w:rPr>
        <w:t>history</w:t>
      </w:r>
      <w:proofErr w:type="spellEnd"/>
      <w:r w:rsidRPr="00B14501">
        <w:rPr>
          <w:rFonts w:ascii="Arial" w:hAnsi="Arial" w:cs="Arial"/>
          <w:sz w:val="24"/>
          <w:szCs w:val="24"/>
        </w:rPr>
        <w:t xml:space="preserve">, </w:t>
      </w:r>
      <w:proofErr w:type="spellStart"/>
      <w:r w:rsidRPr="00B14501">
        <w:rPr>
          <w:rFonts w:ascii="Arial" w:hAnsi="Arial" w:cs="Arial"/>
          <w:sz w:val="24"/>
          <w:szCs w:val="24"/>
        </w:rPr>
        <w:t>this</w:t>
      </w:r>
      <w:proofErr w:type="spellEnd"/>
      <w:r w:rsidRPr="00B14501">
        <w:rPr>
          <w:rFonts w:ascii="Arial" w:hAnsi="Arial" w:cs="Arial"/>
          <w:sz w:val="24"/>
          <w:szCs w:val="24"/>
        </w:rPr>
        <w:t xml:space="preserve"> has </w:t>
      </w:r>
      <w:proofErr w:type="spellStart"/>
      <w:r w:rsidRPr="00B14501">
        <w:rPr>
          <w:rFonts w:ascii="Arial" w:hAnsi="Arial" w:cs="Arial"/>
          <w:sz w:val="24"/>
          <w:szCs w:val="24"/>
        </w:rPr>
        <w:t>been</w:t>
      </w:r>
      <w:proofErr w:type="spellEnd"/>
      <w:r w:rsidRPr="00B14501">
        <w:rPr>
          <w:rFonts w:ascii="Arial" w:hAnsi="Arial" w:cs="Arial"/>
          <w:sz w:val="24"/>
          <w:szCs w:val="24"/>
        </w:rPr>
        <w:t xml:space="preserve"> </w:t>
      </w:r>
      <w:proofErr w:type="spellStart"/>
      <w:r w:rsidRPr="00B14501">
        <w:rPr>
          <w:rFonts w:ascii="Arial" w:hAnsi="Arial" w:cs="Arial"/>
          <w:sz w:val="24"/>
          <w:szCs w:val="24"/>
        </w:rPr>
        <w:t>influenced</w:t>
      </w:r>
      <w:proofErr w:type="spellEnd"/>
      <w:r w:rsidRPr="00B14501">
        <w:rPr>
          <w:rFonts w:ascii="Arial" w:hAnsi="Arial" w:cs="Arial"/>
          <w:sz w:val="24"/>
          <w:szCs w:val="24"/>
        </w:rPr>
        <w:t xml:space="preserve"> </w:t>
      </w:r>
      <w:proofErr w:type="spellStart"/>
      <w:r w:rsidRPr="00B14501">
        <w:rPr>
          <w:rFonts w:ascii="Arial" w:hAnsi="Arial" w:cs="Arial"/>
          <w:sz w:val="24"/>
          <w:szCs w:val="24"/>
        </w:rPr>
        <w:t>by</w:t>
      </w:r>
      <w:proofErr w:type="spellEnd"/>
      <w:r w:rsidRPr="00B14501">
        <w:rPr>
          <w:rFonts w:ascii="Arial" w:hAnsi="Arial" w:cs="Arial"/>
          <w:sz w:val="24"/>
          <w:szCs w:val="24"/>
        </w:rPr>
        <w:t xml:space="preserve"> </w:t>
      </w:r>
      <w:proofErr w:type="spellStart"/>
      <w:r w:rsidRPr="00B14501">
        <w:rPr>
          <w:rFonts w:ascii="Arial" w:hAnsi="Arial" w:cs="Arial"/>
          <w:sz w:val="24"/>
          <w:szCs w:val="24"/>
        </w:rPr>
        <w:t>positivist</w:t>
      </w:r>
      <w:proofErr w:type="spellEnd"/>
      <w:r w:rsidRPr="00B14501">
        <w:rPr>
          <w:rFonts w:ascii="Arial" w:hAnsi="Arial" w:cs="Arial"/>
          <w:sz w:val="24"/>
          <w:szCs w:val="24"/>
        </w:rPr>
        <w:t xml:space="preserve"> </w:t>
      </w:r>
      <w:proofErr w:type="spellStart"/>
      <w:r w:rsidRPr="00B14501">
        <w:rPr>
          <w:rFonts w:ascii="Arial" w:hAnsi="Arial" w:cs="Arial"/>
          <w:sz w:val="24"/>
          <w:szCs w:val="24"/>
        </w:rPr>
        <w:t>theories</w:t>
      </w:r>
      <w:proofErr w:type="spellEnd"/>
      <w:r w:rsidRPr="00B14501">
        <w:rPr>
          <w:rFonts w:ascii="Arial" w:hAnsi="Arial" w:cs="Arial"/>
          <w:sz w:val="24"/>
          <w:szCs w:val="24"/>
        </w:rPr>
        <w:t xml:space="preserve">, </w:t>
      </w:r>
      <w:proofErr w:type="spellStart"/>
      <w:r w:rsidRPr="00B14501">
        <w:rPr>
          <w:rFonts w:ascii="Arial" w:hAnsi="Arial" w:cs="Arial"/>
          <w:sz w:val="24"/>
          <w:szCs w:val="24"/>
        </w:rPr>
        <w:t>evidence</w:t>
      </w:r>
      <w:proofErr w:type="spellEnd"/>
      <w:r w:rsidRPr="00B14501">
        <w:rPr>
          <w:rFonts w:ascii="Arial" w:hAnsi="Arial" w:cs="Arial"/>
          <w:sz w:val="24"/>
          <w:szCs w:val="24"/>
        </w:rPr>
        <w:t xml:space="preserve"> in </w:t>
      </w:r>
      <w:proofErr w:type="spellStart"/>
      <w:r w:rsidRPr="00B14501">
        <w:rPr>
          <w:rFonts w:ascii="Arial" w:hAnsi="Arial" w:cs="Arial"/>
          <w:sz w:val="24"/>
          <w:szCs w:val="24"/>
        </w:rPr>
        <w:t>the</w:t>
      </w:r>
      <w:proofErr w:type="spellEnd"/>
      <w:r w:rsidRPr="00B14501">
        <w:rPr>
          <w:rFonts w:ascii="Arial" w:hAnsi="Arial" w:cs="Arial"/>
          <w:sz w:val="24"/>
          <w:szCs w:val="24"/>
        </w:rPr>
        <w:t xml:space="preserve"> </w:t>
      </w:r>
      <w:proofErr w:type="spellStart"/>
      <w:r w:rsidRPr="00B14501">
        <w:rPr>
          <w:rFonts w:ascii="Arial" w:hAnsi="Arial" w:cs="Arial"/>
          <w:sz w:val="24"/>
          <w:szCs w:val="24"/>
        </w:rPr>
        <w:t>many</w:t>
      </w:r>
      <w:proofErr w:type="spellEnd"/>
      <w:r w:rsidRPr="00B14501">
        <w:rPr>
          <w:rFonts w:ascii="Arial" w:hAnsi="Arial" w:cs="Arial"/>
          <w:sz w:val="24"/>
          <w:szCs w:val="24"/>
        </w:rPr>
        <w:t xml:space="preserve"> </w:t>
      </w:r>
      <w:proofErr w:type="spellStart"/>
      <w:r w:rsidRPr="00B14501">
        <w:rPr>
          <w:rFonts w:ascii="Arial" w:hAnsi="Arial" w:cs="Arial"/>
          <w:sz w:val="24"/>
          <w:szCs w:val="24"/>
        </w:rPr>
        <w:t>introductory</w:t>
      </w:r>
      <w:proofErr w:type="spellEnd"/>
      <w:r w:rsidRPr="00B14501">
        <w:rPr>
          <w:rFonts w:ascii="Arial" w:hAnsi="Arial" w:cs="Arial"/>
          <w:sz w:val="24"/>
          <w:szCs w:val="24"/>
        </w:rPr>
        <w:t xml:space="preserve"> </w:t>
      </w:r>
      <w:proofErr w:type="spellStart"/>
      <w:r w:rsidRPr="00B14501">
        <w:rPr>
          <w:rFonts w:ascii="Arial" w:hAnsi="Arial" w:cs="Arial"/>
          <w:sz w:val="24"/>
          <w:szCs w:val="24"/>
        </w:rPr>
        <w:t>books</w:t>
      </w:r>
      <w:proofErr w:type="spellEnd"/>
      <w:r w:rsidRPr="00B14501">
        <w:rPr>
          <w:rFonts w:ascii="Arial" w:hAnsi="Arial" w:cs="Arial"/>
          <w:sz w:val="24"/>
          <w:szCs w:val="24"/>
        </w:rPr>
        <w:t xml:space="preserve"> to </w:t>
      </w:r>
      <w:proofErr w:type="spellStart"/>
      <w:r w:rsidRPr="00B14501">
        <w:rPr>
          <w:rFonts w:ascii="Arial" w:hAnsi="Arial" w:cs="Arial"/>
          <w:sz w:val="24"/>
          <w:szCs w:val="24"/>
        </w:rPr>
        <w:t>law</w:t>
      </w:r>
      <w:proofErr w:type="spellEnd"/>
      <w:r w:rsidRPr="00B14501">
        <w:rPr>
          <w:rFonts w:ascii="Arial" w:hAnsi="Arial" w:cs="Arial"/>
          <w:sz w:val="24"/>
          <w:szCs w:val="24"/>
        </w:rPr>
        <w:t xml:space="preserve">, as in </w:t>
      </w:r>
      <w:proofErr w:type="spellStart"/>
      <w:r w:rsidRPr="00B14501">
        <w:rPr>
          <w:rFonts w:ascii="Arial" w:hAnsi="Arial" w:cs="Arial"/>
          <w:sz w:val="24"/>
          <w:szCs w:val="24"/>
        </w:rPr>
        <w:t>the</w:t>
      </w:r>
      <w:proofErr w:type="spellEnd"/>
      <w:r w:rsidRPr="00B14501">
        <w:rPr>
          <w:rFonts w:ascii="Arial" w:hAnsi="Arial" w:cs="Arial"/>
          <w:sz w:val="24"/>
          <w:szCs w:val="24"/>
        </w:rPr>
        <w:t xml:space="preserve"> </w:t>
      </w:r>
      <w:proofErr w:type="spellStart"/>
      <w:r w:rsidRPr="00B14501">
        <w:rPr>
          <w:rFonts w:ascii="Arial" w:hAnsi="Arial" w:cs="Arial"/>
          <w:sz w:val="24"/>
          <w:szCs w:val="24"/>
        </w:rPr>
        <w:t>books</w:t>
      </w:r>
      <w:proofErr w:type="spellEnd"/>
      <w:r w:rsidRPr="00B14501">
        <w:rPr>
          <w:rFonts w:ascii="Arial" w:hAnsi="Arial" w:cs="Arial"/>
          <w:sz w:val="24"/>
          <w:szCs w:val="24"/>
        </w:rPr>
        <w:t xml:space="preserve"> and </w:t>
      </w:r>
      <w:proofErr w:type="spellStart"/>
      <w:r w:rsidRPr="00B14501">
        <w:rPr>
          <w:rFonts w:ascii="Arial" w:hAnsi="Arial" w:cs="Arial"/>
          <w:sz w:val="24"/>
          <w:szCs w:val="24"/>
        </w:rPr>
        <w:t>the</w:t>
      </w:r>
      <w:proofErr w:type="spellEnd"/>
      <w:r w:rsidRPr="00B14501">
        <w:rPr>
          <w:rFonts w:ascii="Arial" w:hAnsi="Arial" w:cs="Arial"/>
          <w:sz w:val="24"/>
          <w:szCs w:val="24"/>
        </w:rPr>
        <w:t xml:space="preserve"> </w:t>
      </w:r>
      <w:proofErr w:type="spellStart"/>
      <w:r w:rsidRPr="00B14501">
        <w:rPr>
          <w:rFonts w:ascii="Arial" w:hAnsi="Arial" w:cs="Arial"/>
          <w:sz w:val="24"/>
          <w:szCs w:val="24"/>
        </w:rPr>
        <w:t>judgments</w:t>
      </w:r>
      <w:proofErr w:type="spellEnd"/>
      <w:r w:rsidRPr="00B14501">
        <w:rPr>
          <w:rFonts w:ascii="Arial" w:hAnsi="Arial" w:cs="Arial"/>
          <w:sz w:val="24"/>
          <w:szCs w:val="24"/>
        </w:rPr>
        <w:t xml:space="preserve"> of </w:t>
      </w:r>
      <w:proofErr w:type="spellStart"/>
      <w:r w:rsidRPr="00B14501">
        <w:rPr>
          <w:rFonts w:ascii="Arial" w:hAnsi="Arial" w:cs="Arial"/>
          <w:sz w:val="24"/>
          <w:szCs w:val="24"/>
        </w:rPr>
        <w:t>the</w:t>
      </w:r>
      <w:proofErr w:type="spellEnd"/>
      <w:r w:rsidRPr="00B14501">
        <w:rPr>
          <w:rFonts w:ascii="Arial" w:hAnsi="Arial" w:cs="Arial"/>
          <w:sz w:val="24"/>
          <w:szCs w:val="24"/>
        </w:rPr>
        <w:t xml:space="preserve"> superior </w:t>
      </w:r>
      <w:proofErr w:type="spellStart"/>
      <w:r w:rsidRPr="00B14501">
        <w:rPr>
          <w:rFonts w:ascii="Arial" w:hAnsi="Arial" w:cs="Arial"/>
          <w:sz w:val="24"/>
          <w:szCs w:val="24"/>
        </w:rPr>
        <w:t>courts</w:t>
      </w:r>
      <w:proofErr w:type="spellEnd"/>
      <w:r w:rsidRPr="00B14501">
        <w:rPr>
          <w:rFonts w:ascii="Arial" w:hAnsi="Arial" w:cs="Arial"/>
          <w:sz w:val="24"/>
          <w:szCs w:val="24"/>
        </w:rPr>
        <w:t>, (</w:t>
      </w:r>
      <w:proofErr w:type="spellStart"/>
      <w:r w:rsidRPr="00B14501">
        <w:rPr>
          <w:rFonts w:ascii="Arial" w:hAnsi="Arial" w:cs="Arial"/>
          <w:sz w:val="24"/>
          <w:szCs w:val="24"/>
        </w:rPr>
        <w:t>Supreme</w:t>
      </w:r>
      <w:proofErr w:type="spellEnd"/>
      <w:r w:rsidRPr="00B14501">
        <w:rPr>
          <w:rFonts w:ascii="Arial" w:hAnsi="Arial" w:cs="Arial"/>
          <w:sz w:val="24"/>
          <w:szCs w:val="24"/>
        </w:rPr>
        <w:t xml:space="preserve"> </w:t>
      </w:r>
      <w:proofErr w:type="spellStart"/>
      <w:r w:rsidRPr="00B14501">
        <w:rPr>
          <w:rFonts w:ascii="Arial" w:hAnsi="Arial" w:cs="Arial"/>
          <w:sz w:val="24"/>
          <w:szCs w:val="24"/>
        </w:rPr>
        <w:t>Court</w:t>
      </w:r>
      <w:proofErr w:type="spellEnd"/>
      <w:r w:rsidRPr="00B14501">
        <w:rPr>
          <w:rFonts w:ascii="Arial" w:hAnsi="Arial" w:cs="Arial"/>
          <w:sz w:val="24"/>
          <w:szCs w:val="24"/>
        </w:rPr>
        <w:t xml:space="preserve"> of </w:t>
      </w:r>
      <w:proofErr w:type="spellStart"/>
      <w:r w:rsidRPr="00B14501">
        <w:rPr>
          <w:rFonts w:ascii="Arial" w:hAnsi="Arial" w:cs="Arial"/>
          <w:sz w:val="24"/>
          <w:szCs w:val="24"/>
        </w:rPr>
        <w:t>Justice</w:t>
      </w:r>
      <w:proofErr w:type="spellEnd"/>
      <w:r w:rsidRPr="00B14501">
        <w:rPr>
          <w:rFonts w:ascii="Arial" w:hAnsi="Arial" w:cs="Arial"/>
          <w:sz w:val="24"/>
          <w:szCs w:val="24"/>
        </w:rPr>
        <w:t xml:space="preserve">, </w:t>
      </w:r>
      <w:proofErr w:type="spellStart"/>
      <w:r w:rsidRPr="00B14501">
        <w:rPr>
          <w:rFonts w:ascii="Arial" w:hAnsi="Arial" w:cs="Arial"/>
          <w:sz w:val="24"/>
          <w:szCs w:val="24"/>
        </w:rPr>
        <w:t>State</w:t>
      </w:r>
      <w:proofErr w:type="spellEnd"/>
      <w:r w:rsidRPr="00B14501">
        <w:rPr>
          <w:rFonts w:ascii="Arial" w:hAnsi="Arial" w:cs="Arial"/>
          <w:sz w:val="24"/>
          <w:szCs w:val="24"/>
        </w:rPr>
        <w:t xml:space="preserve"> Council, </w:t>
      </w:r>
      <w:proofErr w:type="spellStart"/>
      <w:r w:rsidRPr="00B14501">
        <w:rPr>
          <w:rFonts w:ascii="Arial" w:hAnsi="Arial" w:cs="Arial"/>
          <w:sz w:val="24"/>
          <w:szCs w:val="24"/>
        </w:rPr>
        <w:t>Constitutional</w:t>
      </w:r>
      <w:proofErr w:type="spellEnd"/>
      <w:r w:rsidRPr="00B14501">
        <w:rPr>
          <w:rFonts w:ascii="Arial" w:hAnsi="Arial" w:cs="Arial"/>
          <w:sz w:val="24"/>
          <w:szCs w:val="24"/>
        </w:rPr>
        <w:t xml:space="preserve"> </w:t>
      </w:r>
      <w:proofErr w:type="spellStart"/>
      <w:r w:rsidRPr="00B14501">
        <w:rPr>
          <w:rFonts w:ascii="Arial" w:hAnsi="Arial" w:cs="Arial"/>
          <w:sz w:val="24"/>
          <w:szCs w:val="24"/>
        </w:rPr>
        <w:t>Court</w:t>
      </w:r>
      <w:proofErr w:type="spellEnd"/>
      <w:r w:rsidRPr="00B14501">
        <w:rPr>
          <w:rFonts w:ascii="Arial" w:hAnsi="Arial" w:cs="Arial"/>
          <w:sz w:val="24"/>
          <w:szCs w:val="24"/>
        </w:rPr>
        <w:t xml:space="preserve">). </w:t>
      </w:r>
      <w:proofErr w:type="spellStart"/>
      <w:r w:rsidRPr="00B14501">
        <w:rPr>
          <w:rFonts w:ascii="Arial" w:hAnsi="Arial" w:cs="Arial"/>
          <w:sz w:val="24"/>
          <w:szCs w:val="24"/>
        </w:rPr>
        <w:t>Judgments</w:t>
      </w:r>
      <w:proofErr w:type="spellEnd"/>
      <w:r w:rsidRPr="00B14501">
        <w:rPr>
          <w:rFonts w:ascii="Arial" w:hAnsi="Arial" w:cs="Arial"/>
          <w:sz w:val="24"/>
          <w:szCs w:val="24"/>
        </w:rPr>
        <w:t xml:space="preserve"> </w:t>
      </w:r>
      <w:proofErr w:type="spellStart"/>
      <w:r w:rsidRPr="00B14501">
        <w:rPr>
          <w:rFonts w:ascii="Arial" w:hAnsi="Arial" w:cs="Arial"/>
          <w:sz w:val="24"/>
          <w:szCs w:val="24"/>
        </w:rPr>
        <w:t>that</w:t>
      </w:r>
      <w:proofErr w:type="spellEnd"/>
      <w:r w:rsidRPr="00B14501">
        <w:rPr>
          <w:rFonts w:ascii="Arial" w:hAnsi="Arial" w:cs="Arial"/>
          <w:sz w:val="24"/>
          <w:szCs w:val="24"/>
        </w:rPr>
        <w:t xml:space="preserve"> are </w:t>
      </w:r>
      <w:proofErr w:type="spellStart"/>
      <w:r w:rsidRPr="00B14501">
        <w:rPr>
          <w:rFonts w:ascii="Arial" w:hAnsi="Arial" w:cs="Arial"/>
          <w:sz w:val="24"/>
          <w:szCs w:val="24"/>
        </w:rPr>
        <w:t>subject</w:t>
      </w:r>
      <w:proofErr w:type="spellEnd"/>
      <w:r w:rsidRPr="00B14501">
        <w:rPr>
          <w:rFonts w:ascii="Arial" w:hAnsi="Arial" w:cs="Arial"/>
          <w:sz w:val="24"/>
          <w:szCs w:val="24"/>
        </w:rPr>
        <w:t xml:space="preserve"> </w:t>
      </w:r>
      <w:proofErr w:type="spellStart"/>
      <w:r w:rsidRPr="00B14501">
        <w:rPr>
          <w:rFonts w:ascii="Arial" w:hAnsi="Arial" w:cs="Arial"/>
          <w:sz w:val="24"/>
          <w:szCs w:val="24"/>
        </w:rPr>
        <w:t>study</w:t>
      </w:r>
      <w:proofErr w:type="spellEnd"/>
      <w:r w:rsidRPr="00B14501">
        <w:rPr>
          <w:rFonts w:ascii="Arial" w:hAnsi="Arial" w:cs="Arial"/>
          <w:sz w:val="24"/>
          <w:szCs w:val="24"/>
        </w:rPr>
        <w:t xml:space="preserve"> and </w:t>
      </w:r>
      <w:proofErr w:type="spellStart"/>
      <w:r w:rsidRPr="00B14501">
        <w:rPr>
          <w:rFonts w:ascii="Arial" w:hAnsi="Arial" w:cs="Arial"/>
          <w:sz w:val="24"/>
          <w:szCs w:val="24"/>
        </w:rPr>
        <w:t>foundation</w:t>
      </w:r>
      <w:proofErr w:type="spellEnd"/>
      <w:r w:rsidRPr="00B14501">
        <w:rPr>
          <w:rFonts w:ascii="Arial" w:hAnsi="Arial" w:cs="Arial"/>
          <w:sz w:val="24"/>
          <w:szCs w:val="24"/>
        </w:rPr>
        <w:t xml:space="preserve"> of </w:t>
      </w:r>
      <w:proofErr w:type="spellStart"/>
      <w:r w:rsidRPr="00B14501">
        <w:rPr>
          <w:rFonts w:ascii="Arial" w:hAnsi="Arial" w:cs="Arial"/>
          <w:sz w:val="24"/>
          <w:szCs w:val="24"/>
        </w:rPr>
        <w:t>this</w:t>
      </w:r>
      <w:proofErr w:type="spellEnd"/>
      <w:r w:rsidRPr="00B14501">
        <w:rPr>
          <w:rFonts w:ascii="Arial" w:hAnsi="Arial" w:cs="Arial"/>
          <w:sz w:val="24"/>
          <w:szCs w:val="24"/>
        </w:rPr>
        <w:t xml:space="preserve"> </w:t>
      </w:r>
      <w:proofErr w:type="spellStart"/>
      <w:r w:rsidRPr="00B14501">
        <w:rPr>
          <w:rFonts w:ascii="Arial" w:hAnsi="Arial" w:cs="Arial"/>
          <w:sz w:val="24"/>
          <w:szCs w:val="24"/>
        </w:rPr>
        <w:t>article</w:t>
      </w:r>
      <w:proofErr w:type="spellEnd"/>
      <w:r w:rsidRPr="00B14501">
        <w:rPr>
          <w:rFonts w:ascii="Arial" w:hAnsi="Arial" w:cs="Arial"/>
          <w:sz w:val="24"/>
          <w:szCs w:val="24"/>
        </w:rPr>
        <w:t>.</w:t>
      </w:r>
    </w:p>
    <w:p w:rsidR="00E65F25" w:rsidRPr="00B14501" w:rsidRDefault="00E65F25" w:rsidP="00E65F25">
      <w:pPr>
        <w:spacing w:line="276" w:lineRule="auto"/>
        <w:jc w:val="both"/>
        <w:rPr>
          <w:rFonts w:ascii="Arial" w:hAnsi="Arial" w:cs="Arial"/>
          <w:sz w:val="24"/>
          <w:szCs w:val="24"/>
        </w:rPr>
      </w:pPr>
      <w:r w:rsidRPr="00B14501">
        <w:rPr>
          <w:rFonts w:ascii="Arial" w:hAnsi="Arial" w:cs="Arial"/>
          <w:b/>
          <w:sz w:val="24"/>
          <w:szCs w:val="24"/>
        </w:rPr>
        <w:t>KEYWORDS:</w:t>
      </w:r>
      <w:r w:rsidRPr="00B14501">
        <w:rPr>
          <w:rFonts w:ascii="Arial" w:hAnsi="Arial" w:cs="Arial"/>
          <w:sz w:val="24"/>
          <w:szCs w:val="24"/>
        </w:rPr>
        <w:t xml:space="preserve"> Concept of </w:t>
      </w:r>
      <w:proofErr w:type="spellStart"/>
      <w:r w:rsidRPr="00B14501">
        <w:rPr>
          <w:rFonts w:ascii="Arial" w:hAnsi="Arial" w:cs="Arial"/>
          <w:sz w:val="24"/>
          <w:szCs w:val="24"/>
        </w:rPr>
        <w:t>Law</w:t>
      </w:r>
      <w:proofErr w:type="spellEnd"/>
      <w:r w:rsidRPr="00B14501">
        <w:rPr>
          <w:rFonts w:ascii="Arial" w:hAnsi="Arial" w:cs="Arial"/>
          <w:sz w:val="24"/>
          <w:szCs w:val="24"/>
        </w:rPr>
        <w:t xml:space="preserve">, Rule of </w:t>
      </w:r>
      <w:proofErr w:type="spellStart"/>
      <w:r w:rsidRPr="00B14501">
        <w:rPr>
          <w:rFonts w:ascii="Arial" w:hAnsi="Arial" w:cs="Arial"/>
          <w:sz w:val="24"/>
          <w:szCs w:val="24"/>
        </w:rPr>
        <w:t>law</w:t>
      </w:r>
      <w:proofErr w:type="spellEnd"/>
      <w:r w:rsidRPr="00B14501">
        <w:rPr>
          <w:rFonts w:ascii="Arial" w:hAnsi="Arial" w:cs="Arial"/>
          <w:sz w:val="24"/>
          <w:szCs w:val="24"/>
        </w:rPr>
        <w:t xml:space="preserve">, legal </w:t>
      </w:r>
      <w:proofErr w:type="spellStart"/>
      <w:r w:rsidRPr="00B14501">
        <w:rPr>
          <w:rFonts w:ascii="Arial" w:hAnsi="Arial" w:cs="Arial"/>
          <w:sz w:val="24"/>
          <w:szCs w:val="24"/>
        </w:rPr>
        <w:t>system</w:t>
      </w:r>
      <w:proofErr w:type="spellEnd"/>
      <w:r w:rsidRPr="00B14501">
        <w:rPr>
          <w:rFonts w:ascii="Arial" w:hAnsi="Arial" w:cs="Arial"/>
          <w:sz w:val="24"/>
          <w:szCs w:val="24"/>
        </w:rPr>
        <w:t xml:space="preserve">, </w:t>
      </w:r>
      <w:proofErr w:type="spellStart"/>
      <w:r w:rsidRPr="00B14501">
        <w:rPr>
          <w:rFonts w:ascii="Arial" w:hAnsi="Arial" w:cs="Arial"/>
          <w:sz w:val="24"/>
          <w:szCs w:val="24"/>
        </w:rPr>
        <w:t>Normative</w:t>
      </w:r>
      <w:proofErr w:type="spellEnd"/>
      <w:r w:rsidRPr="00B14501">
        <w:rPr>
          <w:rFonts w:ascii="Arial" w:hAnsi="Arial" w:cs="Arial"/>
          <w:sz w:val="24"/>
          <w:szCs w:val="24"/>
        </w:rPr>
        <w:t xml:space="preserve"> </w:t>
      </w:r>
      <w:proofErr w:type="spellStart"/>
      <w:r w:rsidRPr="00B14501">
        <w:rPr>
          <w:rFonts w:ascii="Arial" w:hAnsi="Arial" w:cs="Arial"/>
          <w:sz w:val="24"/>
          <w:szCs w:val="24"/>
        </w:rPr>
        <w:t>system</w:t>
      </w:r>
      <w:proofErr w:type="spellEnd"/>
      <w:r w:rsidRPr="00B14501">
        <w:rPr>
          <w:rFonts w:ascii="Arial" w:hAnsi="Arial" w:cs="Arial"/>
          <w:sz w:val="24"/>
          <w:szCs w:val="24"/>
        </w:rPr>
        <w:t xml:space="preserve"> </w:t>
      </w:r>
      <w:proofErr w:type="spellStart"/>
      <w:r w:rsidRPr="00B14501">
        <w:rPr>
          <w:rFonts w:ascii="Arial" w:hAnsi="Arial" w:cs="Arial"/>
          <w:sz w:val="24"/>
          <w:szCs w:val="24"/>
        </w:rPr>
        <w:t>precedent</w:t>
      </w:r>
      <w:proofErr w:type="spellEnd"/>
      <w:r w:rsidRPr="00B14501">
        <w:rPr>
          <w:rFonts w:ascii="Arial" w:hAnsi="Arial" w:cs="Arial"/>
          <w:sz w:val="24"/>
          <w:szCs w:val="24"/>
        </w:rPr>
        <w:t>.</w:t>
      </w:r>
      <w:r w:rsidRPr="00B14501">
        <w:rPr>
          <w:rFonts w:ascii="Arial" w:hAnsi="Arial" w:cs="Arial"/>
          <w:sz w:val="24"/>
          <w:szCs w:val="24"/>
        </w:rPr>
        <w:t> </w:t>
      </w:r>
    </w:p>
    <w:p w:rsidR="00E65F25" w:rsidRDefault="00E65F25" w:rsidP="00E65F25">
      <w:pPr>
        <w:spacing w:line="276" w:lineRule="auto"/>
        <w:jc w:val="center"/>
        <w:rPr>
          <w:rFonts w:ascii="Arial" w:hAnsi="Arial" w:cs="Arial"/>
          <w:b/>
          <w:sz w:val="24"/>
          <w:szCs w:val="24"/>
        </w:rPr>
      </w:pPr>
    </w:p>
    <w:p w:rsidR="00E65F25" w:rsidRDefault="00E65F25" w:rsidP="00E65F25">
      <w:pPr>
        <w:spacing w:line="276" w:lineRule="auto"/>
        <w:jc w:val="center"/>
        <w:rPr>
          <w:rFonts w:ascii="Arial" w:hAnsi="Arial" w:cs="Arial"/>
          <w:b/>
          <w:sz w:val="24"/>
          <w:szCs w:val="24"/>
        </w:rPr>
      </w:pPr>
    </w:p>
    <w:p w:rsidR="00E65F25" w:rsidRDefault="00E65F25">
      <w:pPr>
        <w:rPr>
          <w:rFonts w:ascii="Arial" w:hAnsi="Arial" w:cs="Arial"/>
          <w:b/>
          <w:sz w:val="24"/>
          <w:szCs w:val="24"/>
        </w:rPr>
      </w:pPr>
      <w:r>
        <w:rPr>
          <w:rFonts w:ascii="Arial" w:hAnsi="Arial" w:cs="Arial"/>
          <w:b/>
          <w:sz w:val="24"/>
          <w:szCs w:val="24"/>
        </w:rPr>
        <w:br w:type="page"/>
      </w:r>
    </w:p>
    <w:p w:rsidR="00E65F25" w:rsidRDefault="00E65F25" w:rsidP="00E65F25">
      <w:pPr>
        <w:spacing w:line="276" w:lineRule="auto"/>
        <w:jc w:val="center"/>
        <w:rPr>
          <w:rFonts w:ascii="Arial" w:hAnsi="Arial" w:cs="Arial"/>
          <w:b/>
          <w:sz w:val="24"/>
          <w:szCs w:val="24"/>
        </w:rPr>
      </w:pPr>
      <w:r w:rsidRPr="00B14501">
        <w:rPr>
          <w:rFonts w:ascii="Arial" w:hAnsi="Arial" w:cs="Arial"/>
          <w:b/>
          <w:sz w:val="24"/>
          <w:szCs w:val="24"/>
        </w:rPr>
        <w:lastRenderedPageBreak/>
        <w:t>INTRODUCCIÓN.</w:t>
      </w:r>
    </w:p>
    <w:p w:rsidR="00E65F25" w:rsidRPr="00B14501" w:rsidRDefault="00E65F25" w:rsidP="00E65F25">
      <w:pPr>
        <w:spacing w:line="276" w:lineRule="auto"/>
        <w:jc w:val="center"/>
        <w:rPr>
          <w:rFonts w:ascii="Arial" w:hAnsi="Arial" w:cs="Arial"/>
          <w:b/>
          <w:sz w:val="24"/>
          <w:szCs w:val="24"/>
        </w:rPr>
      </w:pPr>
    </w:p>
    <w:p w:rsidR="00E65F25" w:rsidRDefault="00E65F25" w:rsidP="00E65F25">
      <w:pPr>
        <w:spacing w:line="276" w:lineRule="auto"/>
        <w:jc w:val="both"/>
        <w:rPr>
          <w:rFonts w:ascii="Arial" w:hAnsi="Arial" w:cs="Arial"/>
          <w:sz w:val="24"/>
          <w:szCs w:val="24"/>
        </w:rPr>
      </w:pPr>
      <w:r>
        <w:rPr>
          <w:rFonts w:ascii="Arial" w:hAnsi="Arial" w:cs="Arial"/>
          <w:sz w:val="24"/>
          <w:szCs w:val="24"/>
        </w:rPr>
        <w:t xml:space="preserve">   </w:t>
      </w:r>
      <w:r w:rsidRPr="00B14501">
        <w:rPr>
          <w:rFonts w:ascii="Arial" w:hAnsi="Arial" w:cs="Arial"/>
          <w:sz w:val="24"/>
          <w:szCs w:val="24"/>
        </w:rPr>
        <w:t xml:space="preserve">Este articulo nace como una iniciativa del arduo trabajo que se realiza en el semillero de investigación Filosofía y Teoría del Derecho de la Universidad Santo Tomas Villavicencio, articulo que, tiene su fuente en el cumplimento de los objetivos programados, a raíz del problema planteado para el proyecto de investigación que aún es objeto de estudio: el concepto y validez del derecho en Colombia: un análisis crítico con fundamento en la fallida reforma a la justicia del año 2012, cimentado en el impacto y las consecuencias que trae para la concepción del derecho y su validez, la fallida reforma a la justicia del año 2012, sobre las cuales aún no se ha reflexionado. </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La cuestión del concepto de derecho ha sido un tema que trasciende y genera polémica entre los estudiosos del derecho, debido a que existen diferentes posturas y perspectivas de este. Esto determina la noción, d</w:t>
      </w:r>
      <w:r>
        <w:rPr>
          <w:rFonts w:ascii="Arial" w:hAnsi="Arial" w:cs="Arial"/>
          <w:sz w:val="24"/>
          <w:szCs w:val="24"/>
        </w:rPr>
        <w:t xml:space="preserve">e lo que es y no es el derecho.  </w:t>
      </w:r>
      <w:r w:rsidRPr="00B14501">
        <w:rPr>
          <w:rFonts w:ascii="Arial" w:hAnsi="Arial" w:cs="Arial"/>
          <w:sz w:val="24"/>
          <w:szCs w:val="24"/>
        </w:rPr>
        <w:t xml:space="preserve">En Colombia el concepto de derecho está delimitado por un evidente adoctrinamiento positivo del derecho implícito en lo que piensan los operadores jurídicos, el cual, es reducido a sus componentes y características formales, como un todo de normas; esto es lo que se enseña en una clase de Introducción al derecho visto como un conjunto de normas regulador de la conducta humana, a partir de esta noción el estudiante es sumergido en un lenguaje jurídico básico, que le permita desenvolverse en la aprensión del conocimiento de lo jurídico, así, se destaca la misma idea de derecho repetidamente en el transcurso de los semestres. </w:t>
      </w:r>
    </w:p>
    <w:p w:rsidR="00E65F25"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Este trabajo intentara dilucidar al lector de que el Concepto de Derecho en Colombia está inmerso en una disyuntiva positivista. De lo que haremos referencia desde los puntos de vistas de los más importantes doctrinantes de la historia de Colombia, también analizaremos las decisiones enmarcadas en las sentencias de las altas cortes de la jurisdicción Ordinaria, Constitucional y Contencioso Administrativo. Determinadas en Categorías; Derecho como Ordenamiento Jurídico, Derecho como Norma, Derecho como instrumento de Control Social, Derecho como precedente Jurisprudencial.</w:t>
      </w:r>
    </w:p>
    <w:p w:rsidR="00E65F25" w:rsidRDefault="00E65F25" w:rsidP="00E65F25">
      <w:pPr>
        <w:spacing w:line="276" w:lineRule="auto"/>
        <w:jc w:val="center"/>
        <w:rPr>
          <w:rFonts w:ascii="Arial" w:hAnsi="Arial" w:cs="Arial"/>
          <w:b/>
          <w:sz w:val="24"/>
          <w:szCs w:val="24"/>
        </w:rPr>
      </w:pPr>
    </w:p>
    <w:p w:rsidR="00E65F25" w:rsidRPr="00B14501" w:rsidRDefault="00E65F25" w:rsidP="00E65F25">
      <w:pPr>
        <w:spacing w:line="276" w:lineRule="auto"/>
        <w:jc w:val="center"/>
        <w:rPr>
          <w:rFonts w:ascii="Arial" w:hAnsi="Arial" w:cs="Arial"/>
          <w:b/>
          <w:sz w:val="24"/>
          <w:szCs w:val="24"/>
        </w:rPr>
      </w:pPr>
      <w:r w:rsidRPr="00B14501">
        <w:rPr>
          <w:rFonts w:ascii="Arial" w:hAnsi="Arial" w:cs="Arial"/>
          <w:b/>
          <w:sz w:val="24"/>
          <w:szCs w:val="24"/>
        </w:rPr>
        <w:t>METODOLOGÍA</w:t>
      </w:r>
    </w:p>
    <w:p w:rsidR="00E65F25" w:rsidRDefault="00E65F25" w:rsidP="00E65F25">
      <w:pPr>
        <w:spacing w:line="276" w:lineRule="auto"/>
        <w:jc w:val="both"/>
        <w:rPr>
          <w:rFonts w:ascii="Arial" w:hAnsi="Arial" w:cs="Arial"/>
          <w:sz w:val="24"/>
          <w:szCs w:val="24"/>
        </w:rPr>
      </w:pPr>
      <w:r w:rsidRPr="00B14501">
        <w:rPr>
          <w:rFonts w:ascii="Arial" w:hAnsi="Arial" w:cs="Arial"/>
          <w:sz w:val="24"/>
          <w:szCs w:val="24"/>
        </w:rPr>
        <w:t>Dado que la metodología a emplear en la realización de una investigación está determinada por el objeto de</w:t>
      </w:r>
      <w:r>
        <w:rPr>
          <w:rFonts w:ascii="Arial" w:hAnsi="Arial" w:cs="Arial"/>
          <w:sz w:val="24"/>
          <w:szCs w:val="24"/>
        </w:rPr>
        <w:t xml:space="preserve"> estudio, es imperativo que la v</w:t>
      </w:r>
      <w:r w:rsidRPr="00B14501">
        <w:rPr>
          <w:rFonts w:ascii="Arial" w:hAnsi="Arial" w:cs="Arial"/>
          <w:sz w:val="24"/>
          <w:szCs w:val="24"/>
        </w:rPr>
        <w:t xml:space="preserve">ía metódica adoptada para la consecución de los objetivos propuestos para esta investigación, sea la propia de las ciencias prácticas; este camino de acción históricamente se ha denominado: “método dialéctico-prudencial”.  Ese camino, en el cual confluyen lo analítico y lo sintético, lo inductivo y lo deductivo y, por ende, de naturaleza mixta, es el empleado por el realismo </w:t>
      </w:r>
      <w:r w:rsidRPr="00B14501">
        <w:rPr>
          <w:rFonts w:ascii="Arial" w:hAnsi="Arial" w:cs="Arial"/>
          <w:sz w:val="24"/>
          <w:szCs w:val="24"/>
        </w:rPr>
        <w:lastRenderedPageBreak/>
        <w:t>filosófico aristotélico-tomista –establecido como parte del fundamento teórico de esta propuesta- cada vez que se acerca</w:t>
      </w:r>
      <w:r>
        <w:rPr>
          <w:rFonts w:ascii="Arial" w:hAnsi="Arial" w:cs="Arial"/>
          <w:sz w:val="24"/>
          <w:szCs w:val="24"/>
        </w:rPr>
        <w:t xml:space="preserve"> al análisis del obrar humano. </w:t>
      </w:r>
    </w:p>
    <w:p w:rsidR="00E65F25" w:rsidRDefault="00E65F25" w:rsidP="00E65F25">
      <w:pPr>
        <w:spacing w:line="276" w:lineRule="auto"/>
        <w:jc w:val="both"/>
        <w:rPr>
          <w:rFonts w:ascii="Arial" w:hAnsi="Arial" w:cs="Arial"/>
          <w:sz w:val="24"/>
          <w:szCs w:val="24"/>
        </w:rPr>
      </w:pPr>
    </w:p>
    <w:p w:rsidR="00E65F25" w:rsidRDefault="00E65F25" w:rsidP="00E65F25">
      <w:pPr>
        <w:spacing w:line="276" w:lineRule="auto"/>
        <w:jc w:val="center"/>
        <w:rPr>
          <w:rFonts w:ascii="Arial" w:hAnsi="Arial" w:cs="Arial"/>
          <w:b/>
          <w:sz w:val="24"/>
          <w:szCs w:val="24"/>
        </w:rPr>
      </w:pPr>
      <w:r>
        <w:rPr>
          <w:rFonts w:ascii="Arial" w:hAnsi="Arial" w:cs="Arial"/>
          <w:b/>
          <w:sz w:val="24"/>
          <w:szCs w:val="24"/>
        </w:rPr>
        <w:t>MARCO TEORICO</w:t>
      </w:r>
    </w:p>
    <w:p w:rsidR="00E65F25" w:rsidRDefault="00E65F25" w:rsidP="00E65F25">
      <w:pPr>
        <w:spacing w:line="276" w:lineRule="auto"/>
        <w:jc w:val="center"/>
        <w:rPr>
          <w:rFonts w:ascii="Arial" w:hAnsi="Arial" w:cs="Arial"/>
          <w:b/>
          <w:sz w:val="24"/>
          <w:szCs w:val="24"/>
        </w:rPr>
      </w:pPr>
    </w:p>
    <w:p w:rsidR="00E65F25" w:rsidRDefault="00E65F25" w:rsidP="00E65F25">
      <w:pPr>
        <w:spacing w:line="276" w:lineRule="auto"/>
        <w:jc w:val="center"/>
        <w:rPr>
          <w:rFonts w:ascii="Arial" w:hAnsi="Arial" w:cs="Arial"/>
          <w:b/>
          <w:sz w:val="24"/>
          <w:szCs w:val="24"/>
        </w:rPr>
      </w:pPr>
      <w:r w:rsidRPr="00B14501">
        <w:rPr>
          <w:rFonts w:ascii="Arial" w:hAnsi="Arial" w:cs="Arial"/>
          <w:b/>
          <w:sz w:val="24"/>
          <w:szCs w:val="24"/>
        </w:rPr>
        <w:t>DERECHO COMO ORDENAMIENTO JURIDICO</w:t>
      </w:r>
    </w:p>
    <w:p w:rsidR="00E65F25" w:rsidRDefault="00E65F25" w:rsidP="00E65F25">
      <w:pPr>
        <w:spacing w:line="276" w:lineRule="auto"/>
        <w:jc w:val="center"/>
        <w:rPr>
          <w:rFonts w:ascii="Arial" w:hAnsi="Arial" w:cs="Arial"/>
          <w:b/>
          <w:sz w:val="24"/>
          <w:szCs w:val="24"/>
        </w:rPr>
      </w:pP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La doctrina en Colombia concibe el derecho como un ordenamiento jurídico de tendencia positivista, la cual, grandes maestros y científicos del derecho han adoptado, por ejemplo el jurista Arturo Valencia Zea entregó al mundo jurídico un concepto de derecho al que dedico un arduo trabajo y dio un gran aporte al derecho Civil Colombiano: “El Derecho es el conjunto de normas que someten a regulación las relaciones que nacen entre las personas que viven en sociedad en la satisfacción de sus necesidades a fin de asegurar el orden social” (Zea, 1957). </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Otro maestr</w:t>
      </w:r>
      <w:r>
        <w:rPr>
          <w:rFonts w:ascii="Arial" w:hAnsi="Arial" w:cs="Arial"/>
          <w:sz w:val="24"/>
          <w:szCs w:val="24"/>
        </w:rPr>
        <w:t>o del derecho Colombiano afirma “E</w:t>
      </w:r>
      <w:r w:rsidRPr="00B14501">
        <w:rPr>
          <w:rFonts w:ascii="Arial" w:hAnsi="Arial" w:cs="Arial"/>
          <w:sz w:val="24"/>
          <w:szCs w:val="24"/>
        </w:rPr>
        <w:t>l derecho es la ciencia que trata del conjunto de normas obligatorias que regulan las relaciones interhumanas a fin de suplir satisfactoria y equitativamente las necesidades de los individuos y asegurar la justicia y armonía sociales</w:t>
      </w:r>
      <w:r>
        <w:rPr>
          <w:rFonts w:ascii="Arial" w:hAnsi="Arial" w:cs="Arial"/>
          <w:sz w:val="24"/>
          <w:szCs w:val="24"/>
        </w:rPr>
        <w:t>”</w:t>
      </w:r>
      <w:r w:rsidRPr="00B14501">
        <w:rPr>
          <w:rFonts w:ascii="Arial" w:hAnsi="Arial" w:cs="Arial"/>
          <w:sz w:val="24"/>
          <w:szCs w:val="24"/>
        </w:rPr>
        <w:t xml:space="preserve"> (González Ramírez, 2010).</w:t>
      </w:r>
      <w:r>
        <w:rPr>
          <w:rFonts w:ascii="Arial" w:hAnsi="Arial" w:cs="Arial"/>
          <w:sz w:val="24"/>
          <w:szCs w:val="24"/>
        </w:rPr>
        <w:t xml:space="preserve"> </w:t>
      </w:r>
      <w:r w:rsidRPr="00B14501">
        <w:rPr>
          <w:rFonts w:ascii="Arial" w:hAnsi="Arial" w:cs="Arial"/>
          <w:sz w:val="24"/>
          <w:szCs w:val="24"/>
        </w:rPr>
        <w:t>Por</w:t>
      </w:r>
      <w:r>
        <w:rPr>
          <w:rFonts w:ascii="Arial" w:hAnsi="Arial" w:cs="Arial"/>
          <w:sz w:val="24"/>
          <w:szCs w:val="24"/>
        </w:rPr>
        <w:t xml:space="preserve"> supuesto el derecho también es “R</w:t>
      </w:r>
      <w:r w:rsidRPr="00B14501">
        <w:rPr>
          <w:rFonts w:ascii="Arial" w:hAnsi="Arial" w:cs="Arial"/>
          <w:sz w:val="24"/>
          <w:szCs w:val="24"/>
        </w:rPr>
        <w:t>egla de conductas que se impone a los hombres que viven en sociedad y cuyo respeto es asegurado por la autoridad pública, y de esas normas se derivan las facultades de las personas</w:t>
      </w:r>
      <w:r>
        <w:rPr>
          <w:rFonts w:ascii="Arial" w:hAnsi="Arial" w:cs="Arial"/>
          <w:sz w:val="24"/>
          <w:szCs w:val="24"/>
        </w:rPr>
        <w:t>”</w:t>
      </w:r>
      <w:r w:rsidRPr="00B14501">
        <w:rPr>
          <w:rFonts w:ascii="Arial" w:hAnsi="Arial" w:cs="Arial"/>
          <w:sz w:val="24"/>
          <w:szCs w:val="24"/>
        </w:rPr>
        <w:t xml:space="preserve"> (Rojas González, 2001).</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En efecto, podemos inferir que la doctrina colombiana tiene un fuerte corte positivista, por lo anterior, al definir el derecho como un conjunto de normas, entonces, el derecho es un ordenamiento jurídico, que regula la conducta del ser humano.  El ordenamiento jurídico interno está dividido en ramas, es decir, en distintas partes de regulación jurídica que tienen una cierta autonomía y un nombre propio, y sobre cada uno de tales sectores se encuentra de forma determinada el saber dogmático; la Jurisdicción ordinaria, de lo Contencioso administrativo y la Constitucional y a la cabeza de estas encontramos sus respectivas cortes. La jurisprudencia colombiana tiende en sus decisiones a resolver los casos de forma tal, que, su criterio positivista es evidente. A fin de dar cuenta la Corte Constitucional determina:</w:t>
      </w:r>
    </w:p>
    <w:p w:rsidR="00E65F25" w:rsidRPr="00B14501" w:rsidRDefault="00E65F25" w:rsidP="00E65F25">
      <w:pPr>
        <w:spacing w:line="276" w:lineRule="auto"/>
        <w:ind w:left="708"/>
        <w:jc w:val="both"/>
        <w:rPr>
          <w:rFonts w:ascii="Arial" w:hAnsi="Arial" w:cs="Arial"/>
          <w:sz w:val="24"/>
          <w:szCs w:val="24"/>
        </w:rPr>
      </w:pPr>
      <w:r>
        <w:rPr>
          <w:rFonts w:ascii="Arial" w:hAnsi="Arial" w:cs="Arial"/>
          <w:sz w:val="24"/>
          <w:szCs w:val="24"/>
        </w:rPr>
        <w:t xml:space="preserve">Las </w:t>
      </w:r>
      <w:r w:rsidRPr="00B14501">
        <w:rPr>
          <w:rFonts w:ascii="Arial" w:hAnsi="Arial" w:cs="Arial"/>
          <w:sz w:val="24"/>
          <w:szCs w:val="24"/>
        </w:rPr>
        <w:t xml:space="preserve">características formales del ordenamiento jurídico, al ratificar el principio de supremacía de la Constitución, y reconocer que la Constitución es </w:t>
      </w:r>
      <w:r>
        <w:rPr>
          <w:rFonts w:ascii="Arial" w:hAnsi="Arial" w:cs="Arial"/>
          <w:sz w:val="24"/>
          <w:szCs w:val="24"/>
        </w:rPr>
        <w:t xml:space="preserve">norma de normas </w:t>
      </w:r>
      <w:r w:rsidRPr="00B14501">
        <w:rPr>
          <w:rFonts w:ascii="Arial" w:hAnsi="Arial" w:cs="Arial"/>
          <w:sz w:val="24"/>
          <w:szCs w:val="24"/>
        </w:rPr>
        <w:t xml:space="preserve">y reiterar la estructura piramidal, jerárquica o estratificada de las normas </w:t>
      </w:r>
      <w:r w:rsidRPr="00B14501">
        <w:rPr>
          <w:rFonts w:ascii="Arial" w:hAnsi="Arial" w:cs="Arial"/>
          <w:sz w:val="24"/>
          <w:szCs w:val="24"/>
        </w:rPr>
        <w:lastRenderedPageBreak/>
        <w:t>dentro del ordenamiento jurídico, de manera que las normas inferiores deben ajustarse a las superiores</w:t>
      </w:r>
      <w:r>
        <w:rPr>
          <w:rFonts w:ascii="Arial" w:hAnsi="Arial" w:cs="Arial"/>
          <w:sz w:val="24"/>
          <w:szCs w:val="24"/>
        </w:rPr>
        <w:t xml:space="preserve"> </w:t>
      </w:r>
      <w:r w:rsidRPr="00B14501">
        <w:rPr>
          <w:rFonts w:ascii="Arial" w:hAnsi="Arial" w:cs="Arial"/>
          <w:sz w:val="24"/>
          <w:szCs w:val="24"/>
        </w:rPr>
        <w:t>(Constitucional, 2011).</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No obstante, la Corte Constitucional en otra de sus sentencias afirma que el derecho:</w:t>
      </w:r>
    </w:p>
    <w:p w:rsidR="00E65F25" w:rsidRPr="00B14501" w:rsidRDefault="00E65F25" w:rsidP="00E65F25">
      <w:pPr>
        <w:spacing w:line="276" w:lineRule="auto"/>
        <w:ind w:left="708"/>
        <w:jc w:val="both"/>
        <w:rPr>
          <w:rFonts w:ascii="Arial" w:hAnsi="Arial" w:cs="Arial"/>
          <w:sz w:val="24"/>
          <w:szCs w:val="24"/>
        </w:rPr>
      </w:pPr>
      <w:r>
        <w:rPr>
          <w:rFonts w:ascii="Arial" w:hAnsi="Arial" w:cs="Arial"/>
          <w:sz w:val="24"/>
          <w:szCs w:val="24"/>
        </w:rPr>
        <w:t>En primer lugar. r</w:t>
      </w:r>
      <w:r w:rsidRPr="00B14501">
        <w:rPr>
          <w:rFonts w:ascii="Arial" w:hAnsi="Arial" w:cs="Arial"/>
          <w:sz w:val="24"/>
          <w:szCs w:val="24"/>
        </w:rPr>
        <w:t>egula su propia creación y aplicación, para lo cual además de las normas de comportamiento o “primarias” tiene normas “secundarias” o de “segundo grado” que son aquellas que regulan la producción y el uso de normas, que instituyen o distribuyen poderes normativos o competencias. En segundo lugar, los sistemas jurídicos prevén y regulan el uso de la fuerza (Constitucional, 2008).</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Además en esta misma sentencia la Corte Constitucional respecto al </w:t>
      </w:r>
      <w:r>
        <w:rPr>
          <w:rFonts w:ascii="Arial" w:hAnsi="Arial" w:cs="Arial"/>
          <w:sz w:val="24"/>
          <w:szCs w:val="24"/>
        </w:rPr>
        <w:t xml:space="preserve">concepto de Derecho afirma “que la fuerza es una característica evidente de los ordenamientos jurídicos incluso </w:t>
      </w:r>
      <w:r w:rsidRPr="00B14501">
        <w:rPr>
          <w:rFonts w:ascii="Arial" w:hAnsi="Arial" w:cs="Arial"/>
          <w:sz w:val="24"/>
          <w:szCs w:val="24"/>
        </w:rPr>
        <w:t>a algunos teóri</w:t>
      </w:r>
      <w:r>
        <w:rPr>
          <w:rFonts w:ascii="Arial" w:hAnsi="Arial" w:cs="Arial"/>
          <w:sz w:val="24"/>
          <w:szCs w:val="24"/>
        </w:rPr>
        <w:t>cos a redefinir el concepto de (norma jurídica) contentiva de una (</w:t>
      </w:r>
      <w:r w:rsidRPr="00B14501">
        <w:rPr>
          <w:rFonts w:ascii="Arial" w:hAnsi="Arial" w:cs="Arial"/>
          <w:sz w:val="24"/>
          <w:szCs w:val="24"/>
        </w:rPr>
        <w:t>obligación jurídica</w:t>
      </w:r>
      <w:r>
        <w:rPr>
          <w:rFonts w:ascii="Arial" w:hAnsi="Arial" w:cs="Arial"/>
          <w:sz w:val="24"/>
          <w:szCs w:val="24"/>
        </w:rPr>
        <w:t>)</w:t>
      </w:r>
      <w:r w:rsidRPr="00B14501">
        <w:rPr>
          <w:rFonts w:ascii="Arial" w:hAnsi="Arial" w:cs="Arial"/>
          <w:sz w:val="24"/>
          <w:szCs w:val="24"/>
        </w:rPr>
        <w:t xml:space="preserve"> de forma que incluya únicamente o se resalte preponderantemente la capacidad de inducir su cumplimiento por la fuerz</w:t>
      </w:r>
      <w:r>
        <w:rPr>
          <w:rFonts w:ascii="Arial" w:hAnsi="Arial" w:cs="Arial"/>
          <w:sz w:val="24"/>
          <w:szCs w:val="24"/>
        </w:rPr>
        <w:t>a o sancionar su incumplimiento</w:t>
      </w:r>
      <w:r w:rsidRPr="00B14501">
        <w:rPr>
          <w:rFonts w:ascii="Arial" w:hAnsi="Arial" w:cs="Arial"/>
          <w:sz w:val="24"/>
          <w:szCs w:val="24"/>
        </w:rPr>
        <w:t xml:space="preserve"> (Constitucional, 2008).</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De lo anterior se denota que el derecho es impuesto por medio de la fuerza, que es una característica propia del positivismo, “siendo el Derecho un orden impuesto desde el exterior, heterónomo, su razón de ser implica que se impone a la necesidad por la fuerza” (Henri Batiffol, 1995). Así mismo, Ihering afirma que, “la norma de Derecho es la política de la fuerza” (Henri Batiffol, 1995).</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No obstante, la Corte Constitucional como administrador de justicia tiende a adoptar una postura positivista en la solución de problemas jurídicos, adicionalmente toma como referencia en sus sentencias los aportes al estudio del derecho del mayor exponente del positivismo:</w:t>
      </w:r>
    </w:p>
    <w:p w:rsidR="00E65F25" w:rsidRPr="00B14501" w:rsidRDefault="00E65F25" w:rsidP="00E65F25">
      <w:pPr>
        <w:spacing w:line="276" w:lineRule="auto"/>
        <w:ind w:left="708"/>
        <w:jc w:val="both"/>
        <w:rPr>
          <w:rFonts w:ascii="Arial" w:hAnsi="Arial" w:cs="Arial"/>
          <w:sz w:val="24"/>
          <w:szCs w:val="24"/>
        </w:rPr>
      </w:pPr>
      <w:r w:rsidRPr="00B14501">
        <w:rPr>
          <w:rFonts w:ascii="Arial" w:hAnsi="Arial" w:cs="Arial"/>
          <w:sz w:val="24"/>
          <w:szCs w:val="24"/>
        </w:rPr>
        <w:t>El iusfilósofo Austriaco Hans Kelsen sostiene que lo fundamental del ordenamiento jurídico o del derecho es el ser un orden coactivo... Así en el ordenamiento jurídico el poder policivo institucionalizado en cabeza del Estado obliga a los asociados a obedecer</w:t>
      </w:r>
      <w:r>
        <w:rPr>
          <w:rFonts w:ascii="Arial" w:hAnsi="Arial" w:cs="Arial"/>
          <w:sz w:val="24"/>
          <w:szCs w:val="24"/>
        </w:rPr>
        <w:t xml:space="preserve"> las normas jurídico-positivas </w:t>
      </w:r>
      <w:r w:rsidRPr="00B14501">
        <w:rPr>
          <w:rFonts w:ascii="Arial" w:hAnsi="Arial" w:cs="Arial"/>
          <w:sz w:val="24"/>
          <w:szCs w:val="24"/>
        </w:rPr>
        <w:t>(M.P. JAIME ARAUJO, 2008).</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Kelsen ve en el derecho un sistema de normas. Hemos venido demostrando la tesis a la que refiere el presente artículo científico.  El derecho en Colombia es netamente positivo y el concepto esta reducido a la norma,  especialmente aquel que denominamos “derecho en sentido objetivo”, o sea, derecho entendido como un orden normativo regulador de la conducta humana.  Según Kelsen “la concepción del derecho como sistema de normas resuelve en particular el problema de las relaciones del estado y del derecho y el de la persona”. (BATTIFOL, Pág. 24)</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lastRenderedPageBreak/>
        <w:t xml:space="preserve">     El derecho positivo es concebido como mandato o como otro…“Es importante que la ley, que reclama una obediencia incondicional, pueda ser comprendida y observada sin referencia a… opciones personales” (BATTIFOL, Pag.15),  </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Al respecto la Corte Constitucional indico:</w:t>
      </w:r>
    </w:p>
    <w:p w:rsidR="00E65F25" w:rsidRPr="00B14501" w:rsidRDefault="00E65F25" w:rsidP="00E65F25">
      <w:pPr>
        <w:spacing w:line="276" w:lineRule="auto"/>
        <w:ind w:left="708"/>
        <w:jc w:val="both"/>
        <w:rPr>
          <w:rFonts w:ascii="Arial" w:hAnsi="Arial" w:cs="Arial"/>
          <w:sz w:val="24"/>
          <w:szCs w:val="24"/>
        </w:rPr>
      </w:pPr>
      <w:r w:rsidRPr="00B14501">
        <w:rPr>
          <w:rFonts w:ascii="Arial" w:hAnsi="Arial" w:cs="Arial"/>
          <w:sz w:val="24"/>
          <w:szCs w:val="24"/>
        </w:rPr>
        <w:t>Respecto de la obligatoriedad de las normas jurídicas Giorgio Del Vecchio afirma: “importantísimo y esencial carácter de la norma jurídica es la imperatividad. No podemos concebir una norma que no tenga carácter imperativo… El mandato (positivo o negativo) es un elemento integrante del co</w:t>
      </w:r>
      <w:r>
        <w:rPr>
          <w:rFonts w:ascii="Arial" w:hAnsi="Arial" w:cs="Arial"/>
          <w:sz w:val="24"/>
          <w:szCs w:val="24"/>
        </w:rPr>
        <w:t>ncepto de derecho, porque este</w:t>
      </w:r>
      <w:r w:rsidRPr="00B14501">
        <w:rPr>
          <w:rFonts w:ascii="Arial" w:hAnsi="Arial" w:cs="Arial"/>
          <w:sz w:val="24"/>
          <w:szCs w:val="24"/>
        </w:rPr>
        <w:t xml:space="preserve"> (M.P. Clara Inés Vargas, 2008).</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Por su parte el Consejo de Estado ha enmarcado en sus distintos pronunciamientos que nada puede estar por encima, ni ir más allá de la ley, una tendencia positivista que dice que el concepto de derecho es un ordenamiento que regula, así, lo manifiesta el Consejo de Estado, “el ordenamiento jurídico constitucional no admite competencias implícitas y tampoco la restricción de los derechos ciudadanos, como la libre empresa y la iniciativa privada, por normas distintas a la ley.” (C.P. ENRIQUE JOSE ARBOLEDA PERDOMO, 2012).</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Por lo mismo, el Consejo de Estado alude: </w:t>
      </w:r>
    </w:p>
    <w:p w:rsidR="00E65F25" w:rsidRPr="00B14501" w:rsidRDefault="00E65F25" w:rsidP="00E65F25">
      <w:pPr>
        <w:spacing w:line="276" w:lineRule="auto"/>
        <w:ind w:left="708"/>
        <w:jc w:val="both"/>
        <w:rPr>
          <w:rFonts w:ascii="Arial" w:hAnsi="Arial" w:cs="Arial"/>
          <w:sz w:val="24"/>
          <w:szCs w:val="24"/>
        </w:rPr>
      </w:pPr>
      <w:r w:rsidRPr="00B14501">
        <w:rPr>
          <w:rFonts w:ascii="Arial" w:hAnsi="Arial" w:cs="Arial"/>
          <w:sz w:val="24"/>
          <w:szCs w:val="24"/>
        </w:rPr>
        <w:t>El ejercicio de la facultad reglamentaria supone el despliegue de los detalles que permiten la adecuada aplicación de la ley dentro del ámbito de competencias del ejecutivo y los límites impuestos por el legislador, así, el reglamento no puede ir más allá de la ley, ni modificarla o limitarla.” (C.P. GERARDO ARENAS MONSALVE, 2014).</w:t>
      </w:r>
    </w:p>
    <w:p w:rsidR="00E65F25" w:rsidRPr="00B14501" w:rsidRDefault="00E65F25" w:rsidP="00E65F25">
      <w:pPr>
        <w:spacing w:line="276" w:lineRule="auto"/>
        <w:rPr>
          <w:rFonts w:ascii="Arial" w:hAnsi="Arial" w:cs="Arial"/>
          <w:b/>
          <w:sz w:val="24"/>
          <w:szCs w:val="24"/>
        </w:rPr>
      </w:pPr>
      <w:r w:rsidRPr="00B14501">
        <w:rPr>
          <w:rFonts w:ascii="Arial" w:hAnsi="Arial" w:cs="Arial"/>
          <w:b/>
          <w:sz w:val="24"/>
          <w:szCs w:val="24"/>
        </w:rPr>
        <w:t>DERECHO COMO NORMA</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La doctrina al igual que la jurisprudencia ha tenido otra postura al definir el Derecho como un Sistema de Normas Jurídicas y esto se evidencia en sus distintos pronunciamientos. El derecho es entonces “el sistema de normas en el cual se expresa el estado” (HENRI BATIFFOL, 1995), en relación a esto el doctrinante Casáreo Roa Ochoa en su libro Manual de</w:t>
      </w:r>
      <w:r>
        <w:rPr>
          <w:rFonts w:ascii="Arial" w:hAnsi="Arial" w:cs="Arial"/>
          <w:sz w:val="24"/>
          <w:szCs w:val="24"/>
        </w:rPr>
        <w:t xml:space="preserve"> Introducción al Derecho indica “e</w:t>
      </w:r>
      <w:r w:rsidRPr="00B14501">
        <w:rPr>
          <w:rFonts w:ascii="Arial" w:hAnsi="Arial" w:cs="Arial"/>
          <w:sz w:val="24"/>
          <w:szCs w:val="24"/>
        </w:rPr>
        <w:t>l derecho es un sistema de normas y principios que tienen como fundamento la regulación armónica de la sociedad, de manera coercitiva</w:t>
      </w:r>
      <w:r>
        <w:rPr>
          <w:rFonts w:ascii="Arial" w:hAnsi="Arial" w:cs="Arial"/>
          <w:sz w:val="24"/>
          <w:szCs w:val="24"/>
        </w:rPr>
        <w:t>”.</w:t>
      </w:r>
      <w:r w:rsidRPr="00B14501">
        <w:rPr>
          <w:rFonts w:ascii="Arial" w:hAnsi="Arial" w:cs="Arial"/>
          <w:sz w:val="24"/>
          <w:szCs w:val="24"/>
        </w:rPr>
        <w:t xml:space="preserve"> Así mismo el autor menciona que “El Derecho como Norma o sistema de normas recibe el nombre de Derecho Objetivo, porque es considerado en sí mismo como objeto de estudio, independientemente del o de los sujetos en que recae su imperio” </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Por otro lado, es notable que en las sentencias de las altas cortes se enmarca el derecho como un concepto limitante de la conducta humana al Sistema Normativo. Está </w:t>
      </w:r>
      <w:r w:rsidRPr="00B14501">
        <w:rPr>
          <w:rFonts w:ascii="Arial" w:hAnsi="Arial" w:cs="Arial"/>
          <w:sz w:val="24"/>
          <w:szCs w:val="24"/>
        </w:rPr>
        <w:lastRenderedPageBreak/>
        <w:t>marcada tendencia de reducir el derecho al sistema de norma, indudablemente es evidente en los pronunciamientos de la Corte Suprema de Justicia quien dice: “de manera constante, la corte ha entendido por normas de derecho sustancial aquellas que ‘en razón de una situación fáctica concreta, declaran, crean, modifican o extinguen relaciones jurídicas también concretas entre las personas implicadas en tal situación” (M.P. William Namen Vargas, 2011)</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Por su parte la Corte Constitucional señaló: </w:t>
      </w:r>
    </w:p>
    <w:p w:rsidR="00E65F25" w:rsidRPr="00B14501" w:rsidRDefault="00E65F25" w:rsidP="00E65F25">
      <w:pPr>
        <w:spacing w:line="276" w:lineRule="auto"/>
        <w:ind w:left="708"/>
        <w:jc w:val="both"/>
        <w:rPr>
          <w:rFonts w:ascii="Arial" w:hAnsi="Arial" w:cs="Arial"/>
          <w:sz w:val="24"/>
          <w:szCs w:val="24"/>
        </w:rPr>
      </w:pPr>
      <w:r w:rsidRPr="00B14501">
        <w:rPr>
          <w:rFonts w:ascii="Arial" w:hAnsi="Arial" w:cs="Arial"/>
          <w:sz w:val="24"/>
          <w:szCs w:val="24"/>
        </w:rPr>
        <w:t>La ley es un medio al servicio de la razón pública que sirve desde esta perspectiva al propósito de articular normativamente consensos mínimos en una sociedad integrada por ciudadanos autónomos, libres e iguales, llamados por ello a configurar participativamente el orden político (MP. LUÍS ERNESTO VARGAS SILVA, 2012).</w:t>
      </w:r>
    </w:p>
    <w:p w:rsidR="00E65F25" w:rsidRPr="00B14501" w:rsidRDefault="00E65F25" w:rsidP="00E65F25">
      <w:pPr>
        <w:spacing w:line="276" w:lineRule="auto"/>
        <w:jc w:val="both"/>
        <w:rPr>
          <w:rFonts w:ascii="Arial" w:hAnsi="Arial" w:cs="Arial"/>
          <w:b/>
          <w:sz w:val="24"/>
          <w:szCs w:val="24"/>
        </w:rPr>
      </w:pPr>
      <w:r w:rsidRPr="00B14501">
        <w:rPr>
          <w:rFonts w:ascii="Arial" w:hAnsi="Arial" w:cs="Arial"/>
          <w:b/>
          <w:sz w:val="24"/>
          <w:szCs w:val="24"/>
        </w:rPr>
        <w:t>DERECHO COMO INSTRUMENTO DE CONTROL SOCIAL</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La Corte Constitucional en la sentencia T-476 del 2008 señalo que:</w:t>
      </w:r>
    </w:p>
    <w:p w:rsidR="00E65F25" w:rsidRPr="00B14501" w:rsidRDefault="00E65F25" w:rsidP="00E65F25">
      <w:pPr>
        <w:spacing w:line="276" w:lineRule="auto"/>
        <w:ind w:left="708"/>
        <w:jc w:val="both"/>
        <w:rPr>
          <w:rFonts w:ascii="Arial" w:hAnsi="Arial" w:cs="Arial"/>
          <w:sz w:val="24"/>
          <w:szCs w:val="24"/>
        </w:rPr>
      </w:pPr>
      <w:r w:rsidRPr="00B14501">
        <w:rPr>
          <w:rFonts w:ascii="Arial" w:hAnsi="Arial" w:cs="Arial"/>
          <w:sz w:val="24"/>
          <w:szCs w:val="24"/>
        </w:rPr>
        <w:t xml:space="preserve">El derecho requiere coacción por cuanto la voluntad del sujeto es imperfecta, esto es, el individuo racional no sigue u obedece libremente aquello que desde un punto de vista práctico-racional es correcto, razón por la cual para que sea posible la convivencia pacífica entre individuos racionales en una sociedad organizada institucionalmente como Estado, es necesaria la coacción de la voluntad de los individuos para que obedezcan las normas de convivencia, de lo contrario la obediencia a estas normas societarias dependería de la voluntad de las personas lo que nos conduciría de nuevo a un “estado de naturaleza”, </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Así</w:t>
      </w:r>
      <w:r>
        <w:rPr>
          <w:rFonts w:ascii="Arial" w:hAnsi="Arial" w:cs="Arial"/>
          <w:sz w:val="24"/>
          <w:szCs w:val="24"/>
        </w:rPr>
        <w:t xml:space="preserve"> entiende y aclara la Corte que “el</w:t>
      </w:r>
      <w:r w:rsidRPr="00B14501">
        <w:rPr>
          <w:rFonts w:ascii="Arial" w:hAnsi="Arial" w:cs="Arial"/>
          <w:sz w:val="24"/>
          <w:szCs w:val="24"/>
        </w:rPr>
        <w:t xml:space="preserve"> Derecho como instrumento de control social no descarta otros sistemas normativos de orientación de la conducta humana. Particularmente, en relación con la moral pública, puede tener una relación en cuya virtud secunde algunos de sus propósitos”. (MP. LUÍS ERNESTO VARGAS SILVA, 2012).</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Augusto González Ramírez en su libro </w:t>
      </w:r>
      <w:r w:rsidRPr="00B14501">
        <w:rPr>
          <w:rFonts w:ascii="Arial" w:hAnsi="Arial" w:cs="Arial"/>
          <w:i/>
          <w:sz w:val="24"/>
          <w:szCs w:val="24"/>
        </w:rPr>
        <w:t>Introducción al Derecho</w:t>
      </w:r>
      <w:r w:rsidRPr="00B14501">
        <w:rPr>
          <w:rFonts w:ascii="Arial" w:hAnsi="Arial" w:cs="Arial"/>
          <w:sz w:val="24"/>
          <w:szCs w:val="24"/>
        </w:rPr>
        <w:t xml:space="preserve"> cita a uno de los exponentes del positivismo “Según IHERING dice que “el Derecho es la suma de las condiciones de la vida social en el sentido más amplio de la palabras, aseguradas por el poder del estado, mediante la coacción externa”. (P. 20)</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Refiriéndose al respecto de la coacci</w:t>
      </w:r>
      <w:r>
        <w:rPr>
          <w:rFonts w:ascii="Arial" w:hAnsi="Arial" w:cs="Arial"/>
          <w:sz w:val="24"/>
          <w:szCs w:val="24"/>
        </w:rPr>
        <w:t>ón como medio de Control social cita un gran autor: “</w:t>
      </w:r>
      <w:r w:rsidRPr="00B14501">
        <w:rPr>
          <w:rFonts w:ascii="Arial" w:hAnsi="Arial" w:cs="Arial"/>
          <w:sz w:val="24"/>
          <w:szCs w:val="24"/>
        </w:rPr>
        <w:t>Respecto de la obligatoriedad de las normas jurídicas Giorgio Del Vecchio afirma: importantísimo y esencial carácter de la norma jurídica es la imperatividad. No podemos concebir una norma que</w:t>
      </w:r>
      <w:r>
        <w:rPr>
          <w:rFonts w:ascii="Arial" w:hAnsi="Arial" w:cs="Arial"/>
          <w:sz w:val="24"/>
          <w:szCs w:val="24"/>
        </w:rPr>
        <w:t xml:space="preserve"> no tenga carácter imperativo </w:t>
      </w:r>
      <w:r w:rsidRPr="00B14501">
        <w:rPr>
          <w:rFonts w:ascii="Arial" w:hAnsi="Arial" w:cs="Arial"/>
          <w:sz w:val="24"/>
          <w:szCs w:val="24"/>
        </w:rPr>
        <w:t>(M.P. Jaime Araujo Rentería, 2008)</w:t>
      </w:r>
    </w:p>
    <w:p w:rsidR="00E65F25" w:rsidRPr="00B14501" w:rsidRDefault="00E65F25" w:rsidP="00E65F25">
      <w:pPr>
        <w:spacing w:line="276" w:lineRule="auto"/>
        <w:jc w:val="both"/>
        <w:rPr>
          <w:rFonts w:ascii="Arial" w:hAnsi="Arial" w:cs="Arial"/>
          <w:b/>
          <w:sz w:val="24"/>
          <w:szCs w:val="24"/>
        </w:rPr>
      </w:pPr>
      <w:r w:rsidRPr="00B14501">
        <w:rPr>
          <w:rFonts w:ascii="Arial" w:hAnsi="Arial" w:cs="Arial"/>
          <w:b/>
          <w:sz w:val="24"/>
          <w:szCs w:val="24"/>
        </w:rPr>
        <w:t>DERECHO COMO PRECEDENTE JURISPRUDENCIAL</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lastRenderedPageBreak/>
        <w:t xml:space="preserve">     El poder normativo y la fuerza vinculante de las decisiones que tomen las altas Cortes son obligatorias para la solución de casos similares, esto mismo lo ha manifestado la Corte Suprema de Justicia afirmando que “al igual que la ley, la jurisprudencia es fuente de derecho a la que la actividad del juzgador siempre estará sometida” y lo reitera en sus pronunciamientos:</w:t>
      </w:r>
    </w:p>
    <w:p w:rsidR="00E65F25" w:rsidRPr="00B14501" w:rsidRDefault="00E65F25" w:rsidP="00E65F25">
      <w:pPr>
        <w:spacing w:line="276" w:lineRule="auto"/>
        <w:ind w:left="708"/>
        <w:jc w:val="both"/>
        <w:rPr>
          <w:rFonts w:ascii="Arial" w:hAnsi="Arial" w:cs="Arial"/>
          <w:sz w:val="24"/>
          <w:szCs w:val="24"/>
        </w:rPr>
      </w:pPr>
      <w:r w:rsidRPr="00B14501">
        <w:rPr>
          <w:rFonts w:ascii="Arial" w:hAnsi="Arial" w:cs="Arial"/>
          <w:sz w:val="24"/>
          <w:szCs w:val="24"/>
        </w:rPr>
        <w:t>Sin duda las decisiones de las altas Cortes son fuente formal de derecho, pues crean reglas jurídicas acerca de cómo debe interpretarse el ordenamiento jurídico, naturaleza que la dota de fuerza vinculante, esto es, del deber de acatamiento por parte de los jueces… (M.P. Fernando Alberto Castro Caballero, 2012).</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La Jurisprudencia de los máximos organismos jurisdiccionales está dotada de fuerza vinculante, por lo tanto, la obligatoriedad del precedente no debe ser desconocida, al respecto la Corte Constitucional asevero:</w:t>
      </w:r>
    </w:p>
    <w:p w:rsidR="00E65F25" w:rsidRDefault="00E65F25" w:rsidP="00E65F25">
      <w:pPr>
        <w:spacing w:line="276" w:lineRule="auto"/>
        <w:ind w:left="708"/>
        <w:jc w:val="both"/>
        <w:rPr>
          <w:rFonts w:ascii="Arial" w:hAnsi="Arial" w:cs="Arial"/>
          <w:sz w:val="24"/>
          <w:szCs w:val="24"/>
        </w:rPr>
      </w:pPr>
      <w:r w:rsidRPr="00B14501">
        <w:rPr>
          <w:rFonts w:ascii="Arial" w:hAnsi="Arial" w:cs="Arial"/>
          <w:sz w:val="24"/>
          <w:szCs w:val="24"/>
        </w:rPr>
        <w:t>La Sala estima que no tiene ningún efecto práctico que esta Corporación unifique jurisprudencia, sí los operadores judiciales de menor jerarquía no la observan (la jurisprudencia).</w:t>
      </w:r>
      <w:r>
        <w:rPr>
          <w:rFonts w:ascii="Arial" w:hAnsi="Arial" w:cs="Arial"/>
          <w:sz w:val="24"/>
          <w:szCs w:val="24"/>
        </w:rPr>
        <w:t xml:space="preserve"> </w:t>
      </w:r>
      <w:r w:rsidRPr="00B14501">
        <w:rPr>
          <w:rFonts w:ascii="Arial" w:hAnsi="Arial" w:cs="Arial"/>
          <w:sz w:val="24"/>
          <w:szCs w:val="24"/>
        </w:rPr>
        <w:t>En aplicación del principio de igualdad, esta Corporación ha señalado en repetidas oportunidades que las autori</w:t>
      </w:r>
      <w:bookmarkStart w:id="0" w:name="_GoBack"/>
      <w:bookmarkEnd w:id="0"/>
      <w:r w:rsidRPr="00B14501">
        <w:rPr>
          <w:rFonts w:ascii="Arial" w:hAnsi="Arial" w:cs="Arial"/>
          <w:sz w:val="24"/>
          <w:szCs w:val="24"/>
        </w:rPr>
        <w:t>dades judiciales deben resolver casos iguales, aplicando reglas iguales. (</w:t>
      </w:r>
      <w:r w:rsidR="00E13C1A">
        <w:rPr>
          <w:rFonts w:ascii="Arial" w:hAnsi="Arial" w:cs="Arial"/>
          <w:sz w:val="24"/>
          <w:szCs w:val="24"/>
        </w:rPr>
        <w:t>Corte C</w:t>
      </w:r>
      <w:r w:rsidR="00E13C1A" w:rsidRPr="00B14501">
        <w:rPr>
          <w:rFonts w:ascii="Arial" w:hAnsi="Arial" w:cs="Arial"/>
          <w:sz w:val="24"/>
          <w:szCs w:val="24"/>
        </w:rPr>
        <w:t>onstitucional</w:t>
      </w:r>
      <w:r w:rsidRPr="00B14501">
        <w:rPr>
          <w:rFonts w:ascii="Arial" w:hAnsi="Arial" w:cs="Arial"/>
          <w:sz w:val="24"/>
          <w:szCs w:val="24"/>
        </w:rPr>
        <w:t xml:space="preserve">, </w:t>
      </w:r>
      <w:r>
        <w:rPr>
          <w:rFonts w:ascii="Arial" w:hAnsi="Arial" w:cs="Arial"/>
          <w:sz w:val="24"/>
          <w:szCs w:val="24"/>
        </w:rPr>
        <w:t>2012)</w:t>
      </w:r>
    </w:p>
    <w:p w:rsidR="00E65F25" w:rsidRDefault="00E65F25" w:rsidP="00E65F25">
      <w:pPr>
        <w:spacing w:line="276" w:lineRule="auto"/>
        <w:ind w:left="708"/>
        <w:jc w:val="both"/>
        <w:rPr>
          <w:rFonts w:ascii="Arial" w:hAnsi="Arial" w:cs="Arial"/>
          <w:sz w:val="24"/>
          <w:szCs w:val="24"/>
        </w:rPr>
      </w:pPr>
    </w:p>
    <w:p w:rsidR="00E65F25" w:rsidRPr="00B14501" w:rsidRDefault="00E65F25" w:rsidP="00E65F25">
      <w:pPr>
        <w:spacing w:line="276" w:lineRule="auto"/>
        <w:jc w:val="center"/>
        <w:rPr>
          <w:rFonts w:ascii="Arial" w:hAnsi="Arial" w:cs="Arial"/>
          <w:sz w:val="24"/>
          <w:szCs w:val="24"/>
        </w:rPr>
      </w:pPr>
      <w:r w:rsidRPr="00B14501">
        <w:rPr>
          <w:rFonts w:ascii="Arial" w:hAnsi="Arial" w:cs="Arial"/>
          <w:b/>
          <w:sz w:val="24"/>
          <w:szCs w:val="24"/>
        </w:rPr>
        <w:t xml:space="preserve">DISCUSIÓN DE LOS </w:t>
      </w:r>
      <w:r>
        <w:rPr>
          <w:rFonts w:ascii="Arial" w:hAnsi="Arial" w:cs="Arial"/>
          <w:b/>
          <w:sz w:val="24"/>
          <w:szCs w:val="24"/>
        </w:rPr>
        <w:t>RESULTADOS</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Los resultados de esta investigación comprueban las hipótesis propuestas, de que el Concepto de derecho en Colombia tiene una tendencia de corte positivista. Este evidente cuestionamiento resulta comprobado al revisar conceptos propuestos por teóricos referentes en libros, que a la vez sirven como base para la enseñanza del derecho, al igual encontramos esa tendencia positiva, en los pronunciamientos de las altas cortes de nuestra rama judicial. </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El derecho en Colombia lo hemos encontrado dividido en las siguientes categorías principales, el derecho es ordenamiento jurídico, el derecho es Norma Jurídica, el Derecho es Control Social, el Derecho es precedente Jurisprudencial. A fin de cuentas esta forma de conceptualizar el derecho, viene del adoctrinamiento de una escuela que ha tenido importantes limitaciones que se corrobora en la historia, especialmente, cuando se revisan los fundamentos jurídicos sobre los que se soportaron múltiples regímenes totalitarios que resultaron agraviantes para la dignidad del ser humano y para el orden social.  </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De acuerdo a lo expuesto podemos encontrar en la siguiente investigación de magister en Derecho que “la producción académica puede ser un elemento que influye en la </w:t>
      </w:r>
      <w:r w:rsidRPr="00B14501">
        <w:rPr>
          <w:rFonts w:ascii="Arial" w:hAnsi="Arial" w:cs="Arial"/>
          <w:sz w:val="24"/>
          <w:szCs w:val="24"/>
        </w:rPr>
        <w:lastRenderedPageBreak/>
        <w:t>caracterización de la cultura jurídica Tarello y Barcelona por ejemplo asumen que existen implicaciones culturales al adoptar un modelo iusteórico concreto” (</w:t>
      </w:r>
      <w:proofErr w:type="spellStart"/>
      <w:r w:rsidRPr="00B14501">
        <w:rPr>
          <w:rFonts w:ascii="Arial" w:hAnsi="Arial" w:cs="Arial"/>
          <w:sz w:val="24"/>
          <w:szCs w:val="24"/>
        </w:rPr>
        <w:t>Mapura</w:t>
      </w:r>
      <w:proofErr w:type="spellEnd"/>
      <w:r w:rsidRPr="00B14501">
        <w:rPr>
          <w:rFonts w:ascii="Arial" w:hAnsi="Arial" w:cs="Arial"/>
          <w:sz w:val="24"/>
          <w:szCs w:val="24"/>
        </w:rPr>
        <w:t xml:space="preserve">, Lina. 2013. P 133). Así mismo, dice: “cultura jurídica se entiende como la interpretación del derecho bien se oficial, popular o mixta y de sus instituciones que constituye junto a los Componente legal y sustancial el sistema legal”. Esto demuestra que si se puede hablar de la influencia en un ordenamiento jurídico, sobre todo de la escuela positiva y este puede crear cultura jurídica que define el sistema legal de Colombia. </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Rastrear el pensamiento positivo fue dispendioso autores como: Valencia Zea, González Ramírez, Rocha Ochoa, Rojas González, definieron, así, el derecho. Se encontró que derecho es desde la categoría de Ordenamiento Jurídico, un conjunto de normas que tiene una función de regular la conducta del hombre.  Esto implica que todas las normas de un ordenamiento son derecho. De esta manera, la Corte Constitucional, el consejo de Estado y la Corte Suprema de justicia de forma implícita evidencio su tendencia positiva al referenciar a Kelsen en sus consideraciones.</w:t>
      </w:r>
    </w:p>
    <w:p w:rsidR="00E65F25"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El derecho como Control social, definido por autores como: Cadena Afanador, Monroy Cabra, Noguera Laborde, “El Derecho es una ciencia social que tienen una alta de injerencia en las actividades que desarrolla el ser humano tanto de manera individual como en colectividad”.</w:t>
      </w:r>
    </w:p>
    <w:p w:rsidR="00E13C1A" w:rsidRDefault="00E13C1A" w:rsidP="00E65F25">
      <w:pPr>
        <w:spacing w:line="276" w:lineRule="auto"/>
        <w:jc w:val="both"/>
        <w:rPr>
          <w:rFonts w:ascii="Arial" w:hAnsi="Arial" w:cs="Arial"/>
          <w:sz w:val="24"/>
          <w:szCs w:val="24"/>
        </w:rPr>
      </w:pPr>
    </w:p>
    <w:p w:rsidR="00E13C1A" w:rsidRPr="00B14501" w:rsidRDefault="00E13C1A" w:rsidP="00E65F25">
      <w:pPr>
        <w:spacing w:line="276" w:lineRule="auto"/>
        <w:jc w:val="both"/>
        <w:rPr>
          <w:rFonts w:ascii="Arial" w:hAnsi="Arial" w:cs="Arial"/>
          <w:sz w:val="24"/>
          <w:szCs w:val="24"/>
        </w:rPr>
      </w:pPr>
    </w:p>
    <w:p w:rsidR="00E65F25" w:rsidRPr="00B14501" w:rsidRDefault="00E65F25" w:rsidP="00E65F25">
      <w:pPr>
        <w:spacing w:line="276" w:lineRule="auto"/>
        <w:jc w:val="center"/>
        <w:rPr>
          <w:rFonts w:ascii="Arial" w:hAnsi="Arial" w:cs="Arial"/>
          <w:b/>
          <w:sz w:val="24"/>
          <w:szCs w:val="24"/>
        </w:rPr>
      </w:pPr>
      <w:r>
        <w:rPr>
          <w:rFonts w:ascii="Arial" w:hAnsi="Arial" w:cs="Arial"/>
          <w:b/>
          <w:sz w:val="24"/>
          <w:szCs w:val="24"/>
        </w:rPr>
        <w:t>CON</w:t>
      </w:r>
      <w:r w:rsidRPr="00B14501">
        <w:rPr>
          <w:rFonts w:ascii="Arial" w:hAnsi="Arial" w:cs="Arial"/>
          <w:b/>
          <w:sz w:val="24"/>
          <w:szCs w:val="24"/>
        </w:rPr>
        <w:t>CLUSIONES</w:t>
      </w:r>
    </w:p>
    <w:p w:rsidR="00E65F25" w:rsidRPr="00B14501"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A partir del análisis jurisprudencial y doctrinal que se consideró anteriormente, se puede determinar que el Concepto de Derecho en Colombia está Supeditado a la Escuela Positivista, y esto queda demostrado en las diferentes categorías que usamos para contextualizar lo dicho por la jurisprudencia y la doctrina frente al concepto de derecho definido como: Ordenamiento Jurídico, Norma, Control Social, Precedente Jurisprudencial; estás son características propias de la concepción del derecho que trata el positivismo jurídico, dicho desde diferentes enfoques, pero que en ultimas tiene una misma relación hacia una tendencia positivista.</w:t>
      </w:r>
    </w:p>
    <w:p w:rsidR="00E65F25" w:rsidRDefault="00E65F25" w:rsidP="00E65F25">
      <w:pPr>
        <w:spacing w:line="276" w:lineRule="auto"/>
        <w:jc w:val="both"/>
        <w:rPr>
          <w:rFonts w:ascii="Arial" w:hAnsi="Arial" w:cs="Arial"/>
          <w:sz w:val="24"/>
          <w:szCs w:val="24"/>
        </w:rPr>
      </w:pPr>
      <w:r w:rsidRPr="00B14501">
        <w:rPr>
          <w:rFonts w:ascii="Arial" w:hAnsi="Arial" w:cs="Arial"/>
          <w:sz w:val="24"/>
          <w:szCs w:val="24"/>
        </w:rPr>
        <w:t xml:space="preserve">    Por lo que podemos afirmar que a lo largo de los años, la concepción de los operadores jurídicos en Colombia ha girado en torno a invocar y aplicar la teoría del derecho desde el positivismo, pero esta idea parte de la misma consagración positiva que se ostenta en nuestro derecho.</w:t>
      </w:r>
    </w:p>
    <w:p w:rsidR="00E65F25" w:rsidRDefault="00E65F25">
      <w:pPr>
        <w:rPr>
          <w:rFonts w:ascii="Arial" w:hAnsi="Arial" w:cs="Arial"/>
          <w:sz w:val="24"/>
          <w:szCs w:val="24"/>
        </w:rPr>
      </w:pPr>
      <w:r>
        <w:rPr>
          <w:rFonts w:ascii="Arial" w:hAnsi="Arial" w:cs="Arial"/>
          <w:sz w:val="24"/>
          <w:szCs w:val="24"/>
        </w:rPr>
        <w:br w:type="page"/>
      </w:r>
    </w:p>
    <w:p w:rsidR="00E65F25" w:rsidRDefault="00E65F25" w:rsidP="00E65F25">
      <w:pPr>
        <w:spacing w:line="276" w:lineRule="auto"/>
        <w:jc w:val="both"/>
        <w:rPr>
          <w:rFonts w:ascii="Arial" w:hAnsi="Arial" w:cs="Arial"/>
          <w:sz w:val="24"/>
          <w:szCs w:val="24"/>
        </w:rPr>
      </w:pPr>
    </w:p>
    <w:p w:rsidR="00E65F25" w:rsidRDefault="00E65F25" w:rsidP="00E65F25">
      <w:pPr>
        <w:spacing w:line="276" w:lineRule="auto"/>
        <w:jc w:val="center"/>
        <w:rPr>
          <w:rFonts w:ascii="Arial" w:hAnsi="Arial" w:cs="Arial"/>
          <w:b/>
          <w:sz w:val="24"/>
          <w:szCs w:val="24"/>
        </w:rPr>
      </w:pPr>
      <w:r w:rsidRPr="00B14501">
        <w:rPr>
          <w:rFonts w:ascii="Arial" w:hAnsi="Arial" w:cs="Arial"/>
          <w:b/>
          <w:sz w:val="24"/>
          <w:szCs w:val="24"/>
        </w:rPr>
        <w:t>BIBLIOGRAFÍA</w:t>
      </w:r>
    </w:p>
    <w:p w:rsidR="00E65F25" w:rsidRPr="00B14501" w:rsidRDefault="00E65F25" w:rsidP="00E65F25">
      <w:pPr>
        <w:spacing w:line="276" w:lineRule="auto"/>
        <w:jc w:val="center"/>
        <w:rPr>
          <w:rFonts w:ascii="Arial" w:hAnsi="Arial" w:cs="Arial"/>
          <w:b/>
          <w:sz w:val="24"/>
          <w:szCs w:val="24"/>
        </w:rPr>
      </w:pPr>
    </w:p>
    <w:p w:rsidR="00E65F25" w:rsidRPr="00647D50" w:rsidRDefault="00E65F25" w:rsidP="00E65F25">
      <w:pPr>
        <w:pStyle w:val="Bibliografa"/>
        <w:spacing w:line="276" w:lineRule="auto"/>
        <w:ind w:left="720" w:hanging="720"/>
        <w:rPr>
          <w:rFonts w:ascii="Arial" w:hAnsi="Arial" w:cs="Arial"/>
          <w:noProof/>
          <w:sz w:val="22"/>
          <w:szCs w:val="22"/>
          <w:lang w:val="es-ES"/>
        </w:rPr>
      </w:pPr>
      <w:r w:rsidRPr="00647D50">
        <w:rPr>
          <w:rFonts w:ascii="Arial" w:hAnsi="Arial" w:cs="Arial"/>
          <w:noProof/>
          <w:sz w:val="22"/>
          <w:szCs w:val="22"/>
          <w:lang w:val="es-ES"/>
        </w:rPr>
        <w:t xml:space="preserve">Alexy, R. (1989). </w:t>
      </w:r>
      <w:r w:rsidRPr="00647D50">
        <w:rPr>
          <w:rFonts w:ascii="Arial" w:hAnsi="Arial" w:cs="Arial"/>
          <w:i/>
          <w:iCs/>
          <w:noProof/>
          <w:sz w:val="22"/>
          <w:szCs w:val="22"/>
          <w:lang w:val="es-ES"/>
        </w:rPr>
        <w:t>Derecho Y razón práctica.</w:t>
      </w:r>
      <w:r w:rsidRPr="00647D50">
        <w:rPr>
          <w:rFonts w:ascii="Arial" w:hAnsi="Arial" w:cs="Arial"/>
          <w:noProof/>
          <w:sz w:val="22"/>
          <w:szCs w:val="22"/>
          <w:lang w:val="es-ES"/>
        </w:rPr>
        <w:t xml:space="preserve"> Mexico: Distribuciones Fontamara.</w:t>
      </w:r>
    </w:p>
    <w:p w:rsidR="00E65F25" w:rsidRPr="00647D50" w:rsidRDefault="00E65F25" w:rsidP="00E65F25">
      <w:pPr>
        <w:spacing w:after="0" w:line="276" w:lineRule="auto"/>
        <w:jc w:val="both"/>
        <w:rPr>
          <w:rFonts w:ascii="Arial" w:hAnsi="Arial" w:cs="Arial"/>
          <w:lang w:val="es-ES"/>
        </w:rPr>
      </w:pPr>
      <w:r w:rsidRPr="00647D50">
        <w:rPr>
          <w:rFonts w:ascii="Arial" w:hAnsi="Arial" w:cs="Arial"/>
          <w:lang w:val="es-ES"/>
        </w:rPr>
        <w:t xml:space="preserve">Aquino, T. d. (s.f.). </w:t>
      </w:r>
      <w:r w:rsidRPr="00647D50">
        <w:rPr>
          <w:rFonts w:ascii="Arial" w:hAnsi="Arial" w:cs="Arial"/>
          <w:i/>
          <w:iCs/>
          <w:lang w:val="es-ES"/>
        </w:rPr>
        <w:t>Suma Teológica.</w:t>
      </w:r>
      <w:r w:rsidRPr="00647D50">
        <w:rPr>
          <w:rFonts w:ascii="Arial" w:hAnsi="Arial" w:cs="Arial"/>
          <w:lang w:val="es-ES"/>
        </w:rPr>
        <w:t xml:space="preserve"> </w:t>
      </w:r>
    </w:p>
    <w:sdt>
      <w:sdtPr>
        <w:rPr>
          <w:rFonts w:ascii="Arial" w:hAnsi="Arial" w:cs="Arial"/>
        </w:rPr>
        <w:id w:val="111145805"/>
        <w:bibliography/>
      </w:sdtPr>
      <w:sdtContent>
        <w:p w:rsidR="00E65F25" w:rsidRPr="00647D50" w:rsidRDefault="00E65F25" w:rsidP="00E65F25">
          <w:pPr>
            <w:spacing w:after="0" w:line="276" w:lineRule="auto"/>
            <w:jc w:val="both"/>
            <w:rPr>
              <w:rFonts w:ascii="Arial" w:hAnsi="Arial" w:cs="Arial"/>
              <w:lang w:val="es-ES"/>
            </w:rPr>
          </w:pPr>
          <w:r w:rsidRPr="00647D50">
            <w:rPr>
              <w:rFonts w:ascii="Arial" w:hAnsi="Arial" w:cs="Arial"/>
              <w:lang w:val="es-ES"/>
            </w:rPr>
            <w:t xml:space="preserve">Álzate, F. J. (2005). </w:t>
          </w:r>
          <w:r w:rsidRPr="00647D50">
            <w:rPr>
              <w:rFonts w:ascii="Arial" w:hAnsi="Arial" w:cs="Arial"/>
              <w:i/>
              <w:iCs/>
              <w:lang w:val="es-ES"/>
            </w:rPr>
            <w:t>Introducción al derecho.</w:t>
          </w:r>
          <w:r w:rsidRPr="00647D50">
            <w:rPr>
              <w:rFonts w:ascii="Arial" w:hAnsi="Arial" w:cs="Arial"/>
              <w:lang w:val="es-ES"/>
            </w:rPr>
            <w:t xml:space="preserve"> Cali: Universidad Libre.</w:t>
          </w:r>
        </w:p>
        <w:p w:rsidR="00E65F25" w:rsidRPr="00647D50" w:rsidRDefault="00E65F25" w:rsidP="00E65F25">
          <w:pPr>
            <w:spacing w:after="0" w:line="276" w:lineRule="auto"/>
            <w:jc w:val="both"/>
            <w:rPr>
              <w:rFonts w:ascii="Arial" w:hAnsi="Arial" w:cs="Arial"/>
              <w:lang w:val="es-ES"/>
            </w:rPr>
          </w:pPr>
          <w:r w:rsidRPr="00647D50">
            <w:rPr>
              <w:rFonts w:ascii="Arial" w:hAnsi="Arial" w:cs="Arial"/>
              <w:lang w:val="es-ES"/>
            </w:rPr>
            <w:t xml:space="preserve">Cadena Afanador, W. (2002). </w:t>
          </w:r>
          <w:r w:rsidRPr="00647D50">
            <w:rPr>
              <w:rFonts w:ascii="Arial" w:hAnsi="Arial" w:cs="Arial"/>
              <w:i/>
              <w:iCs/>
              <w:lang w:val="es-ES"/>
            </w:rPr>
            <w:t>Introducción al estudio del derecho.</w:t>
          </w:r>
          <w:r w:rsidRPr="00647D50">
            <w:rPr>
              <w:rFonts w:ascii="Arial" w:hAnsi="Arial" w:cs="Arial"/>
              <w:lang w:val="es-ES"/>
            </w:rPr>
            <w:t xml:space="preserve"> Bogotá: Filigrana.</w:t>
          </w:r>
        </w:p>
        <w:p w:rsidR="00E65F25" w:rsidRPr="00647D50" w:rsidRDefault="00E65F25" w:rsidP="00E65F25">
          <w:pPr>
            <w:spacing w:after="0" w:line="276" w:lineRule="auto"/>
            <w:jc w:val="both"/>
            <w:rPr>
              <w:rFonts w:ascii="Arial" w:hAnsi="Arial" w:cs="Arial"/>
              <w:lang w:val="es-ES"/>
            </w:rPr>
          </w:pPr>
          <w:r w:rsidRPr="00647D50">
            <w:rPr>
              <w:rFonts w:ascii="Arial" w:hAnsi="Arial" w:cs="Arial"/>
              <w:lang w:val="es-ES"/>
            </w:rPr>
            <w:t xml:space="preserve">González Ramírez, A. (2010). </w:t>
          </w:r>
          <w:r w:rsidRPr="00647D50">
            <w:rPr>
              <w:rFonts w:ascii="Arial" w:hAnsi="Arial" w:cs="Arial"/>
              <w:i/>
              <w:iCs/>
              <w:lang w:val="es-ES"/>
            </w:rPr>
            <w:t>Introducción al Derecho.</w:t>
          </w:r>
          <w:r w:rsidRPr="00647D50">
            <w:rPr>
              <w:rFonts w:ascii="Arial" w:hAnsi="Arial" w:cs="Arial"/>
              <w:lang w:val="es-ES"/>
            </w:rPr>
            <w:t xml:space="preserve"> Editorial ABC.</w:t>
          </w:r>
        </w:p>
        <w:p w:rsidR="00E65F25" w:rsidRPr="00647D50" w:rsidRDefault="00E65F25" w:rsidP="00E65F25">
          <w:pPr>
            <w:spacing w:after="0" w:line="276" w:lineRule="auto"/>
            <w:jc w:val="both"/>
            <w:rPr>
              <w:rFonts w:ascii="Arial" w:hAnsi="Arial" w:cs="Arial"/>
              <w:lang w:val="es-ES"/>
            </w:rPr>
          </w:pPr>
          <w:r w:rsidRPr="00647D50">
            <w:rPr>
              <w:rFonts w:ascii="Arial" w:hAnsi="Arial" w:cs="Arial"/>
              <w:lang w:val="es-ES"/>
            </w:rPr>
            <w:t xml:space="preserve">Monroy Cabra, M. G. (2003). </w:t>
          </w:r>
          <w:r w:rsidRPr="00647D50">
            <w:rPr>
              <w:rFonts w:ascii="Arial" w:hAnsi="Arial" w:cs="Arial"/>
              <w:i/>
              <w:iCs/>
              <w:lang w:val="es-ES"/>
            </w:rPr>
            <w:t>Introducción al Derecho.</w:t>
          </w:r>
          <w:r w:rsidRPr="00647D50">
            <w:rPr>
              <w:rFonts w:ascii="Arial" w:hAnsi="Arial" w:cs="Arial"/>
              <w:lang w:val="es-ES"/>
            </w:rPr>
            <w:t xml:space="preserve"> Temis.</w:t>
          </w:r>
        </w:p>
        <w:p w:rsidR="00E65F25" w:rsidRPr="00647D50" w:rsidRDefault="00E65F25" w:rsidP="00E65F25">
          <w:pPr>
            <w:spacing w:after="0" w:line="276" w:lineRule="auto"/>
            <w:jc w:val="both"/>
            <w:rPr>
              <w:rFonts w:ascii="Arial" w:hAnsi="Arial" w:cs="Arial"/>
              <w:lang w:val="es-ES"/>
            </w:rPr>
          </w:pPr>
          <w:r w:rsidRPr="00647D50">
            <w:rPr>
              <w:rFonts w:ascii="Arial" w:hAnsi="Arial" w:cs="Arial"/>
              <w:lang w:val="es-ES"/>
            </w:rPr>
            <w:t xml:space="preserve">Noguera Laborde, R. (2010). </w:t>
          </w:r>
          <w:r w:rsidRPr="00647D50">
            <w:rPr>
              <w:rFonts w:ascii="Arial" w:hAnsi="Arial" w:cs="Arial"/>
              <w:i/>
              <w:iCs/>
              <w:lang w:val="es-ES"/>
            </w:rPr>
            <w:t xml:space="preserve">Introducción general al derecho. </w:t>
          </w:r>
          <w:r w:rsidRPr="00647D50">
            <w:rPr>
              <w:rFonts w:ascii="Arial" w:hAnsi="Arial" w:cs="Arial"/>
              <w:lang w:val="es-ES"/>
            </w:rPr>
            <w:t xml:space="preserve">Bogotá: universidad                                     </w:t>
          </w:r>
        </w:p>
        <w:p w:rsidR="00E65F25" w:rsidRPr="00647D50" w:rsidRDefault="00E65F25" w:rsidP="00E65F25">
          <w:pPr>
            <w:spacing w:after="0" w:line="276" w:lineRule="auto"/>
            <w:jc w:val="both"/>
            <w:rPr>
              <w:rFonts w:ascii="Arial" w:hAnsi="Arial" w:cs="Arial"/>
              <w:lang w:val="es-ES"/>
            </w:rPr>
          </w:pPr>
          <w:r w:rsidRPr="00647D50">
            <w:rPr>
              <w:rFonts w:ascii="Arial" w:hAnsi="Arial" w:cs="Arial"/>
              <w:lang w:val="es-ES"/>
            </w:rPr>
            <w:t xml:space="preserve">                             Sergio Arboleda.</w:t>
          </w:r>
        </w:p>
        <w:p w:rsidR="00E65F25" w:rsidRPr="00647D50" w:rsidRDefault="00E65F25" w:rsidP="00E65F25">
          <w:pPr>
            <w:spacing w:after="0" w:line="276" w:lineRule="auto"/>
            <w:jc w:val="both"/>
            <w:rPr>
              <w:rFonts w:ascii="Arial" w:hAnsi="Arial" w:cs="Arial"/>
              <w:lang w:val="es-ES"/>
            </w:rPr>
          </w:pPr>
          <w:r w:rsidRPr="00647D50">
            <w:rPr>
              <w:rFonts w:ascii="Arial" w:hAnsi="Arial" w:cs="Arial"/>
              <w:lang w:val="es-ES"/>
            </w:rPr>
            <w:t xml:space="preserve">Rocha Ochoa, C. (2006). </w:t>
          </w:r>
          <w:r w:rsidRPr="00647D50">
            <w:rPr>
              <w:rFonts w:ascii="Arial" w:hAnsi="Arial" w:cs="Arial"/>
              <w:i/>
              <w:iCs/>
              <w:lang w:val="es-ES"/>
            </w:rPr>
            <w:t>Manual de introducción al Derecho.</w:t>
          </w:r>
          <w:r w:rsidRPr="00647D50">
            <w:rPr>
              <w:rFonts w:ascii="Arial" w:hAnsi="Arial" w:cs="Arial"/>
              <w:lang w:val="es-ES"/>
            </w:rPr>
            <w:t xml:space="preserve"> Universidad del        </w:t>
          </w:r>
        </w:p>
        <w:p w:rsidR="00E65F25" w:rsidRPr="00647D50" w:rsidRDefault="00E65F25" w:rsidP="00E65F25">
          <w:pPr>
            <w:spacing w:after="0" w:line="276" w:lineRule="auto"/>
            <w:jc w:val="both"/>
            <w:rPr>
              <w:rFonts w:ascii="Arial" w:hAnsi="Arial" w:cs="Arial"/>
              <w:lang w:val="es-ES"/>
            </w:rPr>
          </w:pPr>
          <w:r w:rsidRPr="00647D50">
            <w:rPr>
              <w:rFonts w:ascii="Arial" w:hAnsi="Arial" w:cs="Arial"/>
              <w:lang w:val="es-ES"/>
            </w:rPr>
            <w:t xml:space="preserve">                        Rosario.</w:t>
          </w:r>
        </w:p>
        <w:p w:rsidR="00E65F25" w:rsidRPr="00647D50" w:rsidRDefault="00E65F25" w:rsidP="00E65F25">
          <w:pPr>
            <w:spacing w:after="0" w:line="276" w:lineRule="auto"/>
            <w:jc w:val="both"/>
            <w:rPr>
              <w:rFonts w:ascii="Arial" w:hAnsi="Arial" w:cs="Arial"/>
            </w:rPr>
          </w:pPr>
          <w:r w:rsidRPr="00647D50">
            <w:rPr>
              <w:rFonts w:ascii="Arial" w:hAnsi="Arial" w:cs="Arial"/>
              <w:lang w:val="es-ES"/>
            </w:rPr>
            <w:t xml:space="preserve">Rojas González, G. (2001). </w:t>
          </w:r>
          <w:r w:rsidRPr="00647D50">
            <w:rPr>
              <w:rFonts w:ascii="Arial" w:hAnsi="Arial" w:cs="Arial"/>
              <w:i/>
              <w:iCs/>
              <w:lang w:val="es-ES"/>
            </w:rPr>
            <w:t>Introducción Al Derecho.</w:t>
          </w:r>
          <w:r w:rsidRPr="00647D50">
            <w:rPr>
              <w:rFonts w:ascii="Arial" w:hAnsi="Arial" w:cs="Arial"/>
              <w:lang w:val="es-ES"/>
            </w:rPr>
            <w:t xml:space="preserve"> </w:t>
          </w:r>
          <w:proofErr w:type="spellStart"/>
          <w:r w:rsidRPr="00647D50">
            <w:rPr>
              <w:rFonts w:ascii="Arial" w:hAnsi="Arial" w:cs="Arial"/>
              <w:lang w:val="es-ES"/>
            </w:rPr>
            <w:t>Ecoe</w:t>
          </w:r>
          <w:proofErr w:type="spellEnd"/>
          <w:r w:rsidRPr="00647D50">
            <w:rPr>
              <w:rFonts w:ascii="Arial" w:hAnsi="Arial" w:cs="Arial"/>
              <w:lang w:val="es-ES"/>
            </w:rPr>
            <w:t>.</w:t>
          </w:r>
        </w:p>
        <w:p w:rsidR="00E65F25" w:rsidRPr="00647D50" w:rsidRDefault="00E65F25" w:rsidP="00E65F25">
          <w:pPr>
            <w:spacing w:after="0" w:line="276" w:lineRule="auto"/>
            <w:rPr>
              <w:rFonts w:ascii="Arial" w:hAnsi="Arial" w:cs="Arial"/>
            </w:rPr>
          </w:pPr>
          <w:r w:rsidRPr="00647D50">
            <w:rPr>
              <w:rFonts w:ascii="Arial" w:hAnsi="Arial" w:cs="Arial"/>
            </w:rPr>
            <w:t xml:space="preserve">Corte Constitucional, Sentencia C - 539, M.P. Luís Ernesto Vargas Silva, (Corte </w:t>
          </w:r>
        </w:p>
        <w:p w:rsidR="00E65F25" w:rsidRPr="00647D50" w:rsidRDefault="00E65F25" w:rsidP="00E65F25">
          <w:pPr>
            <w:spacing w:after="0" w:line="276" w:lineRule="auto"/>
            <w:ind w:left="708"/>
            <w:rPr>
              <w:rFonts w:ascii="Arial" w:hAnsi="Arial" w:cs="Arial"/>
            </w:rPr>
          </w:pPr>
          <w:r w:rsidRPr="00647D50">
            <w:rPr>
              <w:rFonts w:ascii="Arial" w:hAnsi="Arial" w:cs="Arial"/>
            </w:rPr>
            <w:t xml:space="preserve">Constitucional Colombiana 06 de julio de 2011). Recuperado el 19 de mayo de 2014 de </w:t>
          </w:r>
          <w:hyperlink r:id="rId4" w:history="1">
            <w:r w:rsidRPr="00647D50">
              <w:rPr>
                <w:rStyle w:val="Hipervnculo"/>
                <w:rFonts w:ascii="Arial" w:hAnsi="Arial" w:cs="Arial"/>
              </w:rPr>
              <w:t>http://www.corteconstitucional.gov.co/relatoria/2011/c-539-11.htm</w:t>
            </w:r>
          </w:hyperlink>
        </w:p>
        <w:p w:rsidR="00E65F25" w:rsidRPr="00647D50" w:rsidRDefault="00E65F25" w:rsidP="00E65F25">
          <w:pPr>
            <w:keepNext/>
            <w:shd w:val="clear" w:color="auto" w:fill="FFFFFF"/>
            <w:spacing w:after="0" w:line="276" w:lineRule="auto"/>
            <w:ind w:right="-98"/>
            <w:jc w:val="both"/>
            <w:outlineLvl w:val="4"/>
            <w:rPr>
              <w:rFonts w:ascii="Arial" w:eastAsia="Times New Roman" w:hAnsi="Arial" w:cs="Arial"/>
              <w:bCs/>
              <w:color w:val="000000"/>
              <w:lang w:eastAsia="es-CO"/>
            </w:rPr>
          </w:pPr>
          <w:r w:rsidRPr="00647D50">
            <w:rPr>
              <w:rFonts w:ascii="Arial" w:eastAsia="Times New Roman" w:hAnsi="Arial" w:cs="Arial"/>
              <w:bCs/>
              <w:color w:val="000000"/>
              <w:lang w:eastAsia="es-CO"/>
            </w:rPr>
            <w:t xml:space="preserve">Corte Constitucional, Sentencia T-1095, M.P. Clara Inés Vargas Hernández,     </w:t>
          </w:r>
        </w:p>
        <w:p w:rsidR="00E65F25" w:rsidRPr="00647D50" w:rsidRDefault="00E65F25" w:rsidP="00E65F25">
          <w:pPr>
            <w:keepNext/>
            <w:shd w:val="clear" w:color="auto" w:fill="FFFFFF"/>
            <w:spacing w:after="0" w:line="276" w:lineRule="auto"/>
            <w:ind w:left="708" w:right="-98"/>
            <w:outlineLvl w:val="4"/>
            <w:rPr>
              <w:rFonts w:ascii="Arial" w:hAnsi="Arial" w:cs="Arial"/>
            </w:rPr>
          </w:pPr>
          <w:r w:rsidRPr="00647D50">
            <w:rPr>
              <w:rFonts w:ascii="Arial" w:eastAsia="Times New Roman" w:hAnsi="Arial" w:cs="Arial"/>
              <w:bCs/>
              <w:color w:val="000000"/>
              <w:lang w:eastAsia="es-CO"/>
            </w:rPr>
            <w:t>(Corte Constitucional Colombiana 06 de noviembre de 2008). Recuperado el 25 de julio de 2014 de http://www.corteconstitucional.gov.co/relatoria/2008/T-1095-08.htm</w:t>
          </w:r>
        </w:p>
        <w:p w:rsidR="00E65F25" w:rsidRPr="00647D50" w:rsidRDefault="00E65F25" w:rsidP="00E65F25">
          <w:pPr>
            <w:pStyle w:val="Bibliografa"/>
            <w:spacing w:line="276" w:lineRule="auto"/>
            <w:ind w:left="720" w:hanging="720"/>
            <w:jc w:val="both"/>
            <w:rPr>
              <w:rFonts w:ascii="Arial" w:hAnsi="Arial" w:cs="Arial"/>
              <w:sz w:val="22"/>
              <w:szCs w:val="22"/>
            </w:rPr>
          </w:pPr>
          <w:r w:rsidRPr="00647D50">
            <w:rPr>
              <w:rFonts w:ascii="Arial" w:hAnsi="Arial" w:cs="Arial"/>
              <w:noProof/>
              <w:sz w:val="22"/>
              <w:szCs w:val="22"/>
              <w:lang w:val="es-MX"/>
            </w:rPr>
            <w:t xml:space="preserve">Henri, B. (1995). </w:t>
          </w:r>
          <w:r w:rsidRPr="00647D50">
            <w:rPr>
              <w:rFonts w:ascii="Arial" w:hAnsi="Arial" w:cs="Arial"/>
              <w:i/>
              <w:iCs/>
              <w:noProof/>
              <w:sz w:val="22"/>
              <w:szCs w:val="22"/>
              <w:lang w:val="es-MX"/>
            </w:rPr>
            <w:t xml:space="preserve">Filosofía del derecho. </w:t>
          </w:r>
          <w:r w:rsidRPr="00647D50">
            <w:rPr>
              <w:rFonts w:ascii="Arial" w:hAnsi="Arial" w:cs="Arial"/>
              <w:noProof/>
              <w:sz w:val="22"/>
              <w:szCs w:val="22"/>
              <w:lang w:val="es-MX"/>
            </w:rPr>
            <w:t>Mexico: Editorial Publicaciones Cruz</w:t>
          </w:r>
        </w:p>
        <w:p w:rsidR="00E65F25" w:rsidRPr="00647D50" w:rsidRDefault="00E65F25" w:rsidP="00E65F25">
          <w:pPr>
            <w:pStyle w:val="Bibliografa"/>
            <w:spacing w:line="276" w:lineRule="auto"/>
            <w:ind w:left="720" w:hanging="720"/>
            <w:jc w:val="both"/>
            <w:rPr>
              <w:rFonts w:ascii="Arial" w:hAnsi="Arial" w:cs="Arial"/>
              <w:sz w:val="22"/>
              <w:szCs w:val="22"/>
              <w:lang w:val="es-MX"/>
            </w:rPr>
          </w:pPr>
          <w:r w:rsidRPr="00647D50">
            <w:rPr>
              <w:rFonts w:ascii="Arial" w:hAnsi="Arial" w:cs="Arial"/>
              <w:noProof/>
              <w:sz w:val="22"/>
              <w:szCs w:val="22"/>
              <w:lang w:val="es-MX"/>
            </w:rPr>
            <w:t xml:space="preserve">Henri, B. (1995). Los positivismos. </w:t>
          </w:r>
          <w:r w:rsidRPr="00647D50">
            <w:rPr>
              <w:rFonts w:ascii="Arial" w:hAnsi="Arial" w:cs="Arial"/>
              <w:i/>
              <w:iCs/>
              <w:noProof/>
              <w:sz w:val="22"/>
              <w:szCs w:val="22"/>
              <w:lang w:val="es-MX"/>
            </w:rPr>
            <w:t xml:space="preserve">Filosofía del derecho. </w:t>
          </w:r>
          <w:r w:rsidRPr="00647D50">
            <w:rPr>
              <w:rFonts w:ascii="Arial" w:hAnsi="Arial" w:cs="Arial"/>
              <w:iCs/>
              <w:noProof/>
              <w:sz w:val="22"/>
              <w:szCs w:val="22"/>
              <w:lang w:val="es-MX"/>
            </w:rPr>
            <w:t>(P. 7 – P. 28)</w:t>
          </w:r>
          <w:r w:rsidRPr="00647D50">
            <w:rPr>
              <w:rFonts w:ascii="Arial" w:hAnsi="Arial" w:cs="Arial"/>
              <w:noProof/>
              <w:sz w:val="22"/>
              <w:szCs w:val="22"/>
              <w:lang w:val="es-MX"/>
            </w:rPr>
            <w:t xml:space="preserve"> Mexico: Editorial Publicaciones Cruz</w:t>
          </w:r>
        </w:p>
        <w:p w:rsidR="00E65F25" w:rsidRPr="00647D50" w:rsidRDefault="00E65F25" w:rsidP="00E65F25">
          <w:pPr>
            <w:spacing w:line="276" w:lineRule="auto"/>
            <w:rPr>
              <w:rFonts w:ascii="Arial" w:hAnsi="Arial" w:cs="Arial"/>
            </w:rPr>
          </w:pPr>
          <w:r w:rsidRPr="00647D50">
            <w:rPr>
              <w:rFonts w:ascii="Arial" w:hAnsi="Arial" w:cs="Arial"/>
            </w:rPr>
            <w:t xml:space="preserve">Arturo VALENCIA Z.: derecho civil, tomo </w:t>
          </w:r>
          <w:proofErr w:type="gramStart"/>
          <w:r w:rsidRPr="00647D50">
            <w:rPr>
              <w:rFonts w:ascii="Arial" w:hAnsi="Arial" w:cs="Arial"/>
            </w:rPr>
            <w:t>I ,</w:t>
          </w:r>
          <w:proofErr w:type="gramEnd"/>
          <w:r w:rsidRPr="00647D50">
            <w:rPr>
              <w:rFonts w:ascii="Arial" w:hAnsi="Arial" w:cs="Arial"/>
            </w:rPr>
            <w:t xml:space="preserve"> Editorial Temis, Bogotá. 1957</w:t>
          </w:r>
        </w:p>
        <w:p w:rsidR="00E65F25" w:rsidRPr="00647D50" w:rsidRDefault="00E65F25" w:rsidP="00E65F25">
          <w:pPr>
            <w:spacing w:line="276" w:lineRule="auto"/>
            <w:ind w:left="708" w:hanging="708"/>
            <w:jc w:val="both"/>
            <w:rPr>
              <w:rFonts w:ascii="Arial" w:eastAsia="Times New Roman" w:hAnsi="Arial" w:cs="Arial"/>
              <w:bCs/>
              <w:color w:val="000000"/>
              <w:lang w:eastAsia="es-CO"/>
            </w:rPr>
          </w:pPr>
          <w:r w:rsidRPr="00647D50">
            <w:rPr>
              <w:rFonts w:ascii="Arial" w:eastAsia="Times New Roman" w:hAnsi="Arial" w:cs="Arial"/>
              <w:bCs/>
              <w:color w:val="000000"/>
              <w:lang w:eastAsia="es-CO"/>
            </w:rPr>
            <w:t>Corte Constitucional, Sentencia C-467, M.P. Jaime Araujo Rentería, (</w:t>
          </w:r>
          <w:proofErr w:type="gramStart"/>
          <w:r w:rsidRPr="00647D50">
            <w:rPr>
              <w:rFonts w:ascii="Arial" w:eastAsia="Times New Roman" w:hAnsi="Arial" w:cs="Arial"/>
              <w:bCs/>
              <w:color w:val="000000"/>
              <w:lang w:eastAsia="es-CO"/>
            </w:rPr>
            <w:t>Corte  Constitucional</w:t>
          </w:r>
          <w:proofErr w:type="gramEnd"/>
          <w:r w:rsidRPr="00647D50">
            <w:rPr>
              <w:rFonts w:ascii="Arial" w:eastAsia="Times New Roman" w:hAnsi="Arial" w:cs="Arial"/>
              <w:bCs/>
              <w:color w:val="000000"/>
              <w:lang w:eastAsia="es-CO"/>
            </w:rPr>
            <w:t xml:space="preserve"> Colombiana 14 de mayo de 2008). Recuperado el 12 de agosto de 2014 de </w:t>
          </w:r>
          <w:hyperlink r:id="rId5" w:history="1">
            <w:r w:rsidRPr="00647D50">
              <w:rPr>
                <w:rStyle w:val="Hipervnculo"/>
                <w:rFonts w:ascii="Arial" w:eastAsia="Times New Roman" w:hAnsi="Arial" w:cs="Arial"/>
                <w:bCs/>
                <w:lang w:eastAsia="es-CO"/>
              </w:rPr>
              <w:t>http://www.corteconstitucional.gov.co/relatoria/2008/c-467-08.htm</w:t>
            </w:r>
          </w:hyperlink>
        </w:p>
        <w:p w:rsidR="00E65F25" w:rsidRPr="00647D50" w:rsidRDefault="00E65F25" w:rsidP="00E65F25">
          <w:pPr>
            <w:spacing w:line="276" w:lineRule="auto"/>
            <w:ind w:left="708" w:hanging="708"/>
            <w:jc w:val="both"/>
            <w:rPr>
              <w:rStyle w:val="Hipervnculo"/>
              <w:rFonts w:ascii="Arial" w:eastAsia="Times New Roman" w:hAnsi="Arial" w:cs="Arial"/>
              <w:bCs/>
              <w:lang w:eastAsia="es-CO"/>
            </w:rPr>
          </w:pPr>
          <w:r w:rsidRPr="00647D50">
            <w:rPr>
              <w:rFonts w:ascii="Arial" w:eastAsia="Times New Roman" w:hAnsi="Arial" w:cs="Arial"/>
              <w:bCs/>
              <w:color w:val="000000"/>
              <w:lang w:eastAsia="es-CO"/>
            </w:rPr>
            <w:t>Corte Constitucional, Sentencia T-476, M.P. Clara Inés Vargas Hernández</w:t>
          </w:r>
          <w:proofErr w:type="gramStart"/>
          <w:r w:rsidRPr="00647D50">
            <w:rPr>
              <w:rFonts w:ascii="Arial" w:eastAsia="Times New Roman" w:hAnsi="Arial" w:cs="Arial"/>
              <w:bCs/>
              <w:color w:val="000000"/>
              <w:lang w:eastAsia="es-CO"/>
            </w:rPr>
            <w:t>,(</w:t>
          </w:r>
          <w:proofErr w:type="gramEnd"/>
          <w:r w:rsidRPr="00647D50">
            <w:rPr>
              <w:rFonts w:ascii="Arial" w:eastAsia="Times New Roman" w:hAnsi="Arial" w:cs="Arial"/>
              <w:bCs/>
              <w:color w:val="000000"/>
              <w:lang w:eastAsia="es-CO"/>
            </w:rPr>
            <w:t xml:space="preserve">Corte Constitucional Colombiana 15 de mayo de 2008). Recuperado el 18 de agosto de 2014 de </w:t>
          </w:r>
          <w:hyperlink r:id="rId6" w:history="1">
            <w:r w:rsidRPr="00647D50">
              <w:rPr>
                <w:rStyle w:val="Hipervnculo"/>
                <w:rFonts w:ascii="Arial" w:eastAsia="Times New Roman" w:hAnsi="Arial" w:cs="Arial"/>
                <w:bCs/>
                <w:lang w:eastAsia="es-CO"/>
              </w:rPr>
              <w:t>http://www.corteconstitucional.gov.co/relatoria/2008/t-476-08.htm</w:t>
            </w:r>
          </w:hyperlink>
          <w:r w:rsidRPr="00647D50">
            <w:rPr>
              <w:rStyle w:val="Hipervnculo"/>
              <w:rFonts w:ascii="Arial" w:eastAsia="Times New Roman" w:hAnsi="Arial" w:cs="Arial"/>
              <w:bCs/>
              <w:lang w:eastAsia="es-CO"/>
            </w:rPr>
            <w:t>.</w:t>
          </w:r>
        </w:p>
        <w:p w:rsidR="00E65F25" w:rsidRPr="00647D50" w:rsidRDefault="00E65F25" w:rsidP="00E65F25">
          <w:pPr>
            <w:spacing w:line="276" w:lineRule="auto"/>
            <w:ind w:left="708" w:hanging="708"/>
            <w:jc w:val="both"/>
            <w:rPr>
              <w:rFonts w:ascii="Arial" w:eastAsia="Times New Roman" w:hAnsi="Arial" w:cs="Arial"/>
              <w:bCs/>
              <w:color w:val="000000"/>
              <w:lang w:eastAsia="es-CO"/>
            </w:rPr>
          </w:pPr>
          <w:r w:rsidRPr="00647D50">
            <w:rPr>
              <w:rFonts w:ascii="Arial" w:eastAsia="Times New Roman" w:hAnsi="Arial" w:cs="Arial"/>
              <w:bCs/>
              <w:color w:val="000000"/>
              <w:lang w:eastAsia="es-CO"/>
            </w:rPr>
            <w:t>Consejo de Estado, Concepto 201267611001-03-06-000-2012-00050-00-2107, C.P. Enrique José Arboleda Perdomo, (Consejo de Estado Colombiana de 2012). Recuperado el 20 de agosto de 2014 de consulta de Jurisprudencia página del Consejo de Estado.</w:t>
          </w:r>
        </w:p>
        <w:p w:rsidR="00E65F25" w:rsidRPr="00647D50" w:rsidRDefault="00E65F25" w:rsidP="00E65F25">
          <w:pPr>
            <w:keepNext/>
            <w:shd w:val="clear" w:color="auto" w:fill="FFFFFF"/>
            <w:spacing w:after="0" w:line="276" w:lineRule="auto"/>
            <w:ind w:right="-98"/>
            <w:jc w:val="both"/>
            <w:outlineLvl w:val="4"/>
            <w:rPr>
              <w:rFonts w:ascii="Arial" w:eastAsia="Times New Roman" w:hAnsi="Arial" w:cs="Arial"/>
              <w:bCs/>
              <w:color w:val="000000"/>
              <w:lang w:eastAsia="es-CO"/>
            </w:rPr>
          </w:pPr>
          <w:r w:rsidRPr="00647D50">
            <w:rPr>
              <w:rFonts w:ascii="Arial" w:eastAsia="Times New Roman" w:hAnsi="Arial" w:cs="Arial"/>
              <w:bCs/>
              <w:color w:val="000000"/>
              <w:lang w:eastAsia="es-CO"/>
            </w:rPr>
            <w:t xml:space="preserve">Consejo de Estado, 201810211001-03-25-000-2007-00055-1096-07, </w:t>
          </w:r>
        </w:p>
        <w:p w:rsidR="00E65F25" w:rsidRPr="00647D50" w:rsidRDefault="00E65F25" w:rsidP="00E65F25">
          <w:pPr>
            <w:keepNext/>
            <w:shd w:val="clear" w:color="auto" w:fill="FFFFFF"/>
            <w:spacing w:after="0" w:line="276" w:lineRule="auto"/>
            <w:ind w:left="708" w:right="-98"/>
            <w:jc w:val="both"/>
            <w:outlineLvl w:val="4"/>
            <w:rPr>
              <w:rFonts w:ascii="Arial" w:eastAsia="Times New Roman" w:hAnsi="Arial" w:cs="Arial"/>
              <w:bCs/>
              <w:color w:val="000000"/>
              <w:lang w:eastAsia="es-CO"/>
            </w:rPr>
          </w:pPr>
          <w:r w:rsidRPr="00647D50">
            <w:rPr>
              <w:rFonts w:ascii="Arial" w:eastAsia="Times New Roman" w:hAnsi="Arial" w:cs="Arial"/>
              <w:bCs/>
              <w:color w:val="000000"/>
              <w:lang w:eastAsia="es-CO"/>
            </w:rPr>
            <w:t>C.P. Gerardo Arenas Monsalve, (Consejo de Estado Colombiana de 2014). Recuperado el 20 de agosto de 2014 de consulta de Jurisprudencia página del Consejo de Estado.</w:t>
          </w:r>
        </w:p>
        <w:p w:rsidR="00E65F25" w:rsidRPr="00647D50" w:rsidRDefault="00E65F25" w:rsidP="00E65F25">
          <w:pPr>
            <w:keepNext/>
            <w:shd w:val="clear" w:color="auto" w:fill="FFFFFF"/>
            <w:spacing w:after="0" w:line="276" w:lineRule="auto"/>
            <w:ind w:right="-98"/>
            <w:jc w:val="both"/>
            <w:outlineLvl w:val="4"/>
            <w:rPr>
              <w:rFonts w:ascii="Arial" w:eastAsia="Times New Roman" w:hAnsi="Arial" w:cs="Arial"/>
              <w:bCs/>
              <w:color w:val="000000"/>
              <w:lang w:eastAsia="es-CO"/>
            </w:rPr>
          </w:pPr>
          <w:r w:rsidRPr="00647D50">
            <w:rPr>
              <w:rFonts w:ascii="Arial" w:eastAsia="Times New Roman" w:hAnsi="Arial" w:cs="Arial"/>
              <w:bCs/>
              <w:color w:val="000000"/>
              <w:lang w:eastAsia="es-CO"/>
            </w:rPr>
            <w:t xml:space="preserve">Corte Suprema de Justicia, Ref. </w:t>
          </w:r>
          <w:r w:rsidRPr="00647D50">
            <w:rPr>
              <w:rFonts w:ascii="Arial" w:hAnsi="Arial" w:cs="Arial"/>
              <w:color w:val="000000"/>
            </w:rPr>
            <w:t>11001-3103-003-2007-00653-01</w:t>
          </w:r>
          <w:r w:rsidRPr="00647D50">
            <w:rPr>
              <w:rFonts w:ascii="Arial" w:eastAsia="Times New Roman" w:hAnsi="Arial" w:cs="Arial"/>
              <w:bCs/>
              <w:color w:val="000000"/>
              <w:lang w:eastAsia="es-CO"/>
            </w:rPr>
            <w:t xml:space="preserve">, M.P. William </w:t>
          </w:r>
        </w:p>
        <w:p w:rsidR="00E65F25" w:rsidRPr="00647D50" w:rsidRDefault="00E65F25" w:rsidP="00E65F25">
          <w:pPr>
            <w:keepNext/>
            <w:shd w:val="clear" w:color="auto" w:fill="FFFFFF"/>
            <w:spacing w:after="0" w:line="276" w:lineRule="auto"/>
            <w:ind w:left="708" w:right="-98"/>
            <w:outlineLvl w:val="4"/>
            <w:rPr>
              <w:rFonts w:ascii="Arial" w:eastAsia="Times New Roman" w:hAnsi="Arial" w:cs="Arial"/>
              <w:bCs/>
              <w:color w:val="000000"/>
              <w:lang w:eastAsia="es-CO"/>
            </w:rPr>
          </w:pPr>
          <w:r w:rsidRPr="00647D50">
            <w:rPr>
              <w:rFonts w:ascii="Arial" w:eastAsia="Times New Roman" w:hAnsi="Arial" w:cs="Arial"/>
              <w:bCs/>
              <w:color w:val="000000"/>
              <w:lang w:eastAsia="es-CO"/>
            </w:rPr>
            <w:t xml:space="preserve">Namen Vargas, (Sala de Casación Civil Corte Suprema de Justicia Colombiana 13 de diciembre de 2011). Recuperado el 18 de agosto de 2014 de </w:t>
          </w:r>
          <w:hyperlink r:id="rId7" w:history="1">
            <w:r w:rsidRPr="00647D50">
              <w:rPr>
                <w:rStyle w:val="Hipervnculo"/>
                <w:rFonts w:ascii="Arial" w:eastAsia="Times New Roman" w:hAnsi="Arial" w:cs="Arial"/>
                <w:bCs/>
                <w:lang w:eastAsia="es-CO"/>
              </w:rPr>
              <w:t>http://www.lexbasecolombia.net/cortesuprema/sala%20civil%20y%20agraria/2011/william%20namen%20vargas/1100131030032007-00653-01%20[15-12-2011].htm</w:t>
            </w:r>
          </w:hyperlink>
        </w:p>
        <w:p w:rsidR="00E65F25" w:rsidRPr="00647D50" w:rsidRDefault="00E65F25" w:rsidP="00E65F25">
          <w:pPr>
            <w:keepNext/>
            <w:shd w:val="clear" w:color="auto" w:fill="FFFFFF"/>
            <w:spacing w:after="0" w:line="276" w:lineRule="auto"/>
            <w:ind w:right="-98"/>
            <w:jc w:val="both"/>
            <w:outlineLvl w:val="4"/>
            <w:rPr>
              <w:rFonts w:ascii="Arial" w:eastAsia="Times New Roman" w:hAnsi="Arial" w:cs="Arial"/>
              <w:bCs/>
              <w:color w:val="000000"/>
              <w:lang w:eastAsia="es-CO"/>
            </w:rPr>
          </w:pPr>
          <w:r w:rsidRPr="00647D50">
            <w:rPr>
              <w:rFonts w:ascii="Arial" w:eastAsia="Times New Roman" w:hAnsi="Arial" w:cs="Arial"/>
              <w:bCs/>
              <w:color w:val="000000"/>
              <w:lang w:eastAsia="es-CO"/>
            </w:rPr>
            <w:t xml:space="preserve">Corte Constitucional, Sentencia C-241, M.P. Luis Ernesto Vargas Silva,     </w:t>
          </w:r>
        </w:p>
        <w:p w:rsidR="00E65F25" w:rsidRPr="00647D50" w:rsidRDefault="00E65F25" w:rsidP="00E65F25">
          <w:pPr>
            <w:keepNext/>
            <w:shd w:val="clear" w:color="auto" w:fill="FFFFFF"/>
            <w:spacing w:after="0" w:line="276" w:lineRule="auto"/>
            <w:ind w:left="708" w:right="-98"/>
            <w:outlineLvl w:val="4"/>
            <w:rPr>
              <w:rFonts w:ascii="Arial" w:eastAsia="Times New Roman" w:hAnsi="Arial" w:cs="Arial"/>
              <w:bCs/>
              <w:color w:val="000000"/>
              <w:lang w:eastAsia="es-CO"/>
            </w:rPr>
          </w:pPr>
          <w:r w:rsidRPr="00647D50">
            <w:rPr>
              <w:rFonts w:ascii="Arial" w:eastAsia="Times New Roman" w:hAnsi="Arial" w:cs="Arial"/>
              <w:bCs/>
              <w:color w:val="000000"/>
              <w:lang w:eastAsia="es-CO"/>
            </w:rPr>
            <w:t xml:space="preserve">(Corte Constitucional Colombiana 06 de noviembre de 2008). Recuperado el 22 de marzo de 2014 de </w:t>
          </w:r>
          <w:hyperlink r:id="rId8" w:history="1">
            <w:r w:rsidRPr="00647D50">
              <w:rPr>
                <w:rStyle w:val="Hipervnculo"/>
                <w:rFonts w:ascii="Arial" w:eastAsia="Times New Roman" w:hAnsi="Arial" w:cs="Arial"/>
                <w:bCs/>
                <w:lang w:eastAsia="es-CO"/>
              </w:rPr>
              <w:t>http://www.corteconstitucional.gov.co/relatoria/2012/C-241-12.htm</w:t>
            </w:r>
          </w:hyperlink>
        </w:p>
        <w:p w:rsidR="00E65F25" w:rsidRPr="00647D50" w:rsidRDefault="00E65F25" w:rsidP="00E65F25">
          <w:pPr>
            <w:keepNext/>
            <w:shd w:val="clear" w:color="auto" w:fill="FFFFFF"/>
            <w:spacing w:after="0" w:line="276" w:lineRule="auto"/>
            <w:ind w:right="-98"/>
            <w:jc w:val="both"/>
            <w:outlineLvl w:val="4"/>
            <w:rPr>
              <w:rFonts w:ascii="Arial" w:eastAsia="Times New Roman" w:hAnsi="Arial" w:cs="Arial"/>
              <w:bCs/>
              <w:color w:val="000000"/>
              <w:lang w:eastAsia="es-CO"/>
            </w:rPr>
          </w:pPr>
          <w:r w:rsidRPr="00647D50">
            <w:rPr>
              <w:rFonts w:ascii="Arial" w:eastAsia="Times New Roman" w:hAnsi="Arial" w:cs="Arial"/>
              <w:bCs/>
              <w:color w:val="000000"/>
              <w:lang w:eastAsia="es-CO"/>
            </w:rPr>
            <w:t xml:space="preserve">Corte Suprema de Justicia, Proceso. </w:t>
          </w:r>
          <w:r w:rsidRPr="00647D50">
            <w:rPr>
              <w:rFonts w:ascii="Arial" w:hAnsi="Arial" w:cs="Arial"/>
            </w:rPr>
            <w:t>34853</w:t>
          </w:r>
          <w:r w:rsidRPr="00647D50">
            <w:rPr>
              <w:rFonts w:ascii="Arial" w:eastAsia="Times New Roman" w:hAnsi="Arial" w:cs="Arial"/>
              <w:bCs/>
              <w:color w:val="000000"/>
              <w:lang w:eastAsia="es-CO"/>
            </w:rPr>
            <w:t xml:space="preserve">, M.P. Fernando Alberto Castro </w:t>
          </w:r>
        </w:p>
        <w:p w:rsidR="00E65F25" w:rsidRPr="00647D50" w:rsidRDefault="00E65F25" w:rsidP="00E65F25">
          <w:pPr>
            <w:keepNext/>
            <w:shd w:val="clear" w:color="auto" w:fill="FFFFFF"/>
            <w:spacing w:after="0" w:line="276" w:lineRule="auto"/>
            <w:ind w:left="708" w:right="-98"/>
            <w:jc w:val="both"/>
            <w:outlineLvl w:val="4"/>
            <w:rPr>
              <w:rFonts w:ascii="Arial" w:hAnsi="Arial" w:cs="Arial"/>
            </w:rPr>
          </w:pPr>
          <w:r w:rsidRPr="00647D50">
            <w:rPr>
              <w:rFonts w:ascii="Arial" w:eastAsia="Times New Roman" w:hAnsi="Arial" w:cs="Arial"/>
              <w:bCs/>
              <w:color w:val="000000"/>
              <w:lang w:eastAsia="es-CO"/>
            </w:rPr>
            <w:t xml:space="preserve">Caballero, (Sala de Casación Penal Corte Suprema de Justicia Colombiana 01 de febrero de 2012). Recuperado el 20 de agosto de 2014 de </w:t>
          </w:r>
          <w:hyperlink r:id="rId9" w:history="1">
            <w:r w:rsidRPr="00647D50">
              <w:rPr>
                <w:rStyle w:val="Hipervnculo"/>
                <w:rFonts w:ascii="Arial" w:eastAsia="Times New Roman" w:hAnsi="Arial" w:cs="Arial"/>
                <w:bCs/>
                <w:lang w:eastAsia="es-CO"/>
              </w:rPr>
              <w:t>http://www.mamacoca.org/docs_de_base/Legislacion_tematica/Casaciion_fallo_34853_1feb012.pdf</w:t>
            </w:r>
          </w:hyperlink>
          <w:r w:rsidRPr="00647D50">
            <w:rPr>
              <w:rFonts w:ascii="Arial" w:eastAsia="Times New Roman" w:hAnsi="Arial" w:cs="Arial"/>
              <w:bCs/>
              <w:color w:val="000000"/>
              <w:lang w:eastAsia="es-CO"/>
            </w:rPr>
            <w:t xml:space="preserve"> </w:t>
          </w:r>
        </w:p>
        <w:p w:rsidR="00E65F25" w:rsidRPr="00647D50" w:rsidRDefault="00E65F25" w:rsidP="00E65F25">
          <w:pPr>
            <w:keepNext/>
            <w:shd w:val="clear" w:color="auto" w:fill="FFFFFF"/>
            <w:spacing w:after="0" w:line="276" w:lineRule="auto"/>
            <w:ind w:right="-98"/>
            <w:jc w:val="both"/>
            <w:outlineLvl w:val="4"/>
            <w:rPr>
              <w:rFonts w:ascii="Arial" w:eastAsia="Times New Roman" w:hAnsi="Arial" w:cs="Arial"/>
              <w:bCs/>
              <w:color w:val="000000"/>
              <w:lang w:eastAsia="es-CO"/>
            </w:rPr>
          </w:pPr>
          <w:r w:rsidRPr="00647D50">
            <w:rPr>
              <w:rFonts w:ascii="Arial" w:eastAsia="Times New Roman" w:hAnsi="Arial" w:cs="Arial"/>
              <w:bCs/>
              <w:color w:val="000000"/>
              <w:lang w:eastAsia="es-CO"/>
            </w:rPr>
            <w:t xml:space="preserve">Corte Constitucional, Sentencia T-752, M.P. María Victoria Calle Correa,     </w:t>
          </w:r>
        </w:p>
        <w:p w:rsidR="00E65F25" w:rsidRPr="00647D50" w:rsidRDefault="00E65F25" w:rsidP="00E65F25">
          <w:pPr>
            <w:keepNext/>
            <w:shd w:val="clear" w:color="auto" w:fill="FFFFFF"/>
            <w:spacing w:after="0" w:line="276" w:lineRule="auto"/>
            <w:ind w:left="708" w:right="-98"/>
            <w:outlineLvl w:val="4"/>
            <w:rPr>
              <w:rFonts w:ascii="Arial" w:hAnsi="Arial" w:cs="Arial"/>
            </w:rPr>
          </w:pPr>
          <w:r w:rsidRPr="00647D50">
            <w:rPr>
              <w:rFonts w:ascii="Arial" w:eastAsia="Times New Roman" w:hAnsi="Arial" w:cs="Arial"/>
              <w:bCs/>
              <w:color w:val="000000"/>
              <w:lang w:eastAsia="es-CO"/>
            </w:rPr>
            <w:t xml:space="preserve">(Corte Constitucional Colombiana 26 de septiembre de 2012). Recuperado el 24 de agosto de 2014 de </w:t>
          </w:r>
          <w:hyperlink r:id="rId10" w:history="1">
            <w:r w:rsidRPr="00647D50">
              <w:rPr>
                <w:rStyle w:val="Hipervnculo"/>
                <w:rFonts w:ascii="Arial" w:eastAsia="Times New Roman" w:hAnsi="Arial" w:cs="Arial"/>
                <w:bCs/>
                <w:lang w:eastAsia="es-CO"/>
              </w:rPr>
              <w:t>http://www.corteconstitucional.gov.co/relatoria/2012/t-752-12.htm</w:t>
            </w:r>
          </w:hyperlink>
          <w:r w:rsidRPr="00647D50">
            <w:rPr>
              <w:rFonts w:ascii="Arial" w:eastAsia="Times New Roman" w:hAnsi="Arial" w:cs="Arial"/>
              <w:bCs/>
              <w:color w:val="000000"/>
              <w:lang w:eastAsia="es-CO"/>
            </w:rPr>
            <w:t xml:space="preserve"> </w:t>
          </w:r>
        </w:p>
      </w:sdtContent>
    </w:sdt>
    <w:p w:rsidR="00634FA3" w:rsidRDefault="00634FA3"/>
    <w:sectPr w:rsidR="00634FA3" w:rsidSect="00647D50">
      <w:footerReference w:type="default" r:id="rId11"/>
      <w:pgSz w:w="12240" w:h="15840"/>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6ABE" w:rsidRDefault="009751D3">
    <w:pPr>
      <w:pStyle w:val="Piedepgina"/>
    </w:pPr>
    <w:r>
      <w:t xml:space="preserve">Este </w:t>
    </w:r>
    <w:r>
      <w:t>artículo</w:t>
    </w:r>
    <w:r>
      <w:t xml:space="preserve"> es el resultado investigativo del semillero de investigación Filosofía y Teoría del Derecho sede Villavicencio </w:t>
    </w:r>
    <w:r>
      <w:t>–</w:t>
    </w:r>
    <w:r>
      <w:t xml:space="preserve"> Meta.</w:t>
    </w:r>
  </w:p>
  <w:p w:rsidR="00956ABE" w:rsidRDefault="009751D3">
    <w:pPr>
      <w:pStyle w:val="Piedepgina"/>
    </w:pPr>
    <w:r>
      <w:t xml:space="preserve">Los autores de este </w:t>
    </w:r>
    <w:r>
      <w:t>artículo</w:t>
    </w:r>
    <w:r>
      <w:t xml:space="preserve"> </w:t>
    </w:r>
    <w:r>
      <w:t>científico</w:t>
    </w:r>
    <w:r>
      <w:t xml:space="preserve"> </w:t>
    </w:r>
    <w:r>
      <w:t xml:space="preserve">somos estudiantes de </w:t>
    </w:r>
    <w:r>
      <w:t xml:space="preserve">Derecho de </w:t>
    </w:r>
    <w:r>
      <w:t>pre-grado de la Universidad Santo To</w:t>
    </w:r>
    <w:r>
      <w:t>mas Villavicencio</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F25"/>
    <w:rsid w:val="00634FA3"/>
    <w:rsid w:val="00902754"/>
    <w:rsid w:val="009751D3"/>
    <w:rsid w:val="00E13C1A"/>
    <w:rsid w:val="00E65F2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D83687-C7D7-45C0-94B5-3A2A9DCCD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5F2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Bibliografa">
    <w:name w:val="Bibliography"/>
    <w:basedOn w:val="Normal"/>
    <w:next w:val="Normal"/>
    <w:uiPriority w:val="37"/>
    <w:unhideWhenUsed/>
    <w:rsid w:val="00E65F25"/>
    <w:pPr>
      <w:suppressAutoHyphens/>
      <w:spacing w:after="0" w:line="240" w:lineRule="auto"/>
    </w:pPr>
    <w:rPr>
      <w:rFonts w:ascii="Times New Roman" w:eastAsia="Times New Roman" w:hAnsi="Times New Roman" w:cs="Times New Roman"/>
      <w:sz w:val="20"/>
      <w:szCs w:val="20"/>
      <w:lang w:eastAsia="ar-SA"/>
    </w:rPr>
  </w:style>
  <w:style w:type="character" w:styleId="Hipervnculo">
    <w:name w:val="Hyperlink"/>
    <w:basedOn w:val="Fuentedeprrafopredeter"/>
    <w:uiPriority w:val="99"/>
    <w:unhideWhenUsed/>
    <w:rsid w:val="00E65F25"/>
    <w:rPr>
      <w:color w:val="0563C1" w:themeColor="hyperlink"/>
      <w:u w:val="single"/>
    </w:rPr>
  </w:style>
  <w:style w:type="paragraph" w:styleId="Piedepgina">
    <w:name w:val="footer"/>
    <w:basedOn w:val="Normal"/>
    <w:link w:val="PiedepginaCar"/>
    <w:uiPriority w:val="99"/>
    <w:unhideWhenUsed/>
    <w:rsid w:val="00E65F2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65F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rteconstitucional.gov.co/relatoria/2012/C-241-12.htm"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lexbasecolombia.net/cortesuprema/sala%20civil%20y%20agraria/2011/william%20namen%20vargas/1100131030032007-00653-01%20%5b15-12-2011%5d.htm"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orteconstitucional.gov.co/relatoria/2008/t-476-08.htm" TargetMode="External"/><Relationship Id="rId11" Type="http://schemas.openxmlformats.org/officeDocument/2006/relationships/footer" Target="footer1.xml"/><Relationship Id="rId5" Type="http://schemas.openxmlformats.org/officeDocument/2006/relationships/hyperlink" Target="http://www.corteconstitucional.gov.co/relatoria/2008/c-467-08.htm" TargetMode="External"/><Relationship Id="rId10" Type="http://schemas.openxmlformats.org/officeDocument/2006/relationships/hyperlink" Target="http://www.corteconstitucional.gov.co/relatoria/2012/t-752-12.htm" TargetMode="External"/><Relationship Id="rId4" Type="http://schemas.openxmlformats.org/officeDocument/2006/relationships/hyperlink" Target="http://www.corteconstitucional.gov.co/relatoria/2011/c-539-11.htm" TargetMode="External"/><Relationship Id="rId9" Type="http://schemas.openxmlformats.org/officeDocument/2006/relationships/hyperlink" Target="http://www.mamacoca.org/docs_de_base/Legislacion_tematica/Casaciion_fallo_34853_1feb012.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11</Pages>
  <Words>3630</Words>
  <Characters>19967</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23550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Fabiani Martinez</dc:creator>
  <cp:keywords/>
  <dc:description/>
  <cp:lastModifiedBy>Fabiani Martinez</cp:lastModifiedBy>
  <cp:revision>1</cp:revision>
  <dcterms:created xsi:type="dcterms:W3CDTF">2014-10-10T03:15:00Z</dcterms:created>
  <dcterms:modified xsi:type="dcterms:W3CDTF">2014-10-10T03:54:00Z</dcterms:modified>
</cp:coreProperties>
</file>