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B831" w14:textId="5CAE3C1C" w:rsidR="00CA2E01" w:rsidRDefault="005410B3" w:rsidP="00306893">
      <w:pPr>
        <w:spacing w:after="120"/>
        <w:jc w:val="both"/>
        <w:rPr>
          <w:rFonts w:ascii="Times New Roman" w:hAnsi="Times New Roman"/>
          <w:sz w:val="24"/>
        </w:rPr>
      </w:pPr>
      <w:bookmarkStart w:id="0" w:name="_GoBack"/>
      <w:bookmarkEnd w:id="0"/>
      <w:r w:rsidRPr="004B2D09">
        <w:rPr>
          <w:rFonts w:ascii="Times New Roman" w:hAnsi="Times New Roman"/>
          <w:b/>
          <w:sz w:val="24"/>
        </w:rPr>
        <w:t>Título</w:t>
      </w:r>
      <w:r w:rsidR="006176FB">
        <w:rPr>
          <w:rFonts w:ascii="Times New Roman" w:hAnsi="Times New Roman"/>
          <w:b/>
          <w:sz w:val="24"/>
        </w:rPr>
        <w:t>:</w:t>
      </w:r>
      <w:r w:rsidR="004B2D09">
        <w:rPr>
          <w:rFonts w:ascii="Times New Roman" w:hAnsi="Times New Roman"/>
          <w:sz w:val="24"/>
        </w:rPr>
        <w:t xml:space="preserve"> </w:t>
      </w:r>
      <w:r w:rsidR="00B226AF" w:rsidRPr="00B226AF">
        <w:rPr>
          <w:rFonts w:ascii="Times New Roman" w:hAnsi="Times New Roman"/>
          <w:sz w:val="24"/>
        </w:rPr>
        <w:t>Implem</w:t>
      </w:r>
      <w:r w:rsidR="006A73FD">
        <w:rPr>
          <w:rFonts w:ascii="Times New Roman" w:hAnsi="Times New Roman"/>
          <w:sz w:val="24"/>
        </w:rPr>
        <w:t>entación de las IFRS Plenas en Empresas C</w:t>
      </w:r>
      <w:r w:rsidR="00B226AF" w:rsidRPr="00B226AF">
        <w:rPr>
          <w:rFonts w:ascii="Times New Roman" w:hAnsi="Times New Roman"/>
          <w:sz w:val="24"/>
        </w:rPr>
        <w:t>olombianas</w:t>
      </w:r>
      <w:r w:rsidR="009843F0">
        <w:rPr>
          <w:rFonts w:ascii="Times New Roman" w:hAnsi="Times New Roman"/>
          <w:sz w:val="24"/>
        </w:rPr>
        <w:t xml:space="preserve"> No Financieras</w:t>
      </w:r>
      <w:r w:rsidR="00B226AF" w:rsidRPr="00B226AF">
        <w:rPr>
          <w:rFonts w:ascii="Times New Roman" w:hAnsi="Times New Roman"/>
          <w:sz w:val="24"/>
        </w:rPr>
        <w:t xml:space="preserve">. Evaluación de la </w:t>
      </w:r>
      <w:r w:rsidR="002E6CDF">
        <w:rPr>
          <w:rFonts w:ascii="Times New Roman" w:hAnsi="Times New Roman"/>
          <w:sz w:val="24"/>
        </w:rPr>
        <w:t>Comparabilidad</w:t>
      </w:r>
      <w:r w:rsidR="006A73FD">
        <w:rPr>
          <w:rFonts w:ascii="Times New Roman" w:hAnsi="Times New Roman"/>
          <w:sz w:val="24"/>
        </w:rPr>
        <w:t xml:space="preserve"> de la Información F</w:t>
      </w:r>
      <w:r w:rsidR="00B226AF" w:rsidRPr="00B226AF">
        <w:rPr>
          <w:rFonts w:ascii="Times New Roman" w:hAnsi="Times New Roman"/>
          <w:sz w:val="24"/>
        </w:rPr>
        <w:t>inanciera</w:t>
      </w:r>
      <w:r w:rsidR="00CA2E01">
        <w:rPr>
          <w:rFonts w:ascii="Times New Roman" w:hAnsi="Times New Roman"/>
          <w:sz w:val="24"/>
        </w:rPr>
        <w:t xml:space="preserve"> desde una perspectiva empírica</w:t>
      </w:r>
      <w:r w:rsidR="00B226AF" w:rsidRPr="00B226AF">
        <w:rPr>
          <w:rFonts w:ascii="Times New Roman" w:hAnsi="Times New Roman"/>
          <w:sz w:val="24"/>
        </w:rPr>
        <w:t>.</w:t>
      </w:r>
    </w:p>
    <w:p w14:paraId="636EFEE0" w14:textId="3C459A50" w:rsidR="005410B3" w:rsidRDefault="00B226AF" w:rsidP="00306893">
      <w:pPr>
        <w:spacing w:after="120"/>
        <w:jc w:val="both"/>
        <w:rPr>
          <w:rFonts w:ascii="Times New Roman" w:hAnsi="Times New Roman"/>
          <w:sz w:val="24"/>
        </w:rPr>
      </w:pPr>
      <w:r w:rsidRPr="00B226AF">
        <w:rPr>
          <w:rFonts w:ascii="Times New Roman" w:hAnsi="Times New Roman"/>
          <w:sz w:val="24"/>
        </w:rPr>
        <w:t xml:space="preserve"> </w:t>
      </w:r>
    </w:p>
    <w:p w14:paraId="3434D22F" w14:textId="680BF65E" w:rsidR="005410B3" w:rsidRDefault="00072784" w:rsidP="00306893">
      <w:pPr>
        <w:spacing w:after="120"/>
        <w:jc w:val="both"/>
        <w:rPr>
          <w:rFonts w:ascii="Times New Roman" w:hAnsi="Times New Roman"/>
          <w:sz w:val="24"/>
        </w:rPr>
      </w:pPr>
      <w:r w:rsidRPr="00F67B90">
        <w:rPr>
          <w:rFonts w:ascii="Times New Roman" w:hAnsi="Times New Roman"/>
          <w:b/>
          <w:sz w:val="24"/>
        </w:rPr>
        <w:t>Duración</w:t>
      </w:r>
      <w:r w:rsidR="0033523D" w:rsidRPr="00F67B90">
        <w:rPr>
          <w:rFonts w:ascii="Times New Roman" w:hAnsi="Times New Roman"/>
          <w:b/>
          <w:sz w:val="24"/>
        </w:rPr>
        <w:t>:</w:t>
      </w:r>
      <w:r w:rsidR="00F66971">
        <w:rPr>
          <w:rFonts w:ascii="Times New Roman" w:hAnsi="Times New Roman"/>
          <w:sz w:val="24"/>
        </w:rPr>
        <w:t xml:space="preserve"> </w:t>
      </w:r>
      <w:r w:rsidR="00AE17FE">
        <w:rPr>
          <w:rFonts w:ascii="Times New Roman" w:hAnsi="Times New Roman"/>
          <w:sz w:val="24"/>
        </w:rPr>
        <w:t>9</w:t>
      </w:r>
      <w:r w:rsidRPr="00F67B90">
        <w:rPr>
          <w:rFonts w:ascii="Times New Roman" w:hAnsi="Times New Roman"/>
          <w:sz w:val="24"/>
        </w:rPr>
        <w:t xml:space="preserve"> Meses</w:t>
      </w:r>
    </w:p>
    <w:p w14:paraId="697023BF" w14:textId="5A120827" w:rsidR="005410B3" w:rsidRPr="00072784" w:rsidRDefault="005410B3" w:rsidP="00306893">
      <w:pPr>
        <w:spacing w:after="120"/>
        <w:jc w:val="both"/>
        <w:rPr>
          <w:rFonts w:ascii="Times New Roman" w:hAnsi="Times New Roman"/>
          <w:sz w:val="24"/>
        </w:rPr>
      </w:pPr>
      <w:r w:rsidRPr="00072784">
        <w:rPr>
          <w:rFonts w:ascii="Times New Roman" w:hAnsi="Times New Roman"/>
          <w:b/>
          <w:sz w:val="24"/>
        </w:rPr>
        <w:t>Lugar de ejecución</w:t>
      </w:r>
      <w:r w:rsidR="0033523D">
        <w:rPr>
          <w:rFonts w:ascii="Times New Roman" w:hAnsi="Times New Roman"/>
          <w:b/>
          <w:sz w:val="24"/>
        </w:rPr>
        <w:t>:</w:t>
      </w:r>
      <w:r w:rsidR="00072784">
        <w:rPr>
          <w:rFonts w:ascii="Times New Roman" w:hAnsi="Times New Roman"/>
          <w:b/>
          <w:sz w:val="24"/>
        </w:rPr>
        <w:t xml:space="preserve"> </w:t>
      </w:r>
      <w:r w:rsidR="00072784">
        <w:rPr>
          <w:rFonts w:ascii="Times New Roman" w:hAnsi="Times New Roman"/>
          <w:sz w:val="24"/>
        </w:rPr>
        <w:t>Bogotá D.C.</w:t>
      </w:r>
    </w:p>
    <w:p w14:paraId="0E184BF4" w14:textId="4B9255DF" w:rsidR="005410B3" w:rsidRPr="00072784" w:rsidRDefault="005410B3" w:rsidP="00306893">
      <w:pPr>
        <w:spacing w:after="120"/>
        <w:jc w:val="both"/>
        <w:rPr>
          <w:rFonts w:ascii="Times New Roman" w:hAnsi="Times New Roman"/>
          <w:b/>
          <w:sz w:val="24"/>
        </w:rPr>
      </w:pPr>
      <w:r w:rsidRPr="00072784">
        <w:rPr>
          <w:rFonts w:ascii="Times New Roman" w:hAnsi="Times New Roman"/>
          <w:b/>
          <w:sz w:val="24"/>
        </w:rPr>
        <w:t>Investigador principal</w:t>
      </w:r>
      <w:r w:rsidR="0033523D">
        <w:rPr>
          <w:rFonts w:ascii="Times New Roman" w:hAnsi="Times New Roman"/>
          <w:b/>
          <w:sz w:val="24"/>
        </w:rPr>
        <w:t xml:space="preserve">: </w:t>
      </w:r>
      <w:r w:rsidR="0033523D" w:rsidRPr="0033523D">
        <w:rPr>
          <w:rFonts w:ascii="Times New Roman" w:hAnsi="Times New Roman"/>
          <w:sz w:val="24"/>
        </w:rPr>
        <w:t>Carlos Orlando Rico Bonilla</w:t>
      </w:r>
      <w:r w:rsidR="0033523D">
        <w:rPr>
          <w:rFonts w:ascii="Times New Roman" w:hAnsi="Times New Roman"/>
          <w:sz w:val="24"/>
        </w:rPr>
        <w:t xml:space="preserve">, </w:t>
      </w:r>
    </w:p>
    <w:p w14:paraId="66741C67" w14:textId="5CE5E1AE" w:rsidR="0033523D" w:rsidRPr="00072784" w:rsidRDefault="005410B3" w:rsidP="0033523D">
      <w:pPr>
        <w:spacing w:after="120"/>
        <w:jc w:val="both"/>
        <w:rPr>
          <w:rFonts w:ascii="Times New Roman" w:hAnsi="Times New Roman"/>
          <w:b/>
          <w:sz w:val="24"/>
        </w:rPr>
      </w:pPr>
      <w:r w:rsidRPr="00072784">
        <w:rPr>
          <w:rFonts w:ascii="Times New Roman" w:hAnsi="Times New Roman"/>
          <w:b/>
          <w:sz w:val="24"/>
        </w:rPr>
        <w:t>Co-investigadores</w:t>
      </w:r>
      <w:r w:rsidR="0033523D">
        <w:rPr>
          <w:rFonts w:ascii="Times New Roman" w:hAnsi="Times New Roman"/>
          <w:b/>
          <w:sz w:val="24"/>
        </w:rPr>
        <w:t xml:space="preserve">: </w:t>
      </w:r>
      <w:r w:rsidR="008F3B8D">
        <w:rPr>
          <w:rFonts w:ascii="Times New Roman" w:hAnsi="Times New Roman"/>
          <w:sz w:val="24"/>
        </w:rPr>
        <w:t>Luz Dary Montoya,</w:t>
      </w:r>
      <w:r w:rsidR="0033523D">
        <w:rPr>
          <w:rFonts w:ascii="Times New Roman" w:hAnsi="Times New Roman"/>
          <w:sz w:val="24"/>
        </w:rPr>
        <w:t xml:space="preserve"> </w:t>
      </w:r>
      <w:r w:rsidR="00157615">
        <w:rPr>
          <w:rFonts w:ascii="Times New Roman" w:hAnsi="Times New Roman"/>
          <w:sz w:val="24"/>
        </w:rPr>
        <w:t xml:space="preserve">Blanca </w:t>
      </w:r>
      <w:r w:rsidR="005A292A">
        <w:rPr>
          <w:rFonts w:ascii="Times New Roman" w:hAnsi="Times New Roman"/>
          <w:sz w:val="24"/>
        </w:rPr>
        <w:t>Myrian Franco, Miguel Ángel Laverde</w:t>
      </w:r>
    </w:p>
    <w:tbl>
      <w:tblPr>
        <w:tblStyle w:val="Tablaconcuadrcula"/>
        <w:tblW w:w="9923" w:type="dxa"/>
        <w:tblInd w:w="108" w:type="dxa"/>
        <w:tblLook w:val="04A0" w:firstRow="1" w:lastRow="0" w:firstColumn="1" w:lastColumn="0" w:noHBand="0" w:noVBand="1"/>
      </w:tblPr>
      <w:tblGrid>
        <w:gridCol w:w="1460"/>
        <w:gridCol w:w="1439"/>
        <w:gridCol w:w="1603"/>
        <w:gridCol w:w="1476"/>
        <w:gridCol w:w="2385"/>
        <w:gridCol w:w="1560"/>
      </w:tblGrid>
      <w:tr w:rsidR="00B20D52" w14:paraId="5263E615" w14:textId="77777777" w:rsidTr="00DC227A">
        <w:tc>
          <w:tcPr>
            <w:tcW w:w="1509" w:type="dxa"/>
            <w:vMerge w:val="restart"/>
            <w:tcBorders>
              <w:top w:val="single" w:sz="4" w:space="0" w:color="000000" w:themeColor="text1"/>
              <w:left w:val="single" w:sz="4" w:space="0" w:color="000000" w:themeColor="text1"/>
              <w:right w:val="single" w:sz="4" w:space="0" w:color="000000" w:themeColor="text1"/>
            </w:tcBorders>
            <w:vAlign w:val="center"/>
          </w:tcPr>
          <w:p w14:paraId="417847F5" w14:textId="39FE6094" w:rsidR="00B20D52" w:rsidRDefault="006A73FD" w:rsidP="00306893">
            <w:pPr>
              <w:spacing w:after="120"/>
              <w:jc w:val="center"/>
              <w:rPr>
                <w:rFonts w:ascii="Times New Roman" w:hAnsi="Times New Roman"/>
                <w:b/>
                <w:sz w:val="24"/>
              </w:rPr>
            </w:pPr>
            <w:r>
              <w:rPr>
                <w:rFonts w:ascii="Times New Roman" w:hAnsi="Times New Roman"/>
                <w:b/>
                <w:sz w:val="24"/>
              </w:rPr>
              <w:t>Programa</w:t>
            </w:r>
          </w:p>
        </w:tc>
        <w:tc>
          <w:tcPr>
            <w:tcW w:w="1483" w:type="dxa"/>
            <w:vMerge w:val="restart"/>
            <w:tcBorders>
              <w:top w:val="single" w:sz="4" w:space="0" w:color="000000" w:themeColor="text1"/>
              <w:left w:val="single" w:sz="4" w:space="0" w:color="000000" w:themeColor="text1"/>
              <w:right w:val="single" w:sz="4" w:space="0" w:color="000000" w:themeColor="text1"/>
            </w:tcBorders>
            <w:vAlign w:val="center"/>
          </w:tcPr>
          <w:p w14:paraId="3E6D67C2" w14:textId="54122724" w:rsidR="00B20D52" w:rsidRDefault="006A73FD" w:rsidP="00306893">
            <w:pPr>
              <w:spacing w:after="120"/>
              <w:jc w:val="center"/>
              <w:rPr>
                <w:rFonts w:ascii="Times New Roman" w:hAnsi="Times New Roman"/>
                <w:b/>
                <w:sz w:val="24"/>
              </w:rPr>
            </w:pPr>
            <w:r>
              <w:rPr>
                <w:rFonts w:ascii="Times New Roman" w:hAnsi="Times New Roman"/>
                <w:b/>
                <w:sz w:val="24"/>
              </w:rPr>
              <w:t>Facultad</w:t>
            </w:r>
          </w:p>
        </w:tc>
        <w:tc>
          <w:tcPr>
            <w:tcW w:w="69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24A95" w14:textId="77777777" w:rsidR="00B20D52" w:rsidRDefault="00B20D52" w:rsidP="00306893">
            <w:pPr>
              <w:spacing w:after="120"/>
              <w:jc w:val="center"/>
              <w:rPr>
                <w:rFonts w:ascii="Times New Roman" w:hAnsi="Times New Roman"/>
                <w:b/>
                <w:sz w:val="24"/>
              </w:rPr>
            </w:pPr>
            <w:r>
              <w:rPr>
                <w:rFonts w:ascii="Times New Roman" w:hAnsi="Times New Roman"/>
                <w:b/>
                <w:sz w:val="24"/>
              </w:rPr>
              <w:t>Datos generales</w:t>
            </w:r>
          </w:p>
        </w:tc>
      </w:tr>
      <w:tr w:rsidR="00DC227A" w14:paraId="49D86CBC" w14:textId="77777777" w:rsidTr="00DC227A">
        <w:tc>
          <w:tcPr>
            <w:tcW w:w="1509" w:type="dxa"/>
            <w:vMerge/>
            <w:tcBorders>
              <w:left w:val="single" w:sz="4" w:space="0" w:color="000000" w:themeColor="text1"/>
              <w:bottom w:val="single" w:sz="4" w:space="0" w:color="000000" w:themeColor="text1"/>
              <w:right w:val="single" w:sz="4" w:space="0" w:color="000000" w:themeColor="text1"/>
            </w:tcBorders>
            <w:hideMark/>
          </w:tcPr>
          <w:p w14:paraId="5D7E970F" w14:textId="3F7EDF6B" w:rsidR="00B20D52" w:rsidRPr="005F220A" w:rsidRDefault="00B20D52" w:rsidP="00306893">
            <w:pPr>
              <w:spacing w:after="120"/>
              <w:jc w:val="center"/>
              <w:rPr>
                <w:rFonts w:ascii="Times New Roman" w:hAnsi="Times New Roman"/>
                <w:b/>
                <w:sz w:val="24"/>
              </w:rPr>
            </w:pPr>
          </w:p>
        </w:tc>
        <w:tc>
          <w:tcPr>
            <w:tcW w:w="1483" w:type="dxa"/>
            <w:vMerge/>
            <w:tcBorders>
              <w:left w:val="single" w:sz="4" w:space="0" w:color="000000" w:themeColor="text1"/>
              <w:bottom w:val="single" w:sz="4" w:space="0" w:color="000000" w:themeColor="text1"/>
              <w:right w:val="single" w:sz="4" w:space="0" w:color="000000" w:themeColor="text1"/>
            </w:tcBorders>
            <w:hideMark/>
          </w:tcPr>
          <w:p w14:paraId="5C75F5B6" w14:textId="15624447" w:rsidR="00B20D52" w:rsidRPr="005F220A" w:rsidRDefault="00B20D52" w:rsidP="00306893">
            <w:pPr>
              <w:spacing w:after="120"/>
              <w:jc w:val="center"/>
              <w:rPr>
                <w:rFonts w:ascii="Times New Roman" w:hAnsi="Times New Roman"/>
                <w:b/>
                <w:sz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02A19" w14:textId="77777777" w:rsidR="00B20D52" w:rsidRPr="005F220A" w:rsidRDefault="00B20D52" w:rsidP="00306893">
            <w:pPr>
              <w:spacing w:after="120"/>
              <w:jc w:val="center"/>
              <w:rPr>
                <w:rFonts w:ascii="Times New Roman" w:hAnsi="Times New Roman"/>
                <w:b/>
                <w:sz w:val="24"/>
              </w:rPr>
            </w:pPr>
            <w:r w:rsidRPr="005F220A">
              <w:rPr>
                <w:rFonts w:ascii="Times New Roman" w:hAnsi="Times New Roman"/>
                <w:b/>
                <w:sz w:val="24"/>
              </w:rPr>
              <w:t>Línea activa</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D8E5" w14:textId="77777777" w:rsidR="00B20D52" w:rsidRPr="005F220A" w:rsidRDefault="00B20D52" w:rsidP="00306893">
            <w:pPr>
              <w:spacing w:after="120"/>
              <w:jc w:val="center"/>
              <w:rPr>
                <w:rFonts w:ascii="Times New Roman" w:hAnsi="Times New Roman"/>
                <w:b/>
                <w:sz w:val="24"/>
              </w:rPr>
            </w:pPr>
            <w:r w:rsidRPr="005F220A">
              <w:rPr>
                <w:rFonts w:ascii="Times New Roman" w:hAnsi="Times New Roman"/>
                <w:b/>
                <w:sz w:val="24"/>
              </w:rPr>
              <w:t>Línea medular</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CC4E6" w14:textId="463FEF6A" w:rsidR="00B20D52" w:rsidRPr="005F220A" w:rsidRDefault="00B20D52" w:rsidP="00306893">
            <w:pPr>
              <w:spacing w:after="120"/>
              <w:jc w:val="center"/>
              <w:rPr>
                <w:rFonts w:ascii="Times New Roman" w:hAnsi="Times New Roman"/>
                <w:b/>
                <w:sz w:val="24"/>
              </w:rPr>
            </w:pPr>
            <w:r w:rsidRPr="005F220A">
              <w:rPr>
                <w:rFonts w:ascii="Times New Roman" w:hAnsi="Times New Roman"/>
                <w:b/>
                <w:sz w:val="24"/>
              </w:rPr>
              <w:t xml:space="preserve">Campos de acción institucional </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A8120" w14:textId="3B8F0338" w:rsidR="00B20D52" w:rsidRPr="005F220A" w:rsidRDefault="006A73FD" w:rsidP="00306893">
            <w:pPr>
              <w:spacing w:after="120"/>
              <w:jc w:val="center"/>
              <w:rPr>
                <w:rFonts w:ascii="Times New Roman" w:hAnsi="Times New Roman"/>
                <w:b/>
                <w:sz w:val="24"/>
              </w:rPr>
            </w:pPr>
            <w:r>
              <w:rPr>
                <w:rFonts w:ascii="Times New Roman" w:hAnsi="Times New Roman"/>
                <w:b/>
                <w:sz w:val="24"/>
              </w:rPr>
              <w:t>Grupo</w:t>
            </w:r>
            <w:r w:rsidR="00B20D52" w:rsidRPr="005F220A">
              <w:rPr>
                <w:rFonts w:ascii="Times New Roman" w:hAnsi="Times New Roman"/>
                <w:b/>
                <w:sz w:val="24"/>
              </w:rPr>
              <w:t xml:space="preserve"> de investigación</w:t>
            </w:r>
          </w:p>
        </w:tc>
      </w:tr>
      <w:tr w:rsidR="00DC227A" w14:paraId="04E72985" w14:textId="77777777" w:rsidTr="00DC227A">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ED04669" w14:textId="543A7FD6" w:rsidR="005F220A" w:rsidRDefault="005126F3" w:rsidP="00306893">
            <w:pPr>
              <w:spacing w:after="120"/>
              <w:jc w:val="both"/>
              <w:rPr>
                <w:rFonts w:ascii="Times New Roman" w:hAnsi="Times New Roman"/>
                <w:sz w:val="24"/>
              </w:rPr>
            </w:pPr>
            <w:r w:rsidRPr="00F67B90">
              <w:rPr>
                <w:rFonts w:ascii="Times New Roman" w:hAnsi="Times New Roman"/>
                <w:sz w:val="24"/>
              </w:rPr>
              <w:t>Programa de Contaduría Pública.</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9E303" w14:textId="7C5FF821" w:rsidR="005F220A" w:rsidRDefault="005126F3" w:rsidP="00306893">
            <w:pPr>
              <w:spacing w:after="120"/>
              <w:jc w:val="both"/>
              <w:rPr>
                <w:rFonts w:ascii="Times New Roman" w:hAnsi="Times New Roman"/>
                <w:sz w:val="24"/>
              </w:rPr>
            </w:pPr>
            <w:r>
              <w:rPr>
                <w:rFonts w:ascii="Times New Roman" w:hAnsi="Times New Roman"/>
                <w:sz w:val="24"/>
              </w:rPr>
              <w:t>Facultad de Contaduría Pública.</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6E51F" w14:textId="34069E8E" w:rsidR="005F220A" w:rsidRDefault="005126F3" w:rsidP="00306893">
            <w:pPr>
              <w:spacing w:after="120"/>
              <w:jc w:val="both"/>
              <w:rPr>
                <w:rFonts w:ascii="Times New Roman" w:hAnsi="Times New Roman"/>
                <w:sz w:val="24"/>
              </w:rPr>
            </w:pPr>
            <w:r w:rsidRPr="005126F3">
              <w:rPr>
                <w:rFonts w:ascii="Times New Roman" w:hAnsi="Times New Roman"/>
                <w:sz w:val="24"/>
              </w:rPr>
              <w:t>Contabilidad: Disciplina, Epistemología y Educación Contable</w:t>
            </w:r>
            <w:r>
              <w:rPr>
                <w:rFonts w:ascii="Times New Roman" w:hAnsi="Times New Roman"/>
                <w:sz w:val="24"/>
              </w:rPr>
              <w:t>.</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0B9D8" w14:textId="22965A5B" w:rsidR="005F220A" w:rsidRPr="0029256D" w:rsidRDefault="00DC227A" w:rsidP="00306893">
            <w:pPr>
              <w:spacing w:after="120"/>
              <w:jc w:val="both"/>
              <w:rPr>
                <w:rFonts w:ascii="Times New Roman" w:hAnsi="Times New Roman"/>
                <w:sz w:val="24"/>
              </w:rPr>
            </w:pPr>
            <w:r w:rsidRPr="0029256D">
              <w:rPr>
                <w:rFonts w:ascii="Times New Roman" w:hAnsi="Times New Roman"/>
                <w:sz w:val="24"/>
              </w:rPr>
              <w:t>Louis Joseph Lebret (Sobre economía y humanismo)</w:t>
            </w:r>
            <w:r w:rsidR="005126F3" w:rsidRPr="0029256D">
              <w:rPr>
                <w:rFonts w:ascii="Times New Roman" w:hAnsi="Times New Roman"/>
                <w:sz w:val="24"/>
              </w:rPr>
              <w:t>.</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4256F" w14:textId="3CAAA93A" w:rsidR="005F220A" w:rsidRDefault="005F220A" w:rsidP="00306893">
            <w:pPr>
              <w:spacing w:after="120"/>
              <w:rPr>
                <w:rFonts w:ascii="Times New Roman" w:hAnsi="Times New Roman"/>
                <w:sz w:val="24"/>
              </w:rPr>
            </w:pPr>
            <w:r>
              <w:rPr>
                <w:rFonts w:ascii="Times New Roman" w:hAnsi="Times New Roman"/>
                <w:sz w:val="24"/>
              </w:rPr>
              <w:t>Cambio educativo y social desde</w:t>
            </w:r>
            <w:r w:rsidR="00DC227A">
              <w:rPr>
                <w:rFonts w:ascii="Times New Roman" w:hAnsi="Times New Roman"/>
                <w:sz w:val="24"/>
              </w:rPr>
              <w:t xml:space="preserve"> la multi e interculturalidad </w:t>
            </w:r>
            <w:r w:rsidR="00DC227A" w:rsidRPr="00DC227A">
              <w:rPr>
                <w:rFonts w:ascii="Times New Roman" w:hAnsi="Times New Roman"/>
                <w:b/>
                <w:sz w:val="24"/>
              </w:rPr>
              <w:t>(</w:t>
            </w:r>
            <w:r w:rsidR="005126F3" w:rsidRPr="00DC227A">
              <w:rPr>
                <w:rFonts w:ascii="Times New Roman" w:hAnsi="Times New Roman"/>
                <w:b/>
                <w:sz w:val="24"/>
              </w:rPr>
              <w:t>X</w:t>
            </w:r>
            <w:r w:rsidRPr="00DC227A">
              <w:rPr>
                <w:rFonts w:ascii="Times New Roman" w:hAnsi="Times New Roman"/>
                <w:b/>
                <w:sz w:val="24"/>
              </w:rPr>
              <w: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CF45C" w14:textId="5D2DBB48" w:rsidR="005F220A" w:rsidRDefault="007501E4" w:rsidP="00306893">
            <w:pPr>
              <w:spacing w:after="120"/>
              <w:jc w:val="both"/>
              <w:rPr>
                <w:rFonts w:ascii="Times New Roman" w:hAnsi="Times New Roman"/>
                <w:sz w:val="24"/>
              </w:rPr>
            </w:pPr>
            <w:r w:rsidRPr="007501E4">
              <w:rPr>
                <w:rFonts w:ascii="Times New Roman" w:hAnsi="Times New Roman"/>
                <w:sz w:val="24"/>
              </w:rPr>
              <w:t>Contaduría: Información, Control e Impacto Social</w:t>
            </w:r>
            <w:r>
              <w:rPr>
                <w:rFonts w:ascii="Times New Roman" w:hAnsi="Times New Roman"/>
                <w:sz w:val="24"/>
              </w:rPr>
              <w:t>.</w:t>
            </w:r>
          </w:p>
        </w:tc>
      </w:tr>
    </w:tbl>
    <w:p w14:paraId="2D12DB9B" w14:textId="3ABDB355" w:rsidR="000464C1" w:rsidRDefault="000464C1" w:rsidP="00306893">
      <w:pPr>
        <w:spacing w:after="120"/>
        <w:jc w:val="both"/>
        <w:rPr>
          <w:rFonts w:ascii="Times New Roman" w:hAnsi="Times New Roman"/>
          <w:sz w:val="24"/>
        </w:rPr>
      </w:pPr>
    </w:p>
    <w:p w14:paraId="061CE1E0" w14:textId="77777777" w:rsidR="006A73FD" w:rsidRPr="00BB1D7B" w:rsidRDefault="006A73FD" w:rsidP="006A73FD">
      <w:pPr>
        <w:spacing w:before="240"/>
        <w:jc w:val="both"/>
        <w:rPr>
          <w:rFonts w:ascii="Times New Roman" w:hAnsi="Times New Roman" w:cs="Times New Roman"/>
          <w:b/>
          <w:sz w:val="24"/>
          <w:szCs w:val="24"/>
        </w:rPr>
      </w:pPr>
      <w:r w:rsidRPr="00BB1D7B">
        <w:rPr>
          <w:rFonts w:ascii="Times New Roman" w:hAnsi="Times New Roman" w:cs="Times New Roman"/>
          <w:b/>
          <w:sz w:val="24"/>
          <w:szCs w:val="24"/>
        </w:rPr>
        <w:t>Equipo de investigación requerido</w:t>
      </w:r>
    </w:p>
    <w:p w14:paraId="1D11F9E9" w14:textId="77777777" w:rsidR="006A73FD" w:rsidRPr="00BB1D7B" w:rsidRDefault="006A73FD" w:rsidP="006A73FD">
      <w:pPr>
        <w:spacing w:before="240"/>
        <w:jc w:val="both"/>
        <w:rPr>
          <w:rFonts w:ascii="Times New Roman" w:hAnsi="Times New Roman" w:cs="Times New Roman"/>
          <w:sz w:val="24"/>
          <w:szCs w:val="24"/>
        </w:rPr>
      </w:pPr>
      <w:r w:rsidRPr="00BB1D7B">
        <w:rPr>
          <w:rFonts w:ascii="Times New Roman" w:hAnsi="Times New Roman" w:cs="Times New Roman"/>
          <w:sz w:val="24"/>
          <w:szCs w:val="24"/>
        </w:rPr>
        <w:t>Tres</w:t>
      </w:r>
      <w:r>
        <w:rPr>
          <w:rFonts w:ascii="Times New Roman" w:hAnsi="Times New Roman" w:cs="Times New Roman"/>
          <w:sz w:val="24"/>
          <w:szCs w:val="24"/>
        </w:rPr>
        <w:t xml:space="preserve"> i</w:t>
      </w:r>
      <w:r w:rsidRPr="00BB1D7B">
        <w:rPr>
          <w:rFonts w:ascii="Times New Roman" w:hAnsi="Times New Roman" w:cs="Times New Roman"/>
          <w:sz w:val="24"/>
          <w:szCs w:val="24"/>
        </w:rPr>
        <w:t xml:space="preserve">nvestigadores docentes de la Facultad </w:t>
      </w:r>
      <w:r>
        <w:rPr>
          <w:rFonts w:ascii="Times New Roman" w:hAnsi="Times New Roman" w:cs="Times New Roman"/>
          <w:sz w:val="24"/>
          <w:szCs w:val="24"/>
        </w:rPr>
        <w:t>de Contaduría Pública.</w:t>
      </w:r>
    </w:p>
    <w:p w14:paraId="55AD2793" w14:textId="77777777" w:rsidR="006A73FD" w:rsidRPr="00BB1D7B" w:rsidRDefault="006A73FD" w:rsidP="006A73FD">
      <w:pPr>
        <w:jc w:val="both"/>
        <w:rPr>
          <w:rFonts w:ascii="Times New Roman" w:hAnsi="Times New Roman" w:cs="Times New Roman"/>
          <w:b/>
          <w:sz w:val="24"/>
          <w:szCs w:val="24"/>
        </w:rPr>
      </w:pPr>
      <w:r w:rsidRPr="00BB1D7B">
        <w:rPr>
          <w:rFonts w:ascii="Times New Roman" w:hAnsi="Times New Roman" w:cs="Times New Roman"/>
          <w:b/>
          <w:sz w:val="24"/>
          <w:szCs w:val="24"/>
        </w:rPr>
        <w:t xml:space="preserve">Alianza estratégica </w:t>
      </w:r>
    </w:p>
    <w:p w14:paraId="6ED41AA0" w14:textId="77777777" w:rsidR="006A73FD" w:rsidRPr="00BB1D7B" w:rsidRDefault="006A73FD" w:rsidP="006A73FD">
      <w:pPr>
        <w:jc w:val="both"/>
        <w:rPr>
          <w:rFonts w:ascii="Times New Roman" w:hAnsi="Times New Roman" w:cs="Times New Roman"/>
          <w:sz w:val="24"/>
          <w:szCs w:val="24"/>
        </w:rPr>
      </w:pPr>
      <w:r w:rsidRPr="00BB1D7B">
        <w:rPr>
          <w:rFonts w:ascii="Times New Roman" w:hAnsi="Times New Roman" w:cs="Times New Roman"/>
          <w:sz w:val="24"/>
          <w:szCs w:val="24"/>
        </w:rPr>
        <w:t>No aplica</w:t>
      </w:r>
    </w:p>
    <w:p w14:paraId="613E9769" w14:textId="52A047C6" w:rsidR="005410B3" w:rsidRDefault="005410B3" w:rsidP="00306893">
      <w:pPr>
        <w:spacing w:after="120"/>
        <w:jc w:val="both"/>
        <w:rPr>
          <w:rFonts w:ascii="Times New Roman" w:hAnsi="Times New Roman"/>
          <w:sz w:val="24"/>
        </w:rPr>
      </w:pPr>
      <w:r w:rsidRPr="007501E4">
        <w:rPr>
          <w:rFonts w:ascii="Times New Roman" w:hAnsi="Times New Roman"/>
          <w:b/>
          <w:sz w:val="24"/>
        </w:rPr>
        <w:t>Resumen de la propuesta</w:t>
      </w:r>
      <w:r w:rsidR="004F21B2">
        <w:rPr>
          <w:rFonts w:ascii="Times New Roman" w:hAnsi="Times New Roman"/>
          <w:b/>
          <w:sz w:val="24"/>
        </w:rPr>
        <w:t>:</w:t>
      </w:r>
      <w:r>
        <w:rPr>
          <w:rFonts w:ascii="Times New Roman" w:hAnsi="Times New Roman"/>
          <w:sz w:val="24"/>
        </w:rPr>
        <w:t xml:space="preserve"> </w:t>
      </w:r>
    </w:p>
    <w:p w14:paraId="7DD150D0" w14:textId="5CD1F860" w:rsidR="009B5A80" w:rsidRDefault="008B6BC8" w:rsidP="00306893">
      <w:pPr>
        <w:spacing w:after="120"/>
        <w:jc w:val="both"/>
        <w:rPr>
          <w:rFonts w:ascii="Times New Roman" w:hAnsi="Times New Roman"/>
          <w:sz w:val="24"/>
          <w:szCs w:val="24"/>
        </w:rPr>
      </w:pPr>
      <w:r>
        <w:rPr>
          <w:rFonts w:ascii="Times New Roman" w:hAnsi="Times New Roman"/>
          <w:sz w:val="24"/>
          <w:szCs w:val="24"/>
        </w:rPr>
        <w:t xml:space="preserve">Los cambios en la normatividad contable, que se han producido en Colombia en el marco de </w:t>
      </w:r>
      <w:r w:rsidR="000464C1" w:rsidRPr="009C6783">
        <w:rPr>
          <w:rFonts w:ascii="Times New Roman" w:hAnsi="Times New Roman"/>
          <w:sz w:val="24"/>
          <w:szCs w:val="24"/>
        </w:rPr>
        <w:t xml:space="preserve">Ley 1314 de 2009 </w:t>
      </w:r>
      <w:r>
        <w:rPr>
          <w:rFonts w:ascii="Times New Roman" w:hAnsi="Times New Roman"/>
          <w:sz w:val="24"/>
          <w:szCs w:val="24"/>
        </w:rPr>
        <w:t>requieren evaluaciones amplias y adecuadamente fundamentadas. En este sentido, e</w:t>
      </w:r>
      <w:r w:rsidRPr="009C6783">
        <w:rPr>
          <w:rFonts w:ascii="Times New Roman" w:hAnsi="Times New Roman"/>
          <w:sz w:val="24"/>
          <w:szCs w:val="24"/>
        </w:rPr>
        <w:t>l presente proyecto es una propuesta de</w:t>
      </w:r>
      <w:r>
        <w:rPr>
          <w:rFonts w:ascii="Times New Roman" w:hAnsi="Times New Roman"/>
          <w:sz w:val="24"/>
          <w:szCs w:val="24"/>
        </w:rPr>
        <w:t xml:space="preserve"> estudio de </w:t>
      </w:r>
      <w:r w:rsidRPr="009C6783">
        <w:rPr>
          <w:rFonts w:ascii="Times New Roman" w:hAnsi="Times New Roman"/>
          <w:sz w:val="24"/>
          <w:szCs w:val="24"/>
        </w:rPr>
        <w:t>este proceso</w:t>
      </w:r>
      <w:r>
        <w:rPr>
          <w:rFonts w:ascii="Times New Roman" w:hAnsi="Times New Roman"/>
          <w:sz w:val="24"/>
          <w:szCs w:val="24"/>
        </w:rPr>
        <w:t xml:space="preserve"> en términos del análisis</w:t>
      </w:r>
      <w:r w:rsidR="00683202">
        <w:rPr>
          <w:rFonts w:ascii="Times New Roman" w:hAnsi="Times New Roman"/>
          <w:sz w:val="24"/>
          <w:szCs w:val="24"/>
        </w:rPr>
        <w:t xml:space="preserve"> (aumento/disminución)</w:t>
      </w:r>
      <w:r>
        <w:rPr>
          <w:rFonts w:ascii="Times New Roman" w:hAnsi="Times New Roman"/>
          <w:sz w:val="24"/>
          <w:szCs w:val="24"/>
        </w:rPr>
        <w:t xml:space="preserve"> de la </w:t>
      </w:r>
      <w:r w:rsidR="002E6CDF">
        <w:rPr>
          <w:rFonts w:ascii="Times New Roman" w:hAnsi="Times New Roman"/>
          <w:sz w:val="24"/>
          <w:szCs w:val="24"/>
        </w:rPr>
        <w:t>comparabilidad</w:t>
      </w:r>
      <w:r>
        <w:rPr>
          <w:rFonts w:ascii="Times New Roman" w:hAnsi="Times New Roman"/>
          <w:sz w:val="24"/>
          <w:szCs w:val="24"/>
        </w:rPr>
        <w:t xml:space="preserve"> d</w:t>
      </w:r>
      <w:r w:rsidRPr="009C6783">
        <w:rPr>
          <w:rFonts w:ascii="Times New Roman" w:hAnsi="Times New Roman"/>
          <w:sz w:val="24"/>
          <w:szCs w:val="24"/>
        </w:rPr>
        <w:t xml:space="preserve">e la información financiera de </w:t>
      </w:r>
      <w:r>
        <w:rPr>
          <w:rFonts w:ascii="Times New Roman" w:hAnsi="Times New Roman"/>
          <w:sz w:val="24"/>
          <w:szCs w:val="24"/>
        </w:rPr>
        <w:t xml:space="preserve">las </w:t>
      </w:r>
      <w:r w:rsidR="00683202">
        <w:rPr>
          <w:rFonts w:ascii="Times New Roman" w:hAnsi="Times New Roman"/>
          <w:sz w:val="24"/>
          <w:szCs w:val="24"/>
        </w:rPr>
        <w:t xml:space="preserve">grandes </w:t>
      </w:r>
      <w:r w:rsidRPr="009C6783">
        <w:rPr>
          <w:rFonts w:ascii="Times New Roman" w:hAnsi="Times New Roman"/>
          <w:sz w:val="24"/>
          <w:szCs w:val="24"/>
        </w:rPr>
        <w:t xml:space="preserve">empresas </w:t>
      </w:r>
      <w:r>
        <w:rPr>
          <w:rFonts w:ascii="Times New Roman" w:hAnsi="Times New Roman"/>
          <w:sz w:val="24"/>
          <w:szCs w:val="24"/>
        </w:rPr>
        <w:t>no financieras</w:t>
      </w:r>
      <w:r w:rsidR="00683202">
        <w:rPr>
          <w:rFonts w:ascii="Times New Roman" w:hAnsi="Times New Roman"/>
          <w:sz w:val="24"/>
          <w:szCs w:val="24"/>
        </w:rPr>
        <w:t xml:space="preserve"> para el periodo 2014 – 2017, </w:t>
      </w:r>
      <w:r w:rsidRPr="009C6783">
        <w:rPr>
          <w:rFonts w:ascii="Times New Roman" w:hAnsi="Times New Roman"/>
          <w:sz w:val="24"/>
          <w:szCs w:val="24"/>
        </w:rPr>
        <w:t xml:space="preserve">desde una perspectiva </w:t>
      </w:r>
      <w:r w:rsidR="00683202">
        <w:rPr>
          <w:rFonts w:ascii="Times New Roman" w:hAnsi="Times New Roman"/>
          <w:sz w:val="24"/>
          <w:szCs w:val="24"/>
        </w:rPr>
        <w:t>metodológica de carácter empírico</w:t>
      </w:r>
      <w:r w:rsidR="002E6CDF">
        <w:rPr>
          <w:rFonts w:ascii="Times New Roman" w:hAnsi="Times New Roman"/>
          <w:sz w:val="24"/>
          <w:szCs w:val="24"/>
        </w:rPr>
        <w:t>, a partir de la construcción de indic</w:t>
      </w:r>
      <w:r w:rsidR="009B6E34">
        <w:rPr>
          <w:rFonts w:ascii="Times New Roman" w:hAnsi="Times New Roman"/>
          <w:sz w:val="24"/>
          <w:szCs w:val="24"/>
        </w:rPr>
        <w:t xml:space="preserve">adores </w:t>
      </w:r>
      <w:r w:rsidR="002E6CDF">
        <w:rPr>
          <w:rFonts w:ascii="Times New Roman" w:hAnsi="Times New Roman"/>
          <w:sz w:val="24"/>
          <w:szCs w:val="24"/>
        </w:rPr>
        <w:t>asociados</w:t>
      </w:r>
      <w:r w:rsidR="00683202">
        <w:rPr>
          <w:rFonts w:ascii="Times New Roman" w:hAnsi="Times New Roman"/>
          <w:sz w:val="24"/>
          <w:szCs w:val="24"/>
        </w:rPr>
        <w:t xml:space="preserve">. </w:t>
      </w:r>
    </w:p>
    <w:p w14:paraId="47A8CF52" w14:textId="7CCEC5A2" w:rsidR="00F66971" w:rsidRDefault="00F66971" w:rsidP="00306893">
      <w:pPr>
        <w:spacing w:after="120"/>
        <w:jc w:val="both"/>
        <w:rPr>
          <w:rFonts w:ascii="Times New Roman" w:hAnsi="Times New Roman"/>
          <w:b/>
          <w:sz w:val="24"/>
        </w:rPr>
      </w:pPr>
    </w:p>
    <w:p w14:paraId="2380D9B4" w14:textId="212C9FFD" w:rsidR="002E6CDF" w:rsidRDefault="002E6CDF" w:rsidP="00306893">
      <w:pPr>
        <w:spacing w:after="120"/>
        <w:jc w:val="both"/>
        <w:rPr>
          <w:rFonts w:ascii="Times New Roman" w:hAnsi="Times New Roman"/>
          <w:b/>
          <w:sz w:val="24"/>
        </w:rPr>
      </w:pPr>
    </w:p>
    <w:p w14:paraId="48027F55" w14:textId="77777777" w:rsidR="002E6CDF" w:rsidRDefault="002E6CDF" w:rsidP="00306893">
      <w:pPr>
        <w:spacing w:after="120"/>
        <w:jc w:val="both"/>
        <w:rPr>
          <w:rFonts w:ascii="Times New Roman" w:hAnsi="Times New Roman"/>
          <w:b/>
          <w:sz w:val="24"/>
        </w:rPr>
      </w:pPr>
    </w:p>
    <w:p w14:paraId="1D5AABAB" w14:textId="43A90EC7" w:rsidR="004F21B2" w:rsidRDefault="005410B3" w:rsidP="00306893">
      <w:pPr>
        <w:spacing w:after="120"/>
        <w:jc w:val="both"/>
        <w:rPr>
          <w:rFonts w:ascii="Times New Roman" w:hAnsi="Times New Roman"/>
          <w:sz w:val="24"/>
        </w:rPr>
      </w:pPr>
      <w:r w:rsidRPr="007501E4">
        <w:rPr>
          <w:rFonts w:ascii="Times New Roman" w:hAnsi="Times New Roman"/>
          <w:b/>
          <w:sz w:val="24"/>
        </w:rPr>
        <w:lastRenderedPageBreak/>
        <w:t>Palabras clave</w:t>
      </w:r>
      <w:r w:rsidR="009B5A80">
        <w:rPr>
          <w:rFonts w:ascii="Times New Roman" w:hAnsi="Times New Roman"/>
          <w:b/>
          <w:sz w:val="24"/>
        </w:rPr>
        <w:t>:</w:t>
      </w:r>
      <w:r>
        <w:rPr>
          <w:rFonts w:ascii="Times New Roman" w:hAnsi="Times New Roman"/>
          <w:sz w:val="24"/>
        </w:rPr>
        <w:t xml:space="preserve"> </w:t>
      </w:r>
    </w:p>
    <w:p w14:paraId="394373E8" w14:textId="57E81086" w:rsidR="005410B3" w:rsidRDefault="00896180" w:rsidP="00306893">
      <w:pPr>
        <w:spacing w:after="120"/>
        <w:jc w:val="both"/>
        <w:rPr>
          <w:rFonts w:ascii="Times New Roman" w:hAnsi="Times New Roman"/>
          <w:sz w:val="24"/>
        </w:rPr>
      </w:pPr>
      <w:r>
        <w:rPr>
          <w:rFonts w:ascii="Times New Roman" w:hAnsi="Times New Roman"/>
          <w:sz w:val="24"/>
        </w:rPr>
        <w:t>Conta</w:t>
      </w:r>
      <w:r w:rsidR="004F21B2">
        <w:rPr>
          <w:rFonts w:ascii="Times New Roman" w:hAnsi="Times New Roman"/>
          <w:sz w:val="24"/>
        </w:rPr>
        <w:t xml:space="preserve">bilidad, </w:t>
      </w:r>
      <w:r w:rsidR="002E6CDF">
        <w:rPr>
          <w:rFonts w:ascii="Times New Roman" w:hAnsi="Times New Roman"/>
          <w:sz w:val="24"/>
        </w:rPr>
        <w:t>IFRS Plenas, Comparabilidad</w:t>
      </w:r>
      <w:r>
        <w:rPr>
          <w:rFonts w:ascii="Times New Roman" w:hAnsi="Times New Roman"/>
          <w:sz w:val="24"/>
        </w:rPr>
        <w:t>,</w:t>
      </w:r>
      <w:r w:rsidR="004F21B2">
        <w:rPr>
          <w:rFonts w:ascii="Times New Roman" w:hAnsi="Times New Roman"/>
          <w:sz w:val="24"/>
        </w:rPr>
        <w:t xml:space="preserve"> </w:t>
      </w:r>
      <w:r>
        <w:rPr>
          <w:rFonts w:ascii="Times New Roman" w:hAnsi="Times New Roman"/>
          <w:sz w:val="24"/>
        </w:rPr>
        <w:t>Empresas</w:t>
      </w:r>
      <w:r w:rsidR="00157615">
        <w:rPr>
          <w:rFonts w:ascii="Times New Roman" w:hAnsi="Times New Roman"/>
          <w:sz w:val="24"/>
        </w:rPr>
        <w:t xml:space="preserve"> Colombianas</w:t>
      </w:r>
      <w:r w:rsidR="002E6CDF">
        <w:rPr>
          <w:rFonts w:ascii="Times New Roman" w:hAnsi="Times New Roman"/>
          <w:sz w:val="24"/>
        </w:rPr>
        <w:t xml:space="preserve"> No Financieras</w:t>
      </w:r>
      <w:r>
        <w:rPr>
          <w:rFonts w:ascii="Times New Roman" w:hAnsi="Times New Roman"/>
          <w:sz w:val="24"/>
        </w:rPr>
        <w:t xml:space="preserve"> </w:t>
      </w:r>
    </w:p>
    <w:p w14:paraId="06949B61" w14:textId="3A3BF99F" w:rsidR="009B5A80" w:rsidRDefault="009B5A80" w:rsidP="00306893">
      <w:pPr>
        <w:spacing w:after="120"/>
        <w:jc w:val="both"/>
        <w:rPr>
          <w:rFonts w:ascii="Times New Roman" w:hAnsi="Times New Roman"/>
          <w:b/>
          <w:sz w:val="24"/>
        </w:rPr>
      </w:pPr>
    </w:p>
    <w:p w14:paraId="74AB4836" w14:textId="77777777" w:rsidR="004F21B2" w:rsidRDefault="005410B3" w:rsidP="00306893">
      <w:pPr>
        <w:spacing w:after="120"/>
        <w:jc w:val="both"/>
        <w:rPr>
          <w:rFonts w:ascii="Times New Roman" w:hAnsi="Times New Roman"/>
          <w:b/>
          <w:sz w:val="24"/>
        </w:rPr>
      </w:pPr>
      <w:r w:rsidRPr="007501E4">
        <w:rPr>
          <w:rFonts w:ascii="Times New Roman" w:hAnsi="Times New Roman"/>
          <w:b/>
          <w:sz w:val="24"/>
        </w:rPr>
        <w:t>Planteamiento del problema y pregunta de investigación</w:t>
      </w:r>
      <w:r w:rsidR="004F21B2">
        <w:rPr>
          <w:rFonts w:ascii="Times New Roman" w:hAnsi="Times New Roman"/>
          <w:b/>
          <w:sz w:val="24"/>
        </w:rPr>
        <w:t>:</w:t>
      </w:r>
    </w:p>
    <w:p w14:paraId="36104946" w14:textId="5E80C9F0" w:rsidR="000E030D" w:rsidRDefault="00293895" w:rsidP="00306893">
      <w:pPr>
        <w:spacing w:after="120"/>
        <w:jc w:val="both"/>
        <w:rPr>
          <w:rFonts w:ascii="Times New Roman" w:hAnsi="Times New Roman"/>
          <w:sz w:val="24"/>
        </w:rPr>
      </w:pPr>
      <w:r>
        <w:rPr>
          <w:rFonts w:ascii="Times New Roman" w:hAnsi="Times New Roman"/>
          <w:sz w:val="24"/>
        </w:rPr>
        <w:t xml:space="preserve">La implementación de las IFRS </w:t>
      </w:r>
      <w:r w:rsidR="009843F0">
        <w:rPr>
          <w:rFonts w:ascii="Times New Roman" w:hAnsi="Times New Roman"/>
          <w:sz w:val="24"/>
        </w:rPr>
        <w:t>P</w:t>
      </w:r>
      <w:r>
        <w:rPr>
          <w:rFonts w:ascii="Times New Roman" w:hAnsi="Times New Roman"/>
          <w:sz w:val="24"/>
        </w:rPr>
        <w:t xml:space="preserve">lenas es un cambio </w:t>
      </w:r>
      <w:r w:rsidR="000E030D">
        <w:rPr>
          <w:rFonts w:ascii="Times New Roman" w:hAnsi="Times New Roman"/>
          <w:sz w:val="24"/>
        </w:rPr>
        <w:t>fundamental</w:t>
      </w:r>
      <w:r>
        <w:rPr>
          <w:rFonts w:ascii="Times New Roman" w:hAnsi="Times New Roman"/>
          <w:sz w:val="24"/>
        </w:rPr>
        <w:t xml:space="preserve"> en el marco general del sistema de regulación contable y las prácticas sobre elaboración y revelación de información financiera en Colombia</w:t>
      </w:r>
      <w:r w:rsidR="00683202">
        <w:rPr>
          <w:rFonts w:ascii="Times New Roman" w:hAnsi="Times New Roman"/>
          <w:sz w:val="24"/>
        </w:rPr>
        <w:t xml:space="preserve"> </w:t>
      </w:r>
      <w:sdt>
        <w:sdtPr>
          <w:rPr>
            <w:rFonts w:ascii="Times New Roman" w:hAnsi="Times New Roman"/>
            <w:sz w:val="24"/>
          </w:rPr>
          <w:id w:val="-517773672"/>
          <w:citation/>
        </w:sdtPr>
        <w:sdtEndPr/>
        <w:sdtContent>
          <w:r w:rsidR="00CC1DB6">
            <w:rPr>
              <w:rFonts w:ascii="Times New Roman" w:hAnsi="Times New Roman"/>
              <w:sz w:val="24"/>
            </w:rPr>
            <w:fldChar w:fldCharType="begin"/>
          </w:r>
          <w:r w:rsidR="00CC1DB6">
            <w:rPr>
              <w:rFonts w:ascii="Times New Roman" w:hAnsi="Times New Roman"/>
              <w:sz w:val="24"/>
            </w:rPr>
            <w:instrText xml:space="preserve"> CITATION Gar12 \l 9226 </w:instrText>
          </w:r>
          <w:r w:rsidR="00CC1DB6">
            <w:rPr>
              <w:rFonts w:ascii="Times New Roman" w:hAnsi="Times New Roman"/>
              <w:sz w:val="24"/>
            </w:rPr>
            <w:fldChar w:fldCharType="separate"/>
          </w:r>
          <w:r w:rsidR="003A4BC7" w:rsidRPr="003A4BC7">
            <w:rPr>
              <w:rFonts w:ascii="Times New Roman" w:hAnsi="Times New Roman"/>
              <w:noProof/>
              <w:sz w:val="24"/>
            </w:rPr>
            <w:t>(García &amp; Sierra, 2012)</w:t>
          </w:r>
          <w:r w:rsidR="00CC1DB6">
            <w:rPr>
              <w:rFonts w:ascii="Times New Roman" w:hAnsi="Times New Roman"/>
              <w:sz w:val="24"/>
            </w:rPr>
            <w:fldChar w:fldCharType="end"/>
          </w:r>
        </w:sdtContent>
      </w:sdt>
      <w:r w:rsidR="00CC1DB6">
        <w:rPr>
          <w:rFonts w:ascii="Times New Roman" w:hAnsi="Times New Roman"/>
          <w:sz w:val="24"/>
        </w:rPr>
        <w:t xml:space="preserve">. </w:t>
      </w:r>
      <w:r>
        <w:rPr>
          <w:rFonts w:ascii="Times New Roman" w:hAnsi="Times New Roman"/>
          <w:sz w:val="24"/>
        </w:rPr>
        <w:t xml:space="preserve">La </w:t>
      </w:r>
      <w:r w:rsidR="009843F0">
        <w:rPr>
          <w:rFonts w:ascii="Times New Roman" w:hAnsi="Times New Roman"/>
          <w:sz w:val="24"/>
        </w:rPr>
        <w:t>convergencia con</w:t>
      </w:r>
      <w:r>
        <w:rPr>
          <w:rFonts w:ascii="Times New Roman" w:hAnsi="Times New Roman"/>
          <w:sz w:val="24"/>
        </w:rPr>
        <w:t xml:space="preserve"> estos estándares tiene por objeto aume</w:t>
      </w:r>
      <w:r w:rsidR="009843F0">
        <w:rPr>
          <w:rFonts w:ascii="Times New Roman" w:hAnsi="Times New Roman"/>
          <w:sz w:val="24"/>
        </w:rPr>
        <w:t>ntar</w:t>
      </w:r>
      <w:r>
        <w:rPr>
          <w:rFonts w:ascii="Times New Roman" w:hAnsi="Times New Roman"/>
          <w:sz w:val="24"/>
        </w:rPr>
        <w:t xml:space="preserve"> </w:t>
      </w:r>
      <w:r w:rsidR="007141AC">
        <w:rPr>
          <w:rFonts w:ascii="Times New Roman" w:hAnsi="Times New Roman"/>
          <w:sz w:val="24"/>
        </w:rPr>
        <w:t xml:space="preserve">la </w:t>
      </w:r>
      <w:r>
        <w:rPr>
          <w:rFonts w:ascii="Times New Roman" w:hAnsi="Times New Roman"/>
          <w:sz w:val="24"/>
        </w:rPr>
        <w:t>calidad de los reportes financieros</w:t>
      </w:r>
      <w:r w:rsidR="009843F0">
        <w:rPr>
          <w:rFonts w:ascii="Times New Roman" w:hAnsi="Times New Roman"/>
          <w:sz w:val="24"/>
        </w:rPr>
        <w:t xml:space="preserve"> de las empresas, entendida como una mejora en sus características cualitativas: fiabilidad, relevancia, </w:t>
      </w:r>
      <w:r w:rsidR="007141AC">
        <w:rPr>
          <w:rFonts w:ascii="Times New Roman" w:hAnsi="Times New Roman"/>
          <w:sz w:val="24"/>
        </w:rPr>
        <w:t xml:space="preserve">verificabilidad, </w:t>
      </w:r>
      <w:r w:rsidR="002E6CDF">
        <w:rPr>
          <w:rFonts w:ascii="Times New Roman" w:hAnsi="Times New Roman"/>
          <w:sz w:val="24"/>
        </w:rPr>
        <w:t xml:space="preserve">comparabilidad, </w:t>
      </w:r>
      <w:r w:rsidR="007141AC">
        <w:rPr>
          <w:rFonts w:ascii="Times New Roman" w:hAnsi="Times New Roman"/>
          <w:sz w:val="24"/>
        </w:rPr>
        <w:t xml:space="preserve">entre otras. </w:t>
      </w:r>
    </w:p>
    <w:p w14:paraId="72507A6D" w14:textId="77777777" w:rsidR="008B6BC8" w:rsidRDefault="008B6BC8" w:rsidP="00306893">
      <w:pPr>
        <w:spacing w:after="120"/>
        <w:jc w:val="both"/>
        <w:rPr>
          <w:rFonts w:ascii="Times New Roman" w:hAnsi="Times New Roman"/>
          <w:sz w:val="24"/>
        </w:rPr>
      </w:pPr>
    </w:p>
    <w:p w14:paraId="6BC2602C" w14:textId="47112C8C" w:rsidR="005410B3" w:rsidRDefault="009843F0" w:rsidP="00306893">
      <w:pPr>
        <w:spacing w:after="120"/>
        <w:jc w:val="both"/>
        <w:rPr>
          <w:rFonts w:ascii="Times New Roman" w:hAnsi="Times New Roman"/>
          <w:sz w:val="24"/>
        </w:rPr>
      </w:pPr>
      <w:r>
        <w:rPr>
          <w:rFonts w:ascii="Times New Roman" w:hAnsi="Times New Roman"/>
          <w:sz w:val="24"/>
        </w:rPr>
        <w:t xml:space="preserve">La </w:t>
      </w:r>
      <w:r w:rsidR="002E6CDF">
        <w:rPr>
          <w:rFonts w:ascii="Times New Roman" w:hAnsi="Times New Roman"/>
          <w:sz w:val="24"/>
        </w:rPr>
        <w:t>comparabilidad</w:t>
      </w:r>
      <w:r w:rsidR="009B6E34">
        <w:rPr>
          <w:rFonts w:ascii="Times New Roman" w:hAnsi="Times New Roman"/>
          <w:sz w:val="24"/>
        </w:rPr>
        <w:t>, en particular,</w:t>
      </w:r>
      <w:r w:rsidR="007141AC">
        <w:rPr>
          <w:rFonts w:ascii="Times New Roman" w:hAnsi="Times New Roman"/>
          <w:sz w:val="24"/>
        </w:rPr>
        <w:t xml:space="preserve"> es una característica</w:t>
      </w:r>
      <w:r w:rsidR="002E6CDF">
        <w:rPr>
          <w:rFonts w:ascii="Times New Roman" w:hAnsi="Times New Roman"/>
          <w:sz w:val="24"/>
        </w:rPr>
        <w:t xml:space="preserve"> cualitativa</w:t>
      </w:r>
      <w:r w:rsidR="00157615">
        <w:rPr>
          <w:rFonts w:ascii="Times New Roman" w:hAnsi="Times New Roman"/>
          <w:sz w:val="24"/>
        </w:rPr>
        <w:t xml:space="preserve"> </w:t>
      </w:r>
      <w:r>
        <w:rPr>
          <w:rFonts w:ascii="Times New Roman" w:hAnsi="Times New Roman"/>
          <w:sz w:val="24"/>
        </w:rPr>
        <w:t xml:space="preserve">que </w:t>
      </w:r>
      <w:r w:rsidR="00157615">
        <w:rPr>
          <w:rFonts w:ascii="Times New Roman" w:hAnsi="Times New Roman"/>
          <w:sz w:val="24"/>
        </w:rPr>
        <w:t xml:space="preserve">se </w:t>
      </w:r>
      <w:r w:rsidR="007141AC">
        <w:rPr>
          <w:rFonts w:ascii="Times New Roman" w:hAnsi="Times New Roman"/>
          <w:sz w:val="24"/>
        </w:rPr>
        <w:t xml:space="preserve">refiere a </w:t>
      </w:r>
      <w:r w:rsidR="002E6CDF">
        <w:rPr>
          <w:rFonts w:ascii="Times New Roman" w:hAnsi="Times New Roman"/>
          <w:sz w:val="24"/>
        </w:rPr>
        <w:t xml:space="preserve">la </w:t>
      </w:r>
      <w:r w:rsidR="007141AC">
        <w:rPr>
          <w:rFonts w:ascii="Times New Roman" w:hAnsi="Times New Roman"/>
          <w:sz w:val="24"/>
        </w:rPr>
        <w:t xml:space="preserve">oportunidad </w:t>
      </w:r>
      <w:r w:rsidR="002E6CDF">
        <w:rPr>
          <w:rFonts w:ascii="Times New Roman" w:hAnsi="Times New Roman"/>
          <w:sz w:val="24"/>
        </w:rPr>
        <w:t>con la cual, a partir de una información financiera determinada, los usuarios de la misma identifican y comprenden similitudes y diferencias entre partidas. La comparabilidad es una mejora de las características básicas de relevancia y representación fiel</w:t>
      </w:r>
      <w:r w:rsidR="00F37EFE">
        <w:rPr>
          <w:rFonts w:ascii="Times New Roman" w:hAnsi="Times New Roman"/>
          <w:sz w:val="24"/>
        </w:rPr>
        <w:t xml:space="preserve"> </w:t>
      </w:r>
      <w:sdt>
        <w:sdtPr>
          <w:rPr>
            <w:rFonts w:ascii="Times New Roman" w:hAnsi="Times New Roman"/>
            <w:sz w:val="24"/>
          </w:rPr>
          <w:id w:val="-1864128765"/>
          <w:citation/>
        </w:sdtPr>
        <w:sdtEndPr/>
        <w:sdtContent>
          <w:r w:rsidR="00F37EFE">
            <w:rPr>
              <w:rFonts w:ascii="Times New Roman" w:hAnsi="Times New Roman"/>
              <w:sz w:val="24"/>
            </w:rPr>
            <w:fldChar w:fldCharType="begin"/>
          </w:r>
          <w:r w:rsidR="00883D2D">
            <w:rPr>
              <w:rFonts w:ascii="Times New Roman" w:hAnsi="Times New Roman"/>
              <w:sz w:val="24"/>
            </w:rPr>
            <w:instrText xml:space="preserve">CITATION Int10 \l 9226 </w:instrText>
          </w:r>
          <w:r w:rsidR="00F37EFE">
            <w:rPr>
              <w:rFonts w:ascii="Times New Roman" w:hAnsi="Times New Roman"/>
              <w:sz w:val="24"/>
            </w:rPr>
            <w:fldChar w:fldCharType="separate"/>
          </w:r>
          <w:r w:rsidR="003A4BC7" w:rsidRPr="003A4BC7">
            <w:rPr>
              <w:rFonts w:ascii="Times New Roman" w:hAnsi="Times New Roman"/>
              <w:noProof/>
              <w:sz w:val="24"/>
            </w:rPr>
            <w:t>(International Accounting Standards Board, 2010)</w:t>
          </w:r>
          <w:r w:rsidR="00F37EFE">
            <w:rPr>
              <w:rFonts w:ascii="Times New Roman" w:hAnsi="Times New Roman"/>
              <w:sz w:val="24"/>
            </w:rPr>
            <w:fldChar w:fldCharType="end"/>
          </w:r>
        </w:sdtContent>
      </w:sdt>
      <w:r w:rsidR="007141AC">
        <w:rPr>
          <w:rFonts w:ascii="Times New Roman" w:hAnsi="Times New Roman"/>
          <w:sz w:val="24"/>
        </w:rPr>
        <w:t xml:space="preserve">. </w:t>
      </w:r>
      <w:r w:rsidR="00CA2E01">
        <w:rPr>
          <w:rFonts w:ascii="Times New Roman" w:hAnsi="Times New Roman"/>
          <w:sz w:val="24"/>
        </w:rPr>
        <w:t xml:space="preserve">En este sentido, la pregunta de investigación es: </w:t>
      </w:r>
      <w:r w:rsidR="00B27ED7">
        <w:rPr>
          <w:rFonts w:ascii="Times New Roman" w:hAnsi="Times New Roman"/>
          <w:sz w:val="24"/>
        </w:rPr>
        <w:t>¿Qué</w:t>
      </w:r>
      <w:r w:rsidR="00CA2E01">
        <w:rPr>
          <w:rFonts w:ascii="Times New Roman" w:hAnsi="Times New Roman"/>
          <w:sz w:val="24"/>
        </w:rPr>
        <w:t xml:space="preserve"> </w:t>
      </w:r>
      <w:r w:rsidR="00B27ED7">
        <w:rPr>
          <w:rFonts w:ascii="Times New Roman" w:hAnsi="Times New Roman"/>
          <w:sz w:val="24"/>
        </w:rPr>
        <w:t xml:space="preserve">resultados </w:t>
      </w:r>
      <w:r w:rsidR="00A76D24">
        <w:rPr>
          <w:rFonts w:ascii="Times New Roman" w:hAnsi="Times New Roman"/>
          <w:sz w:val="24"/>
        </w:rPr>
        <w:t xml:space="preserve">económicos </w:t>
      </w:r>
      <w:r w:rsidR="00B27ED7">
        <w:rPr>
          <w:rFonts w:ascii="Times New Roman" w:hAnsi="Times New Roman"/>
          <w:sz w:val="24"/>
        </w:rPr>
        <w:t>de corto plazo,</w:t>
      </w:r>
      <w:r w:rsidR="007141AC">
        <w:rPr>
          <w:rFonts w:ascii="Times New Roman" w:hAnsi="Times New Roman"/>
          <w:sz w:val="24"/>
        </w:rPr>
        <w:t xml:space="preserve"> periodo 2014-2017,</w:t>
      </w:r>
      <w:r w:rsidR="00B27ED7">
        <w:rPr>
          <w:rFonts w:ascii="Times New Roman" w:hAnsi="Times New Roman"/>
          <w:sz w:val="24"/>
        </w:rPr>
        <w:t xml:space="preserve"> se </w:t>
      </w:r>
      <w:r w:rsidR="00CA2E01">
        <w:rPr>
          <w:rFonts w:ascii="Times New Roman" w:hAnsi="Times New Roman"/>
          <w:sz w:val="24"/>
        </w:rPr>
        <w:t>ha</w:t>
      </w:r>
      <w:r w:rsidR="007141AC">
        <w:rPr>
          <w:rFonts w:ascii="Times New Roman" w:hAnsi="Times New Roman"/>
          <w:sz w:val="24"/>
        </w:rPr>
        <w:t xml:space="preserve">n producido en la </w:t>
      </w:r>
      <w:r w:rsidR="000D6FB7">
        <w:rPr>
          <w:rFonts w:ascii="Times New Roman" w:hAnsi="Times New Roman"/>
          <w:sz w:val="24"/>
        </w:rPr>
        <w:t>comparabilidad</w:t>
      </w:r>
      <w:r w:rsidR="00B27ED7">
        <w:rPr>
          <w:rFonts w:ascii="Times New Roman" w:hAnsi="Times New Roman"/>
          <w:sz w:val="24"/>
        </w:rPr>
        <w:t xml:space="preserve"> de la información financiera publicada por las </w:t>
      </w:r>
      <w:r w:rsidR="007141AC">
        <w:rPr>
          <w:rFonts w:ascii="Times New Roman" w:hAnsi="Times New Roman"/>
          <w:sz w:val="24"/>
        </w:rPr>
        <w:t xml:space="preserve">grandes </w:t>
      </w:r>
      <w:r w:rsidR="00B27ED7">
        <w:rPr>
          <w:rFonts w:ascii="Times New Roman" w:hAnsi="Times New Roman"/>
          <w:sz w:val="24"/>
        </w:rPr>
        <w:t xml:space="preserve">empresas </w:t>
      </w:r>
      <w:r w:rsidR="007141AC">
        <w:rPr>
          <w:rFonts w:ascii="Times New Roman" w:hAnsi="Times New Roman"/>
          <w:sz w:val="24"/>
        </w:rPr>
        <w:t xml:space="preserve">no financieras </w:t>
      </w:r>
      <w:r w:rsidR="00B27ED7">
        <w:rPr>
          <w:rFonts w:ascii="Times New Roman" w:hAnsi="Times New Roman"/>
          <w:sz w:val="24"/>
        </w:rPr>
        <w:t>colombianas</w:t>
      </w:r>
      <w:r w:rsidR="00FB6C47">
        <w:rPr>
          <w:rFonts w:ascii="Times New Roman" w:hAnsi="Times New Roman"/>
          <w:sz w:val="24"/>
        </w:rPr>
        <w:t>, especialmente las que captan recursos en la Bolsa de Valores de Colombia,</w:t>
      </w:r>
      <w:r w:rsidR="00B27ED7">
        <w:rPr>
          <w:rFonts w:ascii="Times New Roman" w:hAnsi="Times New Roman"/>
          <w:sz w:val="24"/>
        </w:rPr>
        <w:t xml:space="preserve"> a raí</w:t>
      </w:r>
      <w:r w:rsidR="007141AC">
        <w:rPr>
          <w:rFonts w:ascii="Times New Roman" w:hAnsi="Times New Roman"/>
          <w:sz w:val="24"/>
        </w:rPr>
        <w:t>z de la aplicación de las IFRS P</w:t>
      </w:r>
      <w:r w:rsidR="00B27ED7">
        <w:rPr>
          <w:rFonts w:ascii="Times New Roman" w:hAnsi="Times New Roman"/>
          <w:sz w:val="24"/>
        </w:rPr>
        <w:t>lenas</w:t>
      </w:r>
      <w:r w:rsidR="00063DF9">
        <w:rPr>
          <w:rFonts w:ascii="Times New Roman" w:hAnsi="Times New Roman"/>
          <w:sz w:val="24"/>
        </w:rPr>
        <w:t>, en los rubros de inventarios y propiedades, planta y equipo</w:t>
      </w:r>
      <w:r w:rsidR="00B27ED7">
        <w:rPr>
          <w:rFonts w:ascii="Times New Roman" w:hAnsi="Times New Roman"/>
          <w:sz w:val="24"/>
        </w:rPr>
        <w:t>?</w:t>
      </w:r>
      <w:r w:rsidR="00CA2E01">
        <w:rPr>
          <w:rFonts w:ascii="Times New Roman" w:hAnsi="Times New Roman"/>
          <w:sz w:val="24"/>
        </w:rPr>
        <w:t xml:space="preserve"> </w:t>
      </w:r>
    </w:p>
    <w:p w14:paraId="3F0F3F35" w14:textId="77777777" w:rsidR="00B27ED7" w:rsidRDefault="00B27ED7" w:rsidP="00306893">
      <w:pPr>
        <w:spacing w:after="120"/>
        <w:jc w:val="both"/>
        <w:rPr>
          <w:rFonts w:ascii="Times New Roman" w:hAnsi="Times New Roman"/>
          <w:b/>
          <w:sz w:val="24"/>
        </w:rPr>
      </w:pPr>
    </w:p>
    <w:p w14:paraId="1AF07079" w14:textId="5D9F305D" w:rsidR="005410B3" w:rsidRPr="007501E4" w:rsidRDefault="005410B3" w:rsidP="00306893">
      <w:pPr>
        <w:spacing w:after="120"/>
        <w:jc w:val="both"/>
        <w:rPr>
          <w:rFonts w:ascii="Times New Roman" w:hAnsi="Times New Roman"/>
          <w:b/>
          <w:sz w:val="24"/>
        </w:rPr>
      </w:pPr>
      <w:r w:rsidRPr="007501E4">
        <w:rPr>
          <w:rFonts w:ascii="Times New Roman" w:hAnsi="Times New Roman"/>
          <w:b/>
          <w:sz w:val="24"/>
        </w:rPr>
        <w:t>Justificación</w:t>
      </w:r>
      <w:r w:rsidR="009B5A80">
        <w:rPr>
          <w:rFonts w:ascii="Times New Roman" w:hAnsi="Times New Roman"/>
          <w:b/>
          <w:sz w:val="24"/>
        </w:rPr>
        <w:t>:</w:t>
      </w:r>
      <w:r w:rsidRPr="007501E4">
        <w:rPr>
          <w:rFonts w:ascii="Times New Roman" w:hAnsi="Times New Roman"/>
          <w:b/>
          <w:sz w:val="24"/>
        </w:rPr>
        <w:t xml:space="preserve"> </w:t>
      </w:r>
    </w:p>
    <w:p w14:paraId="509B52DF" w14:textId="3D8CC07F" w:rsidR="00B27ED7" w:rsidRPr="00257DDB" w:rsidRDefault="00B27ED7" w:rsidP="00B27ED7">
      <w:pPr>
        <w:spacing w:after="120"/>
        <w:jc w:val="both"/>
        <w:rPr>
          <w:rFonts w:ascii="Times New Roman" w:hAnsi="Times New Roman"/>
          <w:sz w:val="24"/>
        </w:rPr>
      </w:pPr>
      <w:r>
        <w:rPr>
          <w:rFonts w:ascii="Times New Roman" w:hAnsi="Times New Roman"/>
          <w:sz w:val="24"/>
        </w:rPr>
        <w:t>La implementación de las IFRS plenas es un proceso primordial para el mercado de servicios, la educación y la legislación sobre la contabilidad financiera en Colombia. Ha significado</w:t>
      </w:r>
      <w:r w:rsidR="004D2C17">
        <w:rPr>
          <w:rFonts w:ascii="Times New Roman" w:hAnsi="Times New Roman"/>
          <w:sz w:val="24"/>
        </w:rPr>
        <w:t xml:space="preserve"> </w:t>
      </w:r>
      <w:r>
        <w:rPr>
          <w:rFonts w:ascii="Times New Roman" w:hAnsi="Times New Roman"/>
          <w:sz w:val="24"/>
        </w:rPr>
        <w:t>una modificación de la naturaleza y las funciones de distintas organizaciones asociadas al proceso de regulación contable</w:t>
      </w:r>
      <w:r w:rsidR="004D2C17">
        <w:rPr>
          <w:rFonts w:ascii="Times New Roman" w:hAnsi="Times New Roman"/>
          <w:sz w:val="24"/>
        </w:rPr>
        <w:t>, por ejemplo, el Consejo Técnico de la Contaduría Pública. Entonces es necesario validar, de</w:t>
      </w:r>
      <w:r w:rsidR="000E030D">
        <w:rPr>
          <w:rFonts w:ascii="Times New Roman" w:hAnsi="Times New Roman"/>
          <w:sz w:val="24"/>
        </w:rPr>
        <w:t>sde una perspectiva empírica</w:t>
      </w:r>
      <w:r w:rsidR="004D2C17">
        <w:rPr>
          <w:rFonts w:ascii="Times New Roman" w:hAnsi="Times New Roman"/>
          <w:sz w:val="24"/>
        </w:rPr>
        <w:t xml:space="preserve">, apoyada en </w:t>
      </w:r>
      <w:r w:rsidR="00157615">
        <w:rPr>
          <w:rFonts w:ascii="Times New Roman" w:hAnsi="Times New Roman"/>
          <w:sz w:val="24"/>
        </w:rPr>
        <w:t xml:space="preserve">los </w:t>
      </w:r>
      <w:r w:rsidR="004D2C17">
        <w:rPr>
          <w:rFonts w:ascii="Times New Roman" w:hAnsi="Times New Roman"/>
          <w:sz w:val="24"/>
        </w:rPr>
        <w:t xml:space="preserve">datos de las empresas, cómo se ha dado este proceso y cuales han sido sus resultados iniciales, en términos de </w:t>
      </w:r>
      <w:r w:rsidR="00157615">
        <w:rPr>
          <w:rFonts w:ascii="Times New Roman" w:hAnsi="Times New Roman"/>
          <w:sz w:val="24"/>
        </w:rPr>
        <w:t xml:space="preserve">la </w:t>
      </w:r>
      <w:r w:rsidR="000D6FB7">
        <w:rPr>
          <w:rFonts w:ascii="Times New Roman" w:hAnsi="Times New Roman"/>
          <w:sz w:val="24"/>
        </w:rPr>
        <w:t>comparabilidad</w:t>
      </w:r>
      <w:r w:rsidR="00FB6C47">
        <w:rPr>
          <w:rFonts w:ascii="Times New Roman" w:hAnsi="Times New Roman"/>
          <w:sz w:val="24"/>
        </w:rPr>
        <w:t xml:space="preserve"> </w:t>
      </w:r>
      <w:r w:rsidR="004D2C17">
        <w:rPr>
          <w:rFonts w:ascii="Times New Roman" w:hAnsi="Times New Roman"/>
          <w:sz w:val="24"/>
        </w:rPr>
        <w:t xml:space="preserve">de la información financiera.  </w:t>
      </w:r>
    </w:p>
    <w:p w14:paraId="7981202B" w14:textId="5BC1977C" w:rsidR="000464C1" w:rsidRDefault="000464C1" w:rsidP="00306893">
      <w:pPr>
        <w:spacing w:after="120"/>
        <w:jc w:val="both"/>
        <w:rPr>
          <w:rFonts w:ascii="Times New Roman" w:hAnsi="Times New Roman"/>
          <w:b/>
          <w:sz w:val="24"/>
        </w:rPr>
      </w:pPr>
    </w:p>
    <w:p w14:paraId="2CDD5799" w14:textId="42766378" w:rsidR="000D6FB7" w:rsidRDefault="000D6FB7" w:rsidP="00306893">
      <w:pPr>
        <w:spacing w:after="120"/>
        <w:jc w:val="both"/>
        <w:rPr>
          <w:rFonts w:ascii="Times New Roman" w:hAnsi="Times New Roman"/>
          <w:b/>
          <w:sz w:val="24"/>
        </w:rPr>
      </w:pPr>
    </w:p>
    <w:p w14:paraId="52D2D918" w14:textId="7DDF5A23" w:rsidR="000D6FB7" w:rsidRDefault="000D6FB7" w:rsidP="00306893">
      <w:pPr>
        <w:spacing w:after="120"/>
        <w:jc w:val="both"/>
        <w:rPr>
          <w:rFonts w:ascii="Times New Roman" w:hAnsi="Times New Roman"/>
          <w:b/>
          <w:sz w:val="24"/>
        </w:rPr>
      </w:pPr>
    </w:p>
    <w:p w14:paraId="1517886F" w14:textId="72FD465C" w:rsidR="005410B3" w:rsidRDefault="005410B3" w:rsidP="00306893">
      <w:pPr>
        <w:spacing w:after="120"/>
        <w:jc w:val="both"/>
        <w:rPr>
          <w:rFonts w:ascii="Times New Roman" w:hAnsi="Times New Roman"/>
          <w:b/>
          <w:sz w:val="24"/>
        </w:rPr>
      </w:pPr>
      <w:r w:rsidRPr="007501E4">
        <w:rPr>
          <w:rFonts w:ascii="Times New Roman" w:hAnsi="Times New Roman"/>
          <w:b/>
          <w:sz w:val="24"/>
        </w:rPr>
        <w:lastRenderedPageBreak/>
        <w:t>Objetivo general</w:t>
      </w:r>
      <w:r w:rsidR="009B5A80">
        <w:rPr>
          <w:rFonts w:ascii="Times New Roman" w:hAnsi="Times New Roman"/>
          <w:b/>
          <w:sz w:val="24"/>
        </w:rPr>
        <w:t>:</w:t>
      </w:r>
    </w:p>
    <w:p w14:paraId="5CD9C63B" w14:textId="2B4366B8" w:rsidR="00F83159" w:rsidRPr="00F83159" w:rsidRDefault="000422BB" w:rsidP="00306893">
      <w:pPr>
        <w:spacing w:after="120"/>
        <w:jc w:val="both"/>
        <w:rPr>
          <w:rFonts w:ascii="Times New Roman" w:hAnsi="Times New Roman"/>
          <w:sz w:val="24"/>
        </w:rPr>
      </w:pPr>
      <w:r>
        <w:rPr>
          <w:rFonts w:ascii="Times New Roman" w:hAnsi="Times New Roman"/>
          <w:sz w:val="24"/>
        </w:rPr>
        <w:t>Evaluar</w:t>
      </w:r>
      <w:r w:rsidR="004D2C17">
        <w:rPr>
          <w:rFonts w:ascii="Times New Roman" w:hAnsi="Times New Roman"/>
          <w:sz w:val="24"/>
        </w:rPr>
        <w:t xml:space="preserve"> el proceso de </w:t>
      </w:r>
      <w:r w:rsidR="00A76D24">
        <w:rPr>
          <w:rFonts w:ascii="Times New Roman" w:hAnsi="Times New Roman"/>
          <w:sz w:val="24"/>
        </w:rPr>
        <w:t xml:space="preserve">convergencia contable de las empresas no financieras colombianas con las </w:t>
      </w:r>
      <w:r w:rsidR="004D2C17">
        <w:rPr>
          <w:rFonts w:ascii="Times New Roman" w:hAnsi="Times New Roman"/>
          <w:sz w:val="24"/>
        </w:rPr>
        <w:t>IFRS</w:t>
      </w:r>
      <w:r w:rsidR="00157615">
        <w:rPr>
          <w:rFonts w:ascii="Times New Roman" w:hAnsi="Times New Roman"/>
          <w:sz w:val="24"/>
        </w:rPr>
        <w:t xml:space="preserve">, en términos de </w:t>
      </w:r>
      <w:r w:rsidR="00A76D24">
        <w:rPr>
          <w:rFonts w:ascii="Times New Roman" w:hAnsi="Times New Roman"/>
          <w:sz w:val="24"/>
        </w:rPr>
        <w:t>cambios en la ca</w:t>
      </w:r>
      <w:r w:rsidR="000D6FB7">
        <w:rPr>
          <w:rFonts w:ascii="Times New Roman" w:hAnsi="Times New Roman"/>
          <w:sz w:val="24"/>
        </w:rPr>
        <w:t xml:space="preserve">racterística cualitativa de la comparabilidad </w:t>
      </w:r>
      <w:r w:rsidR="00157615">
        <w:rPr>
          <w:rFonts w:ascii="Times New Roman" w:hAnsi="Times New Roman"/>
          <w:sz w:val="24"/>
        </w:rPr>
        <w:t>de la información financiera</w:t>
      </w:r>
      <w:r w:rsidR="00A76D24">
        <w:rPr>
          <w:rFonts w:ascii="Times New Roman" w:hAnsi="Times New Roman"/>
          <w:sz w:val="24"/>
        </w:rPr>
        <w:t>, para el periodo 2014 – 2017</w:t>
      </w:r>
      <w:r w:rsidR="00063DF9">
        <w:rPr>
          <w:rFonts w:ascii="Times New Roman" w:hAnsi="Times New Roman"/>
          <w:sz w:val="24"/>
        </w:rPr>
        <w:t>, en los rubros de inventarios y propiedades, planta y equipo</w:t>
      </w:r>
      <w:r w:rsidR="00A76D24">
        <w:rPr>
          <w:rFonts w:ascii="Times New Roman" w:hAnsi="Times New Roman"/>
          <w:sz w:val="24"/>
        </w:rPr>
        <w:t xml:space="preserve">. </w:t>
      </w:r>
    </w:p>
    <w:p w14:paraId="067E5808" w14:textId="77777777" w:rsidR="00C4725D" w:rsidRDefault="00C4725D" w:rsidP="00306893">
      <w:pPr>
        <w:spacing w:after="120"/>
        <w:jc w:val="both"/>
        <w:rPr>
          <w:rFonts w:ascii="Times New Roman" w:hAnsi="Times New Roman"/>
          <w:b/>
          <w:sz w:val="24"/>
        </w:rPr>
      </w:pPr>
    </w:p>
    <w:p w14:paraId="42D9BFD3" w14:textId="5649F5E9" w:rsidR="005410B3" w:rsidRDefault="005410B3" w:rsidP="00306893">
      <w:pPr>
        <w:spacing w:after="120"/>
        <w:jc w:val="both"/>
        <w:rPr>
          <w:rFonts w:ascii="Times New Roman" w:hAnsi="Times New Roman"/>
          <w:b/>
          <w:sz w:val="24"/>
        </w:rPr>
      </w:pPr>
      <w:r w:rsidRPr="007501E4">
        <w:rPr>
          <w:rFonts w:ascii="Times New Roman" w:hAnsi="Times New Roman"/>
          <w:b/>
          <w:sz w:val="24"/>
        </w:rPr>
        <w:t>Objetivos específicos</w:t>
      </w:r>
      <w:r w:rsidR="000464C1">
        <w:rPr>
          <w:rFonts w:ascii="Times New Roman" w:hAnsi="Times New Roman"/>
          <w:b/>
          <w:sz w:val="24"/>
        </w:rPr>
        <w:t>:</w:t>
      </w:r>
    </w:p>
    <w:p w14:paraId="560221F3" w14:textId="6D5FEA1B" w:rsidR="004D2C17" w:rsidRPr="00CF5EE0" w:rsidRDefault="004D2C17" w:rsidP="004D2C17">
      <w:pPr>
        <w:pStyle w:val="Prrafodelista"/>
        <w:numPr>
          <w:ilvl w:val="0"/>
          <w:numId w:val="38"/>
        </w:numPr>
        <w:spacing w:after="120"/>
        <w:jc w:val="both"/>
        <w:rPr>
          <w:rFonts w:ascii="Times New Roman" w:hAnsi="Times New Roman"/>
          <w:strike/>
          <w:sz w:val="24"/>
        </w:rPr>
      </w:pPr>
      <w:r w:rsidRPr="004D2C17">
        <w:rPr>
          <w:rFonts w:ascii="Times New Roman" w:hAnsi="Times New Roman"/>
          <w:sz w:val="24"/>
        </w:rPr>
        <w:t xml:space="preserve">Recopilar estudios y </w:t>
      </w:r>
      <w:r w:rsidR="00063DF9">
        <w:rPr>
          <w:rFonts w:ascii="Times New Roman" w:hAnsi="Times New Roman"/>
          <w:sz w:val="24"/>
        </w:rPr>
        <w:t xml:space="preserve">literatura de investigación sobre la </w:t>
      </w:r>
      <w:r w:rsidRPr="004D2C17">
        <w:rPr>
          <w:rFonts w:ascii="Times New Roman" w:hAnsi="Times New Roman"/>
          <w:sz w:val="24"/>
        </w:rPr>
        <w:t>aplicación e impl</w:t>
      </w:r>
      <w:r>
        <w:rPr>
          <w:rFonts w:ascii="Times New Roman" w:hAnsi="Times New Roman"/>
          <w:sz w:val="24"/>
        </w:rPr>
        <w:t>ementación de las IFRS</w:t>
      </w:r>
      <w:r w:rsidRPr="004D2C17">
        <w:rPr>
          <w:rFonts w:ascii="Times New Roman" w:hAnsi="Times New Roman"/>
          <w:sz w:val="24"/>
        </w:rPr>
        <w:t xml:space="preserve"> en otros países.</w:t>
      </w:r>
    </w:p>
    <w:p w14:paraId="13A4F42A" w14:textId="77777777" w:rsidR="00CF5EE0" w:rsidRPr="004D2C17" w:rsidRDefault="00CF5EE0" w:rsidP="00CF5EE0">
      <w:pPr>
        <w:pStyle w:val="Prrafodelista"/>
        <w:spacing w:after="120"/>
        <w:ind w:left="360"/>
        <w:jc w:val="both"/>
        <w:rPr>
          <w:rFonts w:ascii="Times New Roman" w:hAnsi="Times New Roman"/>
          <w:strike/>
          <w:sz w:val="24"/>
        </w:rPr>
      </w:pPr>
    </w:p>
    <w:p w14:paraId="0422CFB2" w14:textId="71E51DC8" w:rsidR="00CF5EE0" w:rsidRDefault="004D2C17" w:rsidP="00CF5EE0">
      <w:pPr>
        <w:pStyle w:val="Prrafodelista"/>
        <w:numPr>
          <w:ilvl w:val="0"/>
          <w:numId w:val="38"/>
        </w:numPr>
        <w:spacing w:after="120"/>
        <w:jc w:val="both"/>
        <w:rPr>
          <w:rFonts w:ascii="Times New Roman" w:hAnsi="Times New Roman"/>
          <w:sz w:val="24"/>
        </w:rPr>
      </w:pPr>
      <w:r>
        <w:rPr>
          <w:rFonts w:ascii="Times New Roman" w:hAnsi="Times New Roman"/>
          <w:sz w:val="24"/>
        </w:rPr>
        <w:t>Identificar teorías y tendencias</w:t>
      </w:r>
      <w:r w:rsidR="00C92B4B">
        <w:rPr>
          <w:rFonts w:ascii="Times New Roman" w:hAnsi="Times New Roman"/>
          <w:sz w:val="24"/>
        </w:rPr>
        <w:t xml:space="preserve"> de investigación relacionadas con</w:t>
      </w:r>
      <w:r>
        <w:rPr>
          <w:rFonts w:ascii="Times New Roman" w:hAnsi="Times New Roman"/>
          <w:sz w:val="24"/>
        </w:rPr>
        <w:t xml:space="preserve"> l</w:t>
      </w:r>
      <w:r w:rsidR="00C92B4B">
        <w:rPr>
          <w:rFonts w:ascii="Times New Roman" w:hAnsi="Times New Roman"/>
          <w:sz w:val="24"/>
        </w:rPr>
        <w:t>os cambios normativos contables, para evaluar su aplicación en trabajos locales</w:t>
      </w:r>
      <w:r w:rsidR="00063DF9">
        <w:rPr>
          <w:rFonts w:ascii="Times New Roman" w:hAnsi="Times New Roman"/>
          <w:sz w:val="24"/>
        </w:rPr>
        <w:t>.</w:t>
      </w:r>
    </w:p>
    <w:p w14:paraId="0D013379" w14:textId="77777777" w:rsidR="00CF5EE0" w:rsidRPr="00CF5EE0" w:rsidRDefault="00CF5EE0" w:rsidP="00CF5EE0">
      <w:pPr>
        <w:pStyle w:val="Prrafodelista"/>
        <w:rPr>
          <w:rFonts w:ascii="Times New Roman" w:hAnsi="Times New Roman"/>
          <w:sz w:val="24"/>
        </w:rPr>
      </w:pPr>
    </w:p>
    <w:p w14:paraId="5FACF10E" w14:textId="3F0B379A" w:rsidR="00C92B4B" w:rsidRDefault="00C92B4B" w:rsidP="00157615">
      <w:pPr>
        <w:pStyle w:val="Prrafodelista"/>
        <w:numPr>
          <w:ilvl w:val="0"/>
          <w:numId w:val="38"/>
        </w:numPr>
        <w:spacing w:after="120"/>
        <w:jc w:val="both"/>
        <w:rPr>
          <w:rFonts w:ascii="Times New Roman" w:hAnsi="Times New Roman"/>
          <w:sz w:val="24"/>
        </w:rPr>
      </w:pPr>
      <w:r>
        <w:rPr>
          <w:rFonts w:ascii="Times New Roman" w:hAnsi="Times New Roman"/>
          <w:sz w:val="24"/>
        </w:rPr>
        <w:t xml:space="preserve">Construir y validar hipótesis de estudio sobre la </w:t>
      </w:r>
      <w:r w:rsidR="00157615">
        <w:rPr>
          <w:rFonts w:ascii="Times New Roman" w:hAnsi="Times New Roman"/>
          <w:sz w:val="24"/>
        </w:rPr>
        <w:t>c</w:t>
      </w:r>
      <w:r w:rsidR="009B6E34">
        <w:rPr>
          <w:rFonts w:ascii="Times New Roman" w:hAnsi="Times New Roman"/>
          <w:sz w:val="24"/>
        </w:rPr>
        <w:t xml:space="preserve">omparabilidad </w:t>
      </w:r>
      <w:r>
        <w:rPr>
          <w:rFonts w:ascii="Times New Roman" w:hAnsi="Times New Roman"/>
          <w:sz w:val="24"/>
        </w:rPr>
        <w:t>de la información financiera revelada por las empresas colombianas</w:t>
      </w:r>
      <w:r w:rsidR="00063DF9">
        <w:rPr>
          <w:rFonts w:ascii="Times New Roman" w:hAnsi="Times New Roman"/>
          <w:sz w:val="24"/>
        </w:rPr>
        <w:t xml:space="preserve"> en los rubros de inventarios y propiedades, planta y equipo</w:t>
      </w:r>
      <w:r w:rsidR="00AE17FE">
        <w:rPr>
          <w:rFonts w:ascii="Times New Roman" w:hAnsi="Times New Roman"/>
          <w:sz w:val="24"/>
        </w:rPr>
        <w:t xml:space="preserve">, mediante indicadores de comparabilidad, </w:t>
      </w:r>
      <w:r w:rsidR="000B21D9">
        <w:rPr>
          <w:rFonts w:ascii="Times New Roman" w:hAnsi="Times New Roman"/>
          <w:sz w:val="24"/>
        </w:rPr>
        <w:t>como,</w:t>
      </w:r>
      <w:r w:rsidR="00AE17FE">
        <w:rPr>
          <w:rFonts w:ascii="Times New Roman" w:hAnsi="Times New Roman"/>
          <w:sz w:val="24"/>
        </w:rPr>
        <w:t xml:space="preserve"> por ejemplo, el </w:t>
      </w:r>
      <w:r w:rsidR="000B21D9">
        <w:rPr>
          <w:rFonts w:ascii="Times New Roman" w:hAnsi="Times New Roman"/>
          <w:sz w:val="24"/>
        </w:rPr>
        <w:t>índice de Herfindahl.</w:t>
      </w:r>
    </w:p>
    <w:p w14:paraId="2C4FD272" w14:textId="233850D8" w:rsidR="009B6E34" w:rsidRPr="009B6E34" w:rsidRDefault="009B6E34" w:rsidP="009B6E34">
      <w:pPr>
        <w:spacing w:after="120"/>
        <w:jc w:val="both"/>
        <w:rPr>
          <w:rFonts w:ascii="Times New Roman" w:hAnsi="Times New Roman"/>
          <w:sz w:val="24"/>
        </w:rPr>
      </w:pPr>
    </w:p>
    <w:p w14:paraId="36A0CFA7" w14:textId="6E6BD045" w:rsidR="005410B3" w:rsidRPr="00257DDB" w:rsidRDefault="005410B3" w:rsidP="00306893">
      <w:pPr>
        <w:spacing w:after="120"/>
        <w:jc w:val="both"/>
        <w:rPr>
          <w:rFonts w:ascii="Times New Roman" w:hAnsi="Times New Roman"/>
          <w:sz w:val="24"/>
        </w:rPr>
      </w:pPr>
      <w:r w:rsidRPr="007501E4">
        <w:rPr>
          <w:rFonts w:ascii="Times New Roman" w:hAnsi="Times New Roman"/>
          <w:b/>
          <w:sz w:val="24"/>
        </w:rPr>
        <w:t>Marco teórico</w:t>
      </w:r>
      <w:r w:rsidR="000464C1">
        <w:rPr>
          <w:rFonts w:ascii="Times New Roman" w:hAnsi="Times New Roman"/>
          <w:b/>
          <w:sz w:val="24"/>
        </w:rPr>
        <w:t>:</w:t>
      </w:r>
    </w:p>
    <w:p w14:paraId="3B51B95C" w14:textId="6E4D9966" w:rsidR="00E837B4" w:rsidRDefault="00E837B4" w:rsidP="00E837B4">
      <w:pPr>
        <w:spacing w:after="120"/>
        <w:jc w:val="both"/>
        <w:rPr>
          <w:rFonts w:ascii="Times New Roman" w:hAnsi="Times New Roman"/>
          <w:sz w:val="24"/>
        </w:rPr>
      </w:pPr>
      <w:r>
        <w:rPr>
          <w:rFonts w:ascii="Times New Roman" w:hAnsi="Times New Roman"/>
          <w:sz w:val="24"/>
        </w:rPr>
        <w:t>La calidad de la información depende de diferentes factores institucionales que incluyen la eficiencia del sistema regulador, los procesos de valor de la información al interior de las empresas, el cumplimiento eficaz de las disposiciones normativas, la presión por revelaciones y el costo de los litigios asociados</w:t>
      </w:r>
      <w:sdt>
        <w:sdtPr>
          <w:rPr>
            <w:rFonts w:ascii="Times New Roman" w:hAnsi="Times New Roman"/>
            <w:sz w:val="24"/>
          </w:rPr>
          <w:id w:val="1580098992"/>
          <w:citation/>
        </w:sdtPr>
        <w:sdtEndPr/>
        <w:sdtContent>
          <w:r w:rsidR="00260EA0">
            <w:rPr>
              <w:rFonts w:ascii="Times New Roman" w:hAnsi="Times New Roman"/>
              <w:sz w:val="24"/>
            </w:rPr>
            <w:fldChar w:fldCharType="begin"/>
          </w:r>
          <w:r w:rsidR="00260EA0">
            <w:rPr>
              <w:rFonts w:ascii="Times New Roman" w:hAnsi="Times New Roman"/>
              <w:sz w:val="24"/>
            </w:rPr>
            <w:instrText xml:space="preserve"> CITATION Bal03 \l 9226 </w:instrText>
          </w:r>
          <w:r w:rsidR="00260EA0">
            <w:rPr>
              <w:rFonts w:ascii="Times New Roman" w:hAnsi="Times New Roman"/>
              <w:sz w:val="24"/>
            </w:rPr>
            <w:fldChar w:fldCharType="separate"/>
          </w:r>
          <w:r w:rsidR="003A4BC7">
            <w:rPr>
              <w:rFonts w:ascii="Times New Roman" w:hAnsi="Times New Roman"/>
              <w:noProof/>
              <w:sz w:val="24"/>
            </w:rPr>
            <w:t xml:space="preserve"> </w:t>
          </w:r>
          <w:r w:rsidR="003A4BC7" w:rsidRPr="003A4BC7">
            <w:rPr>
              <w:rFonts w:ascii="Times New Roman" w:hAnsi="Times New Roman"/>
              <w:noProof/>
              <w:sz w:val="24"/>
            </w:rPr>
            <w:t>(Ball, Robin, &amp; Wu, 2003)</w:t>
          </w:r>
          <w:r w:rsidR="00260EA0">
            <w:rPr>
              <w:rFonts w:ascii="Times New Roman" w:hAnsi="Times New Roman"/>
              <w:sz w:val="24"/>
            </w:rPr>
            <w:fldChar w:fldCharType="end"/>
          </w:r>
        </w:sdtContent>
      </w:sdt>
      <w:sdt>
        <w:sdtPr>
          <w:rPr>
            <w:rFonts w:ascii="Times New Roman" w:hAnsi="Times New Roman"/>
            <w:sz w:val="24"/>
          </w:rPr>
          <w:id w:val="-861514949"/>
          <w:citation/>
        </w:sdtPr>
        <w:sdtEndPr/>
        <w:sdtContent>
          <w:r>
            <w:rPr>
              <w:rFonts w:ascii="Times New Roman" w:hAnsi="Times New Roman"/>
              <w:sz w:val="24"/>
            </w:rPr>
            <w:fldChar w:fldCharType="begin"/>
          </w:r>
          <w:r w:rsidR="00260EA0">
            <w:rPr>
              <w:rFonts w:ascii="Times New Roman" w:hAnsi="Times New Roman"/>
              <w:sz w:val="24"/>
            </w:rPr>
            <w:instrText xml:space="preserve">CITATION Wys11 \l 9226 </w:instrText>
          </w:r>
          <w:r>
            <w:rPr>
              <w:rFonts w:ascii="Times New Roman" w:hAnsi="Times New Roman"/>
              <w:sz w:val="24"/>
            </w:rPr>
            <w:fldChar w:fldCharType="separate"/>
          </w:r>
          <w:r w:rsidR="003A4BC7">
            <w:rPr>
              <w:rFonts w:ascii="Times New Roman" w:hAnsi="Times New Roman"/>
              <w:noProof/>
              <w:sz w:val="24"/>
            </w:rPr>
            <w:t xml:space="preserve"> </w:t>
          </w:r>
          <w:r w:rsidR="003A4BC7" w:rsidRPr="003A4BC7">
            <w:rPr>
              <w:rFonts w:ascii="Times New Roman" w:hAnsi="Times New Roman"/>
              <w:noProof/>
              <w:sz w:val="24"/>
            </w:rPr>
            <w:t>(Wysocki, 2011)</w:t>
          </w:r>
          <w:r>
            <w:rPr>
              <w:rFonts w:ascii="Times New Roman" w:hAnsi="Times New Roman"/>
              <w:sz w:val="24"/>
            </w:rPr>
            <w:fldChar w:fldCharType="end"/>
          </w:r>
        </w:sdtContent>
      </w:sdt>
      <w:r>
        <w:rPr>
          <w:rFonts w:ascii="Times New Roman" w:hAnsi="Times New Roman"/>
          <w:sz w:val="24"/>
        </w:rPr>
        <w:t>. En este sentido, el cambio de los estándares</w:t>
      </w:r>
      <w:r w:rsidR="000D6FB7">
        <w:rPr>
          <w:rFonts w:ascii="Times New Roman" w:hAnsi="Times New Roman"/>
          <w:sz w:val="24"/>
        </w:rPr>
        <w:t xml:space="preserve"> locales a </w:t>
      </w:r>
      <w:r>
        <w:rPr>
          <w:rFonts w:ascii="Times New Roman" w:hAnsi="Times New Roman"/>
          <w:sz w:val="24"/>
        </w:rPr>
        <w:t xml:space="preserve">los IFRS es un elemento de política muy relevante, dentro de un abanico de opciones que pueden incidir sobre </w:t>
      </w:r>
      <w:r w:rsidR="000D6FB7">
        <w:rPr>
          <w:rFonts w:ascii="Times New Roman" w:hAnsi="Times New Roman"/>
          <w:sz w:val="24"/>
        </w:rPr>
        <w:t xml:space="preserve">la infraestructura </w:t>
      </w:r>
      <w:r>
        <w:rPr>
          <w:rFonts w:ascii="Times New Roman" w:hAnsi="Times New Roman"/>
          <w:sz w:val="24"/>
        </w:rPr>
        <w:t>institucional contable</w:t>
      </w:r>
      <w:sdt>
        <w:sdtPr>
          <w:rPr>
            <w:rFonts w:ascii="Times New Roman" w:hAnsi="Times New Roman"/>
            <w:sz w:val="24"/>
          </w:rPr>
          <w:id w:val="945579309"/>
          <w:citation/>
        </w:sdtPr>
        <w:sdtEndPr/>
        <w:sdtContent>
          <w:r w:rsidR="00CE1CBC">
            <w:rPr>
              <w:rFonts w:ascii="Times New Roman" w:hAnsi="Times New Roman"/>
              <w:sz w:val="24"/>
            </w:rPr>
            <w:fldChar w:fldCharType="begin"/>
          </w:r>
          <w:r w:rsidR="00CE1CBC">
            <w:rPr>
              <w:rFonts w:ascii="Times New Roman" w:hAnsi="Times New Roman"/>
              <w:sz w:val="24"/>
            </w:rPr>
            <w:instrText xml:space="preserve"> CITATION Chr15 \l 9226 </w:instrText>
          </w:r>
          <w:r w:rsidR="00CE1CBC">
            <w:rPr>
              <w:rFonts w:ascii="Times New Roman" w:hAnsi="Times New Roman"/>
              <w:sz w:val="24"/>
            </w:rPr>
            <w:fldChar w:fldCharType="separate"/>
          </w:r>
          <w:r w:rsidR="003A4BC7">
            <w:rPr>
              <w:rFonts w:ascii="Times New Roman" w:hAnsi="Times New Roman"/>
              <w:noProof/>
              <w:sz w:val="24"/>
            </w:rPr>
            <w:t xml:space="preserve"> </w:t>
          </w:r>
          <w:r w:rsidR="003A4BC7" w:rsidRPr="003A4BC7">
            <w:rPr>
              <w:rFonts w:ascii="Times New Roman" w:hAnsi="Times New Roman"/>
              <w:noProof/>
              <w:sz w:val="24"/>
            </w:rPr>
            <w:t>(Christensen, Lee, &amp; Walker, 2015)</w:t>
          </w:r>
          <w:r w:rsidR="00CE1CBC">
            <w:rPr>
              <w:rFonts w:ascii="Times New Roman" w:hAnsi="Times New Roman"/>
              <w:sz w:val="24"/>
            </w:rPr>
            <w:fldChar w:fldCharType="end"/>
          </w:r>
        </w:sdtContent>
      </w:sdt>
      <w:r>
        <w:rPr>
          <w:rFonts w:ascii="Times New Roman" w:hAnsi="Times New Roman"/>
          <w:sz w:val="24"/>
        </w:rPr>
        <w:t>.</w:t>
      </w:r>
    </w:p>
    <w:p w14:paraId="5942022A" w14:textId="17C208E5" w:rsidR="00E837B4" w:rsidRDefault="00E837B4" w:rsidP="00306893">
      <w:pPr>
        <w:spacing w:after="120"/>
        <w:jc w:val="both"/>
        <w:rPr>
          <w:rFonts w:ascii="Times New Roman" w:hAnsi="Times New Roman"/>
          <w:sz w:val="24"/>
        </w:rPr>
      </w:pPr>
    </w:p>
    <w:p w14:paraId="54DF701F" w14:textId="6BA39D9A" w:rsidR="00E837B4" w:rsidRDefault="00E837B4" w:rsidP="00E837B4">
      <w:pPr>
        <w:spacing w:after="120"/>
        <w:jc w:val="both"/>
        <w:rPr>
          <w:rFonts w:ascii="Times New Roman" w:hAnsi="Times New Roman"/>
          <w:sz w:val="24"/>
        </w:rPr>
      </w:pPr>
      <w:r>
        <w:rPr>
          <w:rFonts w:ascii="Times New Roman" w:hAnsi="Times New Roman"/>
          <w:sz w:val="24"/>
        </w:rPr>
        <w:t>Las IFRS son un modelo de regulación que puede ser más beneficioso, en el sentido que tienen un alcance internacional amplio, se sustentan en una base o marco conceptual robusto que privilegia el uso de principios sobre reglas y se apoyan en un debido proceso de emisión enfocado en garantizar la participación del mayor número de agentes económicos</w:t>
      </w:r>
      <w:r w:rsidR="0081293B">
        <w:rPr>
          <w:rFonts w:ascii="Times New Roman" w:hAnsi="Times New Roman"/>
          <w:sz w:val="24"/>
        </w:rPr>
        <w:t xml:space="preserve"> </w:t>
      </w:r>
      <w:sdt>
        <w:sdtPr>
          <w:rPr>
            <w:rFonts w:ascii="Times New Roman" w:hAnsi="Times New Roman"/>
            <w:sz w:val="24"/>
          </w:rPr>
          <w:id w:val="-388648859"/>
          <w:citation/>
        </w:sdtPr>
        <w:sdtEndPr/>
        <w:sdtContent>
          <w:r w:rsidR="0081293B">
            <w:rPr>
              <w:rFonts w:ascii="Times New Roman" w:hAnsi="Times New Roman"/>
              <w:sz w:val="24"/>
            </w:rPr>
            <w:fldChar w:fldCharType="begin"/>
          </w:r>
          <w:r w:rsidR="007D337E">
            <w:rPr>
              <w:rFonts w:ascii="Times New Roman" w:hAnsi="Times New Roman"/>
              <w:sz w:val="24"/>
            </w:rPr>
            <w:instrText xml:space="preserve">CITATION Twe07 \l 9226 </w:instrText>
          </w:r>
          <w:r w:rsidR="0081293B">
            <w:rPr>
              <w:rFonts w:ascii="Times New Roman" w:hAnsi="Times New Roman"/>
              <w:sz w:val="24"/>
            </w:rPr>
            <w:fldChar w:fldCharType="separate"/>
          </w:r>
          <w:r w:rsidR="003A4BC7" w:rsidRPr="003A4BC7">
            <w:rPr>
              <w:rFonts w:ascii="Times New Roman" w:hAnsi="Times New Roman"/>
              <w:noProof/>
              <w:sz w:val="24"/>
            </w:rPr>
            <w:t>(Tweedie, 2007)</w:t>
          </w:r>
          <w:r w:rsidR="0081293B">
            <w:rPr>
              <w:rFonts w:ascii="Times New Roman" w:hAnsi="Times New Roman"/>
              <w:sz w:val="24"/>
            </w:rPr>
            <w:fldChar w:fldCharType="end"/>
          </w:r>
        </w:sdtContent>
      </w:sdt>
      <w:r w:rsidR="00CE1CBC">
        <w:rPr>
          <w:rFonts w:ascii="Times New Roman" w:hAnsi="Times New Roman"/>
          <w:sz w:val="24"/>
        </w:rPr>
        <w:t xml:space="preserve"> </w:t>
      </w:r>
      <w:sdt>
        <w:sdtPr>
          <w:rPr>
            <w:rFonts w:ascii="Times New Roman" w:hAnsi="Times New Roman"/>
            <w:sz w:val="24"/>
          </w:rPr>
          <w:id w:val="990438090"/>
          <w:citation/>
        </w:sdtPr>
        <w:sdtEndPr/>
        <w:sdtContent>
          <w:r w:rsidR="00CE1CBC">
            <w:rPr>
              <w:rFonts w:ascii="Times New Roman" w:hAnsi="Times New Roman"/>
              <w:sz w:val="24"/>
            </w:rPr>
            <w:fldChar w:fldCharType="begin"/>
          </w:r>
          <w:r w:rsidR="00CE1CBC">
            <w:rPr>
              <w:rFonts w:ascii="Times New Roman" w:hAnsi="Times New Roman"/>
              <w:sz w:val="24"/>
            </w:rPr>
            <w:instrText xml:space="preserve"> CITATION Moh13 \l 9226 </w:instrText>
          </w:r>
          <w:r w:rsidR="00CE1CBC">
            <w:rPr>
              <w:rFonts w:ascii="Times New Roman" w:hAnsi="Times New Roman"/>
              <w:sz w:val="24"/>
            </w:rPr>
            <w:fldChar w:fldCharType="separate"/>
          </w:r>
          <w:r w:rsidR="003A4BC7" w:rsidRPr="003A4BC7">
            <w:rPr>
              <w:rFonts w:ascii="Times New Roman" w:hAnsi="Times New Roman"/>
              <w:noProof/>
              <w:sz w:val="24"/>
            </w:rPr>
            <w:t>(Mohammadrezaei, Mohd-Saleh, &amp; Banimahd, 2013)</w:t>
          </w:r>
          <w:r w:rsidR="00CE1CBC">
            <w:rPr>
              <w:rFonts w:ascii="Times New Roman" w:hAnsi="Times New Roman"/>
              <w:sz w:val="24"/>
            </w:rPr>
            <w:fldChar w:fldCharType="end"/>
          </w:r>
        </w:sdtContent>
      </w:sdt>
      <w:r>
        <w:rPr>
          <w:rFonts w:ascii="Times New Roman" w:hAnsi="Times New Roman"/>
          <w:sz w:val="24"/>
        </w:rPr>
        <w:t xml:space="preserve">. </w:t>
      </w:r>
    </w:p>
    <w:p w14:paraId="34ACA925" w14:textId="77777777" w:rsidR="000D6FB7" w:rsidRDefault="000D6FB7" w:rsidP="00306893">
      <w:pPr>
        <w:spacing w:after="120"/>
        <w:jc w:val="both"/>
        <w:rPr>
          <w:rFonts w:ascii="Times New Roman" w:hAnsi="Times New Roman"/>
          <w:sz w:val="24"/>
        </w:rPr>
      </w:pPr>
    </w:p>
    <w:p w14:paraId="1937F51D" w14:textId="399F2F6C" w:rsidR="00F06BE3" w:rsidRDefault="00E837B4" w:rsidP="00306893">
      <w:pPr>
        <w:spacing w:after="120"/>
        <w:jc w:val="both"/>
        <w:rPr>
          <w:rFonts w:ascii="Times New Roman" w:hAnsi="Times New Roman"/>
          <w:sz w:val="24"/>
        </w:rPr>
      </w:pPr>
      <w:r>
        <w:rPr>
          <w:rFonts w:ascii="Times New Roman" w:hAnsi="Times New Roman"/>
          <w:sz w:val="24"/>
        </w:rPr>
        <w:lastRenderedPageBreak/>
        <w:t xml:space="preserve">En este sentido, la adopción de las IFRS puede aumentar </w:t>
      </w:r>
      <w:r w:rsidR="00AA6B7E">
        <w:rPr>
          <w:rFonts w:ascii="Times New Roman" w:hAnsi="Times New Roman"/>
          <w:sz w:val="24"/>
        </w:rPr>
        <w:t xml:space="preserve">la calidad de la información financiera en función del aumento de </w:t>
      </w:r>
      <w:r w:rsidR="002010D9">
        <w:rPr>
          <w:rFonts w:ascii="Times New Roman" w:hAnsi="Times New Roman"/>
          <w:sz w:val="24"/>
        </w:rPr>
        <w:t xml:space="preserve">los </w:t>
      </w:r>
      <w:r w:rsidR="009C6783">
        <w:rPr>
          <w:rFonts w:ascii="Times New Roman" w:hAnsi="Times New Roman"/>
          <w:sz w:val="24"/>
        </w:rPr>
        <w:t xml:space="preserve">atributos </w:t>
      </w:r>
      <w:r w:rsidR="002010D9">
        <w:rPr>
          <w:rFonts w:ascii="Times New Roman" w:hAnsi="Times New Roman"/>
          <w:sz w:val="24"/>
        </w:rPr>
        <w:t>cualitativo</w:t>
      </w:r>
      <w:r w:rsidR="005D1A95">
        <w:rPr>
          <w:rFonts w:ascii="Times New Roman" w:hAnsi="Times New Roman"/>
          <w:sz w:val="24"/>
        </w:rPr>
        <w:t xml:space="preserve">s </w:t>
      </w:r>
      <w:r w:rsidR="0044637F">
        <w:rPr>
          <w:rFonts w:ascii="Times New Roman" w:hAnsi="Times New Roman"/>
          <w:sz w:val="24"/>
        </w:rPr>
        <w:t xml:space="preserve">de la misma </w:t>
      </w:r>
      <w:r w:rsidR="005D1A95">
        <w:rPr>
          <w:rFonts w:ascii="Times New Roman" w:hAnsi="Times New Roman"/>
          <w:sz w:val="24"/>
        </w:rPr>
        <w:t>como la relevancia</w:t>
      </w:r>
      <w:r w:rsidR="009C6783">
        <w:rPr>
          <w:rFonts w:ascii="Times New Roman" w:hAnsi="Times New Roman"/>
          <w:sz w:val="24"/>
        </w:rPr>
        <w:t xml:space="preserve">, la fiabilidad </w:t>
      </w:r>
      <w:r w:rsidR="005D1A95">
        <w:rPr>
          <w:rFonts w:ascii="Times New Roman" w:hAnsi="Times New Roman"/>
          <w:sz w:val="24"/>
        </w:rPr>
        <w:t>y la comparabilidad de las cifras contables</w:t>
      </w:r>
      <w:r w:rsidR="009C6783">
        <w:rPr>
          <w:rFonts w:ascii="Times New Roman" w:hAnsi="Times New Roman"/>
          <w:sz w:val="24"/>
        </w:rPr>
        <w:t>, lo que permite a diferentes agentes económicos interesados tomar mejores decisiones económicas sobre inversión, riesgos, cooperación, entre otros</w:t>
      </w:r>
      <w:r w:rsidR="002010D9">
        <w:rPr>
          <w:rFonts w:ascii="Times New Roman" w:hAnsi="Times New Roman"/>
          <w:sz w:val="24"/>
        </w:rPr>
        <w:t xml:space="preserve"> aspectos</w:t>
      </w:r>
      <w:r w:rsidR="00F06BE3">
        <w:rPr>
          <w:rFonts w:ascii="Times New Roman" w:hAnsi="Times New Roman"/>
          <w:sz w:val="24"/>
        </w:rPr>
        <w:t xml:space="preserve"> </w:t>
      </w:r>
      <w:sdt>
        <w:sdtPr>
          <w:rPr>
            <w:rFonts w:ascii="Times New Roman" w:hAnsi="Times New Roman"/>
            <w:sz w:val="24"/>
          </w:rPr>
          <w:id w:val="1854760829"/>
          <w:citation/>
        </w:sdtPr>
        <w:sdtEndPr/>
        <w:sdtContent>
          <w:r>
            <w:rPr>
              <w:rFonts w:ascii="Times New Roman" w:hAnsi="Times New Roman"/>
              <w:sz w:val="24"/>
            </w:rPr>
            <w:fldChar w:fldCharType="begin"/>
          </w:r>
          <w:r>
            <w:rPr>
              <w:rFonts w:ascii="Times New Roman" w:hAnsi="Times New Roman"/>
              <w:sz w:val="24"/>
            </w:rPr>
            <w:instrText xml:space="preserve"> CITATION Bar08 \l 9226 </w:instrText>
          </w:r>
          <w:r>
            <w:rPr>
              <w:rFonts w:ascii="Times New Roman" w:hAnsi="Times New Roman"/>
              <w:sz w:val="24"/>
            </w:rPr>
            <w:fldChar w:fldCharType="separate"/>
          </w:r>
          <w:r w:rsidR="003A4BC7" w:rsidRPr="003A4BC7">
            <w:rPr>
              <w:rFonts w:ascii="Times New Roman" w:hAnsi="Times New Roman"/>
              <w:noProof/>
              <w:sz w:val="24"/>
            </w:rPr>
            <w:t>(Barth, Landsman, &amp; Lang, 2008)</w:t>
          </w:r>
          <w:r>
            <w:rPr>
              <w:rFonts w:ascii="Times New Roman" w:hAnsi="Times New Roman"/>
              <w:sz w:val="24"/>
            </w:rPr>
            <w:fldChar w:fldCharType="end"/>
          </w:r>
        </w:sdtContent>
      </w:sdt>
      <w:r w:rsidR="00F06BE3">
        <w:rPr>
          <w:rFonts w:ascii="Times New Roman" w:hAnsi="Times New Roman"/>
          <w:sz w:val="24"/>
        </w:rPr>
        <w:t>.</w:t>
      </w:r>
    </w:p>
    <w:p w14:paraId="1A6DD41C" w14:textId="77777777" w:rsidR="000B21D9" w:rsidRDefault="000B21D9" w:rsidP="00306893">
      <w:pPr>
        <w:spacing w:after="120"/>
        <w:jc w:val="both"/>
        <w:rPr>
          <w:rFonts w:ascii="Times New Roman" w:hAnsi="Times New Roman"/>
          <w:sz w:val="24"/>
        </w:rPr>
      </w:pPr>
    </w:p>
    <w:p w14:paraId="4D9B6EAE" w14:textId="379F5134" w:rsidR="00710B58" w:rsidRDefault="00F06BE3" w:rsidP="00306893">
      <w:pPr>
        <w:spacing w:after="120"/>
        <w:jc w:val="both"/>
        <w:rPr>
          <w:rFonts w:ascii="Times New Roman" w:hAnsi="Times New Roman"/>
          <w:sz w:val="24"/>
        </w:rPr>
      </w:pPr>
      <w:r>
        <w:rPr>
          <w:rFonts w:ascii="Times New Roman" w:hAnsi="Times New Roman"/>
          <w:sz w:val="24"/>
        </w:rPr>
        <w:t>La comparabilidad es una cara</w:t>
      </w:r>
      <w:r w:rsidR="008F0455">
        <w:rPr>
          <w:rFonts w:ascii="Times New Roman" w:hAnsi="Times New Roman"/>
          <w:sz w:val="24"/>
        </w:rPr>
        <w:t>cterística cualitativa</w:t>
      </w:r>
      <w:r>
        <w:rPr>
          <w:rFonts w:ascii="Times New Roman" w:hAnsi="Times New Roman"/>
          <w:sz w:val="24"/>
        </w:rPr>
        <w:t xml:space="preserve"> </w:t>
      </w:r>
      <w:r w:rsidR="005B207F">
        <w:rPr>
          <w:rFonts w:ascii="Times New Roman" w:hAnsi="Times New Roman"/>
          <w:sz w:val="24"/>
        </w:rPr>
        <w:t xml:space="preserve">relevante, que se </w:t>
      </w:r>
      <w:r w:rsidR="008F0455">
        <w:rPr>
          <w:rFonts w:ascii="Times New Roman" w:hAnsi="Times New Roman"/>
          <w:sz w:val="24"/>
        </w:rPr>
        <w:t xml:space="preserve">incrementa con </w:t>
      </w:r>
      <w:r w:rsidR="005B207F">
        <w:rPr>
          <w:rFonts w:ascii="Times New Roman" w:hAnsi="Times New Roman"/>
          <w:sz w:val="24"/>
        </w:rPr>
        <w:t xml:space="preserve">la cantidad y </w:t>
      </w:r>
      <w:r w:rsidR="008F0455">
        <w:rPr>
          <w:rFonts w:ascii="Times New Roman" w:hAnsi="Times New Roman"/>
          <w:sz w:val="24"/>
        </w:rPr>
        <w:t xml:space="preserve">la </w:t>
      </w:r>
      <w:r w:rsidR="005B207F">
        <w:rPr>
          <w:rFonts w:ascii="Times New Roman" w:hAnsi="Times New Roman"/>
          <w:sz w:val="24"/>
        </w:rPr>
        <w:t xml:space="preserve">calidad de información </w:t>
      </w:r>
      <w:r w:rsidR="008F0455">
        <w:rPr>
          <w:rFonts w:ascii="Times New Roman" w:hAnsi="Times New Roman"/>
          <w:sz w:val="24"/>
        </w:rPr>
        <w:t xml:space="preserve">financiera disponible, cuyo desarrollo implica una disminución de los costos de tomar una decisión (elegir en un conjunto de alternativas) </w:t>
      </w:r>
      <w:r w:rsidR="00710B58">
        <w:rPr>
          <w:rFonts w:ascii="Times New Roman" w:hAnsi="Times New Roman"/>
          <w:sz w:val="24"/>
        </w:rPr>
        <w:t>tanto al interior de la empresa, entre difere</w:t>
      </w:r>
      <w:r w:rsidR="00063DF9">
        <w:rPr>
          <w:rFonts w:ascii="Times New Roman" w:hAnsi="Times New Roman"/>
          <w:sz w:val="24"/>
        </w:rPr>
        <w:t xml:space="preserve">ntes combinaciones de operación; y en el exterior de </w:t>
      </w:r>
      <w:r w:rsidR="00710B58">
        <w:rPr>
          <w:rFonts w:ascii="Times New Roman" w:hAnsi="Times New Roman"/>
          <w:sz w:val="24"/>
        </w:rPr>
        <w:t>ella</w:t>
      </w:r>
      <w:r w:rsidR="00063DF9">
        <w:rPr>
          <w:rFonts w:ascii="Times New Roman" w:hAnsi="Times New Roman"/>
          <w:sz w:val="24"/>
        </w:rPr>
        <w:t>,</w:t>
      </w:r>
      <w:r w:rsidR="00710B58">
        <w:rPr>
          <w:rFonts w:ascii="Times New Roman" w:hAnsi="Times New Roman"/>
          <w:sz w:val="24"/>
        </w:rPr>
        <w:t xml:space="preserve"> </w:t>
      </w:r>
      <w:r w:rsidR="008F0455">
        <w:rPr>
          <w:rFonts w:ascii="Times New Roman" w:hAnsi="Times New Roman"/>
          <w:sz w:val="24"/>
        </w:rPr>
        <w:t>entre diferentes alternativas de inversión</w:t>
      </w:r>
      <w:r w:rsidR="00710B58">
        <w:rPr>
          <w:rFonts w:ascii="Times New Roman" w:hAnsi="Times New Roman"/>
          <w:sz w:val="24"/>
        </w:rPr>
        <w:t xml:space="preserve"> y financiación. Es necesario, establecer referentes técnicos para medir y gestionar su evolución </w:t>
      </w:r>
      <w:sdt>
        <w:sdtPr>
          <w:rPr>
            <w:rFonts w:ascii="Times New Roman" w:hAnsi="Times New Roman"/>
            <w:sz w:val="24"/>
          </w:rPr>
          <w:id w:val="1926451912"/>
          <w:citation/>
        </w:sdtPr>
        <w:sdtEndPr/>
        <w:sdtContent>
          <w:r w:rsidR="00710B58">
            <w:rPr>
              <w:rFonts w:ascii="Times New Roman" w:hAnsi="Times New Roman"/>
              <w:sz w:val="24"/>
            </w:rPr>
            <w:fldChar w:fldCharType="begin"/>
          </w:r>
          <w:r w:rsidR="00710B58">
            <w:rPr>
              <w:rFonts w:ascii="Times New Roman" w:hAnsi="Times New Roman"/>
              <w:sz w:val="24"/>
            </w:rPr>
            <w:instrText xml:space="preserve"> CITATION DeF11 \l 9226 </w:instrText>
          </w:r>
          <w:r w:rsidR="00710B58">
            <w:rPr>
              <w:rFonts w:ascii="Times New Roman" w:hAnsi="Times New Roman"/>
              <w:sz w:val="24"/>
            </w:rPr>
            <w:fldChar w:fldCharType="separate"/>
          </w:r>
          <w:r w:rsidR="003A4BC7" w:rsidRPr="003A4BC7">
            <w:rPr>
              <w:rFonts w:ascii="Times New Roman" w:hAnsi="Times New Roman"/>
              <w:noProof/>
              <w:sz w:val="24"/>
            </w:rPr>
            <w:t>(De Franco, Kotahri, &amp; Verdi, 2011)</w:t>
          </w:r>
          <w:r w:rsidR="00710B58">
            <w:rPr>
              <w:rFonts w:ascii="Times New Roman" w:hAnsi="Times New Roman"/>
              <w:sz w:val="24"/>
            </w:rPr>
            <w:fldChar w:fldCharType="end"/>
          </w:r>
        </w:sdtContent>
      </w:sdt>
      <w:r w:rsidR="000B21D9">
        <w:rPr>
          <w:rFonts w:ascii="Times New Roman" w:hAnsi="Times New Roman"/>
          <w:sz w:val="24"/>
        </w:rPr>
        <w:t>.</w:t>
      </w:r>
    </w:p>
    <w:p w14:paraId="66F79A5D" w14:textId="77777777" w:rsidR="00912D31" w:rsidRDefault="00912D31" w:rsidP="00306893">
      <w:pPr>
        <w:spacing w:after="120"/>
        <w:jc w:val="both"/>
        <w:rPr>
          <w:rFonts w:ascii="Times New Roman" w:hAnsi="Times New Roman"/>
          <w:sz w:val="24"/>
        </w:rPr>
      </w:pPr>
    </w:p>
    <w:p w14:paraId="0545D943" w14:textId="38D73FD2" w:rsidR="00683202" w:rsidRPr="00912D31" w:rsidRDefault="003E53B1" w:rsidP="00683202">
      <w:pPr>
        <w:spacing w:after="120"/>
        <w:jc w:val="both"/>
        <w:rPr>
          <w:rFonts w:ascii="Times New Roman" w:hAnsi="Times New Roman"/>
          <w:b/>
          <w:sz w:val="24"/>
        </w:rPr>
      </w:pPr>
      <w:r w:rsidRPr="00912D31">
        <w:rPr>
          <w:rFonts w:ascii="Times New Roman" w:hAnsi="Times New Roman"/>
          <w:b/>
          <w:sz w:val="24"/>
        </w:rPr>
        <w:t>Estado del arte</w:t>
      </w:r>
      <w:r w:rsidR="003B4C06">
        <w:rPr>
          <w:rFonts w:ascii="Times New Roman" w:hAnsi="Times New Roman"/>
          <w:b/>
          <w:sz w:val="24"/>
        </w:rPr>
        <w:t>:</w:t>
      </w:r>
    </w:p>
    <w:p w14:paraId="1ED8231A" w14:textId="01920BDA" w:rsidR="00527D4E" w:rsidRDefault="00527D4E" w:rsidP="00306893">
      <w:pPr>
        <w:spacing w:after="120"/>
        <w:jc w:val="both"/>
        <w:rPr>
          <w:rFonts w:ascii="Times New Roman" w:hAnsi="Times New Roman"/>
          <w:sz w:val="24"/>
        </w:rPr>
      </w:pPr>
      <w:r>
        <w:rPr>
          <w:rFonts w:ascii="Times New Roman" w:hAnsi="Times New Roman"/>
          <w:sz w:val="24"/>
        </w:rPr>
        <w:t xml:space="preserve">La investigación de </w:t>
      </w:r>
      <w:sdt>
        <w:sdtPr>
          <w:rPr>
            <w:rFonts w:ascii="Times New Roman" w:hAnsi="Times New Roman"/>
            <w:sz w:val="24"/>
          </w:rPr>
          <w:id w:val="575944225"/>
          <w:citation/>
        </w:sdtPr>
        <w:sdtEndPr/>
        <w:sdtContent>
          <w:r>
            <w:rPr>
              <w:rFonts w:ascii="Times New Roman" w:hAnsi="Times New Roman"/>
              <w:sz w:val="24"/>
            </w:rPr>
            <w:fldChar w:fldCharType="begin"/>
          </w:r>
          <w:r w:rsidR="003A4BC7">
            <w:rPr>
              <w:rFonts w:ascii="Times New Roman" w:hAnsi="Times New Roman"/>
              <w:sz w:val="24"/>
            </w:rPr>
            <w:instrText xml:space="preserve">CITATION Com13 \l 9226 </w:instrText>
          </w:r>
          <w:r>
            <w:rPr>
              <w:rFonts w:ascii="Times New Roman" w:hAnsi="Times New Roman"/>
              <w:sz w:val="24"/>
            </w:rPr>
            <w:fldChar w:fldCharType="separate"/>
          </w:r>
          <w:r w:rsidR="003A4BC7" w:rsidRPr="003A4BC7">
            <w:rPr>
              <w:rFonts w:ascii="Times New Roman" w:hAnsi="Times New Roman"/>
              <w:noProof/>
              <w:sz w:val="24"/>
            </w:rPr>
            <w:t>(Brochet, Jagolinzer, &amp; Riedl, 2013)</w:t>
          </w:r>
          <w:r>
            <w:rPr>
              <w:rFonts w:ascii="Times New Roman" w:hAnsi="Times New Roman"/>
              <w:sz w:val="24"/>
            </w:rPr>
            <w:fldChar w:fldCharType="end"/>
          </w:r>
        </w:sdtContent>
      </w:sdt>
      <w:r w:rsidR="003A4BC7">
        <w:rPr>
          <w:rFonts w:ascii="Times New Roman" w:hAnsi="Times New Roman"/>
          <w:sz w:val="24"/>
        </w:rPr>
        <w:t xml:space="preserve"> </w:t>
      </w:r>
      <w:r>
        <w:rPr>
          <w:rFonts w:ascii="Times New Roman" w:hAnsi="Times New Roman"/>
          <w:sz w:val="24"/>
        </w:rPr>
        <w:t xml:space="preserve">demuestra que, en </w:t>
      </w:r>
      <w:r w:rsidR="003A4BC7">
        <w:rPr>
          <w:rFonts w:ascii="Times New Roman" w:hAnsi="Times New Roman"/>
          <w:sz w:val="24"/>
        </w:rPr>
        <w:t>Reino Unido</w:t>
      </w:r>
      <w:r>
        <w:rPr>
          <w:rFonts w:ascii="Times New Roman" w:hAnsi="Times New Roman"/>
          <w:sz w:val="24"/>
        </w:rPr>
        <w:t xml:space="preserve">, la implementación de las IFRS para el conjunto de empresas cotizantes en las bolsas de valores ha traído como beneficio un aumento de la comparabilidad de la información financiera, que se define particularmente, en incrementos de la liquidez del mercado accionario y una menor posibilidad de que grupos de interés usufructúen información privaba en su beneficio. Para demostrar este impacto de los cambios normativos, que se vienen desarrollando desde finales de la década de los noventa en la Unión Europea, la investigación desarrolla indicadores de armonización de los </w:t>
      </w:r>
      <w:r w:rsidR="003A4BC7">
        <w:rPr>
          <w:rFonts w:ascii="Times New Roman" w:hAnsi="Times New Roman"/>
          <w:sz w:val="24"/>
        </w:rPr>
        <w:t xml:space="preserve">pronósticos de los </w:t>
      </w:r>
      <w:r>
        <w:rPr>
          <w:rFonts w:ascii="Times New Roman" w:hAnsi="Times New Roman"/>
          <w:sz w:val="24"/>
        </w:rPr>
        <w:t>resultados estimados de los periodos de pre y post adopción de las IFRS.</w:t>
      </w:r>
    </w:p>
    <w:p w14:paraId="013EB9AE" w14:textId="77777777" w:rsidR="00527D4E" w:rsidRDefault="00527D4E" w:rsidP="00306893">
      <w:pPr>
        <w:spacing w:after="120"/>
        <w:jc w:val="both"/>
        <w:rPr>
          <w:rFonts w:ascii="Times New Roman" w:hAnsi="Times New Roman"/>
          <w:sz w:val="24"/>
        </w:rPr>
      </w:pPr>
    </w:p>
    <w:p w14:paraId="0C2F4374" w14:textId="61D8B5FF" w:rsidR="00C06A72" w:rsidRDefault="003B4C06" w:rsidP="00306893">
      <w:pPr>
        <w:spacing w:after="120"/>
        <w:jc w:val="both"/>
        <w:rPr>
          <w:rFonts w:ascii="Times New Roman" w:hAnsi="Times New Roman"/>
          <w:sz w:val="24"/>
        </w:rPr>
      </w:pPr>
      <w:r>
        <w:rPr>
          <w:rFonts w:ascii="Times New Roman" w:hAnsi="Times New Roman"/>
          <w:sz w:val="24"/>
        </w:rPr>
        <w:t xml:space="preserve">En el texto de </w:t>
      </w:r>
      <w:sdt>
        <w:sdtPr>
          <w:rPr>
            <w:rFonts w:ascii="Times New Roman" w:hAnsi="Times New Roman"/>
            <w:sz w:val="24"/>
          </w:rPr>
          <w:id w:val="1498076053"/>
          <w:citation/>
        </w:sdtPr>
        <w:sdtEndPr/>
        <w:sdtContent>
          <w:r w:rsidR="00F56B1E">
            <w:rPr>
              <w:rFonts w:ascii="Times New Roman" w:hAnsi="Times New Roman"/>
              <w:sz w:val="24"/>
            </w:rPr>
            <w:fldChar w:fldCharType="begin"/>
          </w:r>
          <w:r w:rsidR="00F56B1E">
            <w:rPr>
              <w:rFonts w:ascii="Times New Roman" w:hAnsi="Times New Roman"/>
              <w:sz w:val="24"/>
            </w:rPr>
            <w:instrText xml:space="preserve">CITATION OGó11 \l 9226 </w:instrText>
          </w:r>
          <w:r w:rsidR="00F56B1E">
            <w:rPr>
              <w:rFonts w:ascii="Times New Roman" w:hAnsi="Times New Roman"/>
              <w:sz w:val="24"/>
            </w:rPr>
            <w:fldChar w:fldCharType="separate"/>
          </w:r>
          <w:r w:rsidR="003A4BC7" w:rsidRPr="003A4BC7">
            <w:rPr>
              <w:rFonts w:ascii="Times New Roman" w:hAnsi="Times New Roman"/>
              <w:noProof/>
              <w:sz w:val="24"/>
            </w:rPr>
            <w:t>(Gómez, De la Hoz, &amp; De la Hoz, 2011)</w:t>
          </w:r>
          <w:r w:rsidR="00F56B1E">
            <w:rPr>
              <w:rFonts w:ascii="Times New Roman" w:hAnsi="Times New Roman"/>
              <w:sz w:val="24"/>
            </w:rPr>
            <w:fldChar w:fldCharType="end"/>
          </w:r>
        </w:sdtContent>
      </w:sdt>
      <w:r w:rsidR="00C06A72">
        <w:rPr>
          <w:rFonts w:ascii="Times New Roman" w:hAnsi="Times New Roman"/>
          <w:sz w:val="24"/>
        </w:rPr>
        <w:t xml:space="preserve"> </w:t>
      </w:r>
      <w:r>
        <w:rPr>
          <w:rFonts w:ascii="Times New Roman" w:hAnsi="Times New Roman"/>
          <w:sz w:val="24"/>
        </w:rPr>
        <w:t xml:space="preserve">se analiza el grado de armonización de las prácticas de contabilidad de entes emisores de valores no financieros que cotizan en la Bolsa de Valores de Caracas </w:t>
      </w:r>
      <w:r w:rsidR="00F56B1E">
        <w:rPr>
          <w:rFonts w:ascii="Times New Roman" w:hAnsi="Times New Roman"/>
          <w:sz w:val="24"/>
        </w:rPr>
        <w:t>–</w:t>
      </w:r>
      <w:r>
        <w:rPr>
          <w:rFonts w:ascii="Times New Roman" w:hAnsi="Times New Roman"/>
          <w:sz w:val="24"/>
        </w:rPr>
        <w:t xml:space="preserve"> Venezuela</w:t>
      </w:r>
      <w:r w:rsidR="00F56B1E">
        <w:rPr>
          <w:rFonts w:ascii="Times New Roman" w:hAnsi="Times New Roman"/>
          <w:sz w:val="24"/>
        </w:rPr>
        <w:t>. Respecto de un conjunto de doce rubros de</w:t>
      </w:r>
      <w:r w:rsidR="00365A5E">
        <w:rPr>
          <w:rFonts w:ascii="Times New Roman" w:hAnsi="Times New Roman"/>
          <w:sz w:val="24"/>
        </w:rPr>
        <w:t xml:space="preserve"> elementos de los</w:t>
      </w:r>
      <w:r w:rsidR="00F56B1E">
        <w:rPr>
          <w:rFonts w:ascii="Times New Roman" w:hAnsi="Times New Roman"/>
          <w:sz w:val="24"/>
        </w:rPr>
        <w:t xml:space="preserve"> estados financieros de estas empresas, los autores encuentran un grado de comparabilidad del 70%</w:t>
      </w:r>
      <w:r w:rsidR="00365A5E">
        <w:rPr>
          <w:rFonts w:ascii="Times New Roman" w:hAnsi="Times New Roman"/>
          <w:sz w:val="24"/>
        </w:rPr>
        <w:t xml:space="preserve">, correspondiente a </w:t>
      </w:r>
      <w:r w:rsidR="00F56B1E">
        <w:rPr>
          <w:rFonts w:ascii="Times New Roman" w:hAnsi="Times New Roman"/>
          <w:sz w:val="24"/>
        </w:rPr>
        <w:t>la coincidencia</w:t>
      </w:r>
      <w:r w:rsidR="00365A5E">
        <w:rPr>
          <w:rFonts w:ascii="Times New Roman" w:hAnsi="Times New Roman"/>
          <w:sz w:val="24"/>
        </w:rPr>
        <w:t xml:space="preserve"> </w:t>
      </w:r>
      <w:r w:rsidR="00F56B1E">
        <w:rPr>
          <w:rFonts w:ascii="Times New Roman" w:hAnsi="Times New Roman"/>
          <w:sz w:val="24"/>
        </w:rPr>
        <w:t xml:space="preserve">en el uso de tratamientos contables alternativos, partir de una evaluación empírica sustentada en el índice de Jaccard. </w:t>
      </w:r>
      <w:r>
        <w:rPr>
          <w:rFonts w:ascii="Times New Roman" w:hAnsi="Times New Roman"/>
          <w:sz w:val="24"/>
        </w:rPr>
        <w:t xml:space="preserve"> </w:t>
      </w:r>
    </w:p>
    <w:p w14:paraId="13C8D96B" w14:textId="77777777" w:rsidR="009F2717" w:rsidRDefault="009F2717" w:rsidP="00306893">
      <w:pPr>
        <w:spacing w:after="120"/>
        <w:jc w:val="both"/>
        <w:rPr>
          <w:rFonts w:ascii="Times New Roman" w:hAnsi="Times New Roman"/>
          <w:sz w:val="24"/>
        </w:rPr>
      </w:pPr>
    </w:p>
    <w:p w14:paraId="577CB88F" w14:textId="3DDEE8C2" w:rsidR="003B4C06" w:rsidRPr="003B4C06" w:rsidRDefault="00C06A72" w:rsidP="00306893">
      <w:pPr>
        <w:spacing w:after="120"/>
        <w:jc w:val="both"/>
        <w:rPr>
          <w:rFonts w:ascii="Times New Roman" w:hAnsi="Times New Roman"/>
          <w:sz w:val="24"/>
        </w:rPr>
      </w:pPr>
      <w:r>
        <w:rPr>
          <w:rFonts w:ascii="Times New Roman" w:hAnsi="Times New Roman"/>
          <w:sz w:val="24"/>
        </w:rPr>
        <w:t xml:space="preserve">Por otra parte, </w:t>
      </w:r>
      <w:sdt>
        <w:sdtPr>
          <w:rPr>
            <w:rFonts w:ascii="Times New Roman" w:hAnsi="Times New Roman"/>
            <w:sz w:val="24"/>
          </w:rPr>
          <w:id w:val="1216940211"/>
          <w:citation/>
        </w:sdtPr>
        <w:sdtEndPr/>
        <w:sdtContent>
          <w:r>
            <w:rPr>
              <w:rFonts w:ascii="Times New Roman" w:hAnsi="Times New Roman"/>
              <w:sz w:val="24"/>
            </w:rPr>
            <w:fldChar w:fldCharType="begin"/>
          </w:r>
          <w:r>
            <w:rPr>
              <w:rFonts w:ascii="Times New Roman" w:hAnsi="Times New Roman"/>
              <w:sz w:val="24"/>
            </w:rPr>
            <w:instrText xml:space="preserve"> CITATION Gon06 \l 9226 </w:instrText>
          </w:r>
          <w:r>
            <w:rPr>
              <w:rFonts w:ascii="Times New Roman" w:hAnsi="Times New Roman"/>
              <w:sz w:val="24"/>
            </w:rPr>
            <w:fldChar w:fldCharType="separate"/>
          </w:r>
          <w:r w:rsidR="003A4BC7" w:rsidRPr="003A4BC7">
            <w:rPr>
              <w:rFonts w:ascii="Times New Roman" w:hAnsi="Times New Roman"/>
              <w:noProof/>
              <w:sz w:val="24"/>
            </w:rPr>
            <w:t>(González, 2006)</w:t>
          </w:r>
          <w:r>
            <w:rPr>
              <w:rFonts w:ascii="Times New Roman" w:hAnsi="Times New Roman"/>
              <w:sz w:val="24"/>
            </w:rPr>
            <w:fldChar w:fldCharType="end"/>
          </w:r>
        </w:sdtContent>
      </w:sdt>
      <w:r>
        <w:rPr>
          <w:rFonts w:ascii="Times New Roman" w:hAnsi="Times New Roman"/>
          <w:sz w:val="24"/>
        </w:rPr>
        <w:t xml:space="preserve"> elabora un estudio empírico para medir aspectos de armonización y comparabilidad de la información financiera, respecto de las prácticas contables de empresas colombianas, argentinas y brasileras, sobre las partidas de </w:t>
      </w:r>
      <w:r>
        <w:rPr>
          <w:rFonts w:ascii="Times New Roman" w:hAnsi="Times New Roman"/>
          <w:sz w:val="24"/>
        </w:rPr>
        <w:lastRenderedPageBreak/>
        <w:t xml:space="preserve">inventarios, activos fijos, Leasing y </w:t>
      </w:r>
      <w:r w:rsidRPr="00C06A72">
        <w:rPr>
          <w:rFonts w:ascii="Times New Roman" w:hAnsi="Times New Roman"/>
          <w:i/>
          <w:sz w:val="24"/>
        </w:rPr>
        <w:t>Good Will</w:t>
      </w:r>
      <w:r>
        <w:rPr>
          <w:rFonts w:ascii="Times New Roman" w:hAnsi="Times New Roman"/>
          <w:sz w:val="24"/>
        </w:rPr>
        <w:t>. La investigación se sustenta en la aplicación de un Test X</w:t>
      </w:r>
      <w:r w:rsidRPr="00527D4E">
        <w:rPr>
          <w:rFonts w:ascii="Times New Roman" w:hAnsi="Times New Roman"/>
          <w:sz w:val="24"/>
          <w:vertAlign w:val="superscript"/>
        </w:rPr>
        <w:t>2</w:t>
      </w:r>
      <w:r>
        <w:rPr>
          <w:rFonts w:ascii="Times New Roman" w:hAnsi="Times New Roman"/>
          <w:sz w:val="24"/>
        </w:rPr>
        <w:t xml:space="preserve">, con el cual se evalúa si un determinado tratamiento contable es significativo en la frecuencia de aplicación bajo un nivel relativo de significancia estadística.  </w:t>
      </w:r>
    </w:p>
    <w:p w14:paraId="749CD915" w14:textId="77777777" w:rsidR="00EB4C4C" w:rsidRDefault="00EB4C4C" w:rsidP="00306893">
      <w:pPr>
        <w:spacing w:after="120"/>
        <w:jc w:val="both"/>
        <w:rPr>
          <w:rFonts w:ascii="Times New Roman" w:hAnsi="Times New Roman"/>
          <w:b/>
          <w:sz w:val="24"/>
        </w:rPr>
      </w:pPr>
    </w:p>
    <w:p w14:paraId="524B16E1" w14:textId="6A983E70" w:rsidR="005410B3" w:rsidRDefault="005410B3" w:rsidP="00306893">
      <w:pPr>
        <w:spacing w:after="120"/>
        <w:jc w:val="both"/>
        <w:rPr>
          <w:rFonts w:ascii="Times New Roman" w:hAnsi="Times New Roman"/>
          <w:b/>
          <w:sz w:val="24"/>
        </w:rPr>
      </w:pPr>
      <w:r w:rsidRPr="007501E4">
        <w:rPr>
          <w:rFonts w:ascii="Times New Roman" w:hAnsi="Times New Roman"/>
          <w:b/>
          <w:sz w:val="24"/>
        </w:rPr>
        <w:t>Metodología</w:t>
      </w:r>
      <w:r w:rsidR="000464C1">
        <w:rPr>
          <w:rFonts w:ascii="Times New Roman" w:hAnsi="Times New Roman"/>
          <w:b/>
          <w:sz w:val="24"/>
        </w:rPr>
        <w:t>:</w:t>
      </w:r>
    </w:p>
    <w:p w14:paraId="67F80492" w14:textId="6A2BE60D" w:rsidR="000464C1" w:rsidRDefault="00AA6B7E" w:rsidP="00306893">
      <w:pPr>
        <w:spacing w:after="120"/>
        <w:jc w:val="both"/>
        <w:rPr>
          <w:rFonts w:ascii="Times New Roman" w:hAnsi="Times New Roman"/>
          <w:sz w:val="24"/>
        </w:rPr>
      </w:pPr>
      <w:r>
        <w:rPr>
          <w:rFonts w:ascii="Times New Roman" w:hAnsi="Times New Roman"/>
          <w:sz w:val="24"/>
        </w:rPr>
        <w:t xml:space="preserve">La investigación se desarrollará desde una perspectiva empírica, más puntualmente, sobre la acumulación, clasificación y modelación de cifras contables y financieras de </w:t>
      </w:r>
      <w:r w:rsidR="00F66971">
        <w:rPr>
          <w:rFonts w:ascii="Times New Roman" w:hAnsi="Times New Roman"/>
          <w:sz w:val="24"/>
        </w:rPr>
        <w:t xml:space="preserve">grandes </w:t>
      </w:r>
      <w:r>
        <w:rPr>
          <w:rFonts w:ascii="Times New Roman" w:hAnsi="Times New Roman"/>
          <w:sz w:val="24"/>
        </w:rPr>
        <w:t xml:space="preserve">empresas </w:t>
      </w:r>
      <w:r w:rsidR="00F66971">
        <w:rPr>
          <w:rFonts w:ascii="Times New Roman" w:hAnsi="Times New Roman"/>
          <w:sz w:val="24"/>
        </w:rPr>
        <w:t xml:space="preserve">no financieras </w:t>
      </w:r>
      <w:r>
        <w:rPr>
          <w:rFonts w:ascii="Times New Roman" w:hAnsi="Times New Roman"/>
          <w:sz w:val="24"/>
        </w:rPr>
        <w:t>colombianas que hayan implementado IFRS plenas.</w:t>
      </w:r>
      <w:r w:rsidR="000464C1">
        <w:rPr>
          <w:rFonts w:ascii="Times New Roman" w:hAnsi="Times New Roman"/>
          <w:sz w:val="24"/>
        </w:rPr>
        <w:t xml:space="preserve"> Está información se obtendrá de los reportes financieros de las empresas y de bases de datos públicas sobre las mismas</w:t>
      </w:r>
      <w:r w:rsidR="008111A0">
        <w:rPr>
          <w:rFonts w:ascii="Times New Roman" w:hAnsi="Times New Roman"/>
          <w:sz w:val="24"/>
        </w:rPr>
        <w:t>, para el periodo comprendido entre los años 2014-2017</w:t>
      </w:r>
      <w:r w:rsidR="000464C1">
        <w:rPr>
          <w:rFonts w:ascii="Times New Roman" w:hAnsi="Times New Roman"/>
          <w:sz w:val="24"/>
        </w:rPr>
        <w:t>.</w:t>
      </w:r>
      <w:r>
        <w:rPr>
          <w:rFonts w:ascii="Times New Roman" w:hAnsi="Times New Roman"/>
          <w:sz w:val="24"/>
        </w:rPr>
        <w:t xml:space="preserve"> </w:t>
      </w:r>
    </w:p>
    <w:p w14:paraId="5AA3968B" w14:textId="77777777" w:rsidR="000464C1" w:rsidRDefault="000464C1" w:rsidP="00306893">
      <w:pPr>
        <w:spacing w:after="120"/>
        <w:jc w:val="both"/>
        <w:rPr>
          <w:rFonts w:ascii="Times New Roman" w:hAnsi="Times New Roman"/>
          <w:sz w:val="24"/>
        </w:rPr>
      </w:pPr>
    </w:p>
    <w:p w14:paraId="6E96AF8E" w14:textId="77777777" w:rsidR="00282EBE" w:rsidRDefault="000D6FB7" w:rsidP="00306893">
      <w:pPr>
        <w:spacing w:after="120"/>
        <w:jc w:val="both"/>
        <w:rPr>
          <w:rFonts w:ascii="Times New Roman" w:hAnsi="Times New Roman"/>
          <w:sz w:val="24"/>
        </w:rPr>
      </w:pPr>
      <w:r>
        <w:rPr>
          <w:rFonts w:ascii="Times New Roman" w:hAnsi="Times New Roman"/>
          <w:sz w:val="24"/>
        </w:rPr>
        <w:t xml:space="preserve">En principio, para evaluar el comportamiento de la característica </w:t>
      </w:r>
      <w:r w:rsidR="00710B58">
        <w:rPr>
          <w:rFonts w:ascii="Times New Roman" w:hAnsi="Times New Roman"/>
          <w:sz w:val="24"/>
        </w:rPr>
        <w:t xml:space="preserve">cualitativa </w:t>
      </w:r>
      <w:r>
        <w:rPr>
          <w:rFonts w:ascii="Times New Roman" w:hAnsi="Times New Roman"/>
          <w:sz w:val="24"/>
        </w:rPr>
        <w:t>de la comparabilidad de la información financiera en la</w:t>
      </w:r>
      <w:r w:rsidR="00710B58">
        <w:rPr>
          <w:rFonts w:ascii="Times New Roman" w:hAnsi="Times New Roman"/>
          <w:sz w:val="24"/>
        </w:rPr>
        <w:t xml:space="preserve"> práctica contable de las</w:t>
      </w:r>
      <w:r>
        <w:rPr>
          <w:rFonts w:ascii="Times New Roman" w:hAnsi="Times New Roman"/>
          <w:sz w:val="24"/>
        </w:rPr>
        <w:t xml:space="preserve"> grandes empresas no financieras colombianas, se establecen indicadores de Medición de la Armonización Material, como el índice de He</w:t>
      </w:r>
      <w:r w:rsidR="00D41F62">
        <w:rPr>
          <w:rFonts w:ascii="Times New Roman" w:hAnsi="Times New Roman"/>
          <w:sz w:val="24"/>
        </w:rPr>
        <w:t>rfi</w:t>
      </w:r>
      <w:r>
        <w:rPr>
          <w:rFonts w:ascii="Times New Roman" w:hAnsi="Times New Roman"/>
          <w:sz w:val="24"/>
        </w:rPr>
        <w:t>n</w:t>
      </w:r>
      <w:r w:rsidR="00D41F62">
        <w:rPr>
          <w:rFonts w:ascii="Times New Roman" w:hAnsi="Times New Roman"/>
          <w:sz w:val="24"/>
        </w:rPr>
        <w:t>d</w:t>
      </w:r>
      <w:r>
        <w:rPr>
          <w:rFonts w:ascii="Times New Roman" w:hAnsi="Times New Roman"/>
          <w:sz w:val="24"/>
        </w:rPr>
        <w:t>a</w:t>
      </w:r>
      <w:r w:rsidR="00B554D2">
        <w:rPr>
          <w:rFonts w:ascii="Times New Roman" w:hAnsi="Times New Roman"/>
          <w:sz w:val="24"/>
        </w:rPr>
        <w:t>h</w:t>
      </w:r>
      <w:r>
        <w:rPr>
          <w:rFonts w:ascii="Times New Roman" w:hAnsi="Times New Roman"/>
          <w:sz w:val="24"/>
        </w:rPr>
        <w:t>l</w:t>
      </w:r>
      <w:r w:rsidR="00282EBE">
        <w:rPr>
          <w:rFonts w:ascii="Times New Roman" w:hAnsi="Times New Roman"/>
          <w:sz w:val="24"/>
        </w:rPr>
        <w:t xml:space="preserve"> cuya formulación es:</w:t>
      </w:r>
    </w:p>
    <w:p w14:paraId="2D1EF83B" w14:textId="5372181C" w:rsidR="007120B2" w:rsidRDefault="007120B2" w:rsidP="00306893">
      <w:pPr>
        <w:spacing w:after="120"/>
        <w:jc w:val="both"/>
        <w:rPr>
          <w:rFonts w:ascii="Times New Roman" w:hAnsi="Times New Roman"/>
          <w:sz w:val="24"/>
        </w:rPr>
      </w:pPr>
      <m:oMathPara>
        <m:oMath>
          <m:r>
            <w:rPr>
              <w:rFonts w:ascii="Cambria Math" w:hAnsi="Cambria Math"/>
              <w:sz w:val="24"/>
            </w:rPr>
            <m:t>H=</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2</m:t>
                  </m:r>
                </m:sup>
              </m:sSubSup>
            </m:e>
          </m:nary>
        </m:oMath>
      </m:oMathPara>
    </w:p>
    <w:p w14:paraId="6722BF85" w14:textId="77777777" w:rsidR="007120B2" w:rsidRDefault="007120B2" w:rsidP="00306893">
      <w:pPr>
        <w:spacing w:after="120"/>
        <w:jc w:val="both"/>
        <w:rPr>
          <w:rFonts w:ascii="Times New Roman" w:hAnsi="Times New Roman"/>
          <w:sz w:val="24"/>
        </w:rPr>
      </w:pPr>
      <w:r>
        <w:rPr>
          <w:rFonts w:ascii="Times New Roman" w:hAnsi="Times New Roman"/>
          <w:sz w:val="24"/>
        </w:rPr>
        <w:t xml:space="preserve">Donde: </w:t>
      </w:r>
    </w:p>
    <w:p w14:paraId="7A491D69" w14:textId="77777777" w:rsidR="007120B2" w:rsidRDefault="007120B2" w:rsidP="00306893">
      <w:pPr>
        <w:spacing w:after="120"/>
        <w:jc w:val="both"/>
        <w:rPr>
          <w:rFonts w:ascii="Times New Roman" w:hAnsi="Times New Roman"/>
          <w:sz w:val="24"/>
        </w:rPr>
      </w:pPr>
    </w:p>
    <w:p w14:paraId="3961C6FC" w14:textId="15310A62" w:rsidR="007120B2" w:rsidRDefault="007120B2" w:rsidP="00306893">
      <w:pPr>
        <w:spacing w:after="120"/>
        <w:jc w:val="both"/>
        <w:rPr>
          <w:rFonts w:ascii="Times New Roman" w:hAnsi="Times New Roman"/>
          <w:sz w:val="24"/>
        </w:rPr>
      </w:pPr>
      <w:r>
        <w:rPr>
          <w:rFonts w:ascii="Times New Roman" w:hAnsi="Times New Roman"/>
          <w:sz w:val="24"/>
        </w:rPr>
        <w:t>H: Es el Índice de Herfindahl</w:t>
      </w:r>
    </w:p>
    <w:p w14:paraId="107E811B" w14:textId="77777777" w:rsidR="007120B2" w:rsidRDefault="007120B2" w:rsidP="00306893">
      <w:pPr>
        <w:spacing w:after="120"/>
        <w:jc w:val="both"/>
        <w:rPr>
          <w:rFonts w:ascii="Times New Roman" w:hAnsi="Times New Roman"/>
          <w:sz w:val="24"/>
        </w:rPr>
      </w:pPr>
      <w:r>
        <w:rPr>
          <w:rFonts w:ascii="Times New Roman" w:hAnsi="Times New Roman"/>
          <w:sz w:val="24"/>
        </w:rPr>
        <w:t>n: Número de tratamientos contables alternativos</w:t>
      </w:r>
    </w:p>
    <w:p w14:paraId="784964B6" w14:textId="77777777" w:rsidR="007120B2" w:rsidRDefault="007120B2" w:rsidP="00306893">
      <w:pPr>
        <w:spacing w:after="120"/>
        <w:jc w:val="both"/>
        <w:rPr>
          <w:rFonts w:ascii="Times New Roman" w:hAnsi="Times New Roman"/>
          <w:sz w:val="24"/>
        </w:rPr>
      </w:pPr>
      <w:r>
        <w:rPr>
          <w:rFonts w:ascii="Times New Roman" w:hAnsi="Times New Roman"/>
          <w:sz w:val="24"/>
        </w:rPr>
        <w:t>p</w:t>
      </w:r>
      <w:r w:rsidRPr="007120B2">
        <w:rPr>
          <w:rFonts w:ascii="Times New Roman" w:hAnsi="Times New Roman"/>
          <w:sz w:val="24"/>
          <w:vertAlign w:val="subscript"/>
        </w:rPr>
        <w:t>i</w:t>
      </w:r>
      <w:r>
        <w:rPr>
          <w:rFonts w:ascii="Times New Roman" w:hAnsi="Times New Roman"/>
          <w:sz w:val="24"/>
          <w:vertAlign w:val="subscript"/>
        </w:rPr>
        <w:t xml:space="preserve">: </w:t>
      </w:r>
      <w:r>
        <w:rPr>
          <w:rFonts w:ascii="Times New Roman" w:hAnsi="Times New Roman"/>
          <w:sz w:val="24"/>
        </w:rPr>
        <w:t xml:space="preserve">Es la frecuencia relativa del método contable </w:t>
      </w:r>
      <w:r w:rsidRPr="007120B2">
        <w:rPr>
          <w:rFonts w:ascii="Times New Roman" w:hAnsi="Times New Roman"/>
          <w:i/>
          <w:sz w:val="24"/>
        </w:rPr>
        <w:t>i</w:t>
      </w:r>
    </w:p>
    <w:p w14:paraId="311EBBB1" w14:textId="77777777" w:rsidR="007120B2" w:rsidRDefault="007120B2" w:rsidP="00306893">
      <w:pPr>
        <w:spacing w:after="120"/>
        <w:jc w:val="both"/>
        <w:rPr>
          <w:rFonts w:ascii="Times New Roman" w:hAnsi="Times New Roman"/>
          <w:sz w:val="24"/>
        </w:rPr>
      </w:pPr>
    </w:p>
    <w:p w14:paraId="4E058B19" w14:textId="77777777" w:rsidR="006A155D" w:rsidRDefault="006A155D" w:rsidP="00306893">
      <w:pPr>
        <w:spacing w:after="120"/>
        <w:jc w:val="both"/>
        <w:rPr>
          <w:rFonts w:ascii="Times New Roman" w:hAnsi="Times New Roman"/>
          <w:sz w:val="24"/>
        </w:rPr>
      </w:pPr>
      <w:r>
        <w:rPr>
          <w:rFonts w:ascii="Times New Roman" w:hAnsi="Times New Roman"/>
          <w:sz w:val="24"/>
        </w:rPr>
        <w:t xml:space="preserve">El índice fluctúa entre 0 menor comparabilidad y 1 comparabilidad completa. </w:t>
      </w:r>
    </w:p>
    <w:p w14:paraId="74423B9B" w14:textId="77777777" w:rsidR="006A155D" w:rsidRDefault="006A155D" w:rsidP="00306893">
      <w:pPr>
        <w:spacing w:after="120"/>
        <w:jc w:val="both"/>
        <w:rPr>
          <w:rFonts w:ascii="Times New Roman" w:hAnsi="Times New Roman"/>
          <w:sz w:val="24"/>
        </w:rPr>
      </w:pPr>
    </w:p>
    <w:p w14:paraId="35A8A136" w14:textId="15518089" w:rsidR="000D6FB7" w:rsidRDefault="007120B2" w:rsidP="00306893">
      <w:pPr>
        <w:spacing w:after="120"/>
        <w:jc w:val="both"/>
        <w:rPr>
          <w:rFonts w:ascii="Times New Roman" w:hAnsi="Times New Roman"/>
          <w:sz w:val="24"/>
        </w:rPr>
      </w:pPr>
      <w:r>
        <w:rPr>
          <w:rFonts w:ascii="Times New Roman" w:hAnsi="Times New Roman"/>
          <w:sz w:val="24"/>
        </w:rPr>
        <w:t>En general</w:t>
      </w:r>
      <w:r w:rsidR="000D6FB7">
        <w:rPr>
          <w:rFonts w:ascii="Times New Roman" w:hAnsi="Times New Roman"/>
          <w:sz w:val="24"/>
        </w:rPr>
        <w:t xml:space="preserve">, </w:t>
      </w:r>
      <w:r>
        <w:rPr>
          <w:rFonts w:ascii="Times New Roman" w:hAnsi="Times New Roman"/>
          <w:sz w:val="24"/>
        </w:rPr>
        <w:t xml:space="preserve">se trata de </w:t>
      </w:r>
      <w:r w:rsidR="000D6FB7">
        <w:rPr>
          <w:rFonts w:ascii="Times New Roman" w:hAnsi="Times New Roman"/>
          <w:sz w:val="24"/>
        </w:rPr>
        <w:t>una herramienta estadística a partir de la cual se identifican las frecuencias en el uso de diferentes tratamiento</w:t>
      </w:r>
      <w:r w:rsidR="00D41F62">
        <w:rPr>
          <w:rFonts w:ascii="Times New Roman" w:hAnsi="Times New Roman"/>
          <w:sz w:val="24"/>
        </w:rPr>
        <w:t>s</w:t>
      </w:r>
      <w:r w:rsidR="000D6FB7">
        <w:rPr>
          <w:rFonts w:ascii="Times New Roman" w:hAnsi="Times New Roman"/>
          <w:sz w:val="24"/>
        </w:rPr>
        <w:t xml:space="preserve"> contables alternativos sobre una partida particular</w:t>
      </w:r>
      <w:r w:rsidR="00D41F62">
        <w:rPr>
          <w:rFonts w:ascii="Times New Roman" w:hAnsi="Times New Roman"/>
          <w:sz w:val="24"/>
        </w:rPr>
        <w:t>, en una muestra determinada</w:t>
      </w:r>
      <w:r w:rsidR="00B554D2">
        <w:rPr>
          <w:rFonts w:ascii="Times New Roman" w:hAnsi="Times New Roman"/>
          <w:sz w:val="24"/>
        </w:rPr>
        <w:t xml:space="preserve"> </w:t>
      </w:r>
      <w:sdt>
        <w:sdtPr>
          <w:rPr>
            <w:rFonts w:ascii="Times New Roman" w:hAnsi="Times New Roman"/>
            <w:sz w:val="24"/>
          </w:rPr>
          <w:id w:val="-1381320847"/>
          <w:citation/>
        </w:sdtPr>
        <w:sdtEndPr/>
        <w:sdtContent>
          <w:r w:rsidR="00B554D2">
            <w:rPr>
              <w:rFonts w:ascii="Times New Roman" w:hAnsi="Times New Roman"/>
              <w:sz w:val="24"/>
            </w:rPr>
            <w:fldChar w:fldCharType="begin"/>
          </w:r>
          <w:r w:rsidR="00B554D2">
            <w:rPr>
              <w:rFonts w:ascii="Times New Roman" w:hAnsi="Times New Roman"/>
              <w:sz w:val="24"/>
            </w:rPr>
            <w:instrText xml:space="preserve"> CITATION Cañ00 \l 9226 </w:instrText>
          </w:r>
          <w:r w:rsidR="00B554D2">
            <w:rPr>
              <w:rFonts w:ascii="Times New Roman" w:hAnsi="Times New Roman"/>
              <w:sz w:val="24"/>
            </w:rPr>
            <w:fldChar w:fldCharType="separate"/>
          </w:r>
          <w:r w:rsidR="003A4BC7" w:rsidRPr="003A4BC7">
            <w:rPr>
              <w:rFonts w:ascii="Times New Roman" w:hAnsi="Times New Roman"/>
              <w:noProof/>
              <w:sz w:val="24"/>
            </w:rPr>
            <w:t>(Cañibano &amp; Mora, 2000)</w:t>
          </w:r>
          <w:r w:rsidR="00B554D2">
            <w:rPr>
              <w:rFonts w:ascii="Times New Roman" w:hAnsi="Times New Roman"/>
              <w:sz w:val="24"/>
            </w:rPr>
            <w:fldChar w:fldCharType="end"/>
          </w:r>
        </w:sdtContent>
      </w:sdt>
      <w:sdt>
        <w:sdtPr>
          <w:rPr>
            <w:rFonts w:ascii="Times New Roman" w:hAnsi="Times New Roman"/>
            <w:sz w:val="24"/>
          </w:rPr>
          <w:id w:val="2073387396"/>
          <w:citation/>
        </w:sdtPr>
        <w:sdtEndPr/>
        <w:sdtContent>
          <w:r w:rsidR="00B554D2">
            <w:rPr>
              <w:rFonts w:ascii="Times New Roman" w:hAnsi="Times New Roman"/>
              <w:sz w:val="24"/>
            </w:rPr>
            <w:fldChar w:fldCharType="begin"/>
          </w:r>
          <w:r w:rsidR="00B554D2">
            <w:rPr>
              <w:rFonts w:ascii="Times New Roman" w:hAnsi="Times New Roman"/>
              <w:sz w:val="24"/>
            </w:rPr>
            <w:instrText xml:space="preserve"> CITATION Pie02 \l 9226 </w:instrText>
          </w:r>
          <w:r w:rsidR="00B554D2">
            <w:rPr>
              <w:rFonts w:ascii="Times New Roman" w:hAnsi="Times New Roman"/>
              <w:sz w:val="24"/>
            </w:rPr>
            <w:fldChar w:fldCharType="separate"/>
          </w:r>
          <w:r w:rsidR="003A4BC7">
            <w:rPr>
              <w:rFonts w:ascii="Times New Roman" w:hAnsi="Times New Roman"/>
              <w:noProof/>
              <w:sz w:val="24"/>
            </w:rPr>
            <w:t xml:space="preserve"> </w:t>
          </w:r>
          <w:r w:rsidR="003A4BC7" w:rsidRPr="003A4BC7">
            <w:rPr>
              <w:rFonts w:ascii="Times New Roman" w:hAnsi="Times New Roman"/>
              <w:noProof/>
              <w:sz w:val="24"/>
            </w:rPr>
            <w:t>(Pierce &amp; Weetman, 2002)</w:t>
          </w:r>
          <w:r w:rsidR="00B554D2">
            <w:rPr>
              <w:rFonts w:ascii="Times New Roman" w:hAnsi="Times New Roman"/>
              <w:sz w:val="24"/>
            </w:rPr>
            <w:fldChar w:fldCharType="end"/>
          </w:r>
        </w:sdtContent>
      </w:sdt>
      <w:r w:rsidR="00063DF9">
        <w:rPr>
          <w:rFonts w:ascii="Times New Roman" w:hAnsi="Times New Roman"/>
          <w:sz w:val="24"/>
        </w:rPr>
        <w:t>, en el caso concreto sobre las partidas de inventarios y propiedades, planta y equipo.</w:t>
      </w:r>
    </w:p>
    <w:p w14:paraId="41409E3E" w14:textId="31FE4C2C" w:rsidR="00AA6B7E" w:rsidRDefault="00AA6B7E" w:rsidP="00306893">
      <w:pPr>
        <w:spacing w:after="120"/>
        <w:jc w:val="both"/>
        <w:rPr>
          <w:rFonts w:ascii="Times New Roman" w:hAnsi="Times New Roman"/>
          <w:sz w:val="24"/>
        </w:rPr>
      </w:pPr>
      <w:r>
        <w:rPr>
          <w:rFonts w:ascii="Times New Roman" w:hAnsi="Times New Roman"/>
          <w:sz w:val="24"/>
        </w:rPr>
        <w:t xml:space="preserve">   </w:t>
      </w:r>
    </w:p>
    <w:p w14:paraId="03BCF421" w14:textId="77777777" w:rsidR="003A4BC7" w:rsidRPr="00AA6B7E" w:rsidRDefault="003A4BC7" w:rsidP="00306893">
      <w:pPr>
        <w:spacing w:after="120"/>
        <w:jc w:val="both"/>
        <w:rPr>
          <w:rFonts w:ascii="Times New Roman" w:hAnsi="Times New Roman"/>
          <w:sz w:val="24"/>
        </w:rPr>
      </w:pPr>
    </w:p>
    <w:p w14:paraId="25B98E15" w14:textId="58F02ADF" w:rsidR="005410B3" w:rsidRDefault="005410B3" w:rsidP="00306893">
      <w:pPr>
        <w:spacing w:after="120"/>
        <w:jc w:val="both"/>
        <w:rPr>
          <w:rFonts w:ascii="Times New Roman" w:hAnsi="Times New Roman"/>
          <w:b/>
          <w:sz w:val="24"/>
        </w:rPr>
      </w:pPr>
      <w:r w:rsidRPr="007501E4">
        <w:rPr>
          <w:rFonts w:ascii="Times New Roman" w:hAnsi="Times New Roman"/>
          <w:b/>
          <w:sz w:val="24"/>
        </w:rPr>
        <w:lastRenderedPageBreak/>
        <w:t>Resultados esperados</w:t>
      </w:r>
      <w:r w:rsidR="009B5A80">
        <w:rPr>
          <w:rFonts w:ascii="Times New Roman" w:hAnsi="Times New Roman"/>
          <w:b/>
          <w:sz w:val="24"/>
        </w:rPr>
        <w:t>:</w:t>
      </w:r>
    </w:p>
    <w:p w14:paraId="10A9A3C7" w14:textId="58714DF8" w:rsidR="009B5A80" w:rsidRPr="00AA6B7E" w:rsidRDefault="00AA6B7E" w:rsidP="00306893">
      <w:pPr>
        <w:spacing w:after="120"/>
        <w:jc w:val="both"/>
        <w:rPr>
          <w:rFonts w:ascii="Times New Roman" w:hAnsi="Times New Roman"/>
          <w:sz w:val="24"/>
        </w:rPr>
      </w:pPr>
      <w:r>
        <w:rPr>
          <w:rFonts w:ascii="Times New Roman" w:hAnsi="Times New Roman"/>
          <w:sz w:val="24"/>
        </w:rPr>
        <w:t>Se espera obtener resultados sobre el aumento o la disminución de la</w:t>
      </w:r>
      <w:r w:rsidR="000464C1">
        <w:rPr>
          <w:rFonts w:ascii="Times New Roman" w:hAnsi="Times New Roman"/>
          <w:sz w:val="24"/>
        </w:rPr>
        <w:t xml:space="preserve"> </w:t>
      </w:r>
      <w:r w:rsidR="009B6E34">
        <w:rPr>
          <w:rFonts w:ascii="Times New Roman" w:hAnsi="Times New Roman"/>
          <w:sz w:val="24"/>
        </w:rPr>
        <w:t>comparabilidad</w:t>
      </w:r>
      <w:r w:rsidR="00883D2D">
        <w:rPr>
          <w:rFonts w:ascii="Times New Roman" w:hAnsi="Times New Roman"/>
          <w:sz w:val="24"/>
        </w:rPr>
        <w:t xml:space="preserve"> </w:t>
      </w:r>
      <w:r w:rsidR="000464C1">
        <w:rPr>
          <w:rFonts w:ascii="Times New Roman" w:hAnsi="Times New Roman"/>
          <w:sz w:val="24"/>
        </w:rPr>
        <w:t xml:space="preserve">de la información financiera de las </w:t>
      </w:r>
      <w:r w:rsidR="00883D2D">
        <w:rPr>
          <w:rFonts w:ascii="Times New Roman" w:hAnsi="Times New Roman"/>
          <w:sz w:val="24"/>
        </w:rPr>
        <w:t xml:space="preserve">grandes </w:t>
      </w:r>
      <w:r w:rsidR="000464C1">
        <w:rPr>
          <w:rFonts w:ascii="Times New Roman" w:hAnsi="Times New Roman"/>
          <w:sz w:val="24"/>
        </w:rPr>
        <w:t xml:space="preserve">empresas </w:t>
      </w:r>
      <w:r w:rsidR="00883D2D">
        <w:rPr>
          <w:rFonts w:ascii="Times New Roman" w:hAnsi="Times New Roman"/>
          <w:sz w:val="24"/>
        </w:rPr>
        <w:t xml:space="preserve">no financieras </w:t>
      </w:r>
      <w:r w:rsidR="000464C1">
        <w:rPr>
          <w:rFonts w:ascii="Times New Roman" w:hAnsi="Times New Roman"/>
          <w:sz w:val="24"/>
        </w:rPr>
        <w:t>colombianas</w:t>
      </w:r>
      <w:r w:rsidR="00883D2D">
        <w:rPr>
          <w:rFonts w:ascii="Times New Roman" w:hAnsi="Times New Roman"/>
          <w:sz w:val="24"/>
        </w:rPr>
        <w:t xml:space="preserve"> </w:t>
      </w:r>
      <w:r w:rsidR="009B6E34">
        <w:rPr>
          <w:rFonts w:ascii="Times New Roman" w:hAnsi="Times New Roman"/>
          <w:sz w:val="24"/>
        </w:rPr>
        <w:t>que i</w:t>
      </w:r>
      <w:r w:rsidR="000464C1">
        <w:rPr>
          <w:rFonts w:ascii="Times New Roman" w:hAnsi="Times New Roman"/>
          <w:sz w:val="24"/>
        </w:rPr>
        <w:t xml:space="preserve">mplementaron las </w:t>
      </w:r>
      <w:r>
        <w:rPr>
          <w:rFonts w:ascii="Times New Roman" w:hAnsi="Times New Roman"/>
          <w:sz w:val="24"/>
        </w:rPr>
        <w:t>IFRS plenas</w:t>
      </w:r>
      <w:r w:rsidR="00883D2D">
        <w:rPr>
          <w:rFonts w:ascii="Times New Roman" w:hAnsi="Times New Roman"/>
          <w:sz w:val="24"/>
        </w:rPr>
        <w:t xml:space="preserve"> en el periodo comprendido entre 2014 y 2017</w:t>
      </w:r>
      <w:r w:rsidR="00063DF9">
        <w:rPr>
          <w:rFonts w:ascii="Times New Roman" w:hAnsi="Times New Roman"/>
          <w:sz w:val="24"/>
        </w:rPr>
        <w:t>, para los rubros de inventarios y propiedades, p</w:t>
      </w:r>
      <w:r w:rsidR="00324D08">
        <w:rPr>
          <w:rFonts w:ascii="Times New Roman" w:hAnsi="Times New Roman"/>
          <w:sz w:val="24"/>
        </w:rPr>
        <w:t>lanta y equipo</w:t>
      </w:r>
      <w:r w:rsidR="00883D2D">
        <w:rPr>
          <w:rFonts w:ascii="Times New Roman" w:hAnsi="Times New Roman"/>
          <w:sz w:val="24"/>
        </w:rPr>
        <w:t xml:space="preserve">. </w:t>
      </w:r>
    </w:p>
    <w:p w14:paraId="385009D6" w14:textId="77777777" w:rsidR="009B5A80" w:rsidRPr="007501E4" w:rsidRDefault="009B5A80" w:rsidP="00306893">
      <w:pPr>
        <w:spacing w:after="120"/>
        <w:jc w:val="both"/>
        <w:rPr>
          <w:rFonts w:ascii="Times New Roman" w:hAnsi="Times New Roman"/>
          <w:b/>
          <w:sz w:val="24"/>
        </w:rPr>
      </w:pPr>
    </w:p>
    <w:p w14:paraId="5A8C7506" w14:textId="2D07B979" w:rsidR="005410B3" w:rsidRDefault="005410B3" w:rsidP="00306893">
      <w:pPr>
        <w:spacing w:after="120"/>
        <w:jc w:val="both"/>
        <w:rPr>
          <w:rFonts w:ascii="Times New Roman" w:hAnsi="Times New Roman"/>
          <w:sz w:val="24"/>
        </w:rPr>
      </w:pPr>
      <w:r w:rsidRPr="007501E4">
        <w:rPr>
          <w:rFonts w:ascii="Times New Roman" w:hAnsi="Times New Roman"/>
          <w:b/>
          <w:sz w:val="24"/>
        </w:rPr>
        <w:t>Productos esperados</w:t>
      </w:r>
      <w:r>
        <w:rPr>
          <w:rFonts w:ascii="Times New Roman" w:hAnsi="Times New Roman"/>
          <w:sz w:val="24"/>
        </w:rPr>
        <w:t xml:space="preserve"> (relaciónelos de acuerdo con la tipología de Colciencias</w:t>
      </w:r>
      <w:r w:rsidR="005F220A">
        <w:rPr>
          <w:rFonts w:ascii="Times New Roman" w:hAnsi="Times New Roman"/>
          <w:sz w:val="24"/>
        </w:rPr>
        <w:t>- Ver Tabla anexa a la convocatoria</w:t>
      </w:r>
      <w:r>
        <w:rPr>
          <w:rFonts w:ascii="Times New Roman" w:hAnsi="Times New Roman"/>
          <w:sz w:val="24"/>
        </w:rPr>
        <w:t>)</w:t>
      </w:r>
      <w:r w:rsidR="005F220A">
        <w:rPr>
          <w:rFonts w:ascii="Times New Roman" w:hAnsi="Times New Roman"/>
          <w:sz w:val="24"/>
        </w:rPr>
        <w:t xml:space="preserve"> </w:t>
      </w:r>
    </w:p>
    <w:p w14:paraId="1C632303" w14:textId="5F35251F" w:rsidR="00903A71" w:rsidRPr="00903A71" w:rsidRDefault="00CA454E" w:rsidP="00903A71">
      <w:pPr>
        <w:pStyle w:val="Prrafodelista"/>
        <w:numPr>
          <w:ilvl w:val="0"/>
          <w:numId w:val="41"/>
        </w:numPr>
        <w:spacing w:after="120"/>
        <w:jc w:val="both"/>
        <w:rPr>
          <w:rFonts w:ascii="Times New Roman" w:hAnsi="Times New Roman"/>
          <w:sz w:val="24"/>
        </w:rPr>
      </w:pPr>
      <w:r>
        <w:rPr>
          <w:rFonts w:ascii="Times New Roman" w:hAnsi="Times New Roman"/>
          <w:sz w:val="24"/>
        </w:rPr>
        <w:t>2</w:t>
      </w:r>
      <w:r w:rsidR="00883D2D">
        <w:rPr>
          <w:rFonts w:ascii="Times New Roman" w:hAnsi="Times New Roman"/>
          <w:sz w:val="24"/>
        </w:rPr>
        <w:t xml:space="preserve"> artículo</w:t>
      </w:r>
      <w:r>
        <w:rPr>
          <w:rFonts w:ascii="Times New Roman" w:hAnsi="Times New Roman"/>
          <w:sz w:val="24"/>
        </w:rPr>
        <w:t>s</w:t>
      </w:r>
      <w:r w:rsidR="00063DF9">
        <w:rPr>
          <w:rFonts w:ascii="Times New Roman" w:hAnsi="Times New Roman"/>
          <w:sz w:val="24"/>
        </w:rPr>
        <w:t xml:space="preserve"> de Investigación A1 ó</w:t>
      </w:r>
      <w:r w:rsidR="00903A71">
        <w:rPr>
          <w:rFonts w:ascii="Times New Roman" w:hAnsi="Times New Roman"/>
          <w:sz w:val="24"/>
        </w:rPr>
        <w:t xml:space="preserve"> A2 </w:t>
      </w:r>
    </w:p>
    <w:p w14:paraId="59724643" w14:textId="3E108D64" w:rsidR="005F220A" w:rsidRDefault="005F220A" w:rsidP="00306893">
      <w:pPr>
        <w:spacing w:after="120"/>
        <w:jc w:val="both"/>
        <w:rPr>
          <w:rFonts w:ascii="Times New Roman" w:hAnsi="Times New Roman"/>
          <w:sz w:val="24"/>
        </w:rPr>
      </w:pPr>
      <w:r>
        <w:rPr>
          <w:rFonts w:ascii="Times New Roman" w:hAnsi="Times New Roman"/>
          <w:sz w:val="24"/>
        </w:rPr>
        <w:t>Contribución del proyecto al cumplimiento de la misión institucional: (Se pueden consultar en la página de la Unidad de Investigación)</w:t>
      </w:r>
      <w:r w:rsidR="006A636B">
        <w:rPr>
          <w:rFonts w:ascii="Times New Roman" w:hAnsi="Times New Roman"/>
          <w:sz w:val="24"/>
        </w:rPr>
        <w:t>:</w:t>
      </w:r>
    </w:p>
    <w:p w14:paraId="1C0D0C8C" w14:textId="3BA71AD2" w:rsidR="00236C8F" w:rsidRDefault="00236C8F" w:rsidP="00306893">
      <w:pPr>
        <w:spacing w:after="120"/>
        <w:jc w:val="both"/>
        <w:rPr>
          <w:rFonts w:ascii="Times New Roman" w:hAnsi="Times New Roman"/>
          <w:sz w:val="24"/>
        </w:rPr>
      </w:pPr>
    </w:p>
    <w:p w14:paraId="14BCBA77" w14:textId="1E0F2C23" w:rsidR="00236C8F" w:rsidRDefault="00236C8F" w:rsidP="00306893">
      <w:pPr>
        <w:spacing w:after="120"/>
        <w:jc w:val="both"/>
        <w:rPr>
          <w:rFonts w:ascii="Times New Roman" w:hAnsi="Times New Roman"/>
          <w:sz w:val="24"/>
        </w:rPr>
      </w:pPr>
      <w:r>
        <w:rPr>
          <w:rFonts w:ascii="Times New Roman" w:hAnsi="Times New Roman"/>
          <w:sz w:val="24"/>
        </w:rPr>
        <w:t>Con el proyecto se contribuye al desarrollo del proceso de investigación en la universidad, a fin aportar análisis y soluciones a las problemáticas y necesidades del país en el ámbito contable.</w:t>
      </w:r>
    </w:p>
    <w:p w14:paraId="56C62F46" w14:textId="77777777" w:rsidR="006A636B" w:rsidRDefault="006A636B" w:rsidP="00306893">
      <w:pPr>
        <w:spacing w:after="120"/>
        <w:jc w:val="both"/>
        <w:rPr>
          <w:rFonts w:ascii="Times New Roman" w:hAnsi="Times New Roman"/>
          <w:sz w:val="24"/>
        </w:rPr>
      </w:pPr>
    </w:p>
    <w:p w14:paraId="684D2F3E" w14:textId="5B42CE11" w:rsidR="00236C8F" w:rsidRPr="00236C8F" w:rsidRDefault="005F220A" w:rsidP="00306893">
      <w:pPr>
        <w:pStyle w:val="Prrafodelista"/>
        <w:numPr>
          <w:ilvl w:val="0"/>
          <w:numId w:val="37"/>
        </w:numPr>
        <w:spacing w:after="120"/>
        <w:jc w:val="both"/>
        <w:rPr>
          <w:rFonts w:ascii="Times New Roman" w:hAnsi="Times New Roman"/>
          <w:sz w:val="24"/>
        </w:rPr>
      </w:pPr>
      <w:r w:rsidRPr="00236C8F">
        <w:rPr>
          <w:rFonts w:ascii="Times New Roman" w:hAnsi="Times New Roman"/>
          <w:sz w:val="24"/>
        </w:rPr>
        <w:t>Con qué líneas del PIM se vincula el proyecto</w:t>
      </w:r>
    </w:p>
    <w:p w14:paraId="136C43F9" w14:textId="4804CAE9" w:rsidR="00236C8F" w:rsidRPr="00236C8F" w:rsidRDefault="00236C8F" w:rsidP="00236C8F">
      <w:pPr>
        <w:pStyle w:val="Prrafodelista"/>
        <w:numPr>
          <w:ilvl w:val="0"/>
          <w:numId w:val="37"/>
        </w:numPr>
        <w:spacing w:after="120"/>
        <w:jc w:val="both"/>
        <w:rPr>
          <w:rFonts w:ascii="Times New Roman" w:hAnsi="Times New Roman"/>
          <w:sz w:val="24"/>
        </w:rPr>
      </w:pPr>
      <w:r w:rsidRPr="00236C8F">
        <w:rPr>
          <w:rFonts w:ascii="Times New Roman" w:hAnsi="Times New Roman"/>
          <w:sz w:val="24"/>
        </w:rPr>
        <w:t>Con qué acciones del Plan General de Desarrollo Bogotá, se articula el proyecto</w:t>
      </w:r>
    </w:p>
    <w:p w14:paraId="64983405" w14:textId="77777777" w:rsidR="00236C8F" w:rsidRDefault="00236C8F" w:rsidP="00236C8F">
      <w:pPr>
        <w:spacing w:after="120"/>
        <w:jc w:val="both"/>
        <w:rPr>
          <w:rFonts w:ascii="Times New Roman" w:hAnsi="Times New Roman"/>
          <w:sz w:val="24"/>
        </w:rPr>
      </w:pPr>
    </w:p>
    <w:p w14:paraId="0FFE6570" w14:textId="2CE83DD1" w:rsidR="005F220A" w:rsidRPr="00236C8F" w:rsidRDefault="006A636B" w:rsidP="00236C8F">
      <w:pPr>
        <w:spacing w:after="120"/>
        <w:jc w:val="both"/>
        <w:rPr>
          <w:rFonts w:ascii="Times New Roman" w:hAnsi="Times New Roman"/>
          <w:sz w:val="24"/>
        </w:rPr>
      </w:pPr>
      <w:r w:rsidRPr="00236C8F">
        <w:rPr>
          <w:rFonts w:ascii="Times New Roman" w:hAnsi="Times New Roman"/>
          <w:sz w:val="24"/>
        </w:rPr>
        <w:t xml:space="preserve">Con la Línea </w:t>
      </w:r>
      <w:r w:rsidRPr="00236C8F">
        <w:rPr>
          <w:rFonts w:ascii="Times New Roman" w:hAnsi="Times New Roman"/>
          <w:i/>
          <w:sz w:val="24"/>
        </w:rPr>
        <w:t xml:space="preserve">3. Proyección social e investigación pertinentes. </w:t>
      </w:r>
      <w:r w:rsidRPr="00236C8F">
        <w:rPr>
          <w:rFonts w:ascii="Times New Roman" w:hAnsi="Times New Roman"/>
          <w:sz w:val="24"/>
        </w:rPr>
        <w:t xml:space="preserve">Especialmente con el numeral </w:t>
      </w:r>
      <w:r w:rsidRPr="00236C8F">
        <w:rPr>
          <w:rFonts w:ascii="Times New Roman" w:hAnsi="Times New Roman"/>
          <w:i/>
          <w:sz w:val="24"/>
        </w:rPr>
        <w:t xml:space="preserve">3.4. Incrementar la producción Investigativa con impacto regional, nacional e internacional. </w:t>
      </w:r>
    </w:p>
    <w:p w14:paraId="39796E2D" w14:textId="3BA88273" w:rsidR="006A636B" w:rsidRDefault="006A636B" w:rsidP="00306893">
      <w:pPr>
        <w:spacing w:after="120"/>
        <w:rPr>
          <w:rFonts w:ascii="Times New Roman" w:hAnsi="Times New Roman"/>
          <w:sz w:val="24"/>
        </w:rPr>
      </w:pPr>
    </w:p>
    <w:p w14:paraId="123156E5" w14:textId="0C107EA7" w:rsidR="005410B3" w:rsidRPr="006A636B" w:rsidRDefault="005410B3" w:rsidP="00306893">
      <w:pPr>
        <w:spacing w:after="120"/>
        <w:rPr>
          <w:rFonts w:ascii="Times New Roman" w:hAnsi="Times New Roman"/>
          <w:b/>
          <w:sz w:val="24"/>
        </w:rPr>
      </w:pPr>
      <w:r w:rsidRPr="006A636B">
        <w:rPr>
          <w:rFonts w:ascii="Times New Roman" w:hAnsi="Times New Roman"/>
          <w:b/>
          <w:sz w:val="24"/>
        </w:rPr>
        <w:t>Presupuesto</w:t>
      </w:r>
    </w:p>
    <w:tbl>
      <w:tblPr>
        <w:tblStyle w:val="Tablaconcuadrcula"/>
        <w:tblW w:w="0" w:type="auto"/>
        <w:tblLook w:val="04A0" w:firstRow="1" w:lastRow="0" w:firstColumn="1" w:lastColumn="0" w:noHBand="0" w:noVBand="1"/>
      </w:tblPr>
      <w:tblGrid>
        <w:gridCol w:w="2943"/>
        <w:gridCol w:w="3261"/>
        <w:gridCol w:w="2820"/>
      </w:tblGrid>
      <w:tr w:rsidR="005410B3" w14:paraId="2814FC8C" w14:textId="77777777" w:rsidTr="005126F3">
        <w:trPr>
          <w:trHeight w:val="108"/>
        </w:trPr>
        <w:tc>
          <w:tcPr>
            <w:tcW w:w="9024" w:type="dxa"/>
            <w:gridSpan w:val="3"/>
            <w:tcBorders>
              <w:top w:val="single" w:sz="4" w:space="0" w:color="auto"/>
              <w:left w:val="single" w:sz="4" w:space="0" w:color="auto"/>
              <w:bottom w:val="single" w:sz="4" w:space="0" w:color="auto"/>
              <w:right w:val="single" w:sz="4" w:space="0" w:color="auto"/>
            </w:tcBorders>
            <w:vAlign w:val="center"/>
            <w:hideMark/>
          </w:tcPr>
          <w:p w14:paraId="563E1E15" w14:textId="77777777" w:rsidR="005410B3" w:rsidRDefault="005410B3" w:rsidP="00306893">
            <w:pPr>
              <w:spacing w:after="120"/>
              <w:jc w:val="center"/>
              <w:rPr>
                <w:rFonts w:ascii="Times New Roman" w:hAnsi="Times New Roman" w:cs="Times New Roman"/>
                <w:b/>
                <w:sz w:val="24"/>
                <w:szCs w:val="24"/>
              </w:rPr>
            </w:pPr>
            <w:r>
              <w:rPr>
                <w:rFonts w:ascii="Times New Roman" w:hAnsi="Times New Roman" w:cs="Times New Roman"/>
                <w:b/>
                <w:sz w:val="28"/>
                <w:szCs w:val="24"/>
              </w:rPr>
              <w:t>Recurso solicitado FODEIN</w:t>
            </w:r>
          </w:p>
        </w:tc>
      </w:tr>
      <w:tr w:rsidR="005410B3" w14:paraId="663A0B51" w14:textId="77777777" w:rsidTr="00744048">
        <w:trPr>
          <w:trHeight w:val="108"/>
        </w:trPr>
        <w:tc>
          <w:tcPr>
            <w:tcW w:w="2943" w:type="dxa"/>
            <w:tcBorders>
              <w:top w:val="single" w:sz="4" w:space="0" w:color="auto"/>
              <w:left w:val="single" w:sz="4" w:space="0" w:color="auto"/>
              <w:bottom w:val="single" w:sz="4" w:space="0" w:color="auto"/>
              <w:right w:val="single" w:sz="4" w:space="0" w:color="auto"/>
            </w:tcBorders>
            <w:vAlign w:val="center"/>
            <w:hideMark/>
          </w:tcPr>
          <w:p w14:paraId="4829566F" w14:textId="77777777" w:rsidR="005410B3" w:rsidRPr="006A636B" w:rsidRDefault="005410B3" w:rsidP="00306893">
            <w:pPr>
              <w:spacing w:after="120"/>
              <w:jc w:val="center"/>
              <w:rPr>
                <w:rFonts w:ascii="Times New Roman" w:eastAsia="Cambria" w:hAnsi="Times New Roman" w:cs="Times New Roman"/>
                <w:b/>
                <w:sz w:val="24"/>
                <w:szCs w:val="24"/>
              </w:rPr>
            </w:pPr>
            <w:r w:rsidRPr="006A636B">
              <w:rPr>
                <w:rFonts w:ascii="Times New Roman" w:eastAsia="Cambria" w:hAnsi="Times New Roman" w:cs="Times New Roman"/>
                <w:b/>
                <w:sz w:val="24"/>
                <w:szCs w:val="24"/>
              </w:rPr>
              <w:t>Concepto</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4E5B66A" w14:textId="77777777" w:rsidR="005410B3" w:rsidRPr="006A636B" w:rsidRDefault="005410B3" w:rsidP="00306893">
            <w:pPr>
              <w:spacing w:after="120"/>
              <w:jc w:val="center"/>
              <w:rPr>
                <w:rFonts w:ascii="Times New Roman" w:hAnsi="Times New Roman" w:cs="Times New Roman"/>
                <w:b/>
                <w:sz w:val="24"/>
                <w:szCs w:val="24"/>
              </w:rPr>
            </w:pPr>
            <w:r w:rsidRPr="006A636B">
              <w:rPr>
                <w:rFonts w:ascii="Times New Roman" w:hAnsi="Times New Roman" w:cs="Times New Roman"/>
                <w:b/>
                <w:sz w:val="24"/>
                <w:szCs w:val="24"/>
              </w:rPr>
              <w:t>Descripción</w:t>
            </w:r>
          </w:p>
        </w:tc>
        <w:tc>
          <w:tcPr>
            <w:tcW w:w="2820" w:type="dxa"/>
            <w:tcBorders>
              <w:top w:val="single" w:sz="4" w:space="0" w:color="auto"/>
              <w:left w:val="single" w:sz="4" w:space="0" w:color="auto"/>
              <w:bottom w:val="single" w:sz="4" w:space="0" w:color="auto"/>
              <w:right w:val="single" w:sz="4" w:space="0" w:color="auto"/>
            </w:tcBorders>
            <w:vAlign w:val="center"/>
            <w:hideMark/>
          </w:tcPr>
          <w:p w14:paraId="2B93F566" w14:textId="77777777" w:rsidR="005410B3" w:rsidRPr="006A636B" w:rsidRDefault="005410B3" w:rsidP="00306893">
            <w:pPr>
              <w:spacing w:after="120"/>
              <w:jc w:val="center"/>
              <w:rPr>
                <w:rFonts w:ascii="Times New Roman" w:hAnsi="Times New Roman" w:cs="Times New Roman"/>
                <w:b/>
                <w:sz w:val="24"/>
                <w:szCs w:val="24"/>
              </w:rPr>
            </w:pPr>
            <w:r w:rsidRPr="006A636B">
              <w:rPr>
                <w:rFonts w:ascii="Times New Roman" w:hAnsi="Times New Roman" w:cs="Times New Roman"/>
                <w:b/>
                <w:sz w:val="24"/>
                <w:szCs w:val="24"/>
              </w:rPr>
              <w:t>Monto</w:t>
            </w:r>
          </w:p>
        </w:tc>
      </w:tr>
      <w:tr w:rsidR="005410B3" w14:paraId="6348CE9F" w14:textId="77777777" w:rsidTr="00744048">
        <w:trPr>
          <w:trHeight w:val="108"/>
        </w:trPr>
        <w:tc>
          <w:tcPr>
            <w:tcW w:w="2943" w:type="dxa"/>
            <w:vMerge w:val="restart"/>
            <w:tcBorders>
              <w:top w:val="single" w:sz="4" w:space="0" w:color="auto"/>
              <w:left w:val="single" w:sz="4" w:space="0" w:color="auto"/>
              <w:right w:val="single" w:sz="4" w:space="0" w:color="auto"/>
            </w:tcBorders>
            <w:vAlign w:val="center"/>
          </w:tcPr>
          <w:p w14:paraId="5BD10448" w14:textId="77777777" w:rsidR="005410B3" w:rsidRDefault="005410B3" w:rsidP="00306893">
            <w:pPr>
              <w:spacing w:after="120"/>
              <w:jc w:val="center"/>
              <w:rPr>
                <w:rFonts w:ascii="Times New Roman" w:eastAsia="Cambria" w:hAnsi="Times New Roman" w:cs="Times New Roman"/>
                <w:sz w:val="24"/>
                <w:szCs w:val="24"/>
              </w:rPr>
            </w:pPr>
            <w:r>
              <w:rPr>
                <w:rFonts w:ascii="Times New Roman" w:eastAsia="Cambria" w:hAnsi="Times New Roman" w:cs="Times New Roman"/>
                <w:sz w:val="24"/>
                <w:szCs w:val="24"/>
              </w:rPr>
              <w:t>Personal científico</w:t>
            </w:r>
          </w:p>
        </w:tc>
        <w:tc>
          <w:tcPr>
            <w:tcW w:w="3261" w:type="dxa"/>
            <w:tcBorders>
              <w:top w:val="single" w:sz="4" w:space="0" w:color="auto"/>
              <w:left w:val="single" w:sz="4" w:space="0" w:color="auto"/>
              <w:bottom w:val="single" w:sz="4" w:space="0" w:color="auto"/>
              <w:right w:val="single" w:sz="4" w:space="0" w:color="auto"/>
            </w:tcBorders>
            <w:vAlign w:val="center"/>
          </w:tcPr>
          <w:p w14:paraId="7C9E2089" w14:textId="327CC09A" w:rsidR="005410B3" w:rsidRDefault="00744048" w:rsidP="00306893">
            <w:pPr>
              <w:spacing w:after="120"/>
              <w:jc w:val="center"/>
              <w:rPr>
                <w:rFonts w:ascii="Times New Roman" w:hAnsi="Times New Roman" w:cs="Times New Roman"/>
                <w:sz w:val="24"/>
                <w:szCs w:val="24"/>
              </w:rPr>
            </w:pPr>
            <w:r>
              <w:rPr>
                <w:rFonts w:ascii="Times New Roman" w:hAnsi="Times New Roman" w:cs="Times New Roman"/>
                <w:sz w:val="24"/>
                <w:szCs w:val="24"/>
              </w:rPr>
              <w:t>Carlos Orlando Rico Bonilla</w:t>
            </w:r>
          </w:p>
        </w:tc>
        <w:tc>
          <w:tcPr>
            <w:tcW w:w="2820" w:type="dxa"/>
            <w:tcBorders>
              <w:top w:val="single" w:sz="4" w:space="0" w:color="auto"/>
              <w:left w:val="single" w:sz="4" w:space="0" w:color="auto"/>
              <w:bottom w:val="single" w:sz="4" w:space="0" w:color="auto"/>
              <w:right w:val="single" w:sz="4" w:space="0" w:color="auto"/>
            </w:tcBorders>
            <w:vAlign w:val="center"/>
          </w:tcPr>
          <w:p w14:paraId="2705C668" w14:textId="7E2E8BA7" w:rsidR="004C0B28" w:rsidRPr="001C6DED" w:rsidRDefault="002E2559" w:rsidP="004C0B28">
            <w:pPr>
              <w:spacing w:line="276" w:lineRule="auto"/>
              <w:jc w:val="right"/>
              <w:rPr>
                <w:rFonts w:ascii="Times New Roman" w:hAnsi="Times New Roman" w:cs="Times New Roman"/>
                <w:sz w:val="20"/>
                <w:szCs w:val="20"/>
              </w:rPr>
            </w:pPr>
            <w:r>
              <w:rPr>
                <w:rFonts w:ascii="Times New Roman" w:hAnsi="Times New Roman" w:cs="Times New Roman"/>
                <w:sz w:val="20"/>
                <w:szCs w:val="20"/>
              </w:rPr>
              <w:t>Horas mensuales: 5</w:t>
            </w:r>
            <w:r w:rsidR="004C0B28" w:rsidRPr="001C6DED">
              <w:rPr>
                <w:rFonts w:ascii="Times New Roman" w:hAnsi="Times New Roman" w:cs="Times New Roman"/>
                <w:sz w:val="20"/>
                <w:szCs w:val="20"/>
              </w:rPr>
              <w:t>0</w:t>
            </w:r>
          </w:p>
          <w:p w14:paraId="2399517C" w14:textId="48D7BA8B" w:rsidR="004C0B28" w:rsidRPr="001C6DED" w:rsidRDefault="004C0B28" w:rsidP="004C0B28">
            <w:pPr>
              <w:spacing w:line="276" w:lineRule="auto"/>
              <w:jc w:val="right"/>
              <w:rPr>
                <w:rFonts w:ascii="Times New Roman" w:hAnsi="Times New Roman" w:cs="Times New Roman"/>
                <w:sz w:val="20"/>
                <w:szCs w:val="20"/>
              </w:rPr>
            </w:pPr>
            <w:r w:rsidRPr="001C6DED">
              <w:rPr>
                <w:rFonts w:ascii="Times New Roman" w:hAnsi="Times New Roman" w:cs="Times New Roman"/>
                <w:sz w:val="20"/>
                <w:szCs w:val="20"/>
              </w:rPr>
              <w:t xml:space="preserve">Horas totales: </w:t>
            </w:r>
            <w:r w:rsidR="00B55DDC">
              <w:rPr>
                <w:rFonts w:ascii="Times New Roman" w:hAnsi="Times New Roman" w:cs="Times New Roman"/>
                <w:sz w:val="20"/>
                <w:szCs w:val="20"/>
              </w:rPr>
              <w:t>450</w:t>
            </w:r>
          </w:p>
          <w:p w14:paraId="4BD7D1C5" w14:textId="77777777" w:rsidR="004C0B28" w:rsidRPr="001C6DED" w:rsidRDefault="004C0B28" w:rsidP="004C0B28">
            <w:pPr>
              <w:spacing w:line="276" w:lineRule="auto"/>
              <w:jc w:val="right"/>
              <w:rPr>
                <w:rFonts w:ascii="Times New Roman" w:hAnsi="Times New Roman" w:cs="Times New Roman"/>
                <w:sz w:val="20"/>
                <w:szCs w:val="20"/>
              </w:rPr>
            </w:pPr>
            <w:r w:rsidRPr="001C6DED">
              <w:rPr>
                <w:rFonts w:ascii="Times New Roman" w:hAnsi="Times New Roman" w:cs="Times New Roman"/>
                <w:sz w:val="20"/>
                <w:szCs w:val="20"/>
              </w:rPr>
              <w:t>Valor de la hora: $</w:t>
            </w:r>
            <w:r>
              <w:rPr>
                <w:rFonts w:ascii="Times New Roman" w:hAnsi="Times New Roman" w:cs="Times New Roman"/>
                <w:sz w:val="20"/>
                <w:szCs w:val="20"/>
              </w:rPr>
              <w:t>34.819</w:t>
            </w:r>
          </w:p>
          <w:p w14:paraId="59531490" w14:textId="128A701D" w:rsidR="004C0B28" w:rsidRDefault="004C0B28" w:rsidP="004C0B28">
            <w:pPr>
              <w:spacing w:after="120"/>
              <w:jc w:val="right"/>
              <w:rPr>
                <w:rFonts w:ascii="Times New Roman" w:hAnsi="Times New Roman" w:cs="Times New Roman"/>
                <w:sz w:val="24"/>
                <w:szCs w:val="24"/>
              </w:rPr>
            </w:pPr>
            <w:r w:rsidRPr="001C6DED">
              <w:rPr>
                <w:rFonts w:ascii="Times New Roman" w:hAnsi="Times New Roman" w:cs="Times New Roman"/>
                <w:b/>
                <w:sz w:val="20"/>
                <w:szCs w:val="20"/>
              </w:rPr>
              <w:t>T</w:t>
            </w:r>
            <w:r>
              <w:rPr>
                <w:rFonts w:ascii="Times New Roman" w:hAnsi="Times New Roman" w:cs="Times New Roman"/>
                <w:b/>
                <w:sz w:val="20"/>
                <w:szCs w:val="20"/>
              </w:rPr>
              <w:t>otal</w:t>
            </w:r>
            <w:r w:rsidRPr="001C6DED">
              <w:rPr>
                <w:rFonts w:ascii="Times New Roman" w:hAnsi="Times New Roman" w:cs="Times New Roman"/>
                <w:b/>
                <w:sz w:val="20"/>
                <w:szCs w:val="20"/>
              </w:rPr>
              <w:t xml:space="preserve">: $ </w:t>
            </w:r>
            <w:r w:rsidR="002E2559">
              <w:rPr>
                <w:rFonts w:ascii="Times New Roman" w:hAnsi="Times New Roman" w:cs="Times New Roman"/>
                <w:b/>
                <w:sz w:val="20"/>
                <w:szCs w:val="20"/>
              </w:rPr>
              <w:t>1</w:t>
            </w:r>
            <w:r w:rsidR="00B55DDC">
              <w:rPr>
                <w:rFonts w:ascii="Times New Roman" w:hAnsi="Times New Roman" w:cs="Times New Roman"/>
                <w:b/>
                <w:sz w:val="20"/>
                <w:szCs w:val="20"/>
                <w:lang w:val="es-ES_tradnl"/>
              </w:rPr>
              <w:t>5.668.55</w:t>
            </w:r>
            <w:r w:rsidR="002E2559">
              <w:rPr>
                <w:rFonts w:ascii="Times New Roman" w:hAnsi="Times New Roman" w:cs="Times New Roman"/>
                <w:b/>
                <w:sz w:val="20"/>
                <w:szCs w:val="20"/>
                <w:lang w:val="es-ES_tradnl"/>
              </w:rPr>
              <w:t>0</w:t>
            </w:r>
          </w:p>
        </w:tc>
      </w:tr>
      <w:tr w:rsidR="005410B3" w14:paraId="457E01A0" w14:textId="77777777" w:rsidTr="00744048">
        <w:trPr>
          <w:trHeight w:val="108"/>
        </w:trPr>
        <w:tc>
          <w:tcPr>
            <w:tcW w:w="2943" w:type="dxa"/>
            <w:vMerge/>
            <w:tcBorders>
              <w:left w:val="single" w:sz="4" w:space="0" w:color="auto"/>
              <w:right w:val="single" w:sz="4" w:space="0" w:color="auto"/>
            </w:tcBorders>
            <w:vAlign w:val="center"/>
          </w:tcPr>
          <w:p w14:paraId="7B2BA2B1" w14:textId="77777777" w:rsidR="005410B3" w:rsidRDefault="005410B3" w:rsidP="00306893">
            <w:pPr>
              <w:spacing w:after="120"/>
              <w:jc w:val="center"/>
              <w:rPr>
                <w:rFonts w:ascii="Times New Roman" w:eastAsia="Cambria"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40D66F2" w14:textId="0F2AB624" w:rsidR="005410B3" w:rsidRDefault="00744048" w:rsidP="00306893">
            <w:pPr>
              <w:spacing w:after="120"/>
              <w:jc w:val="center"/>
              <w:rPr>
                <w:rFonts w:ascii="Times New Roman" w:hAnsi="Times New Roman" w:cs="Times New Roman"/>
                <w:sz w:val="24"/>
                <w:szCs w:val="24"/>
              </w:rPr>
            </w:pPr>
            <w:r>
              <w:rPr>
                <w:rFonts w:ascii="Times New Roman" w:hAnsi="Times New Roman" w:cs="Times New Roman"/>
                <w:sz w:val="24"/>
                <w:szCs w:val="24"/>
              </w:rPr>
              <w:t>Luz Dary Montoya</w:t>
            </w:r>
          </w:p>
        </w:tc>
        <w:tc>
          <w:tcPr>
            <w:tcW w:w="2820" w:type="dxa"/>
            <w:tcBorders>
              <w:top w:val="single" w:sz="4" w:space="0" w:color="auto"/>
              <w:left w:val="single" w:sz="4" w:space="0" w:color="auto"/>
              <w:bottom w:val="single" w:sz="4" w:space="0" w:color="auto"/>
              <w:right w:val="single" w:sz="4" w:space="0" w:color="auto"/>
            </w:tcBorders>
            <w:vAlign w:val="center"/>
          </w:tcPr>
          <w:p w14:paraId="49258FD0" w14:textId="77777777" w:rsidR="004C0B28" w:rsidRPr="001C6DED" w:rsidRDefault="004C0B28" w:rsidP="004C0B28">
            <w:pPr>
              <w:spacing w:line="276" w:lineRule="auto"/>
              <w:jc w:val="right"/>
              <w:rPr>
                <w:rFonts w:ascii="Times New Roman" w:hAnsi="Times New Roman" w:cs="Times New Roman"/>
                <w:sz w:val="20"/>
                <w:szCs w:val="20"/>
              </w:rPr>
            </w:pPr>
            <w:r>
              <w:rPr>
                <w:rFonts w:ascii="Times New Roman" w:hAnsi="Times New Roman" w:cs="Times New Roman"/>
                <w:sz w:val="20"/>
                <w:szCs w:val="20"/>
              </w:rPr>
              <w:t>Horas mensuales: 3</w:t>
            </w:r>
            <w:r w:rsidRPr="001C6DED">
              <w:rPr>
                <w:rFonts w:ascii="Times New Roman" w:hAnsi="Times New Roman" w:cs="Times New Roman"/>
                <w:sz w:val="20"/>
                <w:szCs w:val="20"/>
              </w:rPr>
              <w:t>0</w:t>
            </w:r>
          </w:p>
          <w:p w14:paraId="410AF46E" w14:textId="0864BD1A" w:rsidR="004C0B28" w:rsidRPr="001C6DED" w:rsidRDefault="004C0B28" w:rsidP="004C0B28">
            <w:pPr>
              <w:spacing w:line="276" w:lineRule="auto"/>
              <w:jc w:val="right"/>
              <w:rPr>
                <w:rFonts w:ascii="Times New Roman" w:hAnsi="Times New Roman" w:cs="Times New Roman"/>
                <w:sz w:val="20"/>
                <w:szCs w:val="20"/>
              </w:rPr>
            </w:pPr>
            <w:r w:rsidRPr="001C6DED">
              <w:rPr>
                <w:rFonts w:ascii="Times New Roman" w:hAnsi="Times New Roman" w:cs="Times New Roman"/>
                <w:sz w:val="20"/>
                <w:szCs w:val="20"/>
              </w:rPr>
              <w:t xml:space="preserve">Horas totales: </w:t>
            </w:r>
            <w:r w:rsidR="00B55DDC">
              <w:rPr>
                <w:rFonts w:ascii="Times New Roman" w:hAnsi="Times New Roman" w:cs="Times New Roman"/>
                <w:sz w:val="20"/>
                <w:szCs w:val="20"/>
              </w:rPr>
              <w:t>27</w:t>
            </w:r>
            <w:r>
              <w:rPr>
                <w:rFonts w:ascii="Times New Roman" w:hAnsi="Times New Roman" w:cs="Times New Roman"/>
                <w:sz w:val="20"/>
                <w:szCs w:val="20"/>
              </w:rPr>
              <w:t>0</w:t>
            </w:r>
          </w:p>
          <w:p w14:paraId="5C4FFFF1" w14:textId="77777777" w:rsidR="004C0B28" w:rsidRPr="001C6DED" w:rsidRDefault="004C0B28" w:rsidP="004C0B28">
            <w:pPr>
              <w:spacing w:line="276" w:lineRule="auto"/>
              <w:jc w:val="right"/>
              <w:rPr>
                <w:rFonts w:ascii="Times New Roman" w:hAnsi="Times New Roman" w:cs="Times New Roman"/>
                <w:sz w:val="20"/>
                <w:szCs w:val="20"/>
              </w:rPr>
            </w:pPr>
            <w:r w:rsidRPr="001C6DED">
              <w:rPr>
                <w:rFonts w:ascii="Times New Roman" w:hAnsi="Times New Roman" w:cs="Times New Roman"/>
                <w:sz w:val="20"/>
                <w:szCs w:val="20"/>
              </w:rPr>
              <w:t>Valor de la hora: $</w:t>
            </w:r>
            <w:r>
              <w:rPr>
                <w:rFonts w:ascii="Times New Roman" w:hAnsi="Times New Roman" w:cs="Times New Roman"/>
                <w:sz w:val="20"/>
                <w:szCs w:val="20"/>
              </w:rPr>
              <w:t>20.519</w:t>
            </w:r>
          </w:p>
          <w:p w14:paraId="21333B7D" w14:textId="0FF97C2A" w:rsidR="005410B3" w:rsidRDefault="004C0B28" w:rsidP="004C0B28">
            <w:pPr>
              <w:spacing w:after="120"/>
              <w:jc w:val="right"/>
              <w:rPr>
                <w:rFonts w:ascii="Times New Roman" w:hAnsi="Times New Roman" w:cs="Times New Roman"/>
                <w:sz w:val="24"/>
                <w:szCs w:val="24"/>
              </w:rPr>
            </w:pPr>
            <w:r w:rsidRPr="001C6DED">
              <w:rPr>
                <w:rFonts w:ascii="Times New Roman" w:hAnsi="Times New Roman" w:cs="Times New Roman"/>
                <w:b/>
                <w:sz w:val="20"/>
                <w:szCs w:val="20"/>
              </w:rPr>
              <w:lastRenderedPageBreak/>
              <w:t>T</w:t>
            </w:r>
            <w:r>
              <w:rPr>
                <w:rFonts w:ascii="Times New Roman" w:hAnsi="Times New Roman" w:cs="Times New Roman"/>
                <w:b/>
                <w:sz w:val="20"/>
                <w:szCs w:val="20"/>
              </w:rPr>
              <w:t xml:space="preserve">otal: $ </w:t>
            </w:r>
            <w:r w:rsidR="00B55DDC">
              <w:rPr>
                <w:rFonts w:ascii="Times New Roman" w:hAnsi="Times New Roman" w:cs="Times New Roman"/>
                <w:b/>
                <w:sz w:val="20"/>
                <w:szCs w:val="20"/>
                <w:lang w:val="es-ES_tradnl"/>
              </w:rPr>
              <w:t>5.540</w:t>
            </w:r>
            <w:r w:rsidR="002E2559">
              <w:rPr>
                <w:rFonts w:ascii="Times New Roman" w:hAnsi="Times New Roman" w:cs="Times New Roman"/>
                <w:b/>
                <w:sz w:val="20"/>
                <w:szCs w:val="20"/>
                <w:lang w:val="es-ES_tradnl"/>
              </w:rPr>
              <w:t>.</w:t>
            </w:r>
            <w:r w:rsidR="00B55DDC">
              <w:rPr>
                <w:rFonts w:ascii="Times New Roman" w:hAnsi="Times New Roman" w:cs="Times New Roman"/>
                <w:b/>
                <w:sz w:val="20"/>
                <w:szCs w:val="20"/>
                <w:lang w:val="es-ES_tradnl"/>
              </w:rPr>
              <w:t>13</w:t>
            </w:r>
            <w:r>
              <w:rPr>
                <w:rFonts w:ascii="Times New Roman" w:hAnsi="Times New Roman" w:cs="Times New Roman"/>
                <w:b/>
                <w:sz w:val="20"/>
                <w:szCs w:val="20"/>
                <w:lang w:val="es-ES_tradnl"/>
              </w:rPr>
              <w:t>0</w:t>
            </w:r>
          </w:p>
        </w:tc>
      </w:tr>
      <w:tr w:rsidR="005410B3" w14:paraId="5B73C57E" w14:textId="77777777" w:rsidTr="00744048">
        <w:trPr>
          <w:trHeight w:val="108"/>
        </w:trPr>
        <w:tc>
          <w:tcPr>
            <w:tcW w:w="2943" w:type="dxa"/>
            <w:vMerge/>
            <w:tcBorders>
              <w:left w:val="single" w:sz="4" w:space="0" w:color="auto"/>
              <w:right w:val="single" w:sz="4" w:space="0" w:color="auto"/>
            </w:tcBorders>
            <w:vAlign w:val="center"/>
          </w:tcPr>
          <w:p w14:paraId="7BA9BE87" w14:textId="77777777" w:rsidR="005410B3" w:rsidRDefault="005410B3" w:rsidP="00306893">
            <w:pPr>
              <w:spacing w:after="120"/>
              <w:jc w:val="center"/>
              <w:rPr>
                <w:rFonts w:ascii="Times New Roman" w:eastAsia="Cambria"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9FF2D17" w14:textId="53F6B7F1" w:rsidR="005410B3" w:rsidRDefault="00903A71" w:rsidP="00306893">
            <w:pPr>
              <w:spacing w:after="120"/>
              <w:jc w:val="center"/>
              <w:rPr>
                <w:rFonts w:ascii="Times New Roman" w:hAnsi="Times New Roman" w:cs="Times New Roman"/>
                <w:sz w:val="24"/>
                <w:szCs w:val="24"/>
              </w:rPr>
            </w:pPr>
            <w:r>
              <w:rPr>
                <w:rFonts w:ascii="Times New Roman" w:hAnsi="Times New Roman" w:cs="Times New Roman"/>
                <w:sz w:val="24"/>
                <w:szCs w:val="24"/>
              </w:rPr>
              <w:t>Blanca Myrian Franco</w:t>
            </w:r>
          </w:p>
        </w:tc>
        <w:tc>
          <w:tcPr>
            <w:tcW w:w="2820" w:type="dxa"/>
            <w:tcBorders>
              <w:top w:val="single" w:sz="4" w:space="0" w:color="auto"/>
              <w:left w:val="single" w:sz="4" w:space="0" w:color="auto"/>
              <w:bottom w:val="single" w:sz="4" w:space="0" w:color="auto"/>
              <w:right w:val="single" w:sz="4" w:space="0" w:color="auto"/>
            </w:tcBorders>
            <w:vAlign w:val="center"/>
          </w:tcPr>
          <w:p w14:paraId="22C5B652" w14:textId="77777777" w:rsidR="004C0B28" w:rsidRPr="001C6DED" w:rsidRDefault="004C0B28" w:rsidP="004C0B28">
            <w:pPr>
              <w:spacing w:line="276" w:lineRule="auto"/>
              <w:jc w:val="right"/>
              <w:rPr>
                <w:rFonts w:ascii="Times New Roman" w:hAnsi="Times New Roman" w:cs="Times New Roman"/>
                <w:sz w:val="20"/>
                <w:szCs w:val="20"/>
              </w:rPr>
            </w:pPr>
            <w:r>
              <w:rPr>
                <w:rFonts w:ascii="Times New Roman" w:hAnsi="Times New Roman" w:cs="Times New Roman"/>
                <w:sz w:val="20"/>
                <w:szCs w:val="20"/>
              </w:rPr>
              <w:t>Horas mensuales: 3</w:t>
            </w:r>
            <w:r w:rsidRPr="001C6DED">
              <w:rPr>
                <w:rFonts w:ascii="Times New Roman" w:hAnsi="Times New Roman" w:cs="Times New Roman"/>
                <w:sz w:val="20"/>
                <w:szCs w:val="20"/>
              </w:rPr>
              <w:t>0</w:t>
            </w:r>
          </w:p>
          <w:p w14:paraId="15F0321F" w14:textId="1883C921" w:rsidR="004C0B28" w:rsidRPr="001C6DED" w:rsidRDefault="004C0B28" w:rsidP="004C0B28">
            <w:pPr>
              <w:spacing w:line="276" w:lineRule="auto"/>
              <w:jc w:val="right"/>
              <w:rPr>
                <w:rFonts w:ascii="Times New Roman" w:hAnsi="Times New Roman" w:cs="Times New Roman"/>
                <w:sz w:val="20"/>
                <w:szCs w:val="20"/>
              </w:rPr>
            </w:pPr>
            <w:r w:rsidRPr="001C6DED">
              <w:rPr>
                <w:rFonts w:ascii="Times New Roman" w:hAnsi="Times New Roman" w:cs="Times New Roman"/>
                <w:sz w:val="20"/>
                <w:szCs w:val="20"/>
              </w:rPr>
              <w:t xml:space="preserve">Horas totales: </w:t>
            </w:r>
            <w:r w:rsidR="00291AEB">
              <w:rPr>
                <w:rFonts w:ascii="Times New Roman" w:hAnsi="Times New Roman" w:cs="Times New Roman"/>
                <w:sz w:val="20"/>
                <w:szCs w:val="20"/>
              </w:rPr>
              <w:t>27</w:t>
            </w:r>
            <w:r w:rsidR="002E2559">
              <w:rPr>
                <w:rFonts w:ascii="Times New Roman" w:hAnsi="Times New Roman" w:cs="Times New Roman"/>
                <w:sz w:val="20"/>
                <w:szCs w:val="20"/>
              </w:rPr>
              <w:t>0</w:t>
            </w:r>
          </w:p>
          <w:p w14:paraId="3ABF89EE" w14:textId="77777777" w:rsidR="004C0B28" w:rsidRPr="001C6DED" w:rsidRDefault="004C0B28" w:rsidP="004C0B28">
            <w:pPr>
              <w:spacing w:line="276" w:lineRule="auto"/>
              <w:jc w:val="right"/>
              <w:rPr>
                <w:rFonts w:ascii="Times New Roman" w:hAnsi="Times New Roman" w:cs="Times New Roman"/>
                <w:sz w:val="20"/>
                <w:szCs w:val="20"/>
              </w:rPr>
            </w:pPr>
            <w:r w:rsidRPr="001C6DED">
              <w:rPr>
                <w:rFonts w:ascii="Times New Roman" w:hAnsi="Times New Roman" w:cs="Times New Roman"/>
                <w:sz w:val="20"/>
                <w:szCs w:val="20"/>
              </w:rPr>
              <w:t>Valor de la hora: $</w:t>
            </w:r>
            <w:r>
              <w:rPr>
                <w:rFonts w:ascii="Times New Roman" w:hAnsi="Times New Roman" w:cs="Times New Roman"/>
                <w:sz w:val="20"/>
                <w:szCs w:val="20"/>
              </w:rPr>
              <w:t>20.519</w:t>
            </w:r>
          </w:p>
          <w:p w14:paraId="0D71A280" w14:textId="6DBACCC0" w:rsidR="005410B3" w:rsidRDefault="00B55DDC" w:rsidP="004C0B28">
            <w:pPr>
              <w:spacing w:after="120"/>
              <w:jc w:val="right"/>
              <w:rPr>
                <w:rFonts w:ascii="Times New Roman" w:hAnsi="Times New Roman" w:cs="Times New Roman"/>
                <w:sz w:val="24"/>
                <w:szCs w:val="24"/>
              </w:rPr>
            </w:pPr>
            <w:r w:rsidRPr="001C6DED">
              <w:rPr>
                <w:rFonts w:ascii="Times New Roman" w:hAnsi="Times New Roman" w:cs="Times New Roman"/>
                <w:b/>
                <w:sz w:val="20"/>
                <w:szCs w:val="20"/>
              </w:rPr>
              <w:t>T</w:t>
            </w:r>
            <w:r>
              <w:rPr>
                <w:rFonts w:ascii="Times New Roman" w:hAnsi="Times New Roman" w:cs="Times New Roman"/>
                <w:b/>
                <w:sz w:val="20"/>
                <w:szCs w:val="20"/>
              </w:rPr>
              <w:t xml:space="preserve">otal: $ </w:t>
            </w:r>
            <w:r>
              <w:rPr>
                <w:rFonts w:ascii="Times New Roman" w:hAnsi="Times New Roman" w:cs="Times New Roman"/>
                <w:b/>
                <w:sz w:val="20"/>
                <w:szCs w:val="20"/>
                <w:lang w:val="es-ES_tradnl"/>
              </w:rPr>
              <w:t>5.540.130</w:t>
            </w:r>
          </w:p>
        </w:tc>
      </w:tr>
      <w:tr w:rsidR="00B55DDC" w14:paraId="55898A9F" w14:textId="77777777" w:rsidTr="00744048">
        <w:trPr>
          <w:trHeight w:val="108"/>
        </w:trPr>
        <w:tc>
          <w:tcPr>
            <w:tcW w:w="2943" w:type="dxa"/>
            <w:tcBorders>
              <w:left w:val="single" w:sz="4" w:space="0" w:color="auto"/>
              <w:right w:val="single" w:sz="4" w:space="0" w:color="auto"/>
            </w:tcBorders>
            <w:vAlign w:val="center"/>
          </w:tcPr>
          <w:p w14:paraId="4E3B4427" w14:textId="77777777" w:rsidR="00B55DDC" w:rsidRDefault="00B55DDC" w:rsidP="00B55DDC">
            <w:pPr>
              <w:spacing w:after="120"/>
              <w:jc w:val="center"/>
              <w:rPr>
                <w:rFonts w:ascii="Times New Roman" w:eastAsia="Cambria"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2B27238" w14:textId="1EB5E6FA" w:rsidR="00B55DDC" w:rsidRDefault="00B55DDC" w:rsidP="00B55DDC">
            <w:pPr>
              <w:spacing w:after="120"/>
              <w:jc w:val="center"/>
              <w:rPr>
                <w:rFonts w:ascii="Times New Roman" w:hAnsi="Times New Roman" w:cs="Times New Roman"/>
                <w:sz w:val="24"/>
                <w:szCs w:val="24"/>
              </w:rPr>
            </w:pPr>
            <w:r>
              <w:rPr>
                <w:rFonts w:ascii="Times New Roman" w:hAnsi="Times New Roman" w:cs="Times New Roman"/>
                <w:sz w:val="24"/>
                <w:szCs w:val="24"/>
              </w:rPr>
              <w:t>Miguel Ángel Laverde</w:t>
            </w:r>
          </w:p>
        </w:tc>
        <w:tc>
          <w:tcPr>
            <w:tcW w:w="2820" w:type="dxa"/>
            <w:tcBorders>
              <w:top w:val="single" w:sz="4" w:space="0" w:color="auto"/>
              <w:left w:val="single" w:sz="4" w:space="0" w:color="auto"/>
              <w:bottom w:val="single" w:sz="4" w:space="0" w:color="auto"/>
              <w:right w:val="single" w:sz="4" w:space="0" w:color="auto"/>
            </w:tcBorders>
            <w:vAlign w:val="center"/>
          </w:tcPr>
          <w:p w14:paraId="15BB79C4" w14:textId="0F866A89" w:rsidR="00B55DDC" w:rsidRPr="001C6DED" w:rsidRDefault="00B55DDC" w:rsidP="00B55DDC">
            <w:pPr>
              <w:spacing w:line="276" w:lineRule="auto"/>
              <w:jc w:val="right"/>
              <w:rPr>
                <w:rFonts w:ascii="Times New Roman" w:hAnsi="Times New Roman" w:cs="Times New Roman"/>
                <w:sz w:val="20"/>
                <w:szCs w:val="20"/>
              </w:rPr>
            </w:pPr>
            <w:r>
              <w:rPr>
                <w:rFonts w:ascii="Times New Roman" w:hAnsi="Times New Roman" w:cs="Times New Roman"/>
                <w:sz w:val="20"/>
                <w:szCs w:val="20"/>
              </w:rPr>
              <w:t>Horas mensuales: 2</w:t>
            </w:r>
            <w:r w:rsidRPr="001C6DED">
              <w:rPr>
                <w:rFonts w:ascii="Times New Roman" w:hAnsi="Times New Roman" w:cs="Times New Roman"/>
                <w:sz w:val="20"/>
                <w:szCs w:val="20"/>
              </w:rPr>
              <w:t>0</w:t>
            </w:r>
          </w:p>
          <w:p w14:paraId="543B0535" w14:textId="3943A6B3" w:rsidR="00B55DDC" w:rsidRPr="001C6DED" w:rsidRDefault="00B55DDC" w:rsidP="00B55DDC">
            <w:pPr>
              <w:spacing w:line="276" w:lineRule="auto"/>
              <w:jc w:val="right"/>
              <w:rPr>
                <w:rFonts w:ascii="Times New Roman" w:hAnsi="Times New Roman" w:cs="Times New Roman"/>
                <w:sz w:val="20"/>
                <w:szCs w:val="20"/>
              </w:rPr>
            </w:pPr>
            <w:r w:rsidRPr="001C6DED">
              <w:rPr>
                <w:rFonts w:ascii="Times New Roman" w:hAnsi="Times New Roman" w:cs="Times New Roman"/>
                <w:sz w:val="20"/>
                <w:szCs w:val="20"/>
              </w:rPr>
              <w:t xml:space="preserve">Horas totales: </w:t>
            </w:r>
            <w:r>
              <w:rPr>
                <w:rFonts w:ascii="Times New Roman" w:hAnsi="Times New Roman" w:cs="Times New Roman"/>
                <w:sz w:val="20"/>
                <w:szCs w:val="20"/>
              </w:rPr>
              <w:t>180</w:t>
            </w:r>
          </w:p>
          <w:p w14:paraId="77439426" w14:textId="77777777" w:rsidR="00B55DDC" w:rsidRPr="001C6DED" w:rsidRDefault="00B55DDC" w:rsidP="00B55DDC">
            <w:pPr>
              <w:spacing w:line="276" w:lineRule="auto"/>
              <w:jc w:val="right"/>
              <w:rPr>
                <w:rFonts w:ascii="Times New Roman" w:hAnsi="Times New Roman" w:cs="Times New Roman"/>
                <w:sz w:val="20"/>
                <w:szCs w:val="20"/>
              </w:rPr>
            </w:pPr>
            <w:r w:rsidRPr="001C6DED">
              <w:rPr>
                <w:rFonts w:ascii="Times New Roman" w:hAnsi="Times New Roman" w:cs="Times New Roman"/>
                <w:sz w:val="20"/>
                <w:szCs w:val="20"/>
              </w:rPr>
              <w:t>Valor de la hora: $</w:t>
            </w:r>
            <w:r>
              <w:rPr>
                <w:rFonts w:ascii="Times New Roman" w:hAnsi="Times New Roman" w:cs="Times New Roman"/>
                <w:sz w:val="20"/>
                <w:szCs w:val="20"/>
              </w:rPr>
              <w:t>20.519</w:t>
            </w:r>
          </w:p>
          <w:p w14:paraId="22D4B752" w14:textId="50FFDA40" w:rsidR="00B55DDC" w:rsidRDefault="00B55DDC" w:rsidP="00B55DDC">
            <w:pPr>
              <w:jc w:val="right"/>
              <w:rPr>
                <w:rFonts w:ascii="Times New Roman" w:hAnsi="Times New Roman" w:cs="Times New Roman"/>
                <w:sz w:val="20"/>
                <w:szCs w:val="20"/>
              </w:rPr>
            </w:pPr>
            <w:r w:rsidRPr="001C6DED">
              <w:rPr>
                <w:rFonts w:ascii="Times New Roman" w:hAnsi="Times New Roman" w:cs="Times New Roman"/>
                <w:b/>
                <w:sz w:val="20"/>
                <w:szCs w:val="20"/>
              </w:rPr>
              <w:t>T</w:t>
            </w:r>
            <w:r>
              <w:rPr>
                <w:rFonts w:ascii="Times New Roman" w:hAnsi="Times New Roman" w:cs="Times New Roman"/>
                <w:b/>
                <w:sz w:val="20"/>
                <w:szCs w:val="20"/>
              </w:rPr>
              <w:t xml:space="preserve">otal: $ </w:t>
            </w:r>
            <w:r>
              <w:rPr>
                <w:rFonts w:ascii="Times New Roman" w:hAnsi="Times New Roman" w:cs="Times New Roman"/>
                <w:b/>
                <w:sz w:val="20"/>
                <w:szCs w:val="20"/>
                <w:lang w:val="es-ES_tradnl"/>
              </w:rPr>
              <w:t>3.693.420</w:t>
            </w:r>
          </w:p>
        </w:tc>
      </w:tr>
      <w:tr w:rsidR="00B55DDC" w14:paraId="3D143AC7" w14:textId="77777777" w:rsidTr="00744048">
        <w:trPr>
          <w:trHeight w:val="70"/>
        </w:trPr>
        <w:tc>
          <w:tcPr>
            <w:tcW w:w="2943" w:type="dxa"/>
            <w:tcBorders>
              <w:top w:val="single" w:sz="4" w:space="0" w:color="auto"/>
              <w:left w:val="single" w:sz="4" w:space="0" w:color="auto"/>
              <w:bottom w:val="single" w:sz="4" w:space="0" w:color="auto"/>
              <w:right w:val="single" w:sz="4" w:space="0" w:color="auto"/>
            </w:tcBorders>
            <w:vAlign w:val="center"/>
          </w:tcPr>
          <w:p w14:paraId="6CDE7E20" w14:textId="77777777" w:rsidR="00B55DDC" w:rsidRDefault="00B55DDC" w:rsidP="00B55DDC">
            <w:pPr>
              <w:spacing w:after="120"/>
              <w:ind w:right="2"/>
              <w:jc w:val="center"/>
              <w:rPr>
                <w:rFonts w:ascii="Times New Roman" w:eastAsia="Cambria"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2E9971E9" w14:textId="77777777" w:rsidR="00B55DDC" w:rsidRPr="00321AFD" w:rsidRDefault="00B55DDC" w:rsidP="00B55DDC">
            <w:pPr>
              <w:spacing w:after="120"/>
              <w:ind w:right="2"/>
              <w:jc w:val="right"/>
              <w:rPr>
                <w:rFonts w:ascii="Times New Roman" w:hAnsi="Times New Roman" w:cs="Times New Roman"/>
                <w:b/>
                <w:sz w:val="24"/>
                <w:szCs w:val="24"/>
              </w:rPr>
            </w:pPr>
            <w:r w:rsidRPr="00321AFD">
              <w:rPr>
                <w:rFonts w:ascii="Times New Roman" w:hAnsi="Times New Roman" w:cs="Times New Roman"/>
                <w:b/>
                <w:sz w:val="24"/>
                <w:szCs w:val="24"/>
              </w:rPr>
              <w:t>Total</w:t>
            </w:r>
          </w:p>
        </w:tc>
        <w:tc>
          <w:tcPr>
            <w:tcW w:w="2820" w:type="dxa"/>
            <w:tcBorders>
              <w:top w:val="single" w:sz="4" w:space="0" w:color="auto"/>
              <w:left w:val="single" w:sz="4" w:space="0" w:color="auto"/>
              <w:bottom w:val="single" w:sz="4" w:space="0" w:color="auto"/>
              <w:right w:val="single" w:sz="4" w:space="0" w:color="auto"/>
            </w:tcBorders>
            <w:vAlign w:val="center"/>
          </w:tcPr>
          <w:p w14:paraId="4FB3BADB" w14:textId="2F076BEF" w:rsidR="00B55DDC" w:rsidRPr="00321AFD" w:rsidRDefault="00B55DDC" w:rsidP="00B55DDC">
            <w:pPr>
              <w:spacing w:after="120"/>
              <w:jc w:val="right"/>
              <w:rPr>
                <w:rFonts w:ascii="Times New Roman" w:hAnsi="Times New Roman" w:cs="Times New Roman"/>
                <w:b/>
                <w:sz w:val="24"/>
                <w:szCs w:val="24"/>
              </w:rPr>
            </w:pPr>
            <w:r w:rsidRPr="00321AFD">
              <w:rPr>
                <w:rFonts w:ascii="Times New Roman" w:hAnsi="Times New Roman" w:cs="Times New Roman"/>
                <w:b/>
                <w:sz w:val="24"/>
                <w:szCs w:val="24"/>
              </w:rPr>
              <w:t>$</w:t>
            </w:r>
            <w:r>
              <w:rPr>
                <w:rFonts w:ascii="Times New Roman" w:hAnsi="Times New Roman" w:cs="Times New Roman"/>
                <w:b/>
                <w:sz w:val="24"/>
                <w:szCs w:val="24"/>
              </w:rPr>
              <w:t>30.442.230</w:t>
            </w:r>
          </w:p>
        </w:tc>
      </w:tr>
      <w:tr w:rsidR="00B55DDC" w14:paraId="472D277F" w14:textId="77777777" w:rsidTr="005126F3">
        <w:trPr>
          <w:trHeight w:val="70"/>
        </w:trPr>
        <w:tc>
          <w:tcPr>
            <w:tcW w:w="9024" w:type="dxa"/>
            <w:gridSpan w:val="3"/>
            <w:tcBorders>
              <w:top w:val="single" w:sz="4" w:space="0" w:color="auto"/>
              <w:left w:val="single" w:sz="4" w:space="0" w:color="auto"/>
              <w:bottom w:val="single" w:sz="4" w:space="0" w:color="auto"/>
              <w:right w:val="single" w:sz="4" w:space="0" w:color="auto"/>
            </w:tcBorders>
            <w:vAlign w:val="center"/>
            <w:hideMark/>
          </w:tcPr>
          <w:p w14:paraId="4C1FA841" w14:textId="77777777" w:rsidR="00B55DDC" w:rsidRDefault="00B55DDC" w:rsidP="00B55DDC">
            <w:pPr>
              <w:spacing w:after="120"/>
              <w:jc w:val="center"/>
              <w:rPr>
                <w:rFonts w:ascii="Times New Roman" w:hAnsi="Times New Roman" w:cs="Times New Roman"/>
                <w:b/>
                <w:sz w:val="28"/>
                <w:szCs w:val="24"/>
              </w:rPr>
            </w:pPr>
            <w:r>
              <w:rPr>
                <w:rFonts w:ascii="Times New Roman" w:hAnsi="Times New Roman" w:cs="Times New Roman"/>
                <w:b/>
                <w:sz w:val="28"/>
                <w:szCs w:val="24"/>
              </w:rPr>
              <w:t>Contrapartida externa</w:t>
            </w:r>
          </w:p>
          <w:p w14:paraId="758695C9" w14:textId="77777777" w:rsidR="00B55DDC" w:rsidRDefault="00B55DDC" w:rsidP="00B55DDC">
            <w:pPr>
              <w:spacing w:after="120"/>
              <w:jc w:val="center"/>
              <w:rPr>
                <w:rFonts w:ascii="Times New Roman" w:hAnsi="Times New Roman" w:cs="Times New Roman"/>
                <w:sz w:val="24"/>
                <w:szCs w:val="24"/>
              </w:rPr>
            </w:pPr>
            <w:r>
              <w:rPr>
                <w:rFonts w:ascii="Times New Roman" w:hAnsi="Times New Roman" w:cs="Times New Roman"/>
                <w:szCs w:val="24"/>
              </w:rPr>
              <w:t>Para proyectos en cooperación y alianza estratégica</w:t>
            </w:r>
          </w:p>
        </w:tc>
      </w:tr>
      <w:tr w:rsidR="00B55DDC" w14:paraId="64B35CAB" w14:textId="77777777" w:rsidTr="00744048">
        <w:trPr>
          <w:trHeight w:val="70"/>
        </w:trPr>
        <w:tc>
          <w:tcPr>
            <w:tcW w:w="2943" w:type="dxa"/>
            <w:tcBorders>
              <w:top w:val="single" w:sz="4" w:space="0" w:color="auto"/>
              <w:left w:val="single" w:sz="4" w:space="0" w:color="auto"/>
              <w:bottom w:val="single" w:sz="4" w:space="0" w:color="auto"/>
              <w:right w:val="single" w:sz="4" w:space="0" w:color="auto"/>
            </w:tcBorders>
            <w:vAlign w:val="center"/>
            <w:hideMark/>
          </w:tcPr>
          <w:p w14:paraId="2A510722" w14:textId="77777777" w:rsidR="00B55DDC" w:rsidRDefault="00B55DDC" w:rsidP="00B55DDC">
            <w:pPr>
              <w:spacing w:after="120"/>
              <w:ind w:right="2"/>
              <w:jc w:val="center"/>
              <w:rPr>
                <w:rFonts w:ascii="Times New Roman" w:eastAsia="Cambria" w:hAnsi="Times New Roman" w:cs="Times New Roman"/>
                <w:b/>
                <w:sz w:val="24"/>
                <w:szCs w:val="24"/>
              </w:rPr>
            </w:pPr>
            <w:r>
              <w:rPr>
                <w:rFonts w:ascii="Times New Roman" w:eastAsia="Cambria" w:hAnsi="Times New Roman" w:cs="Times New Roman"/>
                <w:b/>
                <w:sz w:val="24"/>
                <w:szCs w:val="24"/>
              </w:rPr>
              <w:t>Institución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18B6E95" w14:textId="77777777" w:rsidR="00B55DDC" w:rsidRDefault="00B55DDC" w:rsidP="00B55DDC">
            <w:pPr>
              <w:spacing w:after="120"/>
              <w:ind w:right="2"/>
              <w:rPr>
                <w:rFonts w:ascii="Times New Roman" w:hAnsi="Times New Roman" w:cs="Times New Roman"/>
                <w:b/>
                <w:sz w:val="24"/>
                <w:szCs w:val="24"/>
              </w:rPr>
            </w:pPr>
            <w:r>
              <w:rPr>
                <w:rFonts w:ascii="Times New Roman" w:hAnsi="Times New Roman" w:cs="Times New Roman"/>
                <w:b/>
                <w:sz w:val="24"/>
                <w:szCs w:val="24"/>
              </w:rPr>
              <w:t>Descripción</w:t>
            </w:r>
          </w:p>
        </w:tc>
        <w:tc>
          <w:tcPr>
            <w:tcW w:w="2820" w:type="dxa"/>
            <w:tcBorders>
              <w:top w:val="single" w:sz="4" w:space="0" w:color="auto"/>
              <w:left w:val="single" w:sz="4" w:space="0" w:color="auto"/>
              <w:bottom w:val="single" w:sz="4" w:space="0" w:color="auto"/>
              <w:right w:val="single" w:sz="4" w:space="0" w:color="auto"/>
            </w:tcBorders>
            <w:vAlign w:val="center"/>
            <w:hideMark/>
          </w:tcPr>
          <w:p w14:paraId="5D1E0BB1" w14:textId="77777777" w:rsidR="00B55DDC" w:rsidRDefault="00B55DDC" w:rsidP="00B55DDC">
            <w:pPr>
              <w:spacing w:after="120"/>
              <w:jc w:val="center"/>
              <w:rPr>
                <w:rFonts w:ascii="Times New Roman" w:hAnsi="Times New Roman" w:cs="Times New Roman"/>
                <w:b/>
                <w:sz w:val="24"/>
                <w:szCs w:val="24"/>
              </w:rPr>
            </w:pPr>
            <w:r>
              <w:rPr>
                <w:rFonts w:ascii="Times New Roman" w:hAnsi="Times New Roman" w:cs="Times New Roman"/>
                <w:b/>
                <w:sz w:val="24"/>
                <w:szCs w:val="24"/>
              </w:rPr>
              <w:t>Monto</w:t>
            </w:r>
          </w:p>
        </w:tc>
      </w:tr>
      <w:tr w:rsidR="00B55DDC" w14:paraId="766CA2EF" w14:textId="77777777" w:rsidTr="00744048">
        <w:trPr>
          <w:trHeight w:val="70"/>
        </w:trPr>
        <w:tc>
          <w:tcPr>
            <w:tcW w:w="2943" w:type="dxa"/>
            <w:tcBorders>
              <w:top w:val="single" w:sz="4" w:space="0" w:color="auto"/>
              <w:left w:val="single" w:sz="4" w:space="0" w:color="auto"/>
              <w:bottom w:val="single" w:sz="4" w:space="0" w:color="auto"/>
              <w:right w:val="single" w:sz="4" w:space="0" w:color="auto"/>
            </w:tcBorders>
            <w:vAlign w:val="center"/>
          </w:tcPr>
          <w:p w14:paraId="4FF6E97B" w14:textId="77777777" w:rsidR="00B55DDC" w:rsidRDefault="00B55DDC" w:rsidP="00B55DDC">
            <w:pPr>
              <w:spacing w:after="120"/>
              <w:ind w:right="2"/>
              <w:jc w:val="center"/>
              <w:rPr>
                <w:rFonts w:ascii="Times New Roman" w:eastAsia="Cambria"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4E67F9F6" w14:textId="77777777" w:rsidR="00B55DDC" w:rsidRDefault="00B55DDC" w:rsidP="00B55DDC">
            <w:pPr>
              <w:spacing w:after="120"/>
              <w:ind w:right="2"/>
              <w:rPr>
                <w:rFonts w:ascii="Times New Roman" w:hAnsi="Times New Roman" w:cs="Times New Roman"/>
                <w:sz w:val="24"/>
                <w:szCs w:val="24"/>
              </w:rPr>
            </w:pPr>
            <w:r>
              <w:rPr>
                <w:rFonts w:ascii="Times New Roman" w:hAnsi="Times New Roman" w:cs="Times New Roman"/>
                <w:sz w:val="24"/>
                <w:szCs w:val="24"/>
              </w:rPr>
              <w:t>Detalle los montos y los conceptos</w:t>
            </w:r>
          </w:p>
        </w:tc>
        <w:tc>
          <w:tcPr>
            <w:tcW w:w="2820" w:type="dxa"/>
            <w:tcBorders>
              <w:top w:val="single" w:sz="4" w:space="0" w:color="auto"/>
              <w:left w:val="single" w:sz="4" w:space="0" w:color="auto"/>
              <w:bottom w:val="single" w:sz="4" w:space="0" w:color="auto"/>
              <w:right w:val="single" w:sz="4" w:space="0" w:color="auto"/>
            </w:tcBorders>
            <w:vAlign w:val="center"/>
          </w:tcPr>
          <w:p w14:paraId="05ED29E3" w14:textId="1B6D6193" w:rsidR="00B55DDC" w:rsidRDefault="00B55DDC" w:rsidP="00B55DDC">
            <w:pPr>
              <w:spacing w:after="120"/>
              <w:jc w:val="center"/>
              <w:rPr>
                <w:rFonts w:ascii="Times New Roman" w:hAnsi="Times New Roman" w:cs="Times New Roman"/>
                <w:sz w:val="24"/>
                <w:szCs w:val="24"/>
              </w:rPr>
            </w:pPr>
            <w:r>
              <w:rPr>
                <w:rFonts w:ascii="Times New Roman" w:hAnsi="Times New Roman" w:cs="Times New Roman"/>
                <w:sz w:val="24"/>
                <w:szCs w:val="24"/>
              </w:rPr>
              <w:t>N/A</w:t>
            </w:r>
          </w:p>
        </w:tc>
      </w:tr>
      <w:tr w:rsidR="00B55DDC" w14:paraId="5EBF2020" w14:textId="77777777" w:rsidTr="00744048">
        <w:trPr>
          <w:trHeight w:val="70"/>
        </w:trPr>
        <w:tc>
          <w:tcPr>
            <w:tcW w:w="2943" w:type="dxa"/>
            <w:tcBorders>
              <w:top w:val="single" w:sz="4" w:space="0" w:color="auto"/>
              <w:left w:val="single" w:sz="4" w:space="0" w:color="auto"/>
              <w:bottom w:val="single" w:sz="4" w:space="0" w:color="auto"/>
              <w:right w:val="single" w:sz="4" w:space="0" w:color="auto"/>
            </w:tcBorders>
            <w:vAlign w:val="center"/>
          </w:tcPr>
          <w:p w14:paraId="4685C50A" w14:textId="77777777" w:rsidR="00B55DDC" w:rsidRDefault="00B55DDC" w:rsidP="00B55DDC">
            <w:pPr>
              <w:spacing w:after="120"/>
              <w:ind w:right="2"/>
              <w:jc w:val="center"/>
              <w:rPr>
                <w:rFonts w:ascii="Times New Roman" w:eastAsia="Cambria"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14E4E6E1" w14:textId="036D130C" w:rsidR="00B55DDC" w:rsidRDefault="00B55DDC" w:rsidP="00B55DDC">
            <w:pPr>
              <w:spacing w:after="120"/>
              <w:ind w:right="2"/>
              <w:jc w:val="right"/>
              <w:rPr>
                <w:rFonts w:ascii="Times New Roman" w:hAnsi="Times New Roman" w:cs="Times New Roman"/>
                <w:sz w:val="24"/>
                <w:szCs w:val="24"/>
              </w:rPr>
            </w:pPr>
            <w:r w:rsidRPr="00321AFD">
              <w:rPr>
                <w:rFonts w:ascii="Times New Roman" w:hAnsi="Times New Roman" w:cs="Times New Roman"/>
                <w:b/>
                <w:sz w:val="24"/>
                <w:szCs w:val="24"/>
              </w:rPr>
              <w:t>Total</w:t>
            </w:r>
          </w:p>
        </w:tc>
        <w:tc>
          <w:tcPr>
            <w:tcW w:w="2820" w:type="dxa"/>
            <w:tcBorders>
              <w:top w:val="single" w:sz="4" w:space="0" w:color="auto"/>
              <w:left w:val="single" w:sz="4" w:space="0" w:color="auto"/>
              <w:bottom w:val="single" w:sz="4" w:space="0" w:color="auto"/>
              <w:right w:val="single" w:sz="4" w:space="0" w:color="auto"/>
            </w:tcBorders>
            <w:vAlign w:val="center"/>
          </w:tcPr>
          <w:p w14:paraId="2C79FBD7" w14:textId="1615C71E" w:rsidR="00B55DDC" w:rsidRDefault="00B55DDC" w:rsidP="00B55DDC">
            <w:pPr>
              <w:spacing w:after="120"/>
              <w:jc w:val="right"/>
              <w:rPr>
                <w:rFonts w:ascii="Times New Roman" w:hAnsi="Times New Roman" w:cs="Times New Roman"/>
                <w:sz w:val="24"/>
                <w:szCs w:val="24"/>
              </w:rPr>
            </w:pPr>
            <w:r w:rsidRPr="00321AFD">
              <w:rPr>
                <w:rFonts w:ascii="Times New Roman" w:hAnsi="Times New Roman" w:cs="Times New Roman"/>
                <w:b/>
                <w:sz w:val="24"/>
                <w:szCs w:val="24"/>
              </w:rPr>
              <w:t>$</w:t>
            </w:r>
            <w:r>
              <w:rPr>
                <w:rFonts w:ascii="Times New Roman" w:hAnsi="Times New Roman" w:cs="Times New Roman"/>
                <w:b/>
                <w:sz w:val="24"/>
                <w:szCs w:val="24"/>
              </w:rPr>
              <w:t>30.442.230</w:t>
            </w:r>
          </w:p>
        </w:tc>
      </w:tr>
    </w:tbl>
    <w:p w14:paraId="65404E3B" w14:textId="77777777" w:rsidR="005410B3" w:rsidRDefault="005410B3" w:rsidP="00306893">
      <w:pPr>
        <w:spacing w:after="120"/>
        <w:jc w:val="both"/>
        <w:rPr>
          <w:rFonts w:ascii="Times New Roman" w:hAnsi="Times New Roman"/>
          <w:sz w:val="24"/>
        </w:rPr>
      </w:pPr>
    </w:p>
    <w:p w14:paraId="6F0608C5" w14:textId="5EDCD985" w:rsidR="005410B3" w:rsidRDefault="005410B3" w:rsidP="00306893">
      <w:pPr>
        <w:spacing w:after="120"/>
        <w:jc w:val="both"/>
        <w:rPr>
          <w:rFonts w:ascii="Times New Roman" w:hAnsi="Times New Roman"/>
          <w:b/>
          <w:sz w:val="24"/>
        </w:rPr>
      </w:pPr>
      <w:r w:rsidRPr="007501E4">
        <w:rPr>
          <w:rFonts w:ascii="Times New Roman" w:hAnsi="Times New Roman"/>
          <w:b/>
          <w:sz w:val="24"/>
        </w:rPr>
        <w:t>Cronograma</w:t>
      </w:r>
      <w:r w:rsidR="006A636B">
        <w:rPr>
          <w:rFonts w:ascii="Times New Roman" w:hAnsi="Times New Roman"/>
          <w:b/>
          <w:sz w:val="24"/>
        </w:rPr>
        <w:t>:</w:t>
      </w:r>
    </w:p>
    <w:tbl>
      <w:tblPr>
        <w:tblW w:w="10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0"/>
        <w:gridCol w:w="823"/>
        <w:gridCol w:w="823"/>
        <w:gridCol w:w="823"/>
        <w:gridCol w:w="823"/>
        <w:gridCol w:w="1045"/>
        <w:gridCol w:w="1045"/>
        <w:gridCol w:w="1045"/>
        <w:gridCol w:w="1045"/>
        <w:gridCol w:w="1045"/>
      </w:tblGrid>
      <w:tr w:rsidR="008111A0" w:rsidRPr="005C2429" w14:paraId="01CF254B" w14:textId="2AB38033" w:rsidTr="008111A0">
        <w:trPr>
          <w:trHeight w:val="567"/>
          <w:jc w:val="center"/>
        </w:trPr>
        <w:tc>
          <w:tcPr>
            <w:tcW w:w="2150" w:type="dxa"/>
            <w:shd w:val="clear" w:color="auto" w:fill="auto"/>
            <w:vAlign w:val="center"/>
          </w:tcPr>
          <w:p w14:paraId="06540A59" w14:textId="77777777" w:rsidR="008111A0" w:rsidRPr="005C2429" w:rsidRDefault="008111A0" w:rsidP="00883D2D">
            <w:pPr>
              <w:widowControl w:val="0"/>
              <w:jc w:val="center"/>
              <w:rPr>
                <w:b/>
                <w:color w:val="000000"/>
                <w:sz w:val="20"/>
                <w:lang w:val="es-ES_tradnl"/>
              </w:rPr>
            </w:pPr>
            <w:r w:rsidRPr="005C2429">
              <w:rPr>
                <w:b/>
                <w:color w:val="000000"/>
                <w:sz w:val="20"/>
                <w:lang w:val="es-ES_tradnl"/>
              </w:rPr>
              <w:t>Etapa del proyecto</w:t>
            </w:r>
          </w:p>
        </w:tc>
        <w:tc>
          <w:tcPr>
            <w:tcW w:w="823" w:type="dxa"/>
            <w:shd w:val="clear" w:color="auto" w:fill="auto"/>
          </w:tcPr>
          <w:p w14:paraId="611D9C12" w14:textId="48C01CFA" w:rsidR="008111A0" w:rsidRPr="005C2429" w:rsidRDefault="008111A0" w:rsidP="00883D2D">
            <w:pPr>
              <w:widowControl w:val="0"/>
              <w:jc w:val="center"/>
              <w:rPr>
                <w:b/>
                <w:color w:val="000000"/>
                <w:sz w:val="16"/>
                <w:lang w:val="es-ES_tradnl"/>
              </w:rPr>
            </w:pPr>
            <w:r w:rsidRPr="00BB1D7B">
              <w:rPr>
                <w:b/>
                <w:color w:val="000000"/>
              </w:rPr>
              <w:t>Mes 1</w:t>
            </w:r>
          </w:p>
        </w:tc>
        <w:tc>
          <w:tcPr>
            <w:tcW w:w="823" w:type="dxa"/>
            <w:shd w:val="clear" w:color="auto" w:fill="auto"/>
          </w:tcPr>
          <w:p w14:paraId="47F95108" w14:textId="498A8B31" w:rsidR="008111A0" w:rsidRPr="005C2429" w:rsidRDefault="008111A0" w:rsidP="00883D2D">
            <w:pPr>
              <w:widowControl w:val="0"/>
              <w:jc w:val="center"/>
              <w:rPr>
                <w:b/>
                <w:color w:val="000000"/>
                <w:sz w:val="16"/>
                <w:lang w:val="es-ES_tradnl"/>
              </w:rPr>
            </w:pPr>
            <w:r w:rsidRPr="00BB1D7B">
              <w:rPr>
                <w:b/>
                <w:color w:val="000000"/>
              </w:rPr>
              <w:t>Mes 2</w:t>
            </w:r>
          </w:p>
        </w:tc>
        <w:tc>
          <w:tcPr>
            <w:tcW w:w="823" w:type="dxa"/>
            <w:shd w:val="clear" w:color="auto" w:fill="auto"/>
          </w:tcPr>
          <w:p w14:paraId="42A6685D" w14:textId="2A5B69F2" w:rsidR="008111A0" w:rsidRPr="005C2429" w:rsidRDefault="008111A0" w:rsidP="00883D2D">
            <w:pPr>
              <w:widowControl w:val="0"/>
              <w:jc w:val="center"/>
              <w:rPr>
                <w:b/>
                <w:color w:val="000000"/>
                <w:sz w:val="16"/>
                <w:lang w:val="es-ES_tradnl"/>
              </w:rPr>
            </w:pPr>
            <w:r w:rsidRPr="00BB1D7B">
              <w:rPr>
                <w:b/>
                <w:color w:val="000000"/>
              </w:rPr>
              <w:t>Mes 3</w:t>
            </w:r>
          </w:p>
        </w:tc>
        <w:tc>
          <w:tcPr>
            <w:tcW w:w="823" w:type="dxa"/>
            <w:shd w:val="clear" w:color="auto" w:fill="auto"/>
          </w:tcPr>
          <w:p w14:paraId="04FE8411" w14:textId="56DCAE5C" w:rsidR="008111A0" w:rsidRPr="005C2429" w:rsidRDefault="008111A0" w:rsidP="00883D2D">
            <w:pPr>
              <w:widowControl w:val="0"/>
              <w:jc w:val="center"/>
              <w:rPr>
                <w:b/>
                <w:color w:val="000000"/>
                <w:sz w:val="16"/>
                <w:lang w:val="es-ES_tradnl"/>
              </w:rPr>
            </w:pPr>
            <w:r w:rsidRPr="00BB1D7B">
              <w:rPr>
                <w:b/>
                <w:color w:val="000000"/>
              </w:rPr>
              <w:t>Mes 4</w:t>
            </w:r>
          </w:p>
        </w:tc>
        <w:tc>
          <w:tcPr>
            <w:tcW w:w="1045" w:type="dxa"/>
            <w:shd w:val="clear" w:color="auto" w:fill="auto"/>
          </w:tcPr>
          <w:p w14:paraId="331D3035" w14:textId="5B881BCD" w:rsidR="008111A0" w:rsidRPr="005C2429" w:rsidRDefault="008111A0" w:rsidP="00883D2D">
            <w:pPr>
              <w:widowControl w:val="0"/>
              <w:jc w:val="center"/>
              <w:rPr>
                <w:b/>
                <w:color w:val="000000"/>
                <w:sz w:val="16"/>
                <w:lang w:val="es-ES_tradnl"/>
              </w:rPr>
            </w:pPr>
            <w:r w:rsidRPr="00BB1D7B">
              <w:rPr>
                <w:b/>
                <w:color w:val="000000"/>
              </w:rPr>
              <w:t>Mes 5</w:t>
            </w:r>
          </w:p>
        </w:tc>
        <w:tc>
          <w:tcPr>
            <w:tcW w:w="1045" w:type="dxa"/>
          </w:tcPr>
          <w:p w14:paraId="4E65DCFE" w14:textId="728CF2E7" w:rsidR="008111A0" w:rsidRPr="005C2429" w:rsidRDefault="008111A0" w:rsidP="00883D2D">
            <w:pPr>
              <w:widowControl w:val="0"/>
              <w:jc w:val="center"/>
              <w:rPr>
                <w:b/>
                <w:color w:val="000000"/>
                <w:sz w:val="16"/>
                <w:lang w:val="es-ES_tradnl"/>
              </w:rPr>
            </w:pPr>
            <w:r w:rsidRPr="00BB1D7B">
              <w:rPr>
                <w:b/>
                <w:color w:val="000000"/>
              </w:rPr>
              <w:t>Mes 6</w:t>
            </w:r>
          </w:p>
        </w:tc>
        <w:tc>
          <w:tcPr>
            <w:tcW w:w="1045" w:type="dxa"/>
          </w:tcPr>
          <w:p w14:paraId="507C19C5" w14:textId="167CC92C" w:rsidR="008111A0" w:rsidRPr="005C2429" w:rsidRDefault="008111A0" w:rsidP="00883D2D">
            <w:pPr>
              <w:widowControl w:val="0"/>
              <w:jc w:val="center"/>
              <w:rPr>
                <w:b/>
                <w:color w:val="000000"/>
                <w:sz w:val="16"/>
                <w:lang w:val="es-ES_tradnl"/>
              </w:rPr>
            </w:pPr>
            <w:r w:rsidRPr="00BB1D7B">
              <w:rPr>
                <w:b/>
                <w:color w:val="000000"/>
              </w:rPr>
              <w:t>Mes 7</w:t>
            </w:r>
          </w:p>
        </w:tc>
        <w:tc>
          <w:tcPr>
            <w:tcW w:w="1045" w:type="dxa"/>
          </w:tcPr>
          <w:p w14:paraId="455D3FCF" w14:textId="0EB863FF" w:rsidR="008111A0" w:rsidRPr="005C2429" w:rsidRDefault="008111A0" w:rsidP="00883D2D">
            <w:pPr>
              <w:widowControl w:val="0"/>
              <w:jc w:val="center"/>
              <w:rPr>
                <w:b/>
                <w:color w:val="000000"/>
                <w:sz w:val="16"/>
                <w:lang w:val="es-ES_tradnl"/>
              </w:rPr>
            </w:pPr>
            <w:r w:rsidRPr="00BB1D7B">
              <w:rPr>
                <w:b/>
                <w:color w:val="000000"/>
              </w:rPr>
              <w:t>Mes 8</w:t>
            </w:r>
          </w:p>
        </w:tc>
        <w:tc>
          <w:tcPr>
            <w:tcW w:w="1045" w:type="dxa"/>
          </w:tcPr>
          <w:p w14:paraId="122C2869" w14:textId="22148788" w:rsidR="008111A0" w:rsidRPr="00BB1D7B" w:rsidRDefault="008111A0" w:rsidP="00883D2D">
            <w:pPr>
              <w:widowControl w:val="0"/>
              <w:jc w:val="center"/>
              <w:rPr>
                <w:b/>
                <w:color w:val="000000"/>
              </w:rPr>
            </w:pPr>
            <w:r>
              <w:rPr>
                <w:b/>
                <w:color w:val="000000"/>
              </w:rPr>
              <w:t>Mes 9</w:t>
            </w:r>
          </w:p>
        </w:tc>
      </w:tr>
      <w:tr w:rsidR="008111A0" w:rsidRPr="0093337E" w14:paraId="14CD67F1" w14:textId="063D8A04" w:rsidTr="008111A0">
        <w:trPr>
          <w:trHeight w:val="284"/>
          <w:jc w:val="center"/>
        </w:trPr>
        <w:tc>
          <w:tcPr>
            <w:tcW w:w="2150" w:type="dxa"/>
            <w:shd w:val="clear" w:color="auto" w:fill="auto"/>
          </w:tcPr>
          <w:p w14:paraId="02D65F07" w14:textId="48CA5363" w:rsidR="008111A0" w:rsidRPr="00651A6F" w:rsidRDefault="008111A0" w:rsidP="00F84C2F">
            <w:pPr>
              <w:jc w:val="both"/>
              <w:rPr>
                <w:sz w:val="20"/>
              </w:rPr>
            </w:pPr>
            <w:r>
              <w:rPr>
                <w:sz w:val="20"/>
              </w:rPr>
              <w:t>Búsqueda y revisión bibliográfica de documentos especializados respecto al tema.</w:t>
            </w:r>
          </w:p>
        </w:tc>
        <w:tc>
          <w:tcPr>
            <w:tcW w:w="823" w:type="dxa"/>
            <w:shd w:val="clear" w:color="auto" w:fill="A6A6A6" w:themeFill="background1" w:themeFillShade="A6"/>
          </w:tcPr>
          <w:p w14:paraId="75084C89" w14:textId="77777777" w:rsidR="008111A0" w:rsidRPr="00883D2D" w:rsidRDefault="008111A0" w:rsidP="00F84C2F">
            <w:pPr>
              <w:widowControl w:val="0"/>
              <w:jc w:val="both"/>
              <w:rPr>
                <w:color w:val="000000"/>
                <w:highlight w:val="lightGray"/>
                <w:lang w:val="es-ES_tradnl"/>
              </w:rPr>
            </w:pPr>
          </w:p>
        </w:tc>
        <w:tc>
          <w:tcPr>
            <w:tcW w:w="823" w:type="dxa"/>
            <w:shd w:val="clear" w:color="auto" w:fill="A6A6A6" w:themeFill="background1" w:themeFillShade="A6"/>
          </w:tcPr>
          <w:p w14:paraId="5A6D0F10" w14:textId="77777777" w:rsidR="008111A0" w:rsidRPr="00883D2D" w:rsidRDefault="008111A0" w:rsidP="00F84C2F">
            <w:pPr>
              <w:widowControl w:val="0"/>
              <w:jc w:val="both"/>
              <w:rPr>
                <w:color w:val="000000"/>
                <w:highlight w:val="lightGray"/>
                <w:lang w:val="es-ES_tradnl"/>
              </w:rPr>
            </w:pPr>
          </w:p>
        </w:tc>
        <w:tc>
          <w:tcPr>
            <w:tcW w:w="823" w:type="dxa"/>
            <w:shd w:val="clear" w:color="auto" w:fill="A6A6A6" w:themeFill="background1" w:themeFillShade="A6"/>
          </w:tcPr>
          <w:p w14:paraId="24E7AF5B" w14:textId="77777777" w:rsidR="008111A0" w:rsidRPr="00883D2D" w:rsidRDefault="008111A0" w:rsidP="00F84C2F">
            <w:pPr>
              <w:widowControl w:val="0"/>
              <w:jc w:val="both"/>
              <w:rPr>
                <w:color w:val="000000"/>
                <w:highlight w:val="lightGray"/>
                <w:lang w:val="es-ES_tradnl"/>
              </w:rPr>
            </w:pPr>
          </w:p>
        </w:tc>
        <w:tc>
          <w:tcPr>
            <w:tcW w:w="823" w:type="dxa"/>
            <w:shd w:val="clear" w:color="auto" w:fill="auto"/>
          </w:tcPr>
          <w:p w14:paraId="673F0807" w14:textId="77777777" w:rsidR="008111A0" w:rsidRPr="00651A6F" w:rsidRDefault="008111A0" w:rsidP="00F84C2F">
            <w:pPr>
              <w:widowControl w:val="0"/>
              <w:jc w:val="both"/>
              <w:rPr>
                <w:color w:val="000000"/>
                <w:lang w:val="es-ES_tradnl"/>
              </w:rPr>
            </w:pPr>
          </w:p>
        </w:tc>
        <w:tc>
          <w:tcPr>
            <w:tcW w:w="1045" w:type="dxa"/>
            <w:shd w:val="clear" w:color="auto" w:fill="auto"/>
          </w:tcPr>
          <w:p w14:paraId="7823E9CD" w14:textId="77777777" w:rsidR="008111A0" w:rsidRPr="00651A6F" w:rsidRDefault="008111A0" w:rsidP="00F84C2F">
            <w:pPr>
              <w:widowControl w:val="0"/>
              <w:jc w:val="both"/>
              <w:rPr>
                <w:color w:val="000000"/>
                <w:lang w:val="es-ES_tradnl"/>
              </w:rPr>
            </w:pPr>
          </w:p>
        </w:tc>
        <w:tc>
          <w:tcPr>
            <w:tcW w:w="1045" w:type="dxa"/>
          </w:tcPr>
          <w:p w14:paraId="6FF9F07B" w14:textId="77777777" w:rsidR="008111A0" w:rsidRPr="00651A6F" w:rsidRDefault="008111A0" w:rsidP="00F84C2F">
            <w:pPr>
              <w:widowControl w:val="0"/>
              <w:jc w:val="both"/>
              <w:rPr>
                <w:color w:val="000000"/>
                <w:lang w:val="es-ES_tradnl"/>
              </w:rPr>
            </w:pPr>
          </w:p>
        </w:tc>
        <w:tc>
          <w:tcPr>
            <w:tcW w:w="1045" w:type="dxa"/>
          </w:tcPr>
          <w:p w14:paraId="3B5441E2" w14:textId="77777777" w:rsidR="008111A0" w:rsidRPr="00651A6F" w:rsidRDefault="008111A0" w:rsidP="00F84C2F">
            <w:pPr>
              <w:widowControl w:val="0"/>
              <w:jc w:val="both"/>
              <w:rPr>
                <w:color w:val="000000"/>
                <w:lang w:val="es-ES_tradnl"/>
              </w:rPr>
            </w:pPr>
          </w:p>
        </w:tc>
        <w:tc>
          <w:tcPr>
            <w:tcW w:w="1045" w:type="dxa"/>
          </w:tcPr>
          <w:p w14:paraId="4ADA966D" w14:textId="77777777" w:rsidR="008111A0" w:rsidRPr="00651A6F" w:rsidRDefault="008111A0" w:rsidP="00F84C2F">
            <w:pPr>
              <w:widowControl w:val="0"/>
              <w:jc w:val="both"/>
              <w:rPr>
                <w:color w:val="000000"/>
                <w:lang w:val="es-ES_tradnl"/>
              </w:rPr>
            </w:pPr>
          </w:p>
        </w:tc>
        <w:tc>
          <w:tcPr>
            <w:tcW w:w="1045" w:type="dxa"/>
          </w:tcPr>
          <w:p w14:paraId="6570C60D" w14:textId="77777777" w:rsidR="008111A0" w:rsidRPr="00651A6F" w:rsidRDefault="008111A0" w:rsidP="00F84C2F">
            <w:pPr>
              <w:widowControl w:val="0"/>
              <w:jc w:val="both"/>
              <w:rPr>
                <w:color w:val="000000"/>
                <w:lang w:val="es-ES_tradnl"/>
              </w:rPr>
            </w:pPr>
          </w:p>
        </w:tc>
      </w:tr>
      <w:tr w:rsidR="008111A0" w:rsidRPr="0093337E" w14:paraId="2594CA10" w14:textId="35D6573C" w:rsidTr="008111A0">
        <w:trPr>
          <w:trHeight w:val="284"/>
          <w:jc w:val="center"/>
        </w:trPr>
        <w:tc>
          <w:tcPr>
            <w:tcW w:w="2150" w:type="dxa"/>
            <w:shd w:val="clear" w:color="auto" w:fill="auto"/>
          </w:tcPr>
          <w:p w14:paraId="271955CE" w14:textId="1A4AB7E7" w:rsidR="008111A0" w:rsidRPr="00651A6F" w:rsidRDefault="008111A0" w:rsidP="00F84C2F">
            <w:pPr>
              <w:widowControl w:val="0"/>
              <w:jc w:val="both"/>
              <w:rPr>
                <w:color w:val="000000"/>
                <w:sz w:val="20"/>
                <w:lang w:val="es-ES_tradnl"/>
              </w:rPr>
            </w:pPr>
            <w:r>
              <w:rPr>
                <w:color w:val="000000"/>
                <w:sz w:val="20"/>
              </w:rPr>
              <w:t xml:space="preserve">Definición de las variables de trabajo. </w:t>
            </w:r>
          </w:p>
        </w:tc>
        <w:tc>
          <w:tcPr>
            <w:tcW w:w="823" w:type="dxa"/>
            <w:shd w:val="clear" w:color="auto" w:fill="auto"/>
          </w:tcPr>
          <w:p w14:paraId="11FD7DBB" w14:textId="77777777" w:rsidR="008111A0" w:rsidRPr="00651A6F" w:rsidRDefault="008111A0" w:rsidP="00F84C2F">
            <w:pPr>
              <w:widowControl w:val="0"/>
              <w:jc w:val="both"/>
              <w:rPr>
                <w:color w:val="000000"/>
                <w:lang w:val="es-ES_tradnl"/>
              </w:rPr>
            </w:pPr>
          </w:p>
        </w:tc>
        <w:tc>
          <w:tcPr>
            <w:tcW w:w="823" w:type="dxa"/>
            <w:shd w:val="clear" w:color="auto" w:fill="A6A6A6" w:themeFill="background1" w:themeFillShade="A6"/>
          </w:tcPr>
          <w:p w14:paraId="44CD23C2" w14:textId="77777777" w:rsidR="008111A0" w:rsidRPr="00651A6F" w:rsidRDefault="008111A0" w:rsidP="00F84C2F">
            <w:pPr>
              <w:widowControl w:val="0"/>
              <w:jc w:val="both"/>
              <w:rPr>
                <w:color w:val="000000"/>
                <w:lang w:val="es-ES_tradnl"/>
              </w:rPr>
            </w:pPr>
          </w:p>
        </w:tc>
        <w:tc>
          <w:tcPr>
            <w:tcW w:w="823" w:type="dxa"/>
            <w:shd w:val="clear" w:color="auto" w:fill="A6A6A6" w:themeFill="background1" w:themeFillShade="A6"/>
          </w:tcPr>
          <w:p w14:paraId="0CE1A57E" w14:textId="77777777" w:rsidR="008111A0" w:rsidRPr="00651A6F" w:rsidRDefault="008111A0" w:rsidP="00F84C2F">
            <w:pPr>
              <w:widowControl w:val="0"/>
              <w:jc w:val="both"/>
              <w:rPr>
                <w:color w:val="000000"/>
                <w:lang w:val="es-ES_tradnl"/>
              </w:rPr>
            </w:pPr>
          </w:p>
        </w:tc>
        <w:tc>
          <w:tcPr>
            <w:tcW w:w="823" w:type="dxa"/>
            <w:shd w:val="clear" w:color="auto" w:fill="A6A6A6" w:themeFill="background1" w:themeFillShade="A6"/>
          </w:tcPr>
          <w:p w14:paraId="47968859" w14:textId="77777777" w:rsidR="008111A0" w:rsidRPr="00651A6F" w:rsidRDefault="008111A0" w:rsidP="00F84C2F">
            <w:pPr>
              <w:widowControl w:val="0"/>
              <w:jc w:val="both"/>
              <w:rPr>
                <w:color w:val="000000"/>
                <w:lang w:val="es-ES_tradnl"/>
              </w:rPr>
            </w:pPr>
          </w:p>
        </w:tc>
        <w:tc>
          <w:tcPr>
            <w:tcW w:w="1045" w:type="dxa"/>
            <w:shd w:val="clear" w:color="auto" w:fill="A6A6A6" w:themeFill="background1" w:themeFillShade="A6"/>
          </w:tcPr>
          <w:p w14:paraId="74F9934C" w14:textId="77777777" w:rsidR="008111A0" w:rsidRPr="00651A6F" w:rsidRDefault="008111A0" w:rsidP="00F84C2F">
            <w:pPr>
              <w:widowControl w:val="0"/>
              <w:jc w:val="both"/>
              <w:rPr>
                <w:color w:val="000000"/>
                <w:lang w:val="es-ES_tradnl"/>
              </w:rPr>
            </w:pPr>
          </w:p>
        </w:tc>
        <w:tc>
          <w:tcPr>
            <w:tcW w:w="1045" w:type="dxa"/>
          </w:tcPr>
          <w:p w14:paraId="20920544" w14:textId="77777777" w:rsidR="008111A0" w:rsidRPr="00651A6F" w:rsidRDefault="008111A0" w:rsidP="00F84C2F">
            <w:pPr>
              <w:widowControl w:val="0"/>
              <w:jc w:val="both"/>
              <w:rPr>
                <w:color w:val="000000"/>
                <w:lang w:val="es-ES_tradnl"/>
              </w:rPr>
            </w:pPr>
          </w:p>
        </w:tc>
        <w:tc>
          <w:tcPr>
            <w:tcW w:w="1045" w:type="dxa"/>
          </w:tcPr>
          <w:p w14:paraId="32B0F0A3" w14:textId="77777777" w:rsidR="008111A0" w:rsidRPr="00651A6F" w:rsidRDefault="008111A0" w:rsidP="00F84C2F">
            <w:pPr>
              <w:widowControl w:val="0"/>
              <w:jc w:val="both"/>
              <w:rPr>
                <w:color w:val="000000"/>
                <w:lang w:val="es-ES_tradnl"/>
              </w:rPr>
            </w:pPr>
          </w:p>
        </w:tc>
        <w:tc>
          <w:tcPr>
            <w:tcW w:w="1045" w:type="dxa"/>
          </w:tcPr>
          <w:p w14:paraId="5B5CE45B" w14:textId="77777777" w:rsidR="008111A0" w:rsidRPr="00651A6F" w:rsidRDefault="008111A0" w:rsidP="00F84C2F">
            <w:pPr>
              <w:widowControl w:val="0"/>
              <w:jc w:val="both"/>
              <w:rPr>
                <w:color w:val="000000"/>
                <w:lang w:val="es-ES_tradnl"/>
              </w:rPr>
            </w:pPr>
          </w:p>
        </w:tc>
        <w:tc>
          <w:tcPr>
            <w:tcW w:w="1045" w:type="dxa"/>
          </w:tcPr>
          <w:p w14:paraId="43F13312" w14:textId="77777777" w:rsidR="008111A0" w:rsidRPr="00651A6F" w:rsidRDefault="008111A0" w:rsidP="00F84C2F">
            <w:pPr>
              <w:widowControl w:val="0"/>
              <w:jc w:val="both"/>
              <w:rPr>
                <w:color w:val="000000"/>
                <w:lang w:val="es-ES_tradnl"/>
              </w:rPr>
            </w:pPr>
          </w:p>
        </w:tc>
      </w:tr>
      <w:tr w:rsidR="008111A0" w:rsidRPr="0093337E" w14:paraId="1E32FF65" w14:textId="1A78976E" w:rsidTr="008111A0">
        <w:trPr>
          <w:trHeight w:val="582"/>
          <w:jc w:val="center"/>
        </w:trPr>
        <w:tc>
          <w:tcPr>
            <w:tcW w:w="2150" w:type="dxa"/>
            <w:shd w:val="clear" w:color="auto" w:fill="auto"/>
          </w:tcPr>
          <w:p w14:paraId="5818A09A" w14:textId="54175E97" w:rsidR="008111A0" w:rsidRPr="00651A6F" w:rsidRDefault="008111A0" w:rsidP="00F84C2F">
            <w:pPr>
              <w:widowControl w:val="0"/>
              <w:jc w:val="both"/>
              <w:rPr>
                <w:sz w:val="20"/>
              </w:rPr>
            </w:pPr>
            <w:r>
              <w:rPr>
                <w:color w:val="000000"/>
                <w:sz w:val="20"/>
              </w:rPr>
              <w:t>Recolección y acumulación de los datos de las empresas y definición de la muestra.</w:t>
            </w:r>
          </w:p>
        </w:tc>
        <w:tc>
          <w:tcPr>
            <w:tcW w:w="823" w:type="dxa"/>
            <w:shd w:val="clear" w:color="auto" w:fill="auto"/>
          </w:tcPr>
          <w:p w14:paraId="43D61727" w14:textId="77777777" w:rsidR="008111A0" w:rsidRPr="00651A6F" w:rsidRDefault="008111A0" w:rsidP="00F84C2F">
            <w:pPr>
              <w:widowControl w:val="0"/>
              <w:jc w:val="both"/>
              <w:rPr>
                <w:color w:val="000000"/>
                <w:lang w:val="es-ES_tradnl"/>
              </w:rPr>
            </w:pPr>
          </w:p>
        </w:tc>
        <w:tc>
          <w:tcPr>
            <w:tcW w:w="823" w:type="dxa"/>
            <w:shd w:val="clear" w:color="auto" w:fill="FFFFFF"/>
          </w:tcPr>
          <w:p w14:paraId="0742F988" w14:textId="77777777" w:rsidR="008111A0" w:rsidRPr="00651A6F" w:rsidRDefault="008111A0" w:rsidP="00F84C2F">
            <w:pPr>
              <w:widowControl w:val="0"/>
              <w:jc w:val="both"/>
              <w:rPr>
                <w:color w:val="000000"/>
                <w:lang w:val="es-ES_tradnl"/>
              </w:rPr>
            </w:pPr>
          </w:p>
        </w:tc>
        <w:tc>
          <w:tcPr>
            <w:tcW w:w="823" w:type="dxa"/>
            <w:shd w:val="clear" w:color="auto" w:fill="A6A6A6" w:themeFill="background1" w:themeFillShade="A6"/>
          </w:tcPr>
          <w:p w14:paraId="2F6B7906" w14:textId="77777777" w:rsidR="008111A0" w:rsidRPr="00651A6F" w:rsidRDefault="008111A0" w:rsidP="00F84C2F">
            <w:pPr>
              <w:widowControl w:val="0"/>
              <w:jc w:val="both"/>
              <w:rPr>
                <w:color w:val="000000"/>
                <w:lang w:val="es-ES_tradnl"/>
              </w:rPr>
            </w:pPr>
          </w:p>
        </w:tc>
        <w:tc>
          <w:tcPr>
            <w:tcW w:w="823" w:type="dxa"/>
            <w:shd w:val="clear" w:color="auto" w:fill="A6A6A6" w:themeFill="background1" w:themeFillShade="A6"/>
          </w:tcPr>
          <w:p w14:paraId="490EB1DF" w14:textId="77777777" w:rsidR="008111A0" w:rsidRPr="00651A6F" w:rsidRDefault="008111A0" w:rsidP="00F84C2F">
            <w:pPr>
              <w:widowControl w:val="0"/>
              <w:jc w:val="both"/>
              <w:rPr>
                <w:color w:val="000000"/>
                <w:lang w:val="es-ES_tradnl"/>
              </w:rPr>
            </w:pPr>
          </w:p>
        </w:tc>
        <w:tc>
          <w:tcPr>
            <w:tcW w:w="1045" w:type="dxa"/>
            <w:shd w:val="clear" w:color="auto" w:fill="A6A6A6" w:themeFill="background1" w:themeFillShade="A6"/>
          </w:tcPr>
          <w:p w14:paraId="53CA97EB" w14:textId="77777777" w:rsidR="008111A0" w:rsidRPr="00651A6F" w:rsidRDefault="008111A0" w:rsidP="00F84C2F">
            <w:pPr>
              <w:widowControl w:val="0"/>
              <w:jc w:val="both"/>
              <w:rPr>
                <w:color w:val="000000"/>
                <w:lang w:val="es-ES_tradnl"/>
              </w:rPr>
            </w:pPr>
          </w:p>
        </w:tc>
        <w:tc>
          <w:tcPr>
            <w:tcW w:w="1045" w:type="dxa"/>
            <w:shd w:val="clear" w:color="auto" w:fill="A6A6A6" w:themeFill="background1" w:themeFillShade="A6"/>
          </w:tcPr>
          <w:p w14:paraId="778A29BA" w14:textId="77777777" w:rsidR="008111A0" w:rsidRPr="00651A6F" w:rsidRDefault="008111A0" w:rsidP="00F84C2F">
            <w:pPr>
              <w:widowControl w:val="0"/>
              <w:jc w:val="both"/>
              <w:rPr>
                <w:color w:val="000000"/>
                <w:lang w:val="es-ES_tradnl"/>
              </w:rPr>
            </w:pPr>
          </w:p>
        </w:tc>
        <w:tc>
          <w:tcPr>
            <w:tcW w:w="1045" w:type="dxa"/>
            <w:shd w:val="clear" w:color="auto" w:fill="A6A6A6" w:themeFill="background1" w:themeFillShade="A6"/>
          </w:tcPr>
          <w:p w14:paraId="7D54705C" w14:textId="77777777" w:rsidR="008111A0" w:rsidRPr="00651A6F" w:rsidRDefault="008111A0" w:rsidP="00F84C2F">
            <w:pPr>
              <w:widowControl w:val="0"/>
              <w:jc w:val="both"/>
              <w:rPr>
                <w:color w:val="000000"/>
                <w:lang w:val="es-ES_tradnl"/>
              </w:rPr>
            </w:pPr>
          </w:p>
        </w:tc>
        <w:tc>
          <w:tcPr>
            <w:tcW w:w="1045" w:type="dxa"/>
          </w:tcPr>
          <w:p w14:paraId="5181764F" w14:textId="77777777" w:rsidR="008111A0" w:rsidRPr="00651A6F" w:rsidRDefault="008111A0" w:rsidP="00F84C2F">
            <w:pPr>
              <w:widowControl w:val="0"/>
              <w:jc w:val="both"/>
              <w:rPr>
                <w:color w:val="000000"/>
                <w:lang w:val="es-ES_tradnl"/>
              </w:rPr>
            </w:pPr>
          </w:p>
        </w:tc>
        <w:tc>
          <w:tcPr>
            <w:tcW w:w="1045" w:type="dxa"/>
          </w:tcPr>
          <w:p w14:paraId="3607481E" w14:textId="77777777" w:rsidR="008111A0" w:rsidRPr="00651A6F" w:rsidRDefault="008111A0" w:rsidP="00F84C2F">
            <w:pPr>
              <w:widowControl w:val="0"/>
              <w:jc w:val="both"/>
              <w:rPr>
                <w:color w:val="000000"/>
                <w:lang w:val="es-ES_tradnl"/>
              </w:rPr>
            </w:pPr>
          </w:p>
        </w:tc>
      </w:tr>
      <w:tr w:rsidR="008111A0" w:rsidRPr="00E467ED" w14:paraId="5BAF2426" w14:textId="449BA82F" w:rsidTr="008111A0">
        <w:trPr>
          <w:trHeight w:val="566"/>
          <w:jc w:val="center"/>
        </w:trPr>
        <w:tc>
          <w:tcPr>
            <w:tcW w:w="2150" w:type="dxa"/>
            <w:shd w:val="clear" w:color="auto" w:fill="auto"/>
          </w:tcPr>
          <w:p w14:paraId="257C842F" w14:textId="0C303576" w:rsidR="008111A0" w:rsidRPr="00651A6F" w:rsidRDefault="008111A0" w:rsidP="00F84C2F">
            <w:pPr>
              <w:widowControl w:val="0"/>
              <w:jc w:val="both"/>
              <w:rPr>
                <w:color w:val="000000"/>
                <w:sz w:val="20"/>
                <w:lang w:val="es-ES_tradnl"/>
              </w:rPr>
            </w:pPr>
            <w:r>
              <w:rPr>
                <w:color w:val="000000"/>
                <w:sz w:val="20"/>
                <w:lang w:val="es-ES_tradnl"/>
              </w:rPr>
              <w:t>Aplicación de los métodos de análisis y obtención de resultados</w:t>
            </w:r>
          </w:p>
        </w:tc>
        <w:tc>
          <w:tcPr>
            <w:tcW w:w="823" w:type="dxa"/>
            <w:shd w:val="clear" w:color="auto" w:fill="auto"/>
          </w:tcPr>
          <w:p w14:paraId="34E7C548" w14:textId="77777777" w:rsidR="008111A0" w:rsidRPr="00651A6F" w:rsidRDefault="008111A0" w:rsidP="00F84C2F">
            <w:pPr>
              <w:widowControl w:val="0"/>
              <w:jc w:val="both"/>
              <w:rPr>
                <w:color w:val="000000"/>
                <w:lang w:val="es-ES_tradnl"/>
              </w:rPr>
            </w:pPr>
          </w:p>
        </w:tc>
        <w:tc>
          <w:tcPr>
            <w:tcW w:w="823" w:type="dxa"/>
            <w:shd w:val="clear" w:color="auto" w:fill="auto"/>
          </w:tcPr>
          <w:p w14:paraId="3A883C90" w14:textId="77777777" w:rsidR="008111A0" w:rsidRPr="00651A6F" w:rsidRDefault="008111A0" w:rsidP="00F84C2F">
            <w:pPr>
              <w:widowControl w:val="0"/>
              <w:jc w:val="both"/>
              <w:rPr>
                <w:color w:val="000000"/>
                <w:lang w:val="es-ES_tradnl"/>
              </w:rPr>
            </w:pPr>
          </w:p>
        </w:tc>
        <w:tc>
          <w:tcPr>
            <w:tcW w:w="823" w:type="dxa"/>
            <w:shd w:val="clear" w:color="auto" w:fill="auto"/>
          </w:tcPr>
          <w:p w14:paraId="17883F40" w14:textId="77777777" w:rsidR="008111A0" w:rsidRPr="00651A6F" w:rsidRDefault="008111A0" w:rsidP="00F84C2F">
            <w:pPr>
              <w:widowControl w:val="0"/>
              <w:jc w:val="both"/>
              <w:rPr>
                <w:color w:val="000000"/>
                <w:lang w:val="es-ES_tradnl"/>
              </w:rPr>
            </w:pPr>
          </w:p>
        </w:tc>
        <w:tc>
          <w:tcPr>
            <w:tcW w:w="823" w:type="dxa"/>
            <w:shd w:val="clear" w:color="auto" w:fill="auto"/>
          </w:tcPr>
          <w:p w14:paraId="60EF330B" w14:textId="77777777" w:rsidR="008111A0" w:rsidRPr="00651A6F" w:rsidRDefault="008111A0" w:rsidP="00F84C2F">
            <w:pPr>
              <w:widowControl w:val="0"/>
              <w:jc w:val="both"/>
              <w:rPr>
                <w:color w:val="000000"/>
                <w:lang w:val="es-ES_tradnl"/>
              </w:rPr>
            </w:pPr>
          </w:p>
        </w:tc>
        <w:tc>
          <w:tcPr>
            <w:tcW w:w="1045" w:type="dxa"/>
            <w:shd w:val="clear" w:color="auto" w:fill="AEAAAA"/>
          </w:tcPr>
          <w:p w14:paraId="5386210F" w14:textId="77777777" w:rsidR="008111A0" w:rsidRPr="00651A6F" w:rsidRDefault="008111A0" w:rsidP="00F84C2F">
            <w:pPr>
              <w:widowControl w:val="0"/>
              <w:jc w:val="both"/>
              <w:rPr>
                <w:color w:val="000000"/>
                <w:lang w:val="es-ES_tradnl"/>
              </w:rPr>
            </w:pPr>
          </w:p>
        </w:tc>
        <w:tc>
          <w:tcPr>
            <w:tcW w:w="1045" w:type="dxa"/>
            <w:shd w:val="clear" w:color="auto" w:fill="AEAAAA"/>
          </w:tcPr>
          <w:p w14:paraId="7D414D39" w14:textId="77777777" w:rsidR="008111A0" w:rsidRPr="00651A6F" w:rsidRDefault="008111A0" w:rsidP="00F84C2F">
            <w:pPr>
              <w:widowControl w:val="0"/>
              <w:jc w:val="both"/>
              <w:rPr>
                <w:color w:val="000000"/>
                <w:lang w:val="es-ES_tradnl"/>
              </w:rPr>
            </w:pPr>
          </w:p>
        </w:tc>
        <w:tc>
          <w:tcPr>
            <w:tcW w:w="1045" w:type="dxa"/>
            <w:shd w:val="clear" w:color="auto" w:fill="AEAAAA"/>
          </w:tcPr>
          <w:p w14:paraId="3A86CE53" w14:textId="77777777" w:rsidR="008111A0" w:rsidRPr="00651A6F" w:rsidRDefault="008111A0" w:rsidP="00F84C2F">
            <w:pPr>
              <w:widowControl w:val="0"/>
              <w:jc w:val="both"/>
              <w:rPr>
                <w:color w:val="000000"/>
                <w:lang w:val="es-ES_tradnl"/>
              </w:rPr>
            </w:pPr>
          </w:p>
        </w:tc>
        <w:tc>
          <w:tcPr>
            <w:tcW w:w="1045" w:type="dxa"/>
            <w:shd w:val="clear" w:color="auto" w:fill="AEAAAA"/>
          </w:tcPr>
          <w:p w14:paraId="39E616D7" w14:textId="77777777" w:rsidR="008111A0" w:rsidRPr="00651A6F" w:rsidRDefault="008111A0" w:rsidP="00F84C2F">
            <w:pPr>
              <w:widowControl w:val="0"/>
              <w:jc w:val="both"/>
              <w:rPr>
                <w:color w:val="000000"/>
                <w:lang w:val="es-ES_tradnl"/>
              </w:rPr>
            </w:pPr>
          </w:p>
        </w:tc>
        <w:tc>
          <w:tcPr>
            <w:tcW w:w="1045" w:type="dxa"/>
            <w:shd w:val="clear" w:color="auto" w:fill="AEAAAA"/>
          </w:tcPr>
          <w:p w14:paraId="083A5AC4" w14:textId="77777777" w:rsidR="008111A0" w:rsidRPr="00651A6F" w:rsidRDefault="008111A0" w:rsidP="00F84C2F">
            <w:pPr>
              <w:widowControl w:val="0"/>
              <w:jc w:val="both"/>
              <w:rPr>
                <w:color w:val="000000"/>
                <w:lang w:val="es-ES_tradnl"/>
              </w:rPr>
            </w:pPr>
          </w:p>
        </w:tc>
      </w:tr>
      <w:tr w:rsidR="008111A0" w:rsidRPr="0093337E" w14:paraId="2481CE41" w14:textId="07D3CF6C" w:rsidTr="008111A0">
        <w:trPr>
          <w:trHeight w:val="582"/>
          <w:jc w:val="center"/>
        </w:trPr>
        <w:tc>
          <w:tcPr>
            <w:tcW w:w="2150" w:type="dxa"/>
            <w:shd w:val="clear" w:color="auto" w:fill="auto"/>
          </w:tcPr>
          <w:p w14:paraId="690AAEA1" w14:textId="77777777" w:rsidR="008111A0" w:rsidRDefault="008111A0" w:rsidP="00F84C2F">
            <w:pPr>
              <w:rPr>
                <w:color w:val="000000"/>
                <w:sz w:val="20"/>
                <w:lang w:val="es-ES_tradnl"/>
              </w:rPr>
            </w:pPr>
            <w:r>
              <w:rPr>
                <w:color w:val="000000"/>
                <w:sz w:val="20"/>
                <w:lang w:val="es-ES_tradnl"/>
              </w:rPr>
              <w:lastRenderedPageBreak/>
              <w:t>Informe final</w:t>
            </w:r>
          </w:p>
        </w:tc>
        <w:tc>
          <w:tcPr>
            <w:tcW w:w="823" w:type="dxa"/>
            <w:shd w:val="clear" w:color="auto" w:fill="auto"/>
          </w:tcPr>
          <w:p w14:paraId="59DA34BF" w14:textId="77777777" w:rsidR="008111A0" w:rsidRPr="00651A6F" w:rsidRDefault="008111A0" w:rsidP="00F84C2F">
            <w:pPr>
              <w:widowControl w:val="0"/>
              <w:jc w:val="both"/>
              <w:rPr>
                <w:color w:val="000000"/>
                <w:lang w:val="es-ES_tradnl"/>
              </w:rPr>
            </w:pPr>
          </w:p>
        </w:tc>
        <w:tc>
          <w:tcPr>
            <w:tcW w:w="823" w:type="dxa"/>
            <w:shd w:val="clear" w:color="auto" w:fill="auto"/>
          </w:tcPr>
          <w:p w14:paraId="2326708F" w14:textId="77777777" w:rsidR="008111A0" w:rsidRPr="00651A6F" w:rsidRDefault="008111A0" w:rsidP="00F84C2F">
            <w:pPr>
              <w:widowControl w:val="0"/>
              <w:jc w:val="both"/>
              <w:rPr>
                <w:color w:val="000000"/>
                <w:lang w:val="es-ES_tradnl"/>
              </w:rPr>
            </w:pPr>
          </w:p>
        </w:tc>
        <w:tc>
          <w:tcPr>
            <w:tcW w:w="823" w:type="dxa"/>
            <w:shd w:val="clear" w:color="auto" w:fill="auto"/>
          </w:tcPr>
          <w:p w14:paraId="14B8EA61" w14:textId="77777777" w:rsidR="008111A0" w:rsidRPr="00651A6F" w:rsidRDefault="008111A0" w:rsidP="00F84C2F">
            <w:pPr>
              <w:widowControl w:val="0"/>
              <w:jc w:val="both"/>
              <w:rPr>
                <w:color w:val="000000"/>
                <w:lang w:val="es-ES_tradnl"/>
              </w:rPr>
            </w:pPr>
          </w:p>
        </w:tc>
        <w:tc>
          <w:tcPr>
            <w:tcW w:w="823" w:type="dxa"/>
            <w:shd w:val="clear" w:color="auto" w:fill="FFFFFF"/>
          </w:tcPr>
          <w:p w14:paraId="15044935" w14:textId="77777777" w:rsidR="008111A0" w:rsidRPr="00651A6F" w:rsidRDefault="008111A0" w:rsidP="00F84C2F">
            <w:pPr>
              <w:widowControl w:val="0"/>
              <w:jc w:val="both"/>
              <w:rPr>
                <w:color w:val="000000"/>
                <w:lang w:val="es-ES_tradnl"/>
              </w:rPr>
            </w:pPr>
          </w:p>
        </w:tc>
        <w:tc>
          <w:tcPr>
            <w:tcW w:w="1045" w:type="dxa"/>
            <w:shd w:val="clear" w:color="auto" w:fill="A6A6A6" w:themeFill="background1" w:themeFillShade="A6"/>
          </w:tcPr>
          <w:p w14:paraId="6079320C" w14:textId="77777777" w:rsidR="008111A0" w:rsidRPr="00651A6F" w:rsidRDefault="008111A0" w:rsidP="00F84C2F">
            <w:pPr>
              <w:widowControl w:val="0"/>
              <w:jc w:val="both"/>
              <w:rPr>
                <w:color w:val="000000"/>
                <w:lang w:val="es-ES_tradnl"/>
              </w:rPr>
            </w:pPr>
          </w:p>
        </w:tc>
        <w:tc>
          <w:tcPr>
            <w:tcW w:w="1045" w:type="dxa"/>
            <w:shd w:val="clear" w:color="auto" w:fill="A6A6A6" w:themeFill="background1" w:themeFillShade="A6"/>
          </w:tcPr>
          <w:p w14:paraId="23448E7F" w14:textId="77777777" w:rsidR="008111A0" w:rsidRPr="00651A6F" w:rsidRDefault="008111A0" w:rsidP="00F84C2F">
            <w:pPr>
              <w:widowControl w:val="0"/>
              <w:jc w:val="both"/>
              <w:rPr>
                <w:color w:val="000000"/>
                <w:lang w:val="es-ES_tradnl"/>
              </w:rPr>
            </w:pPr>
          </w:p>
        </w:tc>
        <w:tc>
          <w:tcPr>
            <w:tcW w:w="1045" w:type="dxa"/>
            <w:shd w:val="clear" w:color="auto" w:fill="A6A6A6" w:themeFill="background1" w:themeFillShade="A6"/>
          </w:tcPr>
          <w:p w14:paraId="5C5D7087" w14:textId="77777777" w:rsidR="008111A0" w:rsidRPr="00651A6F" w:rsidRDefault="008111A0" w:rsidP="00F84C2F">
            <w:pPr>
              <w:widowControl w:val="0"/>
              <w:jc w:val="both"/>
              <w:rPr>
                <w:color w:val="000000"/>
                <w:lang w:val="es-ES_tradnl"/>
              </w:rPr>
            </w:pPr>
          </w:p>
        </w:tc>
        <w:tc>
          <w:tcPr>
            <w:tcW w:w="1045" w:type="dxa"/>
            <w:shd w:val="clear" w:color="auto" w:fill="A6A6A6" w:themeFill="background1" w:themeFillShade="A6"/>
          </w:tcPr>
          <w:p w14:paraId="6821126A" w14:textId="77777777" w:rsidR="008111A0" w:rsidRPr="00651A6F" w:rsidRDefault="008111A0" w:rsidP="00F84C2F">
            <w:pPr>
              <w:widowControl w:val="0"/>
              <w:jc w:val="both"/>
              <w:rPr>
                <w:color w:val="000000"/>
                <w:lang w:val="es-ES_tradnl"/>
              </w:rPr>
            </w:pPr>
          </w:p>
        </w:tc>
        <w:tc>
          <w:tcPr>
            <w:tcW w:w="1045" w:type="dxa"/>
            <w:shd w:val="clear" w:color="auto" w:fill="A6A6A6" w:themeFill="background1" w:themeFillShade="A6"/>
          </w:tcPr>
          <w:p w14:paraId="6897964B" w14:textId="77777777" w:rsidR="008111A0" w:rsidRPr="00651A6F" w:rsidRDefault="008111A0" w:rsidP="00F84C2F">
            <w:pPr>
              <w:widowControl w:val="0"/>
              <w:jc w:val="both"/>
              <w:rPr>
                <w:color w:val="000000"/>
                <w:lang w:val="es-ES_tradnl"/>
              </w:rPr>
            </w:pPr>
          </w:p>
        </w:tc>
      </w:tr>
    </w:tbl>
    <w:p w14:paraId="5991B608" w14:textId="46012E44" w:rsidR="006A636B" w:rsidRDefault="006A636B" w:rsidP="00306893">
      <w:pPr>
        <w:spacing w:after="120"/>
        <w:jc w:val="both"/>
        <w:rPr>
          <w:rFonts w:ascii="Times New Roman" w:hAnsi="Times New Roman"/>
          <w:b/>
          <w:sz w:val="24"/>
        </w:rPr>
      </w:pPr>
    </w:p>
    <w:sdt>
      <w:sdtPr>
        <w:rPr>
          <w:rFonts w:asciiTheme="minorHAnsi" w:eastAsiaTheme="minorEastAsia" w:hAnsiTheme="minorHAnsi" w:cstheme="minorBidi"/>
          <w:b w:val="0"/>
          <w:bCs w:val="0"/>
          <w:color w:val="auto"/>
          <w:sz w:val="22"/>
          <w:szCs w:val="22"/>
          <w:lang w:val="es-ES"/>
        </w:rPr>
        <w:id w:val="-1026550909"/>
        <w:docPartObj>
          <w:docPartGallery w:val="Bibliographies"/>
          <w:docPartUnique/>
        </w:docPartObj>
      </w:sdtPr>
      <w:sdtEndPr>
        <w:rPr>
          <w:lang w:val="es-CO"/>
        </w:rPr>
      </w:sdtEndPr>
      <w:sdtContent>
        <w:p w14:paraId="54405B5A" w14:textId="61CBC59B" w:rsidR="0081293B" w:rsidRPr="0081293B" w:rsidRDefault="0081293B">
          <w:pPr>
            <w:pStyle w:val="Ttulo1"/>
            <w:rPr>
              <w:lang w:val="en-US"/>
            </w:rPr>
          </w:pPr>
          <w:r w:rsidRPr="0081293B">
            <w:rPr>
              <w:lang w:val="en-US"/>
            </w:rPr>
            <w:t>Bibliografía</w:t>
          </w:r>
        </w:p>
        <w:sdt>
          <w:sdtPr>
            <w:rPr>
              <w:rFonts w:asciiTheme="minorHAnsi" w:eastAsiaTheme="minorEastAsia" w:hAnsiTheme="minorHAnsi" w:cstheme="minorBidi"/>
              <w:sz w:val="22"/>
              <w:szCs w:val="22"/>
              <w:lang w:val="es-CO" w:eastAsia="es-CO"/>
            </w:rPr>
            <w:id w:val="111145805"/>
            <w:bibliography/>
          </w:sdtPr>
          <w:sdtEndPr/>
          <w:sdtContent>
            <w:p w14:paraId="51BBC92C" w14:textId="77777777" w:rsidR="003A4BC7" w:rsidRDefault="0081293B" w:rsidP="003A4BC7">
              <w:pPr>
                <w:pStyle w:val="Bibliografa"/>
                <w:ind w:left="720" w:hanging="720"/>
                <w:rPr>
                  <w:noProof/>
                  <w:lang w:val="en-US"/>
                </w:rPr>
              </w:pPr>
              <w:r>
                <w:fldChar w:fldCharType="begin"/>
              </w:r>
              <w:r w:rsidRPr="0081293B">
                <w:rPr>
                  <w:lang w:val="en-US"/>
                </w:rPr>
                <w:instrText>BIBLIOGRAPHY</w:instrText>
              </w:r>
              <w:r>
                <w:fldChar w:fldCharType="separate"/>
              </w:r>
              <w:r w:rsidR="003A4BC7">
                <w:rPr>
                  <w:noProof/>
                  <w:lang w:val="en-US"/>
                </w:rPr>
                <w:t xml:space="preserve">Ball, R., Robin, A., &amp; Wu, J. (2003). Incentives versus standards: properties of accounting income in four East Asian countries. </w:t>
              </w:r>
              <w:r w:rsidR="003A4BC7">
                <w:rPr>
                  <w:i/>
                  <w:iCs/>
                  <w:noProof/>
                  <w:lang w:val="en-US"/>
                </w:rPr>
                <w:t>Journal of Accounting and Economics</w:t>
              </w:r>
              <w:r w:rsidR="003A4BC7">
                <w:rPr>
                  <w:noProof/>
                  <w:lang w:val="en-US"/>
                </w:rPr>
                <w:t>(36), 235-270.</w:t>
              </w:r>
            </w:p>
            <w:p w14:paraId="2C217A92" w14:textId="77777777" w:rsidR="003A4BC7" w:rsidRDefault="003A4BC7" w:rsidP="003A4BC7">
              <w:pPr>
                <w:pStyle w:val="Bibliografa"/>
                <w:ind w:left="720" w:hanging="720"/>
                <w:rPr>
                  <w:noProof/>
                  <w:lang w:val="en-US"/>
                </w:rPr>
              </w:pPr>
              <w:r>
                <w:rPr>
                  <w:noProof/>
                  <w:lang w:val="en-US"/>
                </w:rPr>
                <w:t xml:space="preserve">Barth, M., Landsman, &amp; Lang, M. (2008). International Accounting Standards and Accounting Quality. </w:t>
              </w:r>
              <w:r>
                <w:rPr>
                  <w:i/>
                  <w:iCs/>
                  <w:noProof/>
                  <w:lang w:val="en-US"/>
                </w:rPr>
                <w:t>Journal of Accounting Research</w:t>
              </w:r>
              <w:r>
                <w:rPr>
                  <w:noProof/>
                  <w:lang w:val="en-US"/>
                </w:rPr>
                <w:t>, 467-498.</w:t>
              </w:r>
            </w:p>
            <w:p w14:paraId="1B6807DC" w14:textId="77777777" w:rsidR="003A4BC7" w:rsidRDefault="003A4BC7" w:rsidP="003A4BC7">
              <w:pPr>
                <w:pStyle w:val="Bibliografa"/>
                <w:ind w:left="720" w:hanging="720"/>
                <w:rPr>
                  <w:noProof/>
                  <w:lang w:val="en-US"/>
                </w:rPr>
              </w:pPr>
              <w:r>
                <w:rPr>
                  <w:noProof/>
                  <w:lang w:val="en-US"/>
                </w:rPr>
                <w:t xml:space="preserve">Brochet, F., Jagolinzer, A., &amp; Riedl, E. (2013). Comparability, Mandatory IFRS Adoption and Financial Statement. </w:t>
              </w:r>
              <w:r>
                <w:rPr>
                  <w:i/>
                  <w:iCs/>
                  <w:noProof/>
                  <w:lang w:val="en-US"/>
                </w:rPr>
                <w:t>Contemporany Accounting Research, 30</w:t>
              </w:r>
              <w:r>
                <w:rPr>
                  <w:noProof/>
                  <w:lang w:val="en-US"/>
                </w:rPr>
                <w:t>(4), 1373-1400.</w:t>
              </w:r>
            </w:p>
            <w:p w14:paraId="01024E14" w14:textId="77777777" w:rsidR="003A4BC7" w:rsidRDefault="003A4BC7" w:rsidP="003A4BC7">
              <w:pPr>
                <w:pStyle w:val="Bibliografa"/>
                <w:ind w:left="720" w:hanging="720"/>
                <w:rPr>
                  <w:noProof/>
                  <w:lang w:val="en-US"/>
                </w:rPr>
              </w:pPr>
              <w:r>
                <w:rPr>
                  <w:noProof/>
                  <w:lang w:val="en-US"/>
                </w:rPr>
                <w:t xml:space="preserve">Cañibano, L., &amp; Mora, A. (2000). Evaluating the Statistical Significance of "de facto" accounting harmonization: a study of European Glogal Players. </w:t>
              </w:r>
              <w:r>
                <w:rPr>
                  <w:i/>
                  <w:iCs/>
                  <w:noProof/>
                  <w:lang w:val="en-US"/>
                </w:rPr>
                <w:t>European Accountig Review, 9</w:t>
              </w:r>
              <w:r>
                <w:rPr>
                  <w:noProof/>
                  <w:lang w:val="en-US"/>
                </w:rPr>
                <w:t>(3), 349-370.</w:t>
              </w:r>
            </w:p>
            <w:p w14:paraId="507A0FDC" w14:textId="77777777" w:rsidR="003A4BC7" w:rsidRDefault="003A4BC7" w:rsidP="003A4BC7">
              <w:pPr>
                <w:pStyle w:val="Bibliografa"/>
                <w:ind w:left="720" w:hanging="720"/>
                <w:rPr>
                  <w:noProof/>
                  <w:lang w:val="en-US"/>
                </w:rPr>
              </w:pPr>
              <w:r>
                <w:rPr>
                  <w:noProof/>
                  <w:lang w:val="en-US"/>
                </w:rPr>
                <w:t xml:space="preserve">Christensen, H., Lee, E., &amp; Walker, Z. C. (2015). Incentives or Standards: What Determines Accounting Quality Changes around IFRS Adoption? </w:t>
              </w:r>
              <w:r>
                <w:rPr>
                  <w:i/>
                  <w:iCs/>
                  <w:noProof/>
                  <w:lang w:val="en-US"/>
                </w:rPr>
                <w:t>European Accounting Review, 24</w:t>
              </w:r>
              <w:r>
                <w:rPr>
                  <w:noProof/>
                  <w:lang w:val="en-US"/>
                </w:rPr>
                <w:t>(1), 31-61.</w:t>
              </w:r>
            </w:p>
            <w:p w14:paraId="75BF4668" w14:textId="77777777" w:rsidR="003A4BC7" w:rsidRDefault="003A4BC7" w:rsidP="003A4BC7">
              <w:pPr>
                <w:pStyle w:val="Bibliografa"/>
                <w:ind w:left="720" w:hanging="720"/>
                <w:rPr>
                  <w:noProof/>
                  <w:lang w:val="en-US"/>
                </w:rPr>
              </w:pPr>
              <w:r>
                <w:rPr>
                  <w:noProof/>
                  <w:lang w:val="en-US"/>
                </w:rPr>
                <w:t xml:space="preserve">De Franco, G., Kotahri, S., &amp; Verdi, R. (2011). The benefits of financial statement comparability. </w:t>
              </w:r>
              <w:r>
                <w:rPr>
                  <w:i/>
                  <w:iCs/>
                  <w:noProof/>
                  <w:lang w:val="en-US"/>
                </w:rPr>
                <w:t>Journal of Accounting Research</w:t>
              </w:r>
              <w:r>
                <w:rPr>
                  <w:noProof/>
                  <w:lang w:val="en-US"/>
                </w:rPr>
                <w:t>(49), 895-931.</w:t>
              </w:r>
            </w:p>
            <w:p w14:paraId="45FD0721" w14:textId="77777777" w:rsidR="003A4BC7" w:rsidRPr="003A4BC7" w:rsidRDefault="003A4BC7" w:rsidP="003A4BC7">
              <w:pPr>
                <w:pStyle w:val="Bibliografa"/>
                <w:ind w:left="720" w:hanging="720"/>
                <w:rPr>
                  <w:noProof/>
                  <w:lang w:val="es-CO"/>
                </w:rPr>
              </w:pPr>
              <w:r>
                <w:rPr>
                  <w:noProof/>
                  <w:lang w:val="en-US"/>
                </w:rPr>
                <w:t xml:space="preserve">García, N., &amp; Sierra, E. (2012, julio-septiembre). </w:t>
              </w:r>
              <w:r w:rsidRPr="003A4BC7">
                <w:rPr>
                  <w:noProof/>
                  <w:lang w:val="es-CO"/>
                </w:rPr>
                <w:t xml:space="preserve">Un análisis de la reforma contable en Colombia. </w:t>
              </w:r>
              <w:r w:rsidRPr="003A4BC7">
                <w:rPr>
                  <w:i/>
                  <w:iCs/>
                  <w:noProof/>
                  <w:lang w:val="es-CO"/>
                </w:rPr>
                <w:t>Revista Internacional Legis de Contabilidad &amp; Auditoria</w:t>
              </w:r>
              <w:r w:rsidRPr="003A4BC7">
                <w:rPr>
                  <w:noProof/>
                  <w:lang w:val="es-CO"/>
                </w:rPr>
                <w:t>(51), 39-54.</w:t>
              </w:r>
            </w:p>
            <w:p w14:paraId="170766DD" w14:textId="77777777" w:rsidR="003A4BC7" w:rsidRPr="005A292A" w:rsidRDefault="003A4BC7" w:rsidP="003A4BC7">
              <w:pPr>
                <w:pStyle w:val="Bibliografa"/>
                <w:ind w:left="720" w:hanging="720"/>
                <w:rPr>
                  <w:noProof/>
                  <w:lang w:val="es-CO"/>
                </w:rPr>
              </w:pPr>
              <w:r w:rsidRPr="003A4BC7">
                <w:rPr>
                  <w:noProof/>
                  <w:lang w:val="es-CO"/>
                </w:rPr>
                <w:t xml:space="preserve">Gómez, O., De la Hoz, A., &amp; De la Hoz, B. (2011). Armonización de las nic/niif en las prácticas contables de entes emisores no financieros que cotizan en la Bolsa de Valores de Caracas, Venezuela. </w:t>
              </w:r>
              <w:r w:rsidRPr="005A292A">
                <w:rPr>
                  <w:i/>
                  <w:iCs/>
                  <w:noProof/>
                  <w:lang w:val="es-CO"/>
                </w:rPr>
                <w:t>Contaduría y Administración</w:t>
              </w:r>
              <w:r w:rsidRPr="005A292A">
                <w:rPr>
                  <w:noProof/>
                  <w:lang w:val="es-CO"/>
                </w:rPr>
                <w:t>(233), 149-175.</w:t>
              </w:r>
            </w:p>
            <w:p w14:paraId="1201F904" w14:textId="77777777" w:rsidR="003A4BC7" w:rsidRPr="003A4BC7" w:rsidRDefault="003A4BC7" w:rsidP="003A4BC7">
              <w:pPr>
                <w:pStyle w:val="Bibliografa"/>
                <w:ind w:left="720" w:hanging="720"/>
                <w:rPr>
                  <w:noProof/>
                  <w:lang w:val="es-CO"/>
                </w:rPr>
              </w:pPr>
              <w:r w:rsidRPr="003A4BC7">
                <w:rPr>
                  <w:noProof/>
                  <w:lang w:val="es-CO"/>
                </w:rPr>
                <w:t xml:space="preserve">González, P. (2006, enero). Estudio empírico para medir aspectos de armonización entre las prácticas y normas contables utilizadas por las empresas Argentinas, Brasileñas y Colombianas. </w:t>
              </w:r>
              <w:r w:rsidRPr="003A4BC7">
                <w:rPr>
                  <w:i/>
                  <w:iCs/>
                  <w:noProof/>
                  <w:lang w:val="es-CO"/>
                </w:rPr>
                <w:t>Cuadernos de Administración</w:t>
              </w:r>
              <w:r w:rsidRPr="003A4BC7">
                <w:rPr>
                  <w:noProof/>
                  <w:lang w:val="es-CO"/>
                </w:rPr>
                <w:t>(34), 177-196.</w:t>
              </w:r>
            </w:p>
            <w:p w14:paraId="70BAC1ED" w14:textId="77777777" w:rsidR="003A4BC7" w:rsidRDefault="003A4BC7" w:rsidP="003A4BC7">
              <w:pPr>
                <w:pStyle w:val="Bibliografa"/>
                <w:ind w:left="720" w:hanging="720"/>
                <w:rPr>
                  <w:noProof/>
                  <w:lang w:val="en-US"/>
                </w:rPr>
              </w:pPr>
              <w:r w:rsidRPr="003A4BC7">
                <w:rPr>
                  <w:noProof/>
                  <w:lang w:val="es-CO"/>
                </w:rPr>
                <w:t xml:space="preserve">International Accounting Standards Board. (2010). </w:t>
              </w:r>
              <w:r w:rsidRPr="003A4BC7">
                <w:rPr>
                  <w:i/>
                  <w:iCs/>
                  <w:noProof/>
                  <w:lang w:val="es-CO"/>
                </w:rPr>
                <w:t>Marco Conceptual para la Información Financiera.</w:t>
              </w:r>
              <w:r w:rsidRPr="003A4BC7">
                <w:rPr>
                  <w:noProof/>
                  <w:lang w:val="es-CO"/>
                </w:rPr>
                <w:t xml:space="preserve"> </w:t>
              </w:r>
              <w:r>
                <w:rPr>
                  <w:noProof/>
                  <w:lang w:val="en-US"/>
                </w:rPr>
                <w:t>Londres: IASB.</w:t>
              </w:r>
            </w:p>
            <w:p w14:paraId="7084B4FD" w14:textId="77777777" w:rsidR="003A4BC7" w:rsidRPr="003A4BC7" w:rsidRDefault="003A4BC7" w:rsidP="003A4BC7">
              <w:pPr>
                <w:pStyle w:val="Bibliografa"/>
                <w:ind w:left="720" w:hanging="720"/>
                <w:rPr>
                  <w:noProof/>
                  <w:lang w:val="es-CO"/>
                </w:rPr>
              </w:pPr>
              <w:r>
                <w:rPr>
                  <w:noProof/>
                  <w:lang w:val="en-US"/>
                </w:rPr>
                <w:t xml:space="preserve">Mohammadrezaei, F., Mohd-Saleh, N., &amp; Banimahd, B. (2013). The effects of mandatory IFRS adoption: A review of evidence based on accounting standard setting criteria. </w:t>
              </w:r>
              <w:r w:rsidRPr="003A4BC7">
                <w:rPr>
                  <w:i/>
                  <w:iCs/>
                  <w:noProof/>
                  <w:lang w:val="es-CO"/>
                </w:rPr>
                <w:t>International Journal of Disclosure and Governance, 12</w:t>
              </w:r>
              <w:r w:rsidRPr="003A4BC7">
                <w:rPr>
                  <w:noProof/>
                  <w:lang w:val="es-CO"/>
                </w:rPr>
                <w:t>(1), 29-77.</w:t>
              </w:r>
            </w:p>
            <w:p w14:paraId="2508E6D3" w14:textId="77777777" w:rsidR="003A4BC7" w:rsidRDefault="003A4BC7" w:rsidP="003A4BC7">
              <w:pPr>
                <w:pStyle w:val="Bibliografa"/>
                <w:ind w:left="720" w:hanging="720"/>
                <w:rPr>
                  <w:noProof/>
                  <w:lang w:val="en-US"/>
                </w:rPr>
              </w:pPr>
              <w:r>
                <w:rPr>
                  <w:noProof/>
                  <w:lang w:val="en-US"/>
                </w:rPr>
                <w:t xml:space="preserve">Pierce, A., &amp; Weetman, P. (2002). Measurement of de facto harmonisation: implications of non-disclosure for reasearch planning and interpretation. </w:t>
              </w:r>
              <w:r>
                <w:rPr>
                  <w:i/>
                  <w:iCs/>
                  <w:noProof/>
                  <w:lang w:val="en-US"/>
                </w:rPr>
                <w:t>Accounting and Business Research, 32</w:t>
              </w:r>
              <w:r>
                <w:rPr>
                  <w:noProof/>
                  <w:lang w:val="en-US"/>
                </w:rPr>
                <w:t>(4), 250-273.</w:t>
              </w:r>
            </w:p>
            <w:p w14:paraId="4F2D77A2" w14:textId="77777777" w:rsidR="003A4BC7" w:rsidRDefault="003A4BC7" w:rsidP="003A4BC7">
              <w:pPr>
                <w:pStyle w:val="Bibliografa"/>
                <w:ind w:left="720" w:hanging="720"/>
                <w:rPr>
                  <w:noProof/>
                  <w:lang w:val="en-US"/>
                </w:rPr>
              </w:pPr>
              <w:r>
                <w:rPr>
                  <w:noProof/>
                  <w:lang w:val="en-US"/>
                </w:rPr>
                <w:t xml:space="preserve">Wysocki, P. (2011). New institutional accounting and IFRS. </w:t>
              </w:r>
              <w:r>
                <w:rPr>
                  <w:i/>
                  <w:iCs/>
                  <w:noProof/>
                  <w:lang w:val="en-US"/>
                </w:rPr>
                <w:t>Accounting and Business Research, 41</w:t>
              </w:r>
              <w:r>
                <w:rPr>
                  <w:noProof/>
                  <w:lang w:val="en-US"/>
                </w:rPr>
                <w:t>(3), 309-328.</w:t>
              </w:r>
            </w:p>
            <w:p w14:paraId="43FD7485" w14:textId="21BCC484" w:rsidR="0081293B" w:rsidRDefault="0081293B" w:rsidP="003A4BC7">
              <w:r>
                <w:rPr>
                  <w:b/>
                  <w:bCs/>
                </w:rPr>
                <w:fldChar w:fldCharType="end"/>
              </w:r>
            </w:p>
          </w:sdtContent>
        </w:sdt>
      </w:sdtContent>
    </w:sdt>
    <w:p w14:paraId="13351578" w14:textId="77777777" w:rsidR="007D337E" w:rsidRPr="00942BF2" w:rsidRDefault="007D337E" w:rsidP="007D337E">
      <w:pPr>
        <w:jc w:val="both"/>
        <w:rPr>
          <w:rFonts w:ascii="Times New Roman" w:hAnsi="Times New Roman" w:cs="Times New Roman"/>
          <w:b/>
          <w:sz w:val="24"/>
          <w:szCs w:val="24"/>
        </w:rPr>
      </w:pPr>
      <w:r w:rsidRPr="00942BF2">
        <w:rPr>
          <w:rFonts w:ascii="Times New Roman" w:hAnsi="Times New Roman" w:cs="Times New Roman"/>
          <w:b/>
          <w:sz w:val="24"/>
          <w:szCs w:val="24"/>
        </w:rPr>
        <w:lastRenderedPageBreak/>
        <w:t xml:space="preserve">Posibles evaluadores </w:t>
      </w:r>
    </w:p>
    <w:p w14:paraId="76856053" w14:textId="5FCA42D5" w:rsidR="007D337E" w:rsidRPr="00942BF2" w:rsidRDefault="007D337E" w:rsidP="007D337E">
      <w:pPr>
        <w:jc w:val="both"/>
        <w:rPr>
          <w:rFonts w:ascii="Times New Roman" w:hAnsi="Times New Roman" w:cs="Times New Roman"/>
          <w:sz w:val="24"/>
          <w:szCs w:val="24"/>
        </w:rPr>
      </w:pPr>
      <w:r w:rsidRPr="00942BF2">
        <w:rPr>
          <w:rFonts w:ascii="Times New Roman" w:hAnsi="Times New Roman" w:cs="Times New Roman"/>
          <w:sz w:val="24"/>
          <w:szCs w:val="24"/>
        </w:rPr>
        <w:t>Ruth Alejand</w:t>
      </w:r>
      <w:r>
        <w:rPr>
          <w:rFonts w:ascii="Times New Roman" w:hAnsi="Times New Roman" w:cs="Times New Roman"/>
          <w:sz w:val="24"/>
          <w:szCs w:val="24"/>
        </w:rPr>
        <w:t>ra Patiño Jacinto, Magister en Ciencias E</w:t>
      </w:r>
      <w:r w:rsidRPr="00942BF2">
        <w:rPr>
          <w:rFonts w:ascii="Times New Roman" w:hAnsi="Times New Roman" w:cs="Times New Roman"/>
          <w:sz w:val="24"/>
          <w:szCs w:val="24"/>
        </w:rPr>
        <w:t>conómicas, alejandrapatino@usantotomas.edu.co</w:t>
      </w:r>
    </w:p>
    <w:p w14:paraId="3FCB8666" w14:textId="77777777" w:rsidR="0081293B" w:rsidRDefault="0081293B" w:rsidP="00472A26">
      <w:pPr>
        <w:spacing w:after="120"/>
        <w:jc w:val="both"/>
        <w:rPr>
          <w:rFonts w:ascii="Times New Roman" w:hAnsi="Times New Roman" w:cs="Times New Roman"/>
          <w:sz w:val="24"/>
          <w:szCs w:val="24"/>
          <w:u w:val="single"/>
        </w:rPr>
      </w:pPr>
    </w:p>
    <w:sectPr w:rsidR="0081293B" w:rsidSect="00EF7515">
      <w:headerReference w:type="default" r:id="rId8"/>
      <w:footerReference w:type="default" r:id="rId9"/>
      <w:pgSz w:w="12240" w:h="15840"/>
      <w:pgMar w:top="141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E505" w14:textId="77777777" w:rsidR="002E0400" w:rsidRDefault="002E0400" w:rsidP="004C44E2">
      <w:pPr>
        <w:spacing w:after="0" w:line="240" w:lineRule="auto"/>
      </w:pPr>
      <w:r>
        <w:separator/>
      </w:r>
    </w:p>
  </w:endnote>
  <w:endnote w:type="continuationSeparator" w:id="0">
    <w:p w14:paraId="03ECF50D" w14:textId="77777777" w:rsidR="002E0400" w:rsidRDefault="002E0400" w:rsidP="004C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5477" w14:textId="77777777" w:rsidR="000A143F" w:rsidRDefault="000A143F">
    <w:pPr>
      <w:pStyle w:val="Piedepgina"/>
    </w:pPr>
    <w:r>
      <w:rPr>
        <w:noProof/>
      </w:rPr>
      <w:drawing>
        <wp:anchor distT="0" distB="0" distL="114300" distR="114300" simplePos="0" relativeHeight="251659264" behindDoc="1" locked="0" layoutInCell="1" allowOverlap="1" wp14:anchorId="1AF004D2" wp14:editId="04F5B80C">
          <wp:simplePos x="0" y="0"/>
          <wp:positionH relativeFrom="page">
            <wp:align>left</wp:align>
          </wp:positionH>
          <wp:positionV relativeFrom="paragraph">
            <wp:posOffset>-894080</wp:posOffset>
          </wp:positionV>
          <wp:extent cx="7780655" cy="1504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504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B4CD" w14:textId="77777777" w:rsidR="002E0400" w:rsidRDefault="002E0400" w:rsidP="004C44E2">
      <w:pPr>
        <w:spacing w:after="0" w:line="240" w:lineRule="auto"/>
      </w:pPr>
      <w:r>
        <w:separator/>
      </w:r>
    </w:p>
  </w:footnote>
  <w:footnote w:type="continuationSeparator" w:id="0">
    <w:p w14:paraId="5B68AF43" w14:textId="77777777" w:rsidR="002E0400" w:rsidRDefault="002E0400" w:rsidP="004C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7D23" w14:textId="77777777" w:rsidR="000A143F" w:rsidRDefault="000A143F">
    <w:pPr>
      <w:pStyle w:val="Encabezado"/>
    </w:pPr>
    <w:r>
      <w:rPr>
        <w:noProof/>
      </w:rPr>
      <w:drawing>
        <wp:anchor distT="0" distB="0" distL="114300" distR="114300" simplePos="0" relativeHeight="251658240" behindDoc="0" locked="0" layoutInCell="1" allowOverlap="1" wp14:anchorId="244D8D25" wp14:editId="4E2C7778">
          <wp:simplePos x="0" y="0"/>
          <wp:positionH relativeFrom="margin">
            <wp:align>right</wp:align>
          </wp:positionH>
          <wp:positionV relativeFrom="paragraph">
            <wp:posOffset>-453390</wp:posOffset>
          </wp:positionV>
          <wp:extent cx="5667375" cy="914400"/>
          <wp:effectExtent l="0" t="0" r="9525" b="0"/>
          <wp:wrapNone/>
          <wp:docPr id="1" name="Imagen 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112"/>
    <w:multiLevelType w:val="hybridMultilevel"/>
    <w:tmpl w:val="E5E631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C431636"/>
    <w:multiLevelType w:val="hybridMultilevel"/>
    <w:tmpl w:val="8A38F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D66A2D"/>
    <w:multiLevelType w:val="hybridMultilevel"/>
    <w:tmpl w:val="91B673F4"/>
    <w:lvl w:ilvl="0" w:tplc="437E8E9C">
      <w:start w:val="1"/>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3343EF"/>
    <w:multiLevelType w:val="hybridMultilevel"/>
    <w:tmpl w:val="F3A0C6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F55276"/>
    <w:multiLevelType w:val="hybridMultilevel"/>
    <w:tmpl w:val="984E97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26216E"/>
    <w:multiLevelType w:val="hybridMultilevel"/>
    <w:tmpl w:val="36527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B84C6C"/>
    <w:multiLevelType w:val="multilevel"/>
    <w:tmpl w:val="654EDC0C"/>
    <w:lvl w:ilvl="0">
      <w:start w:val="1"/>
      <w:numFmt w:val="decimal"/>
      <w:lvlText w:val="%1."/>
      <w:lvlJc w:val="left"/>
      <w:pPr>
        <w:ind w:left="720" w:hanging="360"/>
      </w:pPr>
      <w:rPr>
        <w:rFonts w:ascii="Times New Roman" w:eastAsiaTheme="minorEastAsia" w:hAnsi="Times New Roman"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A61F4"/>
    <w:multiLevelType w:val="hybridMultilevel"/>
    <w:tmpl w:val="36527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0743B9"/>
    <w:multiLevelType w:val="hybridMultilevel"/>
    <w:tmpl w:val="89341D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112584E"/>
    <w:multiLevelType w:val="hybridMultilevel"/>
    <w:tmpl w:val="FBE4206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23754DF"/>
    <w:multiLevelType w:val="hybridMultilevel"/>
    <w:tmpl w:val="F3A0C6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4B56FA3"/>
    <w:multiLevelType w:val="hybridMultilevel"/>
    <w:tmpl w:val="36527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346ECC"/>
    <w:multiLevelType w:val="hybridMultilevel"/>
    <w:tmpl w:val="D148618C"/>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27287078"/>
    <w:multiLevelType w:val="hybridMultilevel"/>
    <w:tmpl w:val="10FE27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DF12759"/>
    <w:multiLevelType w:val="hybridMultilevel"/>
    <w:tmpl w:val="F3A0C6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071263C"/>
    <w:multiLevelType w:val="hybridMultilevel"/>
    <w:tmpl w:val="2B9A32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E150B7"/>
    <w:multiLevelType w:val="hybridMultilevel"/>
    <w:tmpl w:val="8DC444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D3C5B6E"/>
    <w:multiLevelType w:val="hybridMultilevel"/>
    <w:tmpl w:val="C70EFE0E"/>
    <w:lvl w:ilvl="0" w:tplc="0C0A0001">
      <w:start w:val="1"/>
      <w:numFmt w:val="bullet"/>
      <w:lvlText w:val=""/>
      <w:lvlJc w:val="left"/>
      <w:pPr>
        <w:ind w:left="644" w:hanging="360"/>
      </w:pPr>
      <w:rPr>
        <w:rFonts w:ascii="Symbol" w:hAnsi="Symbol" w:hint="default"/>
      </w:rPr>
    </w:lvl>
    <w:lvl w:ilvl="1" w:tplc="240A0001">
      <w:start w:val="1"/>
      <w:numFmt w:val="bullet"/>
      <w:lvlText w:val=""/>
      <w:lvlJc w:val="left"/>
      <w:pPr>
        <w:tabs>
          <w:tab w:val="num" w:pos="1724"/>
        </w:tabs>
        <w:ind w:left="1724" w:hanging="360"/>
      </w:pPr>
      <w:rPr>
        <w:rFonts w:ascii="Symbol" w:hAnsi="Symbol" w:hint="default"/>
      </w:rPr>
    </w:lvl>
    <w:lvl w:ilvl="2" w:tplc="0C0A0005">
      <w:start w:val="1"/>
      <w:numFmt w:val="decimal"/>
      <w:lvlText w:val="%3."/>
      <w:lvlJc w:val="left"/>
      <w:pPr>
        <w:tabs>
          <w:tab w:val="num" w:pos="2444"/>
        </w:tabs>
        <w:ind w:left="2444" w:hanging="360"/>
      </w:pPr>
    </w:lvl>
    <w:lvl w:ilvl="3" w:tplc="0C0A0001">
      <w:start w:val="1"/>
      <w:numFmt w:val="decimal"/>
      <w:lvlText w:val="%4."/>
      <w:lvlJc w:val="left"/>
      <w:pPr>
        <w:tabs>
          <w:tab w:val="num" w:pos="3164"/>
        </w:tabs>
        <w:ind w:left="3164" w:hanging="360"/>
      </w:pPr>
    </w:lvl>
    <w:lvl w:ilvl="4" w:tplc="0C0A0003">
      <w:start w:val="1"/>
      <w:numFmt w:val="decimal"/>
      <w:lvlText w:val="%5."/>
      <w:lvlJc w:val="left"/>
      <w:pPr>
        <w:tabs>
          <w:tab w:val="num" w:pos="3884"/>
        </w:tabs>
        <w:ind w:left="3884" w:hanging="360"/>
      </w:pPr>
    </w:lvl>
    <w:lvl w:ilvl="5" w:tplc="0C0A0005">
      <w:start w:val="1"/>
      <w:numFmt w:val="decimal"/>
      <w:lvlText w:val="%6."/>
      <w:lvlJc w:val="left"/>
      <w:pPr>
        <w:tabs>
          <w:tab w:val="num" w:pos="4604"/>
        </w:tabs>
        <w:ind w:left="4604" w:hanging="360"/>
      </w:pPr>
    </w:lvl>
    <w:lvl w:ilvl="6" w:tplc="0C0A0001">
      <w:start w:val="1"/>
      <w:numFmt w:val="decimal"/>
      <w:lvlText w:val="%7."/>
      <w:lvlJc w:val="left"/>
      <w:pPr>
        <w:tabs>
          <w:tab w:val="num" w:pos="5324"/>
        </w:tabs>
        <w:ind w:left="5324" w:hanging="360"/>
      </w:pPr>
    </w:lvl>
    <w:lvl w:ilvl="7" w:tplc="0C0A0003">
      <w:start w:val="1"/>
      <w:numFmt w:val="decimal"/>
      <w:lvlText w:val="%8."/>
      <w:lvlJc w:val="left"/>
      <w:pPr>
        <w:tabs>
          <w:tab w:val="num" w:pos="6044"/>
        </w:tabs>
        <w:ind w:left="6044" w:hanging="360"/>
      </w:pPr>
    </w:lvl>
    <w:lvl w:ilvl="8" w:tplc="0C0A0005">
      <w:start w:val="1"/>
      <w:numFmt w:val="decimal"/>
      <w:lvlText w:val="%9."/>
      <w:lvlJc w:val="left"/>
      <w:pPr>
        <w:tabs>
          <w:tab w:val="num" w:pos="6764"/>
        </w:tabs>
        <w:ind w:left="6764" w:hanging="360"/>
      </w:pPr>
    </w:lvl>
  </w:abstractNum>
  <w:abstractNum w:abstractNumId="18" w15:restartNumberingAfterBreak="0">
    <w:nsid w:val="417E3E07"/>
    <w:multiLevelType w:val="hybridMultilevel"/>
    <w:tmpl w:val="CE30974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4AE143F"/>
    <w:multiLevelType w:val="hybridMultilevel"/>
    <w:tmpl w:val="8A38F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381B80"/>
    <w:multiLevelType w:val="hybridMultilevel"/>
    <w:tmpl w:val="8CD407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D28330F"/>
    <w:multiLevelType w:val="hybridMultilevel"/>
    <w:tmpl w:val="205CB9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32F022A"/>
    <w:multiLevelType w:val="hybridMultilevel"/>
    <w:tmpl w:val="89D435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54869E3"/>
    <w:multiLevelType w:val="hybridMultilevel"/>
    <w:tmpl w:val="8A38F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FD728B"/>
    <w:multiLevelType w:val="hybridMultilevel"/>
    <w:tmpl w:val="27E61C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DC75486"/>
    <w:multiLevelType w:val="hybridMultilevel"/>
    <w:tmpl w:val="A27AB658"/>
    <w:lvl w:ilvl="0" w:tplc="240A000F">
      <w:start w:val="1"/>
      <w:numFmt w:val="decimal"/>
      <w:lvlText w:val="%1."/>
      <w:lvlJc w:val="left"/>
      <w:pPr>
        <w:tabs>
          <w:tab w:val="num" w:pos="720"/>
        </w:tabs>
        <w:ind w:left="720" w:hanging="360"/>
      </w:pPr>
      <w:rPr>
        <w:rFonts w:hint="default"/>
      </w:rPr>
    </w:lvl>
    <w:lvl w:ilvl="1" w:tplc="1CB22F84" w:tentative="1">
      <w:start w:val="1"/>
      <w:numFmt w:val="decimal"/>
      <w:lvlText w:val="%2."/>
      <w:lvlJc w:val="left"/>
      <w:pPr>
        <w:tabs>
          <w:tab w:val="num" w:pos="1440"/>
        </w:tabs>
        <w:ind w:left="1440" w:hanging="360"/>
      </w:pPr>
    </w:lvl>
    <w:lvl w:ilvl="2" w:tplc="36885D94" w:tentative="1">
      <w:start w:val="1"/>
      <w:numFmt w:val="decimal"/>
      <w:lvlText w:val="%3."/>
      <w:lvlJc w:val="left"/>
      <w:pPr>
        <w:tabs>
          <w:tab w:val="num" w:pos="2160"/>
        </w:tabs>
        <w:ind w:left="2160" w:hanging="360"/>
      </w:pPr>
    </w:lvl>
    <w:lvl w:ilvl="3" w:tplc="9556AE02" w:tentative="1">
      <w:start w:val="1"/>
      <w:numFmt w:val="decimal"/>
      <w:lvlText w:val="%4."/>
      <w:lvlJc w:val="left"/>
      <w:pPr>
        <w:tabs>
          <w:tab w:val="num" w:pos="2880"/>
        </w:tabs>
        <w:ind w:left="2880" w:hanging="360"/>
      </w:pPr>
    </w:lvl>
    <w:lvl w:ilvl="4" w:tplc="05AA8C44" w:tentative="1">
      <w:start w:val="1"/>
      <w:numFmt w:val="decimal"/>
      <w:lvlText w:val="%5."/>
      <w:lvlJc w:val="left"/>
      <w:pPr>
        <w:tabs>
          <w:tab w:val="num" w:pos="3600"/>
        </w:tabs>
        <w:ind w:left="3600" w:hanging="360"/>
      </w:pPr>
    </w:lvl>
    <w:lvl w:ilvl="5" w:tplc="8B166D28" w:tentative="1">
      <w:start w:val="1"/>
      <w:numFmt w:val="decimal"/>
      <w:lvlText w:val="%6."/>
      <w:lvlJc w:val="left"/>
      <w:pPr>
        <w:tabs>
          <w:tab w:val="num" w:pos="4320"/>
        </w:tabs>
        <w:ind w:left="4320" w:hanging="360"/>
      </w:pPr>
    </w:lvl>
    <w:lvl w:ilvl="6" w:tplc="0FD84D16" w:tentative="1">
      <w:start w:val="1"/>
      <w:numFmt w:val="decimal"/>
      <w:lvlText w:val="%7."/>
      <w:lvlJc w:val="left"/>
      <w:pPr>
        <w:tabs>
          <w:tab w:val="num" w:pos="5040"/>
        </w:tabs>
        <w:ind w:left="5040" w:hanging="360"/>
      </w:pPr>
    </w:lvl>
    <w:lvl w:ilvl="7" w:tplc="AA2CE81C" w:tentative="1">
      <w:start w:val="1"/>
      <w:numFmt w:val="decimal"/>
      <w:lvlText w:val="%8."/>
      <w:lvlJc w:val="left"/>
      <w:pPr>
        <w:tabs>
          <w:tab w:val="num" w:pos="5760"/>
        </w:tabs>
        <w:ind w:left="5760" w:hanging="360"/>
      </w:pPr>
    </w:lvl>
    <w:lvl w:ilvl="8" w:tplc="F612B9FA" w:tentative="1">
      <w:start w:val="1"/>
      <w:numFmt w:val="decimal"/>
      <w:lvlText w:val="%9."/>
      <w:lvlJc w:val="left"/>
      <w:pPr>
        <w:tabs>
          <w:tab w:val="num" w:pos="6480"/>
        </w:tabs>
        <w:ind w:left="6480" w:hanging="360"/>
      </w:pPr>
    </w:lvl>
  </w:abstractNum>
  <w:abstractNum w:abstractNumId="26" w15:restartNumberingAfterBreak="0">
    <w:nsid w:val="5E4D7D94"/>
    <w:multiLevelType w:val="hybridMultilevel"/>
    <w:tmpl w:val="B888D8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F545734"/>
    <w:multiLevelType w:val="hybridMultilevel"/>
    <w:tmpl w:val="7F94B7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5A73CB"/>
    <w:multiLevelType w:val="hybridMultilevel"/>
    <w:tmpl w:val="B1A6E1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75769"/>
    <w:multiLevelType w:val="hybridMultilevel"/>
    <w:tmpl w:val="5A1EC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20077E"/>
    <w:multiLevelType w:val="hybridMultilevel"/>
    <w:tmpl w:val="20A26EE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6CD6252D"/>
    <w:multiLevelType w:val="hybridMultilevel"/>
    <w:tmpl w:val="E3C8028A"/>
    <w:lvl w:ilvl="0" w:tplc="EB967F08">
      <w:start w:val="1"/>
      <w:numFmt w:val="decimal"/>
      <w:lvlText w:val="%1."/>
      <w:lvlJc w:val="left"/>
      <w:pPr>
        <w:ind w:left="360" w:hanging="360"/>
      </w:pPr>
      <w:rPr>
        <w:rFonts w:ascii="Times New Roman" w:eastAsiaTheme="minorEastAsia" w:hAnsi="Times New Roman" w:cstheme="minorBidi"/>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FB42984"/>
    <w:multiLevelType w:val="hybridMultilevel"/>
    <w:tmpl w:val="F3A0C6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FDB6E0A"/>
    <w:multiLevelType w:val="hybridMultilevel"/>
    <w:tmpl w:val="7C10EC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0362580"/>
    <w:multiLevelType w:val="hybridMultilevel"/>
    <w:tmpl w:val="AFC23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7A67BA8"/>
    <w:multiLevelType w:val="hybridMultilevel"/>
    <w:tmpl w:val="444EB0DE"/>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15:restartNumberingAfterBreak="0">
    <w:nsid w:val="78467075"/>
    <w:multiLevelType w:val="hybridMultilevel"/>
    <w:tmpl w:val="36527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9D4227"/>
    <w:multiLevelType w:val="hybridMultilevel"/>
    <w:tmpl w:val="12267C5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AA56A3D"/>
    <w:multiLevelType w:val="hybridMultilevel"/>
    <w:tmpl w:val="FA80C8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AF55CA1"/>
    <w:multiLevelType w:val="hybridMultilevel"/>
    <w:tmpl w:val="8A38F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3D1422"/>
    <w:multiLevelType w:val="hybridMultilevel"/>
    <w:tmpl w:val="0E4018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2"/>
  </w:num>
  <w:num w:numId="2">
    <w:abstractNumId w:val="35"/>
  </w:num>
  <w:num w:numId="3">
    <w:abstractNumId w:val="15"/>
  </w:num>
  <w:num w:numId="4">
    <w:abstractNumId w:val="17"/>
  </w:num>
  <w:num w:numId="5">
    <w:abstractNumId w:val="3"/>
  </w:num>
  <w:num w:numId="6">
    <w:abstractNumId w:val="27"/>
  </w:num>
  <w:num w:numId="7">
    <w:abstractNumId w:val="39"/>
  </w:num>
  <w:num w:numId="8">
    <w:abstractNumId w:val="7"/>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8"/>
  </w:num>
  <w:num w:numId="12">
    <w:abstractNumId w:val="13"/>
  </w:num>
  <w:num w:numId="13">
    <w:abstractNumId w:val="40"/>
  </w:num>
  <w:num w:numId="14">
    <w:abstractNumId w:val="24"/>
  </w:num>
  <w:num w:numId="15">
    <w:abstractNumId w:val="4"/>
  </w:num>
  <w:num w:numId="16">
    <w:abstractNumId w:val="37"/>
  </w:num>
  <w:num w:numId="17">
    <w:abstractNumId w:val="8"/>
  </w:num>
  <w:num w:numId="18">
    <w:abstractNumId w:val="33"/>
  </w:num>
  <w:num w:numId="19">
    <w:abstractNumId w:val="34"/>
  </w:num>
  <w:num w:numId="20">
    <w:abstractNumId w:val="18"/>
  </w:num>
  <w:num w:numId="21">
    <w:abstractNumId w:val="20"/>
  </w:num>
  <w:num w:numId="22">
    <w:abstractNumId w:val="30"/>
  </w:num>
  <w:num w:numId="23">
    <w:abstractNumId w:val="9"/>
  </w:num>
  <w:num w:numId="24">
    <w:abstractNumId w:val="21"/>
  </w:num>
  <w:num w:numId="25">
    <w:abstractNumId w:val="0"/>
  </w:num>
  <w:num w:numId="26">
    <w:abstractNumId w:val="25"/>
  </w:num>
  <w:num w:numId="27">
    <w:abstractNumId w:val="26"/>
  </w:num>
  <w:num w:numId="28">
    <w:abstractNumId w:val="10"/>
  </w:num>
  <w:num w:numId="29">
    <w:abstractNumId w:val="19"/>
  </w:num>
  <w:num w:numId="30">
    <w:abstractNumId w:val="32"/>
  </w:num>
  <w:num w:numId="31">
    <w:abstractNumId w:val="23"/>
  </w:num>
  <w:num w:numId="32">
    <w:abstractNumId w:val="36"/>
  </w:num>
  <w:num w:numId="33">
    <w:abstractNumId w:val="5"/>
  </w:num>
  <w:num w:numId="34">
    <w:abstractNumId w:val="11"/>
  </w:num>
  <w:num w:numId="35">
    <w:abstractNumId w:val="1"/>
  </w:num>
  <w:num w:numId="36">
    <w:abstractNumId w:val="14"/>
  </w:num>
  <w:num w:numId="37">
    <w:abstractNumId w:val="28"/>
  </w:num>
  <w:num w:numId="38">
    <w:abstractNumId w:val="31"/>
  </w:num>
  <w:num w:numId="39">
    <w:abstractNumId w:val="6"/>
  </w:num>
  <w:num w:numId="40">
    <w:abstractNumId w:val="2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D0"/>
    <w:rsid w:val="0000046A"/>
    <w:rsid w:val="00011C01"/>
    <w:rsid w:val="000223D9"/>
    <w:rsid w:val="000335FF"/>
    <w:rsid w:val="00036F3C"/>
    <w:rsid w:val="000422BB"/>
    <w:rsid w:val="000464C1"/>
    <w:rsid w:val="00063DF9"/>
    <w:rsid w:val="00072784"/>
    <w:rsid w:val="000A143F"/>
    <w:rsid w:val="000B21D9"/>
    <w:rsid w:val="000D5F70"/>
    <w:rsid w:val="000D6FB7"/>
    <w:rsid w:val="000E030D"/>
    <w:rsid w:val="00117FF0"/>
    <w:rsid w:val="00122FF1"/>
    <w:rsid w:val="001419B8"/>
    <w:rsid w:val="0014692A"/>
    <w:rsid w:val="00147950"/>
    <w:rsid w:val="001549B8"/>
    <w:rsid w:val="00156758"/>
    <w:rsid w:val="00157615"/>
    <w:rsid w:val="00163799"/>
    <w:rsid w:val="001660FC"/>
    <w:rsid w:val="00166A02"/>
    <w:rsid w:val="00175A09"/>
    <w:rsid w:val="00177EE7"/>
    <w:rsid w:val="001C1767"/>
    <w:rsid w:val="001E421E"/>
    <w:rsid w:val="001E4C38"/>
    <w:rsid w:val="001E6F3B"/>
    <w:rsid w:val="002010D9"/>
    <w:rsid w:val="00206DEB"/>
    <w:rsid w:val="0023041B"/>
    <w:rsid w:val="00231429"/>
    <w:rsid w:val="00236C8F"/>
    <w:rsid w:val="002468AC"/>
    <w:rsid w:val="00257DDB"/>
    <w:rsid w:val="00260EA0"/>
    <w:rsid w:val="00263ABC"/>
    <w:rsid w:val="002761C5"/>
    <w:rsid w:val="00276599"/>
    <w:rsid w:val="00282EBE"/>
    <w:rsid w:val="00291AEB"/>
    <w:rsid w:val="0029256D"/>
    <w:rsid w:val="00292AED"/>
    <w:rsid w:val="00293895"/>
    <w:rsid w:val="002A4AAC"/>
    <w:rsid w:val="002B2107"/>
    <w:rsid w:val="002C2587"/>
    <w:rsid w:val="002D3E3D"/>
    <w:rsid w:val="002E0400"/>
    <w:rsid w:val="002E2559"/>
    <w:rsid w:val="002E491C"/>
    <w:rsid w:val="002E6CDF"/>
    <w:rsid w:val="00306893"/>
    <w:rsid w:val="003148DA"/>
    <w:rsid w:val="00321AFD"/>
    <w:rsid w:val="00322BDF"/>
    <w:rsid w:val="00324D08"/>
    <w:rsid w:val="0033523D"/>
    <w:rsid w:val="003403C4"/>
    <w:rsid w:val="00363628"/>
    <w:rsid w:val="00365A5E"/>
    <w:rsid w:val="0038427E"/>
    <w:rsid w:val="00395EB1"/>
    <w:rsid w:val="003A4BC7"/>
    <w:rsid w:val="003B4C06"/>
    <w:rsid w:val="003C361E"/>
    <w:rsid w:val="003D55A0"/>
    <w:rsid w:val="003E53B1"/>
    <w:rsid w:val="003E5F19"/>
    <w:rsid w:val="003F495C"/>
    <w:rsid w:val="004131EB"/>
    <w:rsid w:val="0044637F"/>
    <w:rsid w:val="004660C7"/>
    <w:rsid w:val="00472A26"/>
    <w:rsid w:val="004B2D09"/>
    <w:rsid w:val="004C0B28"/>
    <w:rsid w:val="004C44E2"/>
    <w:rsid w:val="004C4FD8"/>
    <w:rsid w:val="004D0B54"/>
    <w:rsid w:val="004D2C17"/>
    <w:rsid w:val="004F21B2"/>
    <w:rsid w:val="004F2BE6"/>
    <w:rsid w:val="005126F3"/>
    <w:rsid w:val="00527D4E"/>
    <w:rsid w:val="005410B3"/>
    <w:rsid w:val="005426D0"/>
    <w:rsid w:val="005505E9"/>
    <w:rsid w:val="00553AAA"/>
    <w:rsid w:val="00555F04"/>
    <w:rsid w:val="005948B2"/>
    <w:rsid w:val="005A292A"/>
    <w:rsid w:val="005B207F"/>
    <w:rsid w:val="005D1A95"/>
    <w:rsid w:val="005E765A"/>
    <w:rsid w:val="005F220A"/>
    <w:rsid w:val="005F3C1F"/>
    <w:rsid w:val="00602169"/>
    <w:rsid w:val="006176FB"/>
    <w:rsid w:val="00617C94"/>
    <w:rsid w:val="006249BD"/>
    <w:rsid w:val="0064095D"/>
    <w:rsid w:val="00647A53"/>
    <w:rsid w:val="00665234"/>
    <w:rsid w:val="00667659"/>
    <w:rsid w:val="00673099"/>
    <w:rsid w:val="006815FC"/>
    <w:rsid w:val="00683202"/>
    <w:rsid w:val="006A155D"/>
    <w:rsid w:val="006A16EF"/>
    <w:rsid w:val="006A636B"/>
    <w:rsid w:val="006A73FD"/>
    <w:rsid w:val="00710B58"/>
    <w:rsid w:val="007120B2"/>
    <w:rsid w:val="007141AC"/>
    <w:rsid w:val="007309C9"/>
    <w:rsid w:val="00735C74"/>
    <w:rsid w:val="00744048"/>
    <w:rsid w:val="007501E4"/>
    <w:rsid w:val="007511F9"/>
    <w:rsid w:val="007D337E"/>
    <w:rsid w:val="0080054F"/>
    <w:rsid w:val="008111A0"/>
    <w:rsid w:val="0081293B"/>
    <w:rsid w:val="0082329D"/>
    <w:rsid w:val="0083523E"/>
    <w:rsid w:val="0084020C"/>
    <w:rsid w:val="00883D2D"/>
    <w:rsid w:val="00896180"/>
    <w:rsid w:val="008A6DA1"/>
    <w:rsid w:val="008B68A5"/>
    <w:rsid w:val="008B6BC8"/>
    <w:rsid w:val="008C49BB"/>
    <w:rsid w:val="008F0455"/>
    <w:rsid w:val="008F3B8D"/>
    <w:rsid w:val="00903A71"/>
    <w:rsid w:val="00912D31"/>
    <w:rsid w:val="009309A6"/>
    <w:rsid w:val="00942AF4"/>
    <w:rsid w:val="00962341"/>
    <w:rsid w:val="00981948"/>
    <w:rsid w:val="009843F0"/>
    <w:rsid w:val="0098643B"/>
    <w:rsid w:val="0098647F"/>
    <w:rsid w:val="0099238A"/>
    <w:rsid w:val="009B5A80"/>
    <w:rsid w:val="009B6E34"/>
    <w:rsid w:val="009C6783"/>
    <w:rsid w:val="009E4849"/>
    <w:rsid w:val="009F2717"/>
    <w:rsid w:val="00A048A9"/>
    <w:rsid w:val="00A23CFC"/>
    <w:rsid w:val="00A36B20"/>
    <w:rsid w:val="00A66D2B"/>
    <w:rsid w:val="00A76D24"/>
    <w:rsid w:val="00A816D1"/>
    <w:rsid w:val="00A87A2A"/>
    <w:rsid w:val="00AA6B7E"/>
    <w:rsid w:val="00AB36AB"/>
    <w:rsid w:val="00AE17FE"/>
    <w:rsid w:val="00B20D52"/>
    <w:rsid w:val="00B226AF"/>
    <w:rsid w:val="00B24B10"/>
    <w:rsid w:val="00B27ED7"/>
    <w:rsid w:val="00B27FAC"/>
    <w:rsid w:val="00B30A22"/>
    <w:rsid w:val="00B554D2"/>
    <w:rsid w:val="00B55DDC"/>
    <w:rsid w:val="00B7042A"/>
    <w:rsid w:val="00B9232B"/>
    <w:rsid w:val="00BA1238"/>
    <w:rsid w:val="00BA2DEA"/>
    <w:rsid w:val="00BC2811"/>
    <w:rsid w:val="00BF1C62"/>
    <w:rsid w:val="00C0221C"/>
    <w:rsid w:val="00C06A72"/>
    <w:rsid w:val="00C4725D"/>
    <w:rsid w:val="00C65DEE"/>
    <w:rsid w:val="00C6717D"/>
    <w:rsid w:val="00C7546E"/>
    <w:rsid w:val="00C92B4B"/>
    <w:rsid w:val="00C932C4"/>
    <w:rsid w:val="00CA2E01"/>
    <w:rsid w:val="00CA454E"/>
    <w:rsid w:val="00CC1DB6"/>
    <w:rsid w:val="00CE1CBC"/>
    <w:rsid w:val="00CF2DAC"/>
    <w:rsid w:val="00CF5EE0"/>
    <w:rsid w:val="00D30FC3"/>
    <w:rsid w:val="00D41F62"/>
    <w:rsid w:val="00DA7283"/>
    <w:rsid w:val="00DC10D1"/>
    <w:rsid w:val="00DC1F6E"/>
    <w:rsid w:val="00DC227A"/>
    <w:rsid w:val="00DC32D2"/>
    <w:rsid w:val="00DD6F48"/>
    <w:rsid w:val="00E10898"/>
    <w:rsid w:val="00E634D0"/>
    <w:rsid w:val="00E837B4"/>
    <w:rsid w:val="00EB4C4C"/>
    <w:rsid w:val="00EE0EE0"/>
    <w:rsid w:val="00EF6D55"/>
    <w:rsid w:val="00EF7515"/>
    <w:rsid w:val="00F06BE3"/>
    <w:rsid w:val="00F37EFE"/>
    <w:rsid w:val="00F508B9"/>
    <w:rsid w:val="00F56B1E"/>
    <w:rsid w:val="00F642B4"/>
    <w:rsid w:val="00F66971"/>
    <w:rsid w:val="00F67B90"/>
    <w:rsid w:val="00F75EF5"/>
    <w:rsid w:val="00F83159"/>
    <w:rsid w:val="00FB6C47"/>
    <w:rsid w:val="00FC6A8C"/>
    <w:rsid w:val="00FD004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97B25"/>
  <w15:docId w15:val="{CC4DBDA3-7A7F-4234-9D96-E8BB5DB3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3AB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C0221C"/>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FAC"/>
    <w:pPr>
      <w:ind w:left="720"/>
      <w:contextualSpacing/>
    </w:pPr>
  </w:style>
  <w:style w:type="table" w:styleId="Tablaconcuadrcula">
    <w:name w:val="Table Grid"/>
    <w:basedOn w:val="Tablanormal"/>
    <w:uiPriority w:val="59"/>
    <w:rsid w:val="00B27F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A816D1"/>
    <w:rPr>
      <w:sz w:val="16"/>
      <w:szCs w:val="16"/>
    </w:rPr>
  </w:style>
  <w:style w:type="paragraph" w:styleId="Textocomentario">
    <w:name w:val="annotation text"/>
    <w:basedOn w:val="Normal"/>
    <w:link w:val="TextocomentarioCar"/>
    <w:uiPriority w:val="99"/>
    <w:semiHidden/>
    <w:unhideWhenUsed/>
    <w:rsid w:val="00A816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16D1"/>
    <w:rPr>
      <w:sz w:val="20"/>
      <w:szCs w:val="20"/>
    </w:rPr>
  </w:style>
  <w:style w:type="paragraph" w:styleId="Asuntodelcomentario">
    <w:name w:val="annotation subject"/>
    <w:basedOn w:val="Textocomentario"/>
    <w:next w:val="Textocomentario"/>
    <w:link w:val="AsuntodelcomentarioCar"/>
    <w:uiPriority w:val="99"/>
    <w:semiHidden/>
    <w:unhideWhenUsed/>
    <w:rsid w:val="00A816D1"/>
    <w:rPr>
      <w:b/>
      <w:bCs/>
    </w:rPr>
  </w:style>
  <w:style w:type="character" w:customStyle="1" w:styleId="AsuntodelcomentarioCar">
    <w:name w:val="Asunto del comentario Car"/>
    <w:basedOn w:val="TextocomentarioCar"/>
    <w:link w:val="Asuntodelcomentario"/>
    <w:uiPriority w:val="99"/>
    <w:semiHidden/>
    <w:rsid w:val="00A816D1"/>
    <w:rPr>
      <w:b/>
      <w:bCs/>
      <w:sz w:val="20"/>
      <w:szCs w:val="20"/>
    </w:rPr>
  </w:style>
  <w:style w:type="paragraph" w:styleId="Textodeglobo">
    <w:name w:val="Balloon Text"/>
    <w:basedOn w:val="Normal"/>
    <w:link w:val="TextodegloboCar"/>
    <w:uiPriority w:val="99"/>
    <w:semiHidden/>
    <w:unhideWhenUsed/>
    <w:rsid w:val="00A81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6D1"/>
    <w:rPr>
      <w:rFonts w:ascii="Tahoma" w:hAnsi="Tahoma" w:cs="Tahoma"/>
      <w:sz w:val="16"/>
      <w:szCs w:val="16"/>
    </w:rPr>
  </w:style>
  <w:style w:type="character" w:styleId="Hipervnculo">
    <w:name w:val="Hyperlink"/>
    <w:basedOn w:val="Fuentedeprrafopredeter"/>
    <w:uiPriority w:val="99"/>
    <w:unhideWhenUsed/>
    <w:rsid w:val="00555F04"/>
    <w:rPr>
      <w:color w:val="0000FF" w:themeColor="hyperlink"/>
      <w:u w:val="single"/>
    </w:rPr>
  </w:style>
  <w:style w:type="paragraph" w:styleId="Textonotapie">
    <w:name w:val="footnote text"/>
    <w:basedOn w:val="Normal"/>
    <w:link w:val="TextonotapieCar"/>
    <w:uiPriority w:val="99"/>
    <w:unhideWhenUsed/>
    <w:rsid w:val="004C44E2"/>
    <w:pPr>
      <w:spacing w:after="0" w:line="240" w:lineRule="auto"/>
    </w:pPr>
    <w:rPr>
      <w:sz w:val="20"/>
      <w:szCs w:val="20"/>
    </w:rPr>
  </w:style>
  <w:style w:type="character" w:customStyle="1" w:styleId="TextonotapieCar">
    <w:name w:val="Texto nota pie Car"/>
    <w:basedOn w:val="Fuentedeprrafopredeter"/>
    <w:link w:val="Textonotapie"/>
    <w:uiPriority w:val="99"/>
    <w:rsid w:val="004C44E2"/>
    <w:rPr>
      <w:sz w:val="20"/>
      <w:szCs w:val="20"/>
    </w:rPr>
  </w:style>
  <w:style w:type="character" w:styleId="Refdenotaalpie">
    <w:name w:val="footnote reference"/>
    <w:basedOn w:val="Fuentedeprrafopredeter"/>
    <w:uiPriority w:val="99"/>
    <w:unhideWhenUsed/>
    <w:rsid w:val="004C44E2"/>
    <w:rPr>
      <w:vertAlign w:val="superscript"/>
    </w:rPr>
  </w:style>
  <w:style w:type="character" w:customStyle="1" w:styleId="Ttulo2Car">
    <w:name w:val="Título 2 Car"/>
    <w:basedOn w:val="Fuentedeprrafopredeter"/>
    <w:link w:val="Ttulo2"/>
    <w:uiPriority w:val="9"/>
    <w:rsid w:val="00C0221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F7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515"/>
  </w:style>
  <w:style w:type="paragraph" w:styleId="Piedepgina">
    <w:name w:val="footer"/>
    <w:basedOn w:val="Normal"/>
    <w:link w:val="PiedepginaCar"/>
    <w:uiPriority w:val="99"/>
    <w:unhideWhenUsed/>
    <w:rsid w:val="00EF7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515"/>
  </w:style>
  <w:style w:type="character" w:customStyle="1" w:styleId="Ttulo1Car">
    <w:name w:val="Título 1 Car"/>
    <w:basedOn w:val="Fuentedeprrafopredeter"/>
    <w:link w:val="Ttulo1"/>
    <w:uiPriority w:val="9"/>
    <w:rsid w:val="00263ABC"/>
    <w:rPr>
      <w:rFonts w:asciiTheme="majorHAnsi" w:eastAsiaTheme="majorEastAsia" w:hAnsiTheme="majorHAnsi" w:cstheme="majorBidi"/>
      <w:b/>
      <w:bCs/>
      <w:color w:val="345A8A" w:themeColor="accent1" w:themeShade="B5"/>
      <w:sz w:val="32"/>
      <w:szCs w:val="32"/>
    </w:rPr>
  </w:style>
  <w:style w:type="paragraph" w:styleId="Bibliografa">
    <w:name w:val="Bibliography"/>
    <w:basedOn w:val="Normal"/>
    <w:next w:val="Normal"/>
    <w:uiPriority w:val="37"/>
    <w:unhideWhenUsed/>
    <w:rsid w:val="00263ABC"/>
    <w:pPr>
      <w:spacing w:after="0" w:line="240" w:lineRule="auto"/>
    </w:pPr>
    <w:rPr>
      <w:rFonts w:ascii="Cambria" w:eastAsia="MS Mincho" w:hAnsi="Cambria" w:cs="Times New Roman"/>
      <w:sz w:val="24"/>
      <w:szCs w:val="24"/>
      <w:lang w:val="es-ES_tradnl" w:eastAsia="es-ES"/>
    </w:rPr>
  </w:style>
  <w:style w:type="character" w:styleId="Textodelmarcadordeposicin">
    <w:name w:val="Placeholder Text"/>
    <w:basedOn w:val="Fuentedeprrafopredeter"/>
    <w:uiPriority w:val="99"/>
    <w:semiHidden/>
    <w:rsid w:val="00712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227">
      <w:bodyDiv w:val="1"/>
      <w:marLeft w:val="0"/>
      <w:marRight w:val="0"/>
      <w:marTop w:val="0"/>
      <w:marBottom w:val="0"/>
      <w:divBdr>
        <w:top w:val="none" w:sz="0" w:space="0" w:color="auto"/>
        <w:left w:val="none" w:sz="0" w:space="0" w:color="auto"/>
        <w:bottom w:val="none" w:sz="0" w:space="0" w:color="auto"/>
        <w:right w:val="none" w:sz="0" w:space="0" w:color="auto"/>
      </w:divBdr>
    </w:div>
    <w:div w:id="49153935">
      <w:bodyDiv w:val="1"/>
      <w:marLeft w:val="0"/>
      <w:marRight w:val="0"/>
      <w:marTop w:val="0"/>
      <w:marBottom w:val="0"/>
      <w:divBdr>
        <w:top w:val="none" w:sz="0" w:space="0" w:color="auto"/>
        <w:left w:val="none" w:sz="0" w:space="0" w:color="auto"/>
        <w:bottom w:val="none" w:sz="0" w:space="0" w:color="auto"/>
        <w:right w:val="none" w:sz="0" w:space="0" w:color="auto"/>
      </w:divBdr>
    </w:div>
    <w:div w:id="49304574">
      <w:bodyDiv w:val="1"/>
      <w:marLeft w:val="0"/>
      <w:marRight w:val="0"/>
      <w:marTop w:val="0"/>
      <w:marBottom w:val="0"/>
      <w:divBdr>
        <w:top w:val="none" w:sz="0" w:space="0" w:color="auto"/>
        <w:left w:val="none" w:sz="0" w:space="0" w:color="auto"/>
        <w:bottom w:val="none" w:sz="0" w:space="0" w:color="auto"/>
        <w:right w:val="none" w:sz="0" w:space="0" w:color="auto"/>
      </w:divBdr>
    </w:div>
    <w:div w:id="96338414">
      <w:bodyDiv w:val="1"/>
      <w:marLeft w:val="0"/>
      <w:marRight w:val="0"/>
      <w:marTop w:val="0"/>
      <w:marBottom w:val="0"/>
      <w:divBdr>
        <w:top w:val="none" w:sz="0" w:space="0" w:color="auto"/>
        <w:left w:val="none" w:sz="0" w:space="0" w:color="auto"/>
        <w:bottom w:val="none" w:sz="0" w:space="0" w:color="auto"/>
        <w:right w:val="none" w:sz="0" w:space="0" w:color="auto"/>
      </w:divBdr>
    </w:div>
    <w:div w:id="147013631">
      <w:bodyDiv w:val="1"/>
      <w:marLeft w:val="0"/>
      <w:marRight w:val="0"/>
      <w:marTop w:val="0"/>
      <w:marBottom w:val="0"/>
      <w:divBdr>
        <w:top w:val="none" w:sz="0" w:space="0" w:color="auto"/>
        <w:left w:val="none" w:sz="0" w:space="0" w:color="auto"/>
        <w:bottom w:val="none" w:sz="0" w:space="0" w:color="auto"/>
        <w:right w:val="none" w:sz="0" w:space="0" w:color="auto"/>
      </w:divBdr>
    </w:div>
    <w:div w:id="154883272">
      <w:bodyDiv w:val="1"/>
      <w:marLeft w:val="0"/>
      <w:marRight w:val="0"/>
      <w:marTop w:val="0"/>
      <w:marBottom w:val="0"/>
      <w:divBdr>
        <w:top w:val="none" w:sz="0" w:space="0" w:color="auto"/>
        <w:left w:val="none" w:sz="0" w:space="0" w:color="auto"/>
        <w:bottom w:val="none" w:sz="0" w:space="0" w:color="auto"/>
        <w:right w:val="none" w:sz="0" w:space="0" w:color="auto"/>
      </w:divBdr>
    </w:div>
    <w:div w:id="248126842">
      <w:bodyDiv w:val="1"/>
      <w:marLeft w:val="0"/>
      <w:marRight w:val="0"/>
      <w:marTop w:val="0"/>
      <w:marBottom w:val="0"/>
      <w:divBdr>
        <w:top w:val="none" w:sz="0" w:space="0" w:color="auto"/>
        <w:left w:val="none" w:sz="0" w:space="0" w:color="auto"/>
        <w:bottom w:val="none" w:sz="0" w:space="0" w:color="auto"/>
        <w:right w:val="none" w:sz="0" w:space="0" w:color="auto"/>
      </w:divBdr>
    </w:div>
    <w:div w:id="248737789">
      <w:bodyDiv w:val="1"/>
      <w:marLeft w:val="0"/>
      <w:marRight w:val="0"/>
      <w:marTop w:val="0"/>
      <w:marBottom w:val="0"/>
      <w:divBdr>
        <w:top w:val="none" w:sz="0" w:space="0" w:color="auto"/>
        <w:left w:val="none" w:sz="0" w:space="0" w:color="auto"/>
        <w:bottom w:val="none" w:sz="0" w:space="0" w:color="auto"/>
        <w:right w:val="none" w:sz="0" w:space="0" w:color="auto"/>
      </w:divBdr>
    </w:div>
    <w:div w:id="270868314">
      <w:bodyDiv w:val="1"/>
      <w:marLeft w:val="0"/>
      <w:marRight w:val="0"/>
      <w:marTop w:val="0"/>
      <w:marBottom w:val="0"/>
      <w:divBdr>
        <w:top w:val="none" w:sz="0" w:space="0" w:color="auto"/>
        <w:left w:val="none" w:sz="0" w:space="0" w:color="auto"/>
        <w:bottom w:val="none" w:sz="0" w:space="0" w:color="auto"/>
        <w:right w:val="none" w:sz="0" w:space="0" w:color="auto"/>
      </w:divBdr>
    </w:div>
    <w:div w:id="297032000">
      <w:bodyDiv w:val="1"/>
      <w:marLeft w:val="0"/>
      <w:marRight w:val="0"/>
      <w:marTop w:val="0"/>
      <w:marBottom w:val="0"/>
      <w:divBdr>
        <w:top w:val="none" w:sz="0" w:space="0" w:color="auto"/>
        <w:left w:val="none" w:sz="0" w:space="0" w:color="auto"/>
        <w:bottom w:val="none" w:sz="0" w:space="0" w:color="auto"/>
        <w:right w:val="none" w:sz="0" w:space="0" w:color="auto"/>
      </w:divBdr>
    </w:div>
    <w:div w:id="313225070">
      <w:bodyDiv w:val="1"/>
      <w:marLeft w:val="0"/>
      <w:marRight w:val="0"/>
      <w:marTop w:val="0"/>
      <w:marBottom w:val="0"/>
      <w:divBdr>
        <w:top w:val="none" w:sz="0" w:space="0" w:color="auto"/>
        <w:left w:val="none" w:sz="0" w:space="0" w:color="auto"/>
        <w:bottom w:val="none" w:sz="0" w:space="0" w:color="auto"/>
        <w:right w:val="none" w:sz="0" w:space="0" w:color="auto"/>
      </w:divBdr>
    </w:div>
    <w:div w:id="346562693">
      <w:bodyDiv w:val="1"/>
      <w:marLeft w:val="0"/>
      <w:marRight w:val="0"/>
      <w:marTop w:val="0"/>
      <w:marBottom w:val="0"/>
      <w:divBdr>
        <w:top w:val="none" w:sz="0" w:space="0" w:color="auto"/>
        <w:left w:val="none" w:sz="0" w:space="0" w:color="auto"/>
        <w:bottom w:val="none" w:sz="0" w:space="0" w:color="auto"/>
        <w:right w:val="none" w:sz="0" w:space="0" w:color="auto"/>
      </w:divBdr>
    </w:div>
    <w:div w:id="377700714">
      <w:bodyDiv w:val="1"/>
      <w:marLeft w:val="0"/>
      <w:marRight w:val="0"/>
      <w:marTop w:val="0"/>
      <w:marBottom w:val="0"/>
      <w:divBdr>
        <w:top w:val="none" w:sz="0" w:space="0" w:color="auto"/>
        <w:left w:val="none" w:sz="0" w:space="0" w:color="auto"/>
        <w:bottom w:val="none" w:sz="0" w:space="0" w:color="auto"/>
        <w:right w:val="none" w:sz="0" w:space="0" w:color="auto"/>
      </w:divBdr>
    </w:div>
    <w:div w:id="404763826">
      <w:bodyDiv w:val="1"/>
      <w:marLeft w:val="0"/>
      <w:marRight w:val="0"/>
      <w:marTop w:val="0"/>
      <w:marBottom w:val="0"/>
      <w:divBdr>
        <w:top w:val="none" w:sz="0" w:space="0" w:color="auto"/>
        <w:left w:val="none" w:sz="0" w:space="0" w:color="auto"/>
        <w:bottom w:val="none" w:sz="0" w:space="0" w:color="auto"/>
        <w:right w:val="none" w:sz="0" w:space="0" w:color="auto"/>
      </w:divBdr>
      <w:divsChild>
        <w:div w:id="668143732">
          <w:marLeft w:val="0"/>
          <w:marRight w:val="0"/>
          <w:marTop w:val="0"/>
          <w:marBottom w:val="0"/>
          <w:divBdr>
            <w:top w:val="none" w:sz="0" w:space="0" w:color="auto"/>
            <w:left w:val="none" w:sz="0" w:space="0" w:color="auto"/>
            <w:bottom w:val="none" w:sz="0" w:space="0" w:color="auto"/>
            <w:right w:val="none" w:sz="0" w:space="0" w:color="auto"/>
          </w:divBdr>
        </w:div>
        <w:div w:id="799149724">
          <w:marLeft w:val="0"/>
          <w:marRight w:val="0"/>
          <w:marTop w:val="0"/>
          <w:marBottom w:val="0"/>
          <w:divBdr>
            <w:top w:val="none" w:sz="0" w:space="0" w:color="auto"/>
            <w:left w:val="none" w:sz="0" w:space="0" w:color="auto"/>
            <w:bottom w:val="none" w:sz="0" w:space="0" w:color="auto"/>
            <w:right w:val="none" w:sz="0" w:space="0" w:color="auto"/>
          </w:divBdr>
        </w:div>
        <w:div w:id="337773822">
          <w:marLeft w:val="0"/>
          <w:marRight w:val="0"/>
          <w:marTop w:val="0"/>
          <w:marBottom w:val="0"/>
          <w:divBdr>
            <w:top w:val="none" w:sz="0" w:space="0" w:color="auto"/>
            <w:left w:val="none" w:sz="0" w:space="0" w:color="auto"/>
            <w:bottom w:val="none" w:sz="0" w:space="0" w:color="auto"/>
            <w:right w:val="none" w:sz="0" w:space="0" w:color="auto"/>
          </w:divBdr>
        </w:div>
      </w:divsChild>
    </w:div>
    <w:div w:id="405957773">
      <w:bodyDiv w:val="1"/>
      <w:marLeft w:val="0"/>
      <w:marRight w:val="0"/>
      <w:marTop w:val="0"/>
      <w:marBottom w:val="0"/>
      <w:divBdr>
        <w:top w:val="none" w:sz="0" w:space="0" w:color="auto"/>
        <w:left w:val="none" w:sz="0" w:space="0" w:color="auto"/>
        <w:bottom w:val="none" w:sz="0" w:space="0" w:color="auto"/>
        <w:right w:val="none" w:sz="0" w:space="0" w:color="auto"/>
      </w:divBdr>
    </w:div>
    <w:div w:id="415244504">
      <w:bodyDiv w:val="1"/>
      <w:marLeft w:val="0"/>
      <w:marRight w:val="0"/>
      <w:marTop w:val="0"/>
      <w:marBottom w:val="0"/>
      <w:divBdr>
        <w:top w:val="none" w:sz="0" w:space="0" w:color="auto"/>
        <w:left w:val="none" w:sz="0" w:space="0" w:color="auto"/>
        <w:bottom w:val="none" w:sz="0" w:space="0" w:color="auto"/>
        <w:right w:val="none" w:sz="0" w:space="0" w:color="auto"/>
      </w:divBdr>
    </w:div>
    <w:div w:id="463541612">
      <w:bodyDiv w:val="1"/>
      <w:marLeft w:val="0"/>
      <w:marRight w:val="0"/>
      <w:marTop w:val="0"/>
      <w:marBottom w:val="0"/>
      <w:divBdr>
        <w:top w:val="none" w:sz="0" w:space="0" w:color="auto"/>
        <w:left w:val="none" w:sz="0" w:space="0" w:color="auto"/>
        <w:bottom w:val="none" w:sz="0" w:space="0" w:color="auto"/>
        <w:right w:val="none" w:sz="0" w:space="0" w:color="auto"/>
      </w:divBdr>
    </w:div>
    <w:div w:id="471486548">
      <w:bodyDiv w:val="1"/>
      <w:marLeft w:val="0"/>
      <w:marRight w:val="0"/>
      <w:marTop w:val="0"/>
      <w:marBottom w:val="0"/>
      <w:divBdr>
        <w:top w:val="none" w:sz="0" w:space="0" w:color="auto"/>
        <w:left w:val="none" w:sz="0" w:space="0" w:color="auto"/>
        <w:bottom w:val="none" w:sz="0" w:space="0" w:color="auto"/>
        <w:right w:val="none" w:sz="0" w:space="0" w:color="auto"/>
      </w:divBdr>
    </w:div>
    <w:div w:id="495190193">
      <w:bodyDiv w:val="1"/>
      <w:marLeft w:val="0"/>
      <w:marRight w:val="0"/>
      <w:marTop w:val="0"/>
      <w:marBottom w:val="0"/>
      <w:divBdr>
        <w:top w:val="none" w:sz="0" w:space="0" w:color="auto"/>
        <w:left w:val="none" w:sz="0" w:space="0" w:color="auto"/>
        <w:bottom w:val="none" w:sz="0" w:space="0" w:color="auto"/>
        <w:right w:val="none" w:sz="0" w:space="0" w:color="auto"/>
      </w:divBdr>
    </w:div>
    <w:div w:id="518856184">
      <w:bodyDiv w:val="1"/>
      <w:marLeft w:val="0"/>
      <w:marRight w:val="0"/>
      <w:marTop w:val="0"/>
      <w:marBottom w:val="0"/>
      <w:divBdr>
        <w:top w:val="none" w:sz="0" w:space="0" w:color="auto"/>
        <w:left w:val="none" w:sz="0" w:space="0" w:color="auto"/>
        <w:bottom w:val="none" w:sz="0" w:space="0" w:color="auto"/>
        <w:right w:val="none" w:sz="0" w:space="0" w:color="auto"/>
      </w:divBdr>
    </w:div>
    <w:div w:id="584218716">
      <w:bodyDiv w:val="1"/>
      <w:marLeft w:val="0"/>
      <w:marRight w:val="0"/>
      <w:marTop w:val="0"/>
      <w:marBottom w:val="0"/>
      <w:divBdr>
        <w:top w:val="none" w:sz="0" w:space="0" w:color="auto"/>
        <w:left w:val="none" w:sz="0" w:space="0" w:color="auto"/>
        <w:bottom w:val="none" w:sz="0" w:space="0" w:color="auto"/>
        <w:right w:val="none" w:sz="0" w:space="0" w:color="auto"/>
      </w:divBdr>
    </w:div>
    <w:div w:id="598877037">
      <w:bodyDiv w:val="1"/>
      <w:marLeft w:val="0"/>
      <w:marRight w:val="0"/>
      <w:marTop w:val="0"/>
      <w:marBottom w:val="0"/>
      <w:divBdr>
        <w:top w:val="none" w:sz="0" w:space="0" w:color="auto"/>
        <w:left w:val="none" w:sz="0" w:space="0" w:color="auto"/>
        <w:bottom w:val="none" w:sz="0" w:space="0" w:color="auto"/>
        <w:right w:val="none" w:sz="0" w:space="0" w:color="auto"/>
      </w:divBdr>
    </w:div>
    <w:div w:id="612716133">
      <w:bodyDiv w:val="1"/>
      <w:marLeft w:val="0"/>
      <w:marRight w:val="0"/>
      <w:marTop w:val="0"/>
      <w:marBottom w:val="0"/>
      <w:divBdr>
        <w:top w:val="none" w:sz="0" w:space="0" w:color="auto"/>
        <w:left w:val="none" w:sz="0" w:space="0" w:color="auto"/>
        <w:bottom w:val="none" w:sz="0" w:space="0" w:color="auto"/>
        <w:right w:val="none" w:sz="0" w:space="0" w:color="auto"/>
      </w:divBdr>
    </w:div>
    <w:div w:id="680471742">
      <w:bodyDiv w:val="1"/>
      <w:marLeft w:val="0"/>
      <w:marRight w:val="0"/>
      <w:marTop w:val="0"/>
      <w:marBottom w:val="0"/>
      <w:divBdr>
        <w:top w:val="none" w:sz="0" w:space="0" w:color="auto"/>
        <w:left w:val="none" w:sz="0" w:space="0" w:color="auto"/>
        <w:bottom w:val="none" w:sz="0" w:space="0" w:color="auto"/>
        <w:right w:val="none" w:sz="0" w:space="0" w:color="auto"/>
      </w:divBdr>
    </w:div>
    <w:div w:id="684751437">
      <w:bodyDiv w:val="1"/>
      <w:marLeft w:val="0"/>
      <w:marRight w:val="0"/>
      <w:marTop w:val="0"/>
      <w:marBottom w:val="0"/>
      <w:divBdr>
        <w:top w:val="none" w:sz="0" w:space="0" w:color="auto"/>
        <w:left w:val="none" w:sz="0" w:space="0" w:color="auto"/>
        <w:bottom w:val="none" w:sz="0" w:space="0" w:color="auto"/>
        <w:right w:val="none" w:sz="0" w:space="0" w:color="auto"/>
      </w:divBdr>
    </w:div>
    <w:div w:id="692346309">
      <w:bodyDiv w:val="1"/>
      <w:marLeft w:val="0"/>
      <w:marRight w:val="0"/>
      <w:marTop w:val="0"/>
      <w:marBottom w:val="0"/>
      <w:divBdr>
        <w:top w:val="none" w:sz="0" w:space="0" w:color="auto"/>
        <w:left w:val="none" w:sz="0" w:space="0" w:color="auto"/>
        <w:bottom w:val="none" w:sz="0" w:space="0" w:color="auto"/>
        <w:right w:val="none" w:sz="0" w:space="0" w:color="auto"/>
      </w:divBdr>
    </w:div>
    <w:div w:id="701705240">
      <w:bodyDiv w:val="1"/>
      <w:marLeft w:val="0"/>
      <w:marRight w:val="0"/>
      <w:marTop w:val="0"/>
      <w:marBottom w:val="0"/>
      <w:divBdr>
        <w:top w:val="none" w:sz="0" w:space="0" w:color="auto"/>
        <w:left w:val="none" w:sz="0" w:space="0" w:color="auto"/>
        <w:bottom w:val="none" w:sz="0" w:space="0" w:color="auto"/>
        <w:right w:val="none" w:sz="0" w:space="0" w:color="auto"/>
      </w:divBdr>
    </w:div>
    <w:div w:id="704870903">
      <w:bodyDiv w:val="1"/>
      <w:marLeft w:val="0"/>
      <w:marRight w:val="0"/>
      <w:marTop w:val="0"/>
      <w:marBottom w:val="0"/>
      <w:divBdr>
        <w:top w:val="none" w:sz="0" w:space="0" w:color="auto"/>
        <w:left w:val="none" w:sz="0" w:space="0" w:color="auto"/>
        <w:bottom w:val="none" w:sz="0" w:space="0" w:color="auto"/>
        <w:right w:val="none" w:sz="0" w:space="0" w:color="auto"/>
      </w:divBdr>
    </w:div>
    <w:div w:id="728724750">
      <w:bodyDiv w:val="1"/>
      <w:marLeft w:val="0"/>
      <w:marRight w:val="0"/>
      <w:marTop w:val="0"/>
      <w:marBottom w:val="0"/>
      <w:divBdr>
        <w:top w:val="none" w:sz="0" w:space="0" w:color="auto"/>
        <w:left w:val="none" w:sz="0" w:space="0" w:color="auto"/>
        <w:bottom w:val="none" w:sz="0" w:space="0" w:color="auto"/>
        <w:right w:val="none" w:sz="0" w:space="0" w:color="auto"/>
      </w:divBdr>
    </w:div>
    <w:div w:id="731197736">
      <w:bodyDiv w:val="1"/>
      <w:marLeft w:val="0"/>
      <w:marRight w:val="0"/>
      <w:marTop w:val="0"/>
      <w:marBottom w:val="0"/>
      <w:divBdr>
        <w:top w:val="none" w:sz="0" w:space="0" w:color="auto"/>
        <w:left w:val="none" w:sz="0" w:space="0" w:color="auto"/>
        <w:bottom w:val="none" w:sz="0" w:space="0" w:color="auto"/>
        <w:right w:val="none" w:sz="0" w:space="0" w:color="auto"/>
      </w:divBdr>
    </w:div>
    <w:div w:id="738791024">
      <w:bodyDiv w:val="1"/>
      <w:marLeft w:val="0"/>
      <w:marRight w:val="0"/>
      <w:marTop w:val="0"/>
      <w:marBottom w:val="0"/>
      <w:divBdr>
        <w:top w:val="none" w:sz="0" w:space="0" w:color="auto"/>
        <w:left w:val="none" w:sz="0" w:space="0" w:color="auto"/>
        <w:bottom w:val="none" w:sz="0" w:space="0" w:color="auto"/>
        <w:right w:val="none" w:sz="0" w:space="0" w:color="auto"/>
      </w:divBdr>
    </w:div>
    <w:div w:id="752511839">
      <w:bodyDiv w:val="1"/>
      <w:marLeft w:val="0"/>
      <w:marRight w:val="0"/>
      <w:marTop w:val="0"/>
      <w:marBottom w:val="0"/>
      <w:divBdr>
        <w:top w:val="none" w:sz="0" w:space="0" w:color="auto"/>
        <w:left w:val="none" w:sz="0" w:space="0" w:color="auto"/>
        <w:bottom w:val="none" w:sz="0" w:space="0" w:color="auto"/>
        <w:right w:val="none" w:sz="0" w:space="0" w:color="auto"/>
      </w:divBdr>
    </w:div>
    <w:div w:id="763459690">
      <w:bodyDiv w:val="1"/>
      <w:marLeft w:val="0"/>
      <w:marRight w:val="0"/>
      <w:marTop w:val="0"/>
      <w:marBottom w:val="0"/>
      <w:divBdr>
        <w:top w:val="none" w:sz="0" w:space="0" w:color="auto"/>
        <w:left w:val="none" w:sz="0" w:space="0" w:color="auto"/>
        <w:bottom w:val="none" w:sz="0" w:space="0" w:color="auto"/>
        <w:right w:val="none" w:sz="0" w:space="0" w:color="auto"/>
      </w:divBdr>
    </w:div>
    <w:div w:id="830871341">
      <w:bodyDiv w:val="1"/>
      <w:marLeft w:val="0"/>
      <w:marRight w:val="0"/>
      <w:marTop w:val="0"/>
      <w:marBottom w:val="0"/>
      <w:divBdr>
        <w:top w:val="none" w:sz="0" w:space="0" w:color="auto"/>
        <w:left w:val="none" w:sz="0" w:space="0" w:color="auto"/>
        <w:bottom w:val="none" w:sz="0" w:space="0" w:color="auto"/>
        <w:right w:val="none" w:sz="0" w:space="0" w:color="auto"/>
      </w:divBdr>
    </w:div>
    <w:div w:id="841161320">
      <w:bodyDiv w:val="1"/>
      <w:marLeft w:val="0"/>
      <w:marRight w:val="0"/>
      <w:marTop w:val="0"/>
      <w:marBottom w:val="0"/>
      <w:divBdr>
        <w:top w:val="none" w:sz="0" w:space="0" w:color="auto"/>
        <w:left w:val="none" w:sz="0" w:space="0" w:color="auto"/>
        <w:bottom w:val="none" w:sz="0" w:space="0" w:color="auto"/>
        <w:right w:val="none" w:sz="0" w:space="0" w:color="auto"/>
      </w:divBdr>
    </w:div>
    <w:div w:id="930547344">
      <w:bodyDiv w:val="1"/>
      <w:marLeft w:val="0"/>
      <w:marRight w:val="0"/>
      <w:marTop w:val="0"/>
      <w:marBottom w:val="0"/>
      <w:divBdr>
        <w:top w:val="none" w:sz="0" w:space="0" w:color="auto"/>
        <w:left w:val="none" w:sz="0" w:space="0" w:color="auto"/>
        <w:bottom w:val="none" w:sz="0" w:space="0" w:color="auto"/>
        <w:right w:val="none" w:sz="0" w:space="0" w:color="auto"/>
      </w:divBdr>
    </w:div>
    <w:div w:id="960264554">
      <w:bodyDiv w:val="1"/>
      <w:marLeft w:val="0"/>
      <w:marRight w:val="0"/>
      <w:marTop w:val="0"/>
      <w:marBottom w:val="0"/>
      <w:divBdr>
        <w:top w:val="none" w:sz="0" w:space="0" w:color="auto"/>
        <w:left w:val="none" w:sz="0" w:space="0" w:color="auto"/>
        <w:bottom w:val="none" w:sz="0" w:space="0" w:color="auto"/>
        <w:right w:val="none" w:sz="0" w:space="0" w:color="auto"/>
      </w:divBdr>
    </w:div>
    <w:div w:id="964386589">
      <w:bodyDiv w:val="1"/>
      <w:marLeft w:val="0"/>
      <w:marRight w:val="0"/>
      <w:marTop w:val="0"/>
      <w:marBottom w:val="0"/>
      <w:divBdr>
        <w:top w:val="none" w:sz="0" w:space="0" w:color="auto"/>
        <w:left w:val="none" w:sz="0" w:space="0" w:color="auto"/>
        <w:bottom w:val="none" w:sz="0" w:space="0" w:color="auto"/>
        <w:right w:val="none" w:sz="0" w:space="0" w:color="auto"/>
      </w:divBdr>
    </w:div>
    <w:div w:id="975181685">
      <w:bodyDiv w:val="1"/>
      <w:marLeft w:val="0"/>
      <w:marRight w:val="0"/>
      <w:marTop w:val="0"/>
      <w:marBottom w:val="0"/>
      <w:divBdr>
        <w:top w:val="none" w:sz="0" w:space="0" w:color="auto"/>
        <w:left w:val="none" w:sz="0" w:space="0" w:color="auto"/>
        <w:bottom w:val="none" w:sz="0" w:space="0" w:color="auto"/>
        <w:right w:val="none" w:sz="0" w:space="0" w:color="auto"/>
      </w:divBdr>
    </w:div>
    <w:div w:id="1049649008">
      <w:bodyDiv w:val="1"/>
      <w:marLeft w:val="0"/>
      <w:marRight w:val="0"/>
      <w:marTop w:val="0"/>
      <w:marBottom w:val="0"/>
      <w:divBdr>
        <w:top w:val="none" w:sz="0" w:space="0" w:color="auto"/>
        <w:left w:val="none" w:sz="0" w:space="0" w:color="auto"/>
        <w:bottom w:val="none" w:sz="0" w:space="0" w:color="auto"/>
        <w:right w:val="none" w:sz="0" w:space="0" w:color="auto"/>
      </w:divBdr>
    </w:div>
    <w:div w:id="1061832720">
      <w:bodyDiv w:val="1"/>
      <w:marLeft w:val="0"/>
      <w:marRight w:val="0"/>
      <w:marTop w:val="0"/>
      <w:marBottom w:val="0"/>
      <w:divBdr>
        <w:top w:val="none" w:sz="0" w:space="0" w:color="auto"/>
        <w:left w:val="none" w:sz="0" w:space="0" w:color="auto"/>
        <w:bottom w:val="none" w:sz="0" w:space="0" w:color="auto"/>
        <w:right w:val="none" w:sz="0" w:space="0" w:color="auto"/>
      </w:divBdr>
    </w:div>
    <w:div w:id="1067000467">
      <w:bodyDiv w:val="1"/>
      <w:marLeft w:val="0"/>
      <w:marRight w:val="0"/>
      <w:marTop w:val="0"/>
      <w:marBottom w:val="0"/>
      <w:divBdr>
        <w:top w:val="none" w:sz="0" w:space="0" w:color="auto"/>
        <w:left w:val="none" w:sz="0" w:space="0" w:color="auto"/>
        <w:bottom w:val="none" w:sz="0" w:space="0" w:color="auto"/>
        <w:right w:val="none" w:sz="0" w:space="0" w:color="auto"/>
      </w:divBdr>
    </w:div>
    <w:div w:id="1071729766">
      <w:bodyDiv w:val="1"/>
      <w:marLeft w:val="0"/>
      <w:marRight w:val="0"/>
      <w:marTop w:val="0"/>
      <w:marBottom w:val="0"/>
      <w:divBdr>
        <w:top w:val="none" w:sz="0" w:space="0" w:color="auto"/>
        <w:left w:val="none" w:sz="0" w:space="0" w:color="auto"/>
        <w:bottom w:val="none" w:sz="0" w:space="0" w:color="auto"/>
        <w:right w:val="none" w:sz="0" w:space="0" w:color="auto"/>
      </w:divBdr>
    </w:div>
    <w:div w:id="1095788932">
      <w:bodyDiv w:val="1"/>
      <w:marLeft w:val="0"/>
      <w:marRight w:val="0"/>
      <w:marTop w:val="0"/>
      <w:marBottom w:val="0"/>
      <w:divBdr>
        <w:top w:val="none" w:sz="0" w:space="0" w:color="auto"/>
        <w:left w:val="none" w:sz="0" w:space="0" w:color="auto"/>
        <w:bottom w:val="none" w:sz="0" w:space="0" w:color="auto"/>
        <w:right w:val="none" w:sz="0" w:space="0" w:color="auto"/>
      </w:divBdr>
    </w:div>
    <w:div w:id="1114783773">
      <w:bodyDiv w:val="1"/>
      <w:marLeft w:val="0"/>
      <w:marRight w:val="0"/>
      <w:marTop w:val="0"/>
      <w:marBottom w:val="0"/>
      <w:divBdr>
        <w:top w:val="none" w:sz="0" w:space="0" w:color="auto"/>
        <w:left w:val="none" w:sz="0" w:space="0" w:color="auto"/>
        <w:bottom w:val="none" w:sz="0" w:space="0" w:color="auto"/>
        <w:right w:val="none" w:sz="0" w:space="0" w:color="auto"/>
      </w:divBdr>
    </w:div>
    <w:div w:id="1117721738">
      <w:bodyDiv w:val="1"/>
      <w:marLeft w:val="0"/>
      <w:marRight w:val="0"/>
      <w:marTop w:val="0"/>
      <w:marBottom w:val="0"/>
      <w:divBdr>
        <w:top w:val="none" w:sz="0" w:space="0" w:color="auto"/>
        <w:left w:val="none" w:sz="0" w:space="0" w:color="auto"/>
        <w:bottom w:val="none" w:sz="0" w:space="0" w:color="auto"/>
        <w:right w:val="none" w:sz="0" w:space="0" w:color="auto"/>
      </w:divBdr>
    </w:div>
    <w:div w:id="1135099508">
      <w:bodyDiv w:val="1"/>
      <w:marLeft w:val="0"/>
      <w:marRight w:val="0"/>
      <w:marTop w:val="0"/>
      <w:marBottom w:val="0"/>
      <w:divBdr>
        <w:top w:val="none" w:sz="0" w:space="0" w:color="auto"/>
        <w:left w:val="none" w:sz="0" w:space="0" w:color="auto"/>
        <w:bottom w:val="none" w:sz="0" w:space="0" w:color="auto"/>
        <w:right w:val="none" w:sz="0" w:space="0" w:color="auto"/>
      </w:divBdr>
    </w:div>
    <w:div w:id="1232736544">
      <w:bodyDiv w:val="1"/>
      <w:marLeft w:val="0"/>
      <w:marRight w:val="0"/>
      <w:marTop w:val="0"/>
      <w:marBottom w:val="0"/>
      <w:divBdr>
        <w:top w:val="none" w:sz="0" w:space="0" w:color="auto"/>
        <w:left w:val="none" w:sz="0" w:space="0" w:color="auto"/>
        <w:bottom w:val="none" w:sz="0" w:space="0" w:color="auto"/>
        <w:right w:val="none" w:sz="0" w:space="0" w:color="auto"/>
      </w:divBdr>
    </w:div>
    <w:div w:id="1426459257">
      <w:bodyDiv w:val="1"/>
      <w:marLeft w:val="0"/>
      <w:marRight w:val="0"/>
      <w:marTop w:val="0"/>
      <w:marBottom w:val="0"/>
      <w:divBdr>
        <w:top w:val="none" w:sz="0" w:space="0" w:color="auto"/>
        <w:left w:val="none" w:sz="0" w:space="0" w:color="auto"/>
        <w:bottom w:val="none" w:sz="0" w:space="0" w:color="auto"/>
        <w:right w:val="none" w:sz="0" w:space="0" w:color="auto"/>
      </w:divBdr>
    </w:div>
    <w:div w:id="1452044938">
      <w:bodyDiv w:val="1"/>
      <w:marLeft w:val="0"/>
      <w:marRight w:val="0"/>
      <w:marTop w:val="0"/>
      <w:marBottom w:val="0"/>
      <w:divBdr>
        <w:top w:val="none" w:sz="0" w:space="0" w:color="auto"/>
        <w:left w:val="none" w:sz="0" w:space="0" w:color="auto"/>
        <w:bottom w:val="none" w:sz="0" w:space="0" w:color="auto"/>
        <w:right w:val="none" w:sz="0" w:space="0" w:color="auto"/>
      </w:divBdr>
    </w:div>
    <w:div w:id="1520122573">
      <w:bodyDiv w:val="1"/>
      <w:marLeft w:val="0"/>
      <w:marRight w:val="0"/>
      <w:marTop w:val="0"/>
      <w:marBottom w:val="0"/>
      <w:divBdr>
        <w:top w:val="none" w:sz="0" w:space="0" w:color="auto"/>
        <w:left w:val="none" w:sz="0" w:space="0" w:color="auto"/>
        <w:bottom w:val="none" w:sz="0" w:space="0" w:color="auto"/>
        <w:right w:val="none" w:sz="0" w:space="0" w:color="auto"/>
      </w:divBdr>
    </w:div>
    <w:div w:id="1524397727">
      <w:bodyDiv w:val="1"/>
      <w:marLeft w:val="0"/>
      <w:marRight w:val="0"/>
      <w:marTop w:val="0"/>
      <w:marBottom w:val="0"/>
      <w:divBdr>
        <w:top w:val="none" w:sz="0" w:space="0" w:color="auto"/>
        <w:left w:val="none" w:sz="0" w:space="0" w:color="auto"/>
        <w:bottom w:val="none" w:sz="0" w:space="0" w:color="auto"/>
        <w:right w:val="none" w:sz="0" w:space="0" w:color="auto"/>
      </w:divBdr>
    </w:div>
    <w:div w:id="1544246797">
      <w:bodyDiv w:val="1"/>
      <w:marLeft w:val="0"/>
      <w:marRight w:val="0"/>
      <w:marTop w:val="0"/>
      <w:marBottom w:val="0"/>
      <w:divBdr>
        <w:top w:val="none" w:sz="0" w:space="0" w:color="auto"/>
        <w:left w:val="none" w:sz="0" w:space="0" w:color="auto"/>
        <w:bottom w:val="none" w:sz="0" w:space="0" w:color="auto"/>
        <w:right w:val="none" w:sz="0" w:space="0" w:color="auto"/>
      </w:divBdr>
    </w:div>
    <w:div w:id="1574316210">
      <w:bodyDiv w:val="1"/>
      <w:marLeft w:val="0"/>
      <w:marRight w:val="0"/>
      <w:marTop w:val="0"/>
      <w:marBottom w:val="0"/>
      <w:divBdr>
        <w:top w:val="none" w:sz="0" w:space="0" w:color="auto"/>
        <w:left w:val="none" w:sz="0" w:space="0" w:color="auto"/>
        <w:bottom w:val="none" w:sz="0" w:space="0" w:color="auto"/>
        <w:right w:val="none" w:sz="0" w:space="0" w:color="auto"/>
      </w:divBdr>
    </w:div>
    <w:div w:id="1599748752">
      <w:bodyDiv w:val="1"/>
      <w:marLeft w:val="0"/>
      <w:marRight w:val="0"/>
      <w:marTop w:val="0"/>
      <w:marBottom w:val="0"/>
      <w:divBdr>
        <w:top w:val="none" w:sz="0" w:space="0" w:color="auto"/>
        <w:left w:val="none" w:sz="0" w:space="0" w:color="auto"/>
        <w:bottom w:val="none" w:sz="0" w:space="0" w:color="auto"/>
        <w:right w:val="none" w:sz="0" w:space="0" w:color="auto"/>
      </w:divBdr>
    </w:div>
    <w:div w:id="1609507639">
      <w:bodyDiv w:val="1"/>
      <w:marLeft w:val="0"/>
      <w:marRight w:val="0"/>
      <w:marTop w:val="0"/>
      <w:marBottom w:val="0"/>
      <w:divBdr>
        <w:top w:val="none" w:sz="0" w:space="0" w:color="auto"/>
        <w:left w:val="none" w:sz="0" w:space="0" w:color="auto"/>
        <w:bottom w:val="none" w:sz="0" w:space="0" w:color="auto"/>
        <w:right w:val="none" w:sz="0" w:space="0" w:color="auto"/>
      </w:divBdr>
    </w:div>
    <w:div w:id="1695694569">
      <w:bodyDiv w:val="1"/>
      <w:marLeft w:val="0"/>
      <w:marRight w:val="0"/>
      <w:marTop w:val="0"/>
      <w:marBottom w:val="0"/>
      <w:divBdr>
        <w:top w:val="none" w:sz="0" w:space="0" w:color="auto"/>
        <w:left w:val="none" w:sz="0" w:space="0" w:color="auto"/>
        <w:bottom w:val="none" w:sz="0" w:space="0" w:color="auto"/>
        <w:right w:val="none" w:sz="0" w:space="0" w:color="auto"/>
      </w:divBdr>
    </w:div>
    <w:div w:id="1775246329">
      <w:bodyDiv w:val="1"/>
      <w:marLeft w:val="0"/>
      <w:marRight w:val="0"/>
      <w:marTop w:val="0"/>
      <w:marBottom w:val="0"/>
      <w:divBdr>
        <w:top w:val="none" w:sz="0" w:space="0" w:color="auto"/>
        <w:left w:val="none" w:sz="0" w:space="0" w:color="auto"/>
        <w:bottom w:val="none" w:sz="0" w:space="0" w:color="auto"/>
        <w:right w:val="none" w:sz="0" w:space="0" w:color="auto"/>
      </w:divBdr>
    </w:div>
    <w:div w:id="1835753721">
      <w:bodyDiv w:val="1"/>
      <w:marLeft w:val="0"/>
      <w:marRight w:val="0"/>
      <w:marTop w:val="0"/>
      <w:marBottom w:val="0"/>
      <w:divBdr>
        <w:top w:val="none" w:sz="0" w:space="0" w:color="auto"/>
        <w:left w:val="none" w:sz="0" w:space="0" w:color="auto"/>
        <w:bottom w:val="none" w:sz="0" w:space="0" w:color="auto"/>
        <w:right w:val="none" w:sz="0" w:space="0" w:color="auto"/>
      </w:divBdr>
    </w:div>
    <w:div w:id="1842427444">
      <w:bodyDiv w:val="1"/>
      <w:marLeft w:val="0"/>
      <w:marRight w:val="0"/>
      <w:marTop w:val="0"/>
      <w:marBottom w:val="0"/>
      <w:divBdr>
        <w:top w:val="none" w:sz="0" w:space="0" w:color="auto"/>
        <w:left w:val="none" w:sz="0" w:space="0" w:color="auto"/>
        <w:bottom w:val="none" w:sz="0" w:space="0" w:color="auto"/>
        <w:right w:val="none" w:sz="0" w:space="0" w:color="auto"/>
      </w:divBdr>
    </w:div>
    <w:div w:id="1917857510">
      <w:bodyDiv w:val="1"/>
      <w:marLeft w:val="0"/>
      <w:marRight w:val="0"/>
      <w:marTop w:val="0"/>
      <w:marBottom w:val="0"/>
      <w:divBdr>
        <w:top w:val="none" w:sz="0" w:space="0" w:color="auto"/>
        <w:left w:val="none" w:sz="0" w:space="0" w:color="auto"/>
        <w:bottom w:val="none" w:sz="0" w:space="0" w:color="auto"/>
        <w:right w:val="none" w:sz="0" w:space="0" w:color="auto"/>
      </w:divBdr>
    </w:div>
    <w:div w:id="1981225209">
      <w:bodyDiv w:val="1"/>
      <w:marLeft w:val="0"/>
      <w:marRight w:val="0"/>
      <w:marTop w:val="0"/>
      <w:marBottom w:val="0"/>
      <w:divBdr>
        <w:top w:val="none" w:sz="0" w:space="0" w:color="auto"/>
        <w:left w:val="none" w:sz="0" w:space="0" w:color="auto"/>
        <w:bottom w:val="none" w:sz="0" w:space="0" w:color="auto"/>
        <w:right w:val="none" w:sz="0" w:space="0" w:color="auto"/>
      </w:divBdr>
    </w:div>
    <w:div w:id="1989357801">
      <w:bodyDiv w:val="1"/>
      <w:marLeft w:val="0"/>
      <w:marRight w:val="0"/>
      <w:marTop w:val="0"/>
      <w:marBottom w:val="0"/>
      <w:divBdr>
        <w:top w:val="none" w:sz="0" w:space="0" w:color="auto"/>
        <w:left w:val="none" w:sz="0" w:space="0" w:color="auto"/>
        <w:bottom w:val="none" w:sz="0" w:space="0" w:color="auto"/>
        <w:right w:val="none" w:sz="0" w:space="0" w:color="auto"/>
      </w:divBdr>
    </w:div>
    <w:div w:id="2034528443">
      <w:bodyDiv w:val="1"/>
      <w:marLeft w:val="0"/>
      <w:marRight w:val="0"/>
      <w:marTop w:val="0"/>
      <w:marBottom w:val="0"/>
      <w:divBdr>
        <w:top w:val="none" w:sz="0" w:space="0" w:color="auto"/>
        <w:left w:val="none" w:sz="0" w:space="0" w:color="auto"/>
        <w:bottom w:val="none" w:sz="0" w:space="0" w:color="auto"/>
        <w:right w:val="none" w:sz="0" w:space="0" w:color="auto"/>
      </w:divBdr>
    </w:div>
    <w:div w:id="2051874920">
      <w:bodyDiv w:val="1"/>
      <w:marLeft w:val="0"/>
      <w:marRight w:val="0"/>
      <w:marTop w:val="0"/>
      <w:marBottom w:val="0"/>
      <w:divBdr>
        <w:top w:val="none" w:sz="0" w:space="0" w:color="auto"/>
        <w:left w:val="none" w:sz="0" w:space="0" w:color="auto"/>
        <w:bottom w:val="none" w:sz="0" w:space="0" w:color="auto"/>
        <w:right w:val="none" w:sz="0" w:space="0" w:color="auto"/>
      </w:divBdr>
    </w:div>
    <w:div w:id="2056272331">
      <w:bodyDiv w:val="1"/>
      <w:marLeft w:val="0"/>
      <w:marRight w:val="0"/>
      <w:marTop w:val="0"/>
      <w:marBottom w:val="0"/>
      <w:divBdr>
        <w:top w:val="none" w:sz="0" w:space="0" w:color="auto"/>
        <w:left w:val="none" w:sz="0" w:space="0" w:color="auto"/>
        <w:bottom w:val="none" w:sz="0" w:space="0" w:color="auto"/>
        <w:right w:val="none" w:sz="0" w:space="0" w:color="auto"/>
      </w:divBdr>
    </w:div>
    <w:div w:id="2078934414">
      <w:bodyDiv w:val="1"/>
      <w:marLeft w:val="0"/>
      <w:marRight w:val="0"/>
      <w:marTop w:val="0"/>
      <w:marBottom w:val="0"/>
      <w:divBdr>
        <w:top w:val="none" w:sz="0" w:space="0" w:color="auto"/>
        <w:left w:val="none" w:sz="0" w:space="0" w:color="auto"/>
        <w:bottom w:val="none" w:sz="0" w:space="0" w:color="auto"/>
        <w:right w:val="none" w:sz="0" w:space="0" w:color="auto"/>
      </w:divBdr>
    </w:div>
    <w:div w:id="2091803624">
      <w:bodyDiv w:val="1"/>
      <w:marLeft w:val="0"/>
      <w:marRight w:val="0"/>
      <w:marTop w:val="0"/>
      <w:marBottom w:val="0"/>
      <w:divBdr>
        <w:top w:val="none" w:sz="0" w:space="0" w:color="auto"/>
        <w:left w:val="none" w:sz="0" w:space="0" w:color="auto"/>
        <w:bottom w:val="none" w:sz="0" w:space="0" w:color="auto"/>
        <w:right w:val="none" w:sz="0" w:space="0" w:color="auto"/>
      </w:divBdr>
    </w:div>
    <w:div w:id="21108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Int171</b:Tag>
    <b:SourceType>InternetSite</b:SourceType>
    <b:Guid>{A6778337-9432-1741-9A89-B34A7E6F0235}</b:Guid>
    <b:Author>
      <b:Author>
        <b:Corporate>International Federation of Accountants [IFAC]</b:Corporate>
      </b:Author>
    </b:Author>
    <b:Title>Handbook of International Education Pronouncements</b:Title>
    <b:URL>https://www.ifac.org/publications-resources/2017-handbook-international-education-pronouncements </b:URL>
    <b:Year>2017</b:Year>
    <b:Month>January</b:Month>
    <b:YearAccessed>2017</b:YearAccessed>
    <b:MonthAccessed>Marzo</b:MonthAccessed>
    <b:DayAccessed>15</b:DayAccessed>
    <b:RefOrder>15</b:RefOrder>
  </b:Source>
  <b:Source>
    <b:Tag>Lem151</b:Tag>
    <b:SourceType>JournalArticle</b:SourceType>
    <b:Guid>{8A12CDE8-77B7-C14E-BA9C-7191CBB677F8}</b:Guid>
    <b:Title>La feminización del Área Contable: Un Estudio Cualitativo Básico</b:Title>
    <b:Year>2015</b:Year>
    <b:Author>
      <b:Author>
        <b:NameList>
          <b:Person>
            <b:Last>Lemos</b:Last>
            <b:First>l.,</b:First>
            <b:Middle>Barufaldi, R., &amp; Paulo, N.</b:Middle>
          </b:Person>
        </b:NameList>
      </b:Author>
    </b:Author>
    <b:JournalName>Revista de la Academia Brasileña de Ciencias em Contabilidad [REPeC] </b:JournalName>
    <b:Volume>9</b:Volume>
    <b:Issue>1</b:Issue>
    <b:Pages>64-84</b:Pages>
    <b:RefOrder>16</b:RefOrder>
  </b:Source>
  <b:Source>
    <b:Tag>Yan111</b:Tag>
    <b:SourceType>JournalArticle</b:SourceType>
    <b:Guid>{69F1BBB1-7C2A-5B4F-A160-412615B6E1BF}</b:Guid>
    <b:Author>
      <b:Author>
        <b:NameList>
          <b:Person>
            <b:Last>Yannoulas</b:Last>
            <b:First>S.</b:First>
          </b:Person>
        </b:NameList>
      </b:Author>
    </b:Author>
    <b:Title>Feminização ou Feminilização? Apontamentos em torno de uma categoria </b:Title>
    <b:JournalName>Temporalis </b:JournalName>
    <b:Year>2011</b:Year>
    <b:Issue>22</b:Issue>
    <b:Pages>271-292</b:Pages>
    <b:RefOrder>17</b:RefOrder>
  </b:Source>
  <b:Source>
    <b:Tag>Obssf1</b:Tag>
    <b:SourceType>InternetSite</b:SourceType>
    <b:Guid>{B27CD130-0467-8D49-8868-1F72A9FF2E9F}</b:Guid>
    <b:Title>Situación laboral/vinculación - Ingreso y Tasa de Cotización por Nivel de Formación</b:Title>
    <b:URL>http://bi.mineducacion.gov.co:8080/o3web/viewdesktop.jsp?cmnd=open&amp;source=Situacion+Laboral%2FVinculaci%F3n+2015+-+Ingreso+y+Tasa+de+Cotizantes+por+Nivel+de+Formaci%F3n%23_public</b:URL>
    <b:Year>s.f.</b:Year>
    <b:YearAccessed>2017</b:YearAccessed>
    <b:MonthAccessed>Junio</b:MonthAccessed>
    <b:DayAccessed>29</b:DayAccessed>
    <b:Author>
      <b:Author>
        <b:Corporate>Observatorio Laboral </b:Corporate>
      </b:Author>
    </b:Author>
    <b:InternetSiteTitle>Observatorio Laboral para la Educación</b:InternetSiteTitle>
    <b:RefOrder>18</b:RefOrder>
  </b:Source>
  <b:Source>
    <b:Tag>Bar08</b:Tag>
    <b:SourceType>JournalArticle</b:SourceType>
    <b:Guid>{45A54FAD-81A4-4E09-82FE-9CC5B1D7003E}</b:Guid>
    <b:Title>International Accounting Standards and Accounting Quality</b:Title>
    <b:Year>2008</b:Year>
    <b:Author>
      <b:Author>
        <b:NameList>
          <b:Person>
            <b:Last>Barth</b:Last>
            <b:First>M</b:First>
          </b:Person>
          <b:Person>
            <b:Last>Landsman</b:Last>
          </b:Person>
          <b:Person>
            <b:Last>Lang</b:Last>
            <b:First>M</b:First>
          </b:Person>
        </b:NameList>
      </b:Author>
    </b:Author>
    <b:JournalName>Journal of Accounting Research</b:JournalName>
    <b:Pages>467-498</b:Pages>
    <b:RefOrder>8</b:RefOrder>
  </b:Source>
  <b:Source>
    <b:Tag>Gar12</b:Tag>
    <b:SourceType>JournalArticle</b:SourceType>
    <b:Guid>{06D53AD6-B88D-4D23-A9F7-74251A41FCC6}</b:Guid>
    <b:Author>
      <b:Author>
        <b:NameList>
          <b:Person>
            <b:Last>García</b:Last>
            <b:First>N</b:First>
          </b:Person>
          <b:Person>
            <b:Last>Sierra</b:Last>
            <b:First>E</b:First>
          </b:Person>
        </b:NameList>
      </b:Author>
    </b:Author>
    <b:Title>Un análisis de la reforma contable en Colombia</b:Title>
    <b:JournalName>Revista Internacional Legis de Contabilidad &amp; Auditoria</b:JournalName>
    <b:Year>2012</b:Year>
    <b:Pages>39-54</b:Pages>
    <b:Month>julio-septiembre</b:Month>
    <b:Issue>51</b:Issue>
    <b:RefOrder>1</b:RefOrder>
  </b:Source>
  <b:Source>
    <b:Tag>Bal03</b:Tag>
    <b:SourceType>JournalArticle</b:SourceType>
    <b:Guid>{FF12D1C5-726B-4D71-A6ED-D283811AD7D8}</b:Guid>
    <b:Title>Incentives versus standards: properties of accounting income in four East Asian countries</b:Title>
    <b:Year>2003</b:Year>
    <b:Author>
      <b:Author>
        <b:NameList>
          <b:Person>
            <b:Last>Ball</b:Last>
            <b:First>R</b:First>
          </b:Person>
          <b:Person>
            <b:Last>Robin</b:Last>
            <b:First>A</b:First>
          </b:Person>
          <b:Person>
            <b:Last>Wu</b:Last>
            <b:First>J</b:First>
          </b:Person>
        </b:NameList>
      </b:Author>
    </b:Author>
    <b:JournalName>Journal of Accounting and Economics</b:JournalName>
    <b:Pages>235-270</b:Pages>
    <b:Issue>36</b:Issue>
    <b:RefOrder>3</b:RefOrder>
  </b:Source>
  <b:Source>
    <b:Tag>Wys11</b:Tag>
    <b:SourceType>JournalArticle</b:SourceType>
    <b:Guid>{02FB8F35-A66C-4EB5-94FF-53CB03F85008}</b:Guid>
    <b:Author>
      <b:Author>
        <b:NameList>
          <b:Person>
            <b:Last>Wysocki</b:Last>
            <b:First>P</b:First>
          </b:Person>
        </b:NameList>
      </b:Author>
    </b:Author>
    <b:Title>New institutional accounting and IFRS</b:Title>
    <b:JournalName>Accounting and Business Research</b:JournalName>
    <b:Year>2011</b:Year>
    <b:Pages>309-328</b:Pages>
    <b:Volume>41</b:Volume>
    <b:Issue>3</b:Issue>
    <b:RefOrder>4</b:RefOrder>
  </b:Source>
  <b:Source>
    <b:Tag>Chr15</b:Tag>
    <b:SourceType>JournalArticle</b:SourceType>
    <b:Guid>{17760CD7-186B-49B7-9506-DCFD4A37795A}</b:Guid>
    <b:Author>
      <b:Author>
        <b:NameList>
          <b:Person>
            <b:Last>Christensen</b:Last>
            <b:First>H</b:First>
          </b:Person>
          <b:Person>
            <b:Last>Lee</b:Last>
            <b:First>E</b:First>
          </b:Person>
          <b:Person>
            <b:Last>Walker</b:Last>
            <b:First>Zeng,</b:First>
            <b:Middle>C</b:Middle>
          </b:Person>
        </b:NameList>
      </b:Author>
    </b:Author>
    <b:Title>Incentives or Standards: What Determines Accounting Quality Changes around IFRS Adoption?</b:Title>
    <b:JournalName>European Accounting Review</b:JournalName>
    <b:Year>2015</b:Year>
    <b:Pages>31-61</b:Pages>
    <b:Volume>24</b:Volume>
    <b:Issue>1</b:Issue>
    <b:RefOrder>5</b:RefOrder>
  </b:Source>
  <b:Source>
    <b:Tag>Moh13</b:Tag>
    <b:SourceType>JournalArticle</b:SourceType>
    <b:Guid>{7C094A2A-92BD-41C1-AE88-9371380FF113}</b:Guid>
    <b:Author>
      <b:Author>
        <b:NameList>
          <b:Person>
            <b:Last>Mohammadrezaei</b:Last>
            <b:First>F</b:First>
          </b:Person>
          <b:Person>
            <b:Last>Mohd-Saleh</b:Last>
            <b:First>N</b:First>
          </b:Person>
          <b:Person>
            <b:Last>Banimahd</b:Last>
            <b:First>B</b:First>
          </b:Person>
        </b:NameList>
      </b:Author>
    </b:Author>
    <b:Title>The effects of mandatory IFRS adoption: A review of evidence based on accounting standard setting criteria</b:Title>
    <b:JournalName>International Journal of Disclosure and Governance</b:JournalName>
    <b:Year>2013</b:Year>
    <b:Pages>29-77</b:Pages>
    <b:Volume>12</b:Volume>
    <b:Issue>1</b:Issue>
    <b:RefOrder>7</b:RefOrder>
  </b:Source>
  <b:Source>
    <b:Tag>Int10</b:Tag>
    <b:SourceType>Book</b:SourceType>
    <b:Guid>{2721CE13-C005-4BEB-9483-EAC2EDFAA5ED}</b:Guid>
    <b:Title>Marco Conceptual para la Información Financiera</b:Title>
    <b:Year>2010</b:Year>
    <b:Author>
      <b:Author>
        <b:NameList>
          <b:Person>
            <b:Last>International Accounting Standards Board</b:Last>
          </b:Person>
        </b:NameList>
      </b:Author>
    </b:Author>
    <b:City>Londres</b:City>
    <b:Publisher>IASB</b:Publisher>
    <b:RefOrder>2</b:RefOrder>
  </b:Source>
  <b:Source>
    <b:Tag>Cañ00</b:Tag>
    <b:SourceType>JournalArticle</b:SourceType>
    <b:Guid>{96C7B62D-722A-4800-976F-188ECB80A502}</b:Guid>
    <b:Author>
      <b:Author>
        <b:NameList>
          <b:Person>
            <b:Last>Cañibano</b:Last>
            <b:First>L</b:First>
          </b:Person>
          <b:Person>
            <b:Last>Mora</b:Last>
            <b:First>A</b:First>
          </b:Person>
        </b:NameList>
      </b:Author>
    </b:Author>
    <b:Title>Evaluating the Statistical Significance of "de facto" accounting harmonization: a study of European Glogal Players</b:Title>
    <b:JournalName>European Accountig Review</b:JournalName>
    <b:Year>2000</b:Year>
    <b:Pages>349-370</b:Pages>
    <b:Volume>9</b:Volume>
    <b:Issue>3</b:Issue>
    <b:RefOrder>13</b:RefOrder>
  </b:Source>
  <b:Source>
    <b:Tag>Pie02</b:Tag>
    <b:SourceType>JournalArticle</b:SourceType>
    <b:Guid>{2DE2F866-4F6D-40C4-AF53-FF04378523D8}</b:Guid>
    <b:Author>
      <b:Author>
        <b:NameList>
          <b:Person>
            <b:Last>Pierce</b:Last>
            <b:First>A</b:First>
          </b:Person>
          <b:Person>
            <b:Last>Weetman</b:Last>
            <b:First>P</b:First>
          </b:Person>
        </b:NameList>
      </b:Author>
    </b:Author>
    <b:Title>Measurement of de facto harmonisation: implications of non-disclosure for reasearch planning and interpretation</b:Title>
    <b:JournalName>Accounting and Business Research</b:JournalName>
    <b:Year>2002</b:Year>
    <b:Pages>250-273</b:Pages>
    <b:Volume>32</b:Volume>
    <b:Issue>4</b:Issue>
    <b:RefOrder>14</b:RefOrder>
  </b:Source>
  <b:Source>
    <b:Tag>DeF11</b:Tag>
    <b:SourceType>JournalArticle</b:SourceType>
    <b:Guid>{25947FDC-8E47-4232-81A1-5EE364DD7E3C}</b:Guid>
    <b:Author>
      <b:Author>
        <b:NameList>
          <b:Person>
            <b:Last>De Franco</b:Last>
            <b:First>G</b:First>
          </b:Person>
          <b:Person>
            <b:Last>Kotahri</b:Last>
            <b:First>S</b:First>
          </b:Person>
          <b:Person>
            <b:Last>Verdi</b:Last>
            <b:First>R</b:First>
          </b:Person>
        </b:NameList>
      </b:Author>
    </b:Author>
    <b:Title>The benefits of financial statement comparability</b:Title>
    <b:JournalName>Journal of Accounting Research</b:JournalName>
    <b:Year>2011</b:Year>
    <b:Pages>895-931</b:Pages>
    <b:Issue>49</b:Issue>
    <b:RefOrder>9</b:RefOrder>
  </b:Source>
  <b:Source>
    <b:Tag>Twe07</b:Tag>
    <b:SourceType>JournalArticle</b:SourceType>
    <b:Guid>{6F377ACA-40DC-4C87-A0FC-70D86FA32B8E}</b:Guid>
    <b:Author>
      <b:Author>
        <b:NameList>
          <b:Person>
            <b:Last>Tweedie</b:Last>
            <b:First>D.</b:First>
          </b:Person>
        </b:NameList>
      </b:Author>
    </b:Author>
    <b:Title>Can Global Standards be Principle Based?</b:Title>
    <b:JournalName>The Jurnal of Applied Research in Accounting and Finance</b:JournalName>
    <b:Year>2007</b:Year>
    <b:Pages>3-8</b:Pages>
    <b:Volume>1</b:Volume>
    <b:Issue>1</b:Issue>
    <b:RefOrder>6</b:RefOrder>
  </b:Source>
  <b:Source>
    <b:Tag>OGó11</b:Tag>
    <b:SourceType>JournalArticle</b:SourceType>
    <b:Guid>{F2D2F8C7-457C-4FE5-9578-414A47F0BF10}</b:Guid>
    <b:Author>
      <b:Author>
        <b:NameList>
          <b:Person>
            <b:Last>Gómez</b:Last>
            <b:First>O</b:First>
          </b:Person>
          <b:Person>
            <b:Last>De la Hoz</b:Last>
            <b:First>A</b:First>
          </b:Person>
          <b:Person>
            <b:Last>De la Hoz</b:Last>
            <b:First>B</b:First>
          </b:Person>
        </b:NameList>
      </b:Author>
    </b:Author>
    <b:Title>Armonización de las nic/niif en las prácticas contables de entes emisores no financieros que cotizan en la Bolsa de Valores de Caracas, Venezuela</b:Title>
    <b:JournalName>Contaduría y Administración</b:JournalName>
    <b:Year>2011</b:Year>
    <b:Pages>149-175</b:Pages>
    <b:Issue>233</b:Issue>
    <b:RefOrder>11</b:RefOrder>
  </b:Source>
  <b:Source>
    <b:Tag>Gon06</b:Tag>
    <b:SourceType>JournalArticle</b:SourceType>
    <b:Guid>{2197BB4C-6126-4838-A649-55F10F839F0B}</b:Guid>
    <b:Author>
      <b:Author>
        <b:NameList>
          <b:Person>
            <b:Last>González</b:Last>
            <b:First>P</b:First>
          </b:Person>
        </b:NameList>
      </b:Author>
    </b:Author>
    <b:Title>Estudio empírico para medir aspectos de armonización entre las prácticas y normas contables utilizadas por las empresas Argentinas, Brasileñas y Colombianas</b:Title>
    <b:JournalName>Cuadernos de Administración</b:JournalName>
    <b:Year>2006</b:Year>
    <b:Pages>177-196</b:Pages>
    <b:Month>enero</b:Month>
    <b:Issue>34</b:Issue>
    <b:RefOrder>12</b:RefOrder>
  </b:Source>
  <b:Source>
    <b:Tag>Com13</b:Tag>
    <b:SourceType>JournalArticle</b:SourceType>
    <b:Guid>{9970B142-0AFE-46E4-8EED-01649BD21768}</b:Guid>
    <b:Author>
      <b:Author>
        <b:NameList>
          <b:Person>
            <b:Last>Brochet</b:Last>
            <b:First>F</b:First>
          </b:Person>
          <b:Person>
            <b:Last>Jagolinzer</b:Last>
            <b:First>A</b:First>
          </b:Person>
          <b:Person>
            <b:Last>Riedl</b:Last>
            <b:First>E</b:First>
          </b:Person>
        </b:NameList>
      </b:Author>
    </b:Author>
    <b:Title>Comparability, Mandatory IFRS Adoption and Financial Statement</b:Title>
    <b:JournalName>Contemporany Accounting Research</b:JournalName>
    <b:Year>2013</b:Year>
    <b:Pages>1373-1400</b:Pages>
    <b:Volume>30</b:Volume>
    <b:Issue>4</b:Issue>
    <b:RefOrder>10</b:RefOrder>
  </b:Source>
</b:Sources>
</file>

<file path=customXml/itemProps1.xml><?xml version="1.0" encoding="utf-8"?>
<ds:datastoreItem xmlns:ds="http://schemas.openxmlformats.org/officeDocument/2006/customXml" ds:itemID="{49C0089B-A5A0-4F60-8DEA-842CFBF7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9</Pages>
  <Words>2267</Words>
  <Characters>12473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UsuarioUsta</dc:creator>
  <cp:lastModifiedBy>carlosrico</cp:lastModifiedBy>
  <cp:revision>64</cp:revision>
  <cp:lastPrinted>2017-01-17T19:14:00Z</cp:lastPrinted>
  <dcterms:created xsi:type="dcterms:W3CDTF">2017-06-16T13:31:00Z</dcterms:created>
  <dcterms:modified xsi:type="dcterms:W3CDTF">2017-09-04T18:56:00Z</dcterms:modified>
</cp:coreProperties>
</file>