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B3" w:rsidRPr="00B05C10" w:rsidRDefault="005410B3" w:rsidP="005410B3">
      <w:pPr>
        <w:jc w:val="center"/>
        <w:rPr>
          <w:rFonts w:ascii="Times New Roman" w:hAnsi="Times New Roman" w:cs="Times New Roman"/>
          <w:sz w:val="24"/>
          <w:u w:val="single"/>
        </w:rPr>
      </w:pPr>
      <w:r w:rsidRPr="00B05C10">
        <w:rPr>
          <w:rFonts w:ascii="Times New Roman" w:hAnsi="Times New Roman" w:cs="Times New Roman"/>
          <w:sz w:val="24"/>
          <w:u w:val="single"/>
        </w:rPr>
        <w:t>Anexo 1. Formato de presentación de proyecto</w:t>
      </w:r>
    </w:p>
    <w:p w:rsidR="00AD6080" w:rsidRPr="00B05C10" w:rsidRDefault="005410B3" w:rsidP="00EA5FAC">
      <w:pPr>
        <w:jc w:val="center"/>
        <w:rPr>
          <w:rFonts w:ascii="Times New Roman" w:hAnsi="Times New Roman" w:cs="Times New Roman"/>
        </w:rPr>
      </w:pPr>
      <w:r w:rsidRPr="00B05C10">
        <w:rPr>
          <w:rFonts w:ascii="Times New Roman" w:hAnsi="Times New Roman" w:cs="Times New Roman"/>
          <w:sz w:val="24"/>
        </w:rPr>
        <w:t>Título</w:t>
      </w:r>
      <w:r w:rsidR="00AD6080" w:rsidRPr="00B05C10">
        <w:rPr>
          <w:rFonts w:ascii="Times New Roman" w:hAnsi="Times New Roman" w:cs="Times New Roman"/>
          <w:sz w:val="24"/>
        </w:rPr>
        <w:t xml:space="preserve">: </w:t>
      </w:r>
      <w:r w:rsidR="00AD6080" w:rsidRPr="001E0BF1">
        <w:rPr>
          <w:rFonts w:ascii="Times New Roman" w:hAnsi="Times New Roman" w:cs="Times New Roman"/>
          <w:sz w:val="24"/>
        </w:rPr>
        <w:t xml:space="preserve">OBSERVATORIO DE </w:t>
      </w:r>
      <w:r w:rsidR="00AD6080" w:rsidRPr="00B05C10">
        <w:rPr>
          <w:rFonts w:ascii="Times New Roman" w:hAnsi="Times New Roman" w:cs="Times New Roman"/>
          <w:sz w:val="24"/>
        </w:rPr>
        <w:t>LAS INTERACCIONES SALUD Y TRABAJO. PRIMERA FASE: ENTORNO LABORAL Y CONDICIONES DE TRABAJO DE PROFESIONALES DE LA SALUD EN COLOMBIA, 2018</w:t>
      </w:r>
    </w:p>
    <w:p w:rsidR="005410B3" w:rsidRPr="00B05C10" w:rsidRDefault="00AD6080" w:rsidP="00FE153F">
      <w:pPr>
        <w:pStyle w:val="Prrafodelista"/>
        <w:numPr>
          <w:ilvl w:val="0"/>
          <w:numId w:val="1"/>
        </w:numPr>
        <w:jc w:val="both"/>
        <w:rPr>
          <w:rFonts w:ascii="Times New Roman" w:hAnsi="Times New Roman" w:cs="Times New Roman"/>
          <w:sz w:val="24"/>
        </w:rPr>
      </w:pPr>
      <w:r w:rsidRPr="00B16DA5">
        <w:rPr>
          <w:rStyle w:val="Ttulo2Car"/>
        </w:rPr>
        <w:t>Duración</w:t>
      </w:r>
      <w:r w:rsidRPr="00B05C10">
        <w:rPr>
          <w:rFonts w:ascii="Times New Roman" w:hAnsi="Times New Roman" w:cs="Times New Roman"/>
          <w:sz w:val="24"/>
        </w:rPr>
        <w:t>: 9</w:t>
      </w:r>
      <w:r w:rsidR="005410B3" w:rsidRPr="00B05C10">
        <w:rPr>
          <w:rFonts w:ascii="Times New Roman" w:hAnsi="Times New Roman" w:cs="Times New Roman"/>
          <w:sz w:val="24"/>
        </w:rPr>
        <w:t xml:space="preserve"> meses</w:t>
      </w:r>
    </w:p>
    <w:p w:rsidR="005410B3" w:rsidRPr="00B05C10" w:rsidRDefault="005410B3" w:rsidP="00FE153F">
      <w:pPr>
        <w:pStyle w:val="Prrafodelista"/>
        <w:numPr>
          <w:ilvl w:val="0"/>
          <w:numId w:val="1"/>
        </w:numPr>
        <w:jc w:val="both"/>
        <w:rPr>
          <w:rFonts w:ascii="Times New Roman" w:hAnsi="Times New Roman" w:cs="Times New Roman"/>
          <w:sz w:val="24"/>
        </w:rPr>
      </w:pPr>
      <w:r w:rsidRPr="00B16DA5">
        <w:rPr>
          <w:rStyle w:val="Ttulo2Car"/>
        </w:rPr>
        <w:t>Lugar de ejecución</w:t>
      </w:r>
      <w:r w:rsidR="00AD6080" w:rsidRPr="00B05C10">
        <w:rPr>
          <w:rFonts w:ascii="Times New Roman" w:hAnsi="Times New Roman" w:cs="Times New Roman"/>
          <w:sz w:val="24"/>
        </w:rPr>
        <w:t>: Bogotá</w:t>
      </w:r>
    </w:p>
    <w:p w:rsidR="005410B3" w:rsidRPr="00B05C10" w:rsidRDefault="005410B3" w:rsidP="00FE153F">
      <w:pPr>
        <w:pStyle w:val="Prrafodelista"/>
        <w:numPr>
          <w:ilvl w:val="0"/>
          <w:numId w:val="1"/>
        </w:numPr>
        <w:jc w:val="both"/>
        <w:rPr>
          <w:rFonts w:ascii="Times New Roman" w:hAnsi="Times New Roman" w:cs="Times New Roman"/>
          <w:sz w:val="24"/>
        </w:rPr>
      </w:pPr>
      <w:r w:rsidRPr="00B16DA5">
        <w:rPr>
          <w:rStyle w:val="Ttulo2Car"/>
        </w:rPr>
        <w:t>Investigador principal</w:t>
      </w:r>
      <w:r w:rsidR="00AD6080" w:rsidRPr="00B05C10">
        <w:rPr>
          <w:rFonts w:ascii="Times New Roman" w:hAnsi="Times New Roman" w:cs="Times New Roman"/>
          <w:sz w:val="24"/>
        </w:rPr>
        <w:t>: Clara Mercedes Suárez Rodríguez</w:t>
      </w:r>
    </w:p>
    <w:p w:rsidR="005410B3" w:rsidRPr="00B05C10" w:rsidRDefault="005410B3" w:rsidP="00B16DA5">
      <w:pPr>
        <w:pStyle w:val="Ttulo2"/>
      </w:pPr>
      <w:r w:rsidRPr="00B05C10">
        <w:t>Co-investigador(es)</w:t>
      </w:r>
      <w:r w:rsidR="00083DB3">
        <w:t xml:space="preserve"> USTA</w:t>
      </w:r>
      <w:r w:rsidR="00AD6080" w:rsidRPr="00B05C10">
        <w:t>:</w:t>
      </w:r>
    </w:p>
    <w:p w:rsidR="00AD6080" w:rsidRPr="00B05C10" w:rsidRDefault="00AD6080" w:rsidP="00B16DA5">
      <w:pPr>
        <w:spacing w:after="0" w:line="240" w:lineRule="auto"/>
        <w:ind w:left="708"/>
        <w:jc w:val="both"/>
        <w:rPr>
          <w:rFonts w:ascii="Times New Roman" w:hAnsi="Times New Roman" w:cs="Times New Roman"/>
          <w:sz w:val="24"/>
        </w:rPr>
      </w:pPr>
      <w:r w:rsidRPr="00B05C10">
        <w:rPr>
          <w:rFonts w:ascii="Times New Roman" w:hAnsi="Times New Roman" w:cs="Times New Roman"/>
          <w:sz w:val="24"/>
        </w:rPr>
        <w:t>Carlos Iván Rodríguez Melo</w:t>
      </w:r>
    </w:p>
    <w:p w:rsidR="00AD6080" w:rsidRPr="00B05C10" w:rsidRDefault="00AD6080" w:rsidP="00B16DA5">
      <w:pPr>
        <w:spacing w:after="0" w:line="240" w:lineRule="auto"/>
        <w:ind w:left="708"/>
        <w:jc w:val="both"/>
        <w:rPr>
          <w:rFonts w:ascii="Times New Roman" w:hAnsi="Times New Roman" w:cs="Times New Roman"/>
          <w:sz w:val="24"/>
        </w:rPr>
      </w:pPr>
      <w:r w:rsidRPr="00B05C10">
        <w:rPr>
          <w:rFonts w:ascii="Times New Roman" w:hAnsi="Times New Roman" w:cs="Times New Roman"/>
          <w:sz w:val="24"/>
        </w:rPr>
        <w:t>Deisy Jeannette Arrubla Sánchez</w:t>
      </w:r>
    </w:p>
    <w:p w:rsidR="00AD6080" w:rsidRPr="00B05C10" w:rsidRDefault="00AD6080" w:rsidP="00B16DA5">
      <w:pPr>
        <w:spacing w:after="0" w:line="240" w:lineRule="auto"/>
        <w:ind w:left="708"/>
        <w:jc w:val="both"/>
        <w:rPr>
          <w:rFonts w:ascii="Times New Roman" w:hAnsi="Times New Roman" w:cs="Times New Roman"/>
          <w:sz w:val="24"/>
        </w:rPr>
      </w:pPr>
      <w:r w:rsidRPr="00B05C10">
        <w:rPr>
          <w:rFonts w:ascii="Times New Roman" w:hAnsi="Times New Roman" w:cs="Times New Roman"/>
          <w:sz w:val="24"/>
        </w:rPr>
        <w:t>Edson Jair Ospina Lozano</w:t>
      </w:r>
    </w:p>
    <w:p w:rsidR="00AD6080" w:rsidRPr="00B05C10" w:rsidRDefault="00AD6080" w:rsidP="00B16DA5">
      <w:pPr>
        <w:spacing w:after="0" w:line="240" w:lineRule="auto"/>
        <w:ind w:left="708"/>
        <w:jc w:val="both"/>
        <w:rPr>
          <w:rFonts w:ascii="Times New Roman" w:hAnsi="Times New Roman" w:cs="Times New Roman"/>
          <w:sz w:val="24"/>
        </w:rPr>
      </w:pPr>
      <w:r w:rsidRPr="00B05C10">
        <w:rPr>
          <w:rFonts w:ascii="Times New Roman" w:hAnsi="Times New Roman" w:cs="Times New Roman"/>
          <w:sz w:val="24"/>
        </w:rPr>
        <w:t xml:space="preserve">Alejandra Valenzuela Cazés </w:t>
      </w:r>
    </w:p>
    <w:p w:rsidR="00AD6080" w:rsidRPr="00B05C10" w:rsidRDefault="00AD6080" w:rsidP="00B16DA5">
      <w:pPr>
        <w:spacing w:after="0" w:line="240" w:lineRule="auto"/>
        <w:ind w:left="708"/>
        <w:jc w:val="both"/>
        <w:rPr>
          <w:rFonts w:ascii="Times New Roman" w:hAnsi="Times New Roman" w:cs="Times New Roman"/>
          <w:sz w:val="24"/>
        </w:rPr>
      </w:pPr>
      <w:r w:rsidRPr="00B05C10">
        <w:rPr>
          <w:rFonts w:ascii="Times New Roman" w:hAnsi="Times New Roman" w:cs="Times New Roman"/>
          <w:sz w:val="24"/>
        </w:rPr>
        <w:t>Wilmer Javier Ríos Piñérez</w:t>
      </w:r>
    </w:p>
    <w:p w:rsidR="00EA5FAC" w:rsidRPr="00B05C10" w:rsidRDefault="00EA5FAC" w:rsidP="00575219">
      <w:pPr>
        <w:spacing w:after="0" w:line="240" w:lineRule="auto"/>
        <w:jc w:val="both"/>
        <w:rPr>
          <w:rFonts w:ascii="Times New Roman" w:hAnsi="Times New Roman" w:cs="Times New Roman"/>
          <w:sz w:val="24"/>
        </w:rPr>
      </w:pPr>
    </w:p>
    <w:p w:rsidR="00EA5FAC" w:rsidRPr="00B05C10" w:rsidRDefault="00EA5FAC" w:rsidP="00B16DA5">
      <w:pPr>
        <w:pStyle w:val="Ttulo2"/>
      </w:pPr>
      <w:r w:rsidRPr="00B05C10">
        <w:t>Datos Generales</w:t>
      </w:r>
    </w:p>
    <w:tbl>
      <w:tblPr>
        <w:tblStyle w:val="Tablaconcuadrcula"/>
        <w:tblW w:w="10632" w:type="dxa"/>
        <w:tblInd w:w="-601" w:type="dxa"/>
        <w:tblLook w:val="04A0" w:firstRow="1" w:lastRow="0" w:firstColumn="1" w:lastColumn="0" w:noHBand="0" w:noVBand="1"/>
      </w:tblPr>
      <w:tblGrid>
        <w:gridCol w:w="1558"/>
        <w:gridCol w:w="1699"/>
        <w:gridCol w:w="1276"/>
        <w:gridCol w:w="1413"/>
        <w:gridCol w:w="2963"/>
        <w:gridCol w:w="1723"/>
      </w:tblGrid>
      <w:tr w:rsidR="005F220A" w:rsidRPr="00B05C10" w:rsidTr="005F220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20A" w:rsidRPr="00B05C10" w:rsidRDefault="005F220A" w:rsidP="00C46CB1">
            <w:pPr>
              <w:jc w:val="center"/>
              <w:rPr>
                <w:rFonts w:ascii="Times New Roman" w:hAnsi="Times New Roman" w:cs="Times New Roman"/>
                <w:b/>
                <w:sz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20A" w:rsidRPr="00B05C10" w:rsidRDefault="005F220A" w:rsidP="00C46CB1">
            <w:pPr>
              <w:jc w:val="center"/>
              <w:rPr>
                <w:rFonts w:ascii="Times New Roman" w:hAnsi="Times New Roman" w:cs="Times New Roman"/>
                <w:b/>
                <w:sz w:val="24"/>
              </w:rPr>
            </w:pPr>
          </w:p>
        </w:tc>
        <w:tc>
          <w:tcPr>
            <w:tcW w:w="73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20A" w:rsidRPr="00B05C10" w:rsidRDefault="005F220A" w:rsidP="00C46CB1">
            <w:pPr>
              <w:jc w:val="center"/>
              <w:rPr>
                <w:rFonts w:ascii="Times New Roman" w:hAnsi="Times New Roman" w:cs="Times New Roman"/>
                <w:b/>
                <w:sz w:val="24"/>
              </w:rPr>
            </w:pPr>
            <w:r w:rsidRPr="00B05C10">
              <w:rPr>
                <w:rFonts w:ascii="Times New Roman" w:hAnsi="Times New Roman" w:cs="Times New Roman"/>
                <w:b/>
                <w:sz w:val="24"/>
              </w:rPr>
              <w:t>Datos generales</w:t>
            </w:r>
          </w:p>
        </w:tc>
      </w:tr>
      <w:tr w:rsidR="005F220A" w:rsidRPr="00B05C10" w:rsidTr="005F220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20A" w:rsidRPr="00B05C10" w:rsidRDefault="005F220A" w:rsidP="005F220A">
            <w:pPr>
              <w:jc w:val="center"/>
              <w:rPr>
                <w:rFonts w:ascii="Times New Roman" w:hAnsi="Times New Roman" w:cs="Times New Roman"/>
                <w:b/>
                <w:sz w:val="24"/>
              </w:rPr>
            </w:pPr>
            <w:r w:rsidRPr="00B05C10">
              <w:rPr>
                <w:rFonts w:ascii="Times New Roman" w:hAnsi="Times New Roman" w:cs="Times New Roman"/>
                <w:b/>
                <w:sz w:val="24"/>
              </w:rPr>
              <w:t>Programa(s)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20A" w:rsidRPr="00B05C10" w:rsidRDefault="005F220A" w:rsidP="005F220A">
            <w:pPr>
              <w:jc w:val="center"/>
              <w:rPr>
                <w:rFonts w:ascii="Times New Roman" w:hAnsi="Times New Roman" w:cs="Times New Roman"/>
                <w:b/>
                <w:sz w:val="24"/>
              </w:rPr>
            </w:pPr>
            <w:r w:rsidRPr="00B05C10">
              <w:rPr>
                <w:rFonts w:ascii="Times New Roman" w:hAnsi="Times New Roman" w:cs="Times New Roman"/>
                <w:b/>
                <w:sz w:val="24"/>
              </w:rPr>
              <w:t>Facultad(es)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20A" w:rsidRPr="00B05C10" w:rsidRDefault="005F220A" w:rsidP="005F220A">
            <w:pPr>
              <w:jc w:val="center"/>
              <w:rPr>
                <w:rFonts w:ascii="Times New Roman" w:hAnsi="Times New Roman" w:cs="Times New Roman"/>
                <w:b/>
                <w:sz w:val="24"/>
              </w:rPr>
            </w:pPr>
            <w:r w:rsidRPr="00B05C10">
              <w:rPr>
                <w:rFonts w:ascii="Times New Roman" w:hAnsi="Times New Roman" w:cs="Times New Roman"/>
                <w:b/>
                <w:sz w:val="24"/>
              </w:rPr>
              <w:t>Línea activa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20A" w:rsidRPr="00B05C10" w:rsidRDefault="005F220A" w:rsidP="005F220A">
            <w:pPr>
              <w:jc w:val="center"/>
              <w:rPr>
                <w:rFonts w:ascii="Times New Roman" w:hAnsi="Times New Roman" w:cs="Times New Roman"/>
                <w:b/>
                <w:sz w:val="24"/>
              </w:rPr>
            </w:pPr>
            <w:r w:rsidRPr="00B05C10">
              <w:rPr>
                <w:rFonts w:ascii="Times New Roman" w:hAnsi="Times New Roman" w:cs="Times New Roman"/>
                <w:b/>
                <w:sz w:val="24"/>
              </w:rPr>
              <w:t>Línea medular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20A" w:rsidRPr="00B05C10" w:rsidRDefault="005F220A" w:rsidP="005F220A">
            <w:pPr>
              <w:jc w:val="center"/>
              <w:rPr>
                <w:rFonts w:ascii="Times New Roman" w:hAnsi="Times New Roman" w:cs="Times New Roman"/>
                <w:b/>
                <w:sz w:val="24"/>
              </w:rPr>
            </w:pPr>
            <w:r w:rsidRPr="00B05C10">
              <w:rPr>
                <w:rFonts w:ascii="Times New Roman" w:hAnsi="Times New Roman" w:cs="Times New Roman"/>
                <w:b/>
                <w:sz w:val="24"/>
              </w:rPr>
              <w:t>Campos de acción institucional (Seleccione)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20A" w:rsidRPr="00B05C10" w:rsidRDefault="005F220A" w:rsidP="005F220A">
            <w:pPr>
              <w:jc w:val="center"/>
              <w:rPr>
                <w:rFonts w:ascii="Times New Roman" w:hAnsi="Times New Roman" w:cs="Times New Roman"/>
                <w:b/>
                <w:sz w:val="24"/>
              </w:rPr>
            </w:pPr>
            <w:r w:rsidRPr="00B05C10">
              <w:rPr>
                <w:rFonts w:ascii="Times New Roman" w:hAnsi="Times New Roman" w:cs="Times New Roman"/>
                <w:b/>
                <w:sz w:val="24"/>
              </w:rPr>
              <w:t>Grupo(s) de investigación</w:t>
            </w:r>
          </w:p>
        </w:tc>
      </w:tr>
      <w:tr w:rsidR="005F220A" w:rsidRPr="00B05C10" w:rsidTr="005F220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20A" w:rsidRPr="00B05C10" w:rsidRDefault="00AD6080" w:rsidP="00C46CB1">
            <w:pPr>
              <w:jc w:val="both"/>
              <w:rPr>
                <w:rFonts w:ascii="Times New Roman" w:hAnsi="Times New Roman" w:cs="Times New Roman"/>
                <w:sz w:val="24"/>
              </w:rPr>
            </w:pPr>
            <w:r w:rsidRPr="00B05C10">
              <w:rPr>
                <w:rFonts w:ascii="Times New Roman" w:hAnsi="Times New Roman" w:cs="Times New Roman"/>
                <w:sz w:val="24"/>
              </w:rPr>
              <w:t>MAESTRIA EN SALUD PÚBLICA Y ECONOMIA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20A" w:rsidRPr="009F133A" w:rsidRDefault="00AD6080" w:rsidP="00C46CB1">
            <w:pPr>
              <w:jc w:val="both"/>
              <w:rPr>
                <w:rFonts w:ascii="Times New Roman" w:hAnsi="Times New Roman" w:cs="Times New Roman"/>
                <w:sz w:val="24"/>
              </w:rPr>
            </w:pPr>
            <w:r w:rsidRPr="009F133A">
              <w:rPr>
                <w:rFonts w:ascii="Times New Roman" w:hAnsi="Times New Roman" w:cs="Times New Roman"/>
                <w:sz w:val="24"/>
              </w:rPr>
              <w:t>ECONOMIA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20A" w:rsidRPr="009F133A" w:rsidRDefault="009F133A" w:rsidP="00C46CB1">
            <w:pPr>
              <w:jc w:val="both"/>
              <w:rPr>
                <w:rFonts w:ascii="Times New Roman" w:hAnsi="Times New Roman" w:cs="Times New Roman"/>
                <w:sz w:val="24"/>
              </w:rPr>
            </w:pPr>
            <w:r w:rsidRPr="009F133A">
              <w:rPr>
                <w:rFonts w:ascii="Times New Roman" w:hAnsi="Times New Roman" w:cs="Times New Roman"/>
                <w:sz w:val="24"/>
              </w:rPr>
              <w:t>SALUD PÚBLICA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20A" w:rsidRPr="00B05C10" w:rsidRDefault="00083DB3" w:rsidP="00C46CB1">
            <w:pPr>
              <w:jc w:val="both"/>
              <w:rPr>
                <w:rFonts w:ascii="Times New Roman" w:hAnsi="Times New Roman" w:cs="Times New Roman"/>
                <w:sz w:val="24"/>
              </w:rPr>
            </w:pPr>
            <w:r>
              <w:rPr>
                <w:rFonts w:ascii="Times New Roman" w:hAnsi="Times New Roman" w:cs="Times New Roman"/>
                <w:sz w:val="24"/>
              </w:rPr>
              <w:t>San Alberto Magno</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20A" w:rsidRPr="00B05C10" w:rsidRDefault="005F220A" w:rsidP="005F220A">
            <w:pPr>
              <w:rPr>
                <w:rFonts w:ascii="Times New Roman" w:hAnsi="Times New Roman" w:cs="Times New Roman"/>
                <w:sz w:val="24"/>
              </w:rPr>
            </w:pPr>
            <w:r w:rsidRPr="00B05C10">
              <w:rPr>
                <w:rFonts w:ascii="Times New Roman" w:hAnsi="Times New Roman" w:cs="Times New Roman"/>
                <w:sz w:val="24"/>
              </w:rPr>
              <w:t>Derechos humanos, ciudadanía y construcción de política pública en y para escenarios de paz (</w:t>
            </w:r>
            <w:r w:rsidR="00AD6080" w:rsidRPr="00B05C10">
              <w:rPr>
                <w:rFonts w:ascii="Times New Roman" w:hAnsi="Times New Roman" w:cs="Times New Roman"/>
                <w:sz w:val="24"/>
              </w:rPr>
              <w:t>x</w:t>
            </w:r>
            <w:r w:rsidRPr="00B05C10">
              <w:rPr>
                <w:rFonts w:ascii="Times New Roman" w:hAnsi="Times New Roman" w:cs="Times New Roman"/>
                <w:sz w:val="24"/>
              </w:rPr>
              <w:t xml:space="preserve">  )</w:t>
            </w:r>
          </w:p>
          <w:p w:rsidR="005F220A" w:rsidRPr="00B05C10" w:rsidRDefault="005F220A" w:rsidP="005F220A">
            <w:pPr>
              <w:rPr>
                <w:rFonts w:ascii="Times New Roman" w:hAnsi="Times New Roman" w:cs="Times New Roman"/>
                <w:sz w:val="24"/>
              </w:rPr>
            </w:pPr>
          </w:p>
          <w:p w:rsidR="005F220A" w:rsidRPr="00B05C10" w:rsidRDefault="005F220A" w:rsidP="005F220A">
            <w:pPr>
              <w:rPr>
                <w:rFonts w:ascii="Times New Roman" w:hAnsi="Times New Roman" w:cs="Times New Roman"/>
                <w:sz w:val="24"/>
              </w:rPr>
            </w:pPr>
            <w:r w:rsidRPr="00B05C10">
              <w:rPr>
                <w:rFonts w:ascii="Times New Roman" w:hAnsi="Times New Roman" w:cs="Times New Roman"/>
                <w:sz w:val="24"/>
              </w:rPr>
              <w:t xml:space="preserve">Desarrollo tecnológico con apuesta social </w:t>
            </w:r>
          </w:p>
          <w:p w:rsidR="005F220A" w:rsidRPr="00B05C10" w:rsidRDefault="005F220A" w:rsidP="005F220A">
            <w:pPr>
              <w:rPr>
                <w:rFonts w:ascii="Times New Roman" w:hAnsi="Times New Roman" w:cs="Times New Roman"/>
                <w:sz w:val="24"/>
              </w:rPr>
            </w:pPr>
            <w:r w:rsidRPr="00B05C10">
              <w:rPr>
                <w:rFonts w:ascii="Times New Roman" w:hAnsi="Times New Roman" w:cs="Times New Roman"/>
                <w:sz w:val="24"/>
              </w:rPr>
              <w:t>(  )</w:t>
            </w:r>
          </w:p>
          <w:p w:rsidR="005F220A" w:rsidRPr="00B05C10" w:rsidRDefault="005F220A" w:rsidP="005F220A">
            <w:pPr>
              <w:rPr>
                <w:rFonts w:ascii="Times New Roman" w:hAnsi="Times New Roman" w:cs="Times New Roman"/>
                <w:sz w:val="24"/>
              </w:rPr>
            </w:pPr>
          </w:p>
          <w:p w:rsidR="005F220A" w:rsidRPr="00B05C10" w:rsidRDefault="005F220A" w:rsidP="005F220A">
            <w:pPr>
              <w:rPr>
                <w:rFonts w:ascii="Times New Roman" w:hAnsi="Times New Roman" w:cs="Times New Roman"/>
                <w:sz w:val="24"/>
              </w:rPr>
            </w:pPr>
            <w:r w:rsidRPr="00B05C10">
              <w:rPr>
                <w:rFonts w:ascii="Times New Roman" w:hAnsi="Times New Roman" w:cs="Times New Roman"/>
                <w:sz w:val="24"/>
              </w:rPr>
              <w:t>Desarrollo ambiental sostenible (  )</w:t>
            </w:r>
          </w:p>
          <w:p w:rsidR="005F220A" w:rsidRPr="00B05C10" w:rsidRDefault="005F220A" w:rsidP="005F220A">
            <w:pPr>
              <w:rPr>
                <w:rFonts w:ascii="Times New Roman" w:hAnsi="Times New Roman" w:cs="Times New Roman"/>
                <w:sz w:val="24"/>
              </w:rPr>
            </w:pPr>
          </w:p>
          <w:p w:rsidR="005F220A" w:rsidRPr="00B05C10" w:rsidRDefault="005F220A" w:rsidP="005F220A">
            <w:pPr>
              <w:rPr>
                <w:rFonts w:ascii="Times New Roman" w:hAnsi="Times New Roman" w:cs="Times New Roman"/>
                <w:sz w:val="24"/>
              </w:rPr>
            </w:pPr>
            <w:r w:rsidRPr="00B05C10">
              <w:rPr>
                <w:rFonts w:ascii="Times New Roman" w:hAnsi="Times New Roman" w:cs="Times New Roman"/>
                <w:sz w:val="24"/>
              </w:rPr>
              <w:t xml:space="preserve">Cambio educativo y social desde la multi e interculturalidad ( </w:t>
            </w:r>
            <w:r w:rsidR="00AD6080" w:rsidRPr="00B05C10">
              <w:rPr>
                <w:rFonts w:ascii="Times New Roman" w:hAnsi="Times New Roman" w:cs="Times New Roman"/>
                <w:sz w:val="24"/>
              </w:rPr>
              <w:t>x</w:t>
            </w:r>
            <w:r w:rsidRPr="00B05C10">
              <w:rPr>
                <w:rFonts w:ascii="Times New Roman" w:hAnsi="Times New Roman" w:cs="Times New Roman"/>
                <w:sz w:val="24"/>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20A" w:rsidRPr="00B05C10" w:rsidRDefault="00AD6080" w:rsidP="00AD6080">
            <w:pPr>
              <w:jc w:val="both"/>
              <w:rPr>
                <w:rFonts w:ascii="Times New Roman" w:hAnsi="Times New Roman" w:cs="Times New Roman"/>
                <w:sz w:val="24"/>
              </w:rPr>
            </w:pPr>
            <w:r w:rsidRPr="00B05C10">
              <w:rPr>
                <w:rFonts w:ascii="Times New Roman" w:hAnsi="Times New Roman" w:cs="Times New Roman"/>
                <w:sz w:val="24"/>
              </w:rPr>
              <w:t>PROTECCIÓN SOCIAL Y SALUD PÚBLICA</w:t>
            </w:r>
          </w:p>
        </w:tc>
      </w:tr>
    </w:tbl>
    <w:p w:rsidR="00AD6080" w:rsidRPr="00B05C10" w:rsidRDefault="00AD6080" w:rsidP="005410B3">
      <w:pPr>
        <w:spacing w:before="240"/>
        <w:jc w:val="both"/>
        <w:rPr>
          <w:rFonts w:ascii="Times New Roman" w:hAnsi="Times New Roman" w:cs="Times New Roman"/>
          <w:sz w:val="24"/>
        </w:rPr>
      </w:pPr>
    </w:p>
    <w:p w:rsidR="00EA5FAC" w:rsidRDefault="00EA5FAC" w:rsidP="005410B3">
      <w:pPr>
        <w:spacing w:before="240"/>
        <w:jc w:val="both"/>
        <w:rPr>
          <w:rFonts w:ascii="Times New Roman" w:hAnsi="Times New Roman" w:cs="Times New Roman"/>
          <w:sz w:val="24"/>
        </w:rPr>
      </w:pPr>
    </w:p>
    <w:p w:rsidR="001770D6" w:rsidRPr="00B05C10" w:rsidRDefault="001770D6" w:rsidP="005410B3">
      <w:pPr>
        <w:spacing w:before="240"/>
        <w:jc w:val="both"/>
        <w:rPr>
          <w:rFonts w:ascii="Times New Roman" w:hAnsi="Times New Roman" w:cs="Times New Roman"/>
          <w:sz w:val="24"/>
        </w:rPr>
      </w:pPr>
    </w:p>
    <w:p w:rsidR="00AD6080" w:rsidRPr="00B05C10" w:rsidRDefault="005410B3" w:rsidP="00B16DA5">
      <w:pPr>
        <w:pStyle w:val="Ttulo2"/>
      </w:pPr>
      <w:r w:rsidRPr="00B05C10">
        <w:lastRenderedPageBreak/>
        <w:t>Equipo de investigación</w:t>
      </w:r>
    </w:p>
    <w:p w:rsidR="005B055D" w:rsidRPr="005B055D" w:rsidRDefault="00B647E7" w:rsidP="005410B3">
      <w:pPr>
        <w:spacing w:before="240"/>
        <w:jc w:val="both"/>
        <w:rPr>
          <w:rFonts w:ascii="Times New Roman" w:hAnsi="Times New Roman" w:cs="Times New Roman"/>
        </w:rPr>
      </w:pPr>
      <w:r w:rsidRPr="00B05C10">
        <w:fldChar w:fldCharType="begin"/>
      </w:r>
      <w:r w:rsidRPr="00B05C10">
        <w:instrText xml:space="preserve"> LINK </w:instrText>
      </w:r>
      <w:r w:rsidR="005B055D">
        <w:instrText xml:space="preserve">Excel.Sheet.12 Libro1 Hoja1!F6C7:F13C9 </w:instrText>
      </w:r>
      <w:r w:rsidRPr="00B05C10">
        <w:instrText xml:space="preserve">\a \f 4 \h  \* MERGEFORMAT </w:instrText>
      </w:r>
      <w:r w:rsidR="005B055D" w:rsidRPr="00B05C10">
        <w:fldChar w:fldCharType="separate"/>
      </w:r>
    </w:p>
    <w:tbl>
      <w:tblPr>
        <w:tblW w:w="7928" w:type="dxa"/>
        <w:jc w:val="center"/>
        <w:tblCellMar>
          <w:left w:w="70" w:type="dxa"/>
          <w:right w:w="70" w:type="dxa"/>
        </w:tblCellMar>
        <w:tblLook w:val="04A0" w:firstRow="1" w:lastRow="0" w:firstColumn="1" w:lastColumn="0" w:noHBand="0" w:noVBand="1"/>
      </w:tblPr>
      <w:tblGrid>
        <w:gridCol w:w="2270"/>
        <w:gridCol w:w="1701"/>
        <w:gridCol w:w="2792"/>
        <w:gridCol w:w="1035"/>
        <w:gridCol w:w="1035"/>
      </w:tblGrid>
      <w:tr w:rsidR="005B055D" w:rsidRPr="005B055D" w:rsidTr="005B055D">
        <w:trPr>
          <w:divId w:val="470446316"/>
          <w:trHeight w:val="300"/>
          <w:jc w:val="center"/>
        </w:trPr>
        <w:tc>
          <w:tcPr>
            <w:tcW w:w="79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55D" w:rsidRPr="005B055D" w:rsidRDefault="005B055D" w:rsidP="005B055D">
            <w:pPr>
              <w:spacing w:after="0" w:line="240" w:lineRule="auto"/>
              <w:jc w:val="center"/>
              <w:rPr>
                <w:rFonts w:ascii="Times New Roman" w:eastAsia="Times New Roman" w:hAnsi="Times New Roman" w:cs="Times New Roman"/>
                <w:b/>
                <w:bCs/>
                <w:color w:val="000000"/>
              </w:rPr>
            </w:pPr>
          </w:p>
        </w:tc>
        <w:tc>
          <w:tcPr>
            <w:tcW w:w="1200" w:type="dxa"/>
            <w:tcBorders>
              <w:top w:val="nil"/>
              <w:left w:val="nil"/>
              <w:bottom w:val="nil"/>
              <w:right w:val="nil"/>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sz w:val="20"/>
                <w:szCs w:val="20"/>
              </w:rPr>
            </w:pPr>
          </w:p>
        </w:tc>
      </w:tr>
      <w:tr w:rsidR="005B055D" w:rsidRPr="005B055D" w:rsidTr="005B055D">
        <w:trPr>
          <w:gridAfter w:val="2"/>
          <w:divId w:val="470446316"/>
          <w:wAfter w:w="2400" w:type="dxa"/>
          <w:trHeight w:val="330"/>
          <w:jc w:val="center"/>
        </w:trPr>
        <w:tc>
          <w:tcPr>
            <w:tcW w:w="2660" w:type="dxa"/>
            <w:tcBorders>
              <w:top w:val="nil"/>
              <w:left w:val="single" w:sz="8" w:space="0" w:color="000000"/>
              <w:bottom w:val="single" w:sz="8" w:space="0" w:color="000000"/>
              <w:right w:val="single" w:sz="8" w:space="0" w:color="000000"/>
            </w:tcBorders>
            <w:shd w:val="clear" w:color="000000" w:fill="4472C4"/>
            <w:noWrap/>
            <w:vAlign w:val="bottom"/>
            <w:hideMark/>
          </w:tcPr>
          <w:p w:rsidR="005B055D" w:rsidRPr="005B055D" w:rsidRDefault="005B055D" w:rsidP="005B055D">
            <w:pPr>
              <w:spacing w:after="0" w:line="240" w:lineRule="auto"/>
              <w:jc w:val="center"/>
              <w:rPr>
                <w:rFonts w:ascii="Times New Roman" w:eastAsia="Times New Roman" w:hAnsi="Times New Roman" w:cs="Times New Roman"/>
                <w:color w:val="000000"/>
                <w:sz w:val="24"/>
                <w:szCs w:val="24"/>
              </w:rPr>
            </w:pPr>
          </w:p>
        </w:tc>
        <w:tc>
          <w:tcPr>
            <w:tcW w:w="1988" w:type="dxa"/>
            <w:tcBorders>
              <w:top w:val="nil"/>
              <w:left w:val="nil"/>
              <w:bottom w:val="single" w:sz="8" w:space="0" w:color="000000"/>
              <w:right w:val="single" w:sz="8" w:space="0" w:color="000000"/>
            </w:tcBorders>
            <w:shd w:val="clear" w:color="000000" w:fill="4472C4"/>
            <w:noWrap/>
            <w:vAlign w:val="bottom"/>
            <w:hideMark/>
          </w:tcPr>
          <w:p w:rsidR="005B055D" w:rsidRPr="005B055D" w:rsidRDefault="005B055D" w:rsidP="005B055D">
            <w:pPr>
              <w:spacing w:after="0" w:line="240" w:lineRule="auto"/>
              <w:jc w:val="center"/>
              <w:rPr>
                <w:rFonts w:ascii="Times New Roman" w:eastAsia="Times New Roman" w:hAnsi="Times New Roman" w:cs="Times New Roman"/>
                <w:color w:val="000000"/>
                <w:sz w:val="24"/>
                <w:szCs w:val="24"/>
              </w:rPr>
            </w:pPr>
          </w:p>
        </w:tc>
        <w:tc>
          <w:tcPr>
            <w:tcW w:w="3280" w:type="dxa"/>
            <w:tcBorders>
              <w:top w:val="nil"/>
              <w:left w:val="nil"/>
              <w:bottom w:val="single" w:sz="8" w:space="0" w:color="000000"/>
              <w:right w:val="single" w:sz="8" w:space="0" w:color="000000"/>
            </w:tcBorders>
            <w:shd w:val="clear" w:color="000000" w:fill="4472C4"/>
            <w:noWrap/>
            <w:vAlign w:val="bottom"/>
            <w:hideMark/>
          </w:tcPr>
          <w:p w:rsidR="005B055D" w:rsidRPr="005B055D" w:rsidRDefault="005B055D" w:rsidP="005B055D">
            <w:pPr>
              <w:spacing w:after="0" w:line="240" w:lineRule="auto"/>
              <w:jc w:val="center"/>
              <w:rPr>
                <w:rFonts w:ascii="Times New Roman" w:eastAsia="Times New Roman" w:hAnsi="Times New Roman" w:cs="Times New Roman"/>
                <w:color w:val="000000"/>
                <w:sz w:val="24"/>
                <w:szCs w:val="24"/>
              </w:rPr>
            </w:pPr>
          </w:p>
        </w:tc>
      </w:tr>
      <w:tr w:rsidR="005B055D" w:rsidRPr="005B055D" w:rsidTr="005B055D">
        <w:trPr>
          <w:gridAfter w:val="2"/>
          <w:divId w:val="470446316"/>
          <w:wAfter w:w="2400" w:type="dxa"/>
          <w:trHeight w:val="960"/>
          <w:jc w:val="center"/>
        </w:trPr>
        <w:tc>
          <w:tcPr>
            <w:tcW w:w="2660" w:type="dxa"/>
            <w:tcBorders>
              <w:top w:val="nil"/>
              <w:left w:val="single" w:sz="8" w:space="0" w:color="000000"/>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color w:val="000000"/>
                <w:sz w:val="24"/>
                <w:szCs w:val="24"/>
              </w:rPr>
            </w:pPr>
          </w:p>
        </w:tc>
        <w:tc>
          <w:tcPr>
            <w:tcW w:w="1988" w:type="dxa"/>
            <w:tcBorders>
              <w:top w:val="nil"/>
              <w:left w:val="nil"/>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jc w:val="center"/>
              <w:rPr>
                <w:rFonts w:ascii="Times New Roman" w:eastAsia="Times New Roman" w:hAnsi="Times New Roman" w:cs="Times New Roman"/>
                <w:color w:val="000000"/>
                <w:sz w:val="24"/>
                <w:szCs w:val="24"/>
              </w:rPr>
            </w:pPr>
          </w:p>
        </w:tc>
      </w:tr>
      <w:tr w:rsidR="005B055D" w:rsidRPr="005B055D" w:rsidTr="005B055D">
        <w:trPr>
          <w:gridAfter w:val="2"/>
          <w:divId w:val="470446316"/>
          <w:wAfter w:w="2400" w:type="dxa"/>
          <w:trHeight w:val="645"/>
          <w:jc w:val="center"/>
        </w:trPr>
        <w:tc>
          <w:tcPr>
            <w:tcW w:w="2660" w:type="dxa"/>
            <w:tcBorders>
              <w:top w:val="nil"/>
              <w:left w:val="single" w:sz="8" w:space="0" w:color="000000"/>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color w:val="000000"/>
                <w:sz w:val="24"/>
                <w:szCs w:val="24"/>
              </w:rPr>
            </w:pPr>
          </w:p>
        </w:tc>
        <w:tc>
          <w:tcPr>
            <w:tcW w:w="1988" w:type="dxa"/>
            <w:tcBorders>
              <w:top w:val="nil"/>
              <w:left w:val="nil"/>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jc w:val="center"/>
              <w:rPr>
                <w:rFonts w:ascii="Times New Roman" w:eastAsia="Times New Roman" w:hAnsi="Times New Roman" w:cs="Times New Roman"/>
                <w:color w:val="000000"/>
                <w:sz w:val="24"/>
                <w:szCs w:val="24"/>
              </w:rPr>
            </w:pPr>
          </w:p>
        </w:tc>
      </w:tr>
      <w:tr w:rsidR="005B055D" w:rsidRPr="005B055D" w:rsidTr="005B055D">
        <w:trPr>
          <w:gridAfter w:val="2"/>
          <w:divId w:val="470446316"/>
          <w:wAfter w:w="2400" w:type="dxa"/>
          <w:trHeight w:val="645"/>
          <w:jc w:val="center"/>
        </w:trPr>
        <w:tc>
          <w:tcPr>
            <w:tcW w:w="2660" w:type="dxa"/>
            <w:tcBorders>
              <w:top w:val="nil"/>
              <w:left w:val="single" w:sz="8" w:space="0" w:color="000000"/>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color w:val="000000"/>
                <w:sz w:val="24"/>
                <w:szCs w:val="24"/>
              </w:rPr>
            </w:pPr>
          </w:p>
        </w:tc>
        <w:tc>
          <w:tcPr>
            <w:tcW w:w="1988" w:type="dxa"/>
            <w:tcBorders>
              <w:top w:val="nil"/>
              <w:left w:val="nil"/>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jc w:val="center"/>
              <w:rPr>
                <w:rFonts w:ascii="Times New Roman" w:eastAsia="Times New Roman" w:hAnsi="Times New Roman" w:cs="Times New Roman"/>
                <w:color w:val="000000"/>
                <w:sz w:val="24"/>
                <w:szCs w:val="24"/>
              </w:rPr>
            </w:pPr>
          </w:p>
        </w:tc>
      </w:tr>
      <w:tr w:rsidR="005B055D" w:rsidRPr="005B055D" w:rsidTr="005B055D">
        <w:trPr>
          <w:gridAfter w:val="2"/>
          <w:divId w:val="470446316"/>
          <w:wAfter w:w="2400" w:type="dxa"/>
          <w:trHeight w:val="1275"/>
          <w:jc w:val="center"/>
        </w:trPr>
        <w:tc>
          <w:tcPr>
            <w:tcW w:w="2660" w:type="dxa"/>
            <w:tcBorders>
              <w:top w:val="nil"/>
              <w:left w:val="single" w:sz="8" w:space="0" w:color="000000"/>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color w:val="000000"/>
                <w:sz w:val="24"/>
                <w:szCs w:val="24"/>
              </w:rPr>
            </w:pPr>
          </w:p>
        </w:tc>
        <w:tc>
          <w:tcPr>
            <w:tcW w:w="1988" w:type="dxa"/>
            <w:tcBorders>
              <w:top w:val="nil"/>
              <w:left w:val="nil"/>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jc w:val="center"/>
              <w:rPr>
                <w:rFonts w:ascii="Times New Roman" w:eastAsia="Times New Roman" w:hAnsi="Times New Roman" w:cs="Times New Roman"/>
                <w:color w:val="000000"/>
                <w:sz w:val="24"/>
                <w:szCs w:val="24"/>
              </w:rPr>
            </w:pPr>
          </w:p>
        </w:tc>
      </w:tr>
      <w:tr w:rsidR="005B055D" w:rsidRPr="005B055D" w:rsidTr="005B055D">
        <w:trPr>
          <w:gridAfter w:val="2"/>
          <w:divId w:val="470446316"/>
          <w:wAfter w:w="2400" w:type="dxa"/>
          <w:trHeight w:val="645"/>
          <w:jc w:val="center"/>
        </w:trPr>
        <w:tc>
          <w:tcPr>
            <w:tcW w:w="2660" w:type="dxa"/>
            <w:tcBorders>
              <w:top w:val="nil"/>
              <w:left w:val="single" w:sz="8" w:space="0" w:color="000000"/>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color w:val="000000"/>
                <w:sz w:val="24"/>
                <w:szCs w:val="24"/>
              </w:rPr>
            </w:pPr>
          </w:p>
        </w:tc>
        <w:tc>
          <w:tcPr>
            <w:tcW w:w="1988" w:type="dxa"/>
            <w:tcBorders>
              <w:top w:val="nil"/>
              <w:left w:val="nil"/>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jc w:val="center"/>
              <w:rPr>
                <w:rFonts w:ascii="Times New Roman" w:eastAsia="Times New Roman" w:hAnsi="Times New Roman" w:cs="Times New Roman"/>
                <w:color w:val="000000"/>
                <w:sz w:val="24"/>
                <w:szCs w:val="24"/>
              </w:rPr>
            </w:pPr>
          </w:p>
        </w:tc>
      </w:tr>
      <w:tr w:rsidR="005B055D" w:rsidRPr="005B055D" w:rsidTr="005B055D">
        <w:trPr>
          <w:gridAfter w:val="2"/>
          <w:divId w:val="470446316"/>
          <w:wAfter w:w="2400" w:type="dxa"/>
          <w:trHeight w:val="645"/>
          <w:jc w:val="center"/>
        </w:trPr>
        <w:tc>
          <w:tcPr>
            <w:tcW w:w="2660" w:type="dxa"/>
            <w:tcBorders>
              <w:top w:val="nil"/>
              <w:left w:val="single" w:sz="8" w:space="0" w:color="000000"/>
              <w:bottom w:val="single" w:sz="8" w:space="0" w:color="auto"/>
              <w:right w:val="single" w:sz="8" w:space="0" w:color="000000"/>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color w:val="000000"/>
                <w:sz w:val="24"/>
                <w:szCs w:val="24"/>
              </w:rPr>
            </w:pPr>
          </w:p>
        </w:tc>
        <w:tc>
          <w:tcPr>
            <w:tcW w:w="1988" w:type="dxa"/>
            <w:tcBorders>
              <w:top w:val="nil"/>
              <w:left w:val="nil"/>
              <w:bottom w:val="single" w:sz="8" w:space="0" w:color="auto"/>
              <w:right w:val="single" w:sz="8" w:space="0" w:color="000000"/>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000000"/>
            </w:tcBorders>
            <w:shd w:val="clear" w:color="auto" w:fill="auto"/>
            <w:noWrap/>
            <w:vAlign w:val="bottom"/>
            <w:hideMark/>
          </w:tcPr>
          <w:p w:rsidR="005B055D" w:rsidRPr="005B055D" w:rsidRDefault="005B055D" w:rsidP="005B055D">
            <w:pPr>
              <w:spacing w:after="0" w:line="240" w:lineRule="auto"/>
              <w:jc w:val="center"/>
              <w:rPr>
                <w:rFonts w:ascii="Times New Roman" w:eastAsia="Times New Roman" w:hAnsi="Times New Roman" w:cs="Times New Roman"/>
                <w:color w:val="000000"/>
                <w:sz w:val="24"/>
                <w:szCs w:val="24"/>
              </w:rPr>
            </w:pPr>
          </w:p>
        </w:tc>
      </w:tr>
    </w:tbl>
    <w:p w:rsidR="005B055D" w:rsidRPr="005B055D" w:rsidRDefault="00B647E7" w:rsidP="005410B3">
      <w:pPr>
        <w:spacing w:before="240"/>
        <w:jc w:val="both"/>
        <w:rPr>
          <w:rFonts w:ascii="Times New Roman" w:hAnsi="Times New Roman" w:cs="Times New Roman"/>
        </w:rPr>
      </w:pPr>
      <w:r w:rsidRPr="00B05C10">
        <w:rPr>
          <w:rFonts w:ascii="Times New Roman" w:hAnsi="Times New Roman" w:cs="Times New Roman"/>
          <w:sz w:val="24"/>
        </w:rPr>
        <w:fldChar w:fldCharType="end"/>
      </w:r>
      <w:r w:rsidRPr="00B05C10">
        <w:rPr>
          <w:rFonts w:ascii="Times New Roman" w:hAnsi="Times New Roman" w:cs="Times New Roman"/>
          <w:sz w:val="24"/>
        </w:rPr>
        <w:fldChar w:fldCharType="begin"/>
      </w:r>
      <w:r w:rsidRPr="00B05C10">
        <w:rPr>
          <w:rFonts w:ascii="Times New Roman" w:hAnsi="Times New Roman" w:cs="Times New Roman"/>
          <w:sz w:val="24"/>
        </w:rPr>
        <w:instrText xml:space="preserve"> LINK </w:instrText>
      </w:r>
      <w:r w:rsidR="005B055D">
        <w:rPr>
          <w:rFonts w:ascii="Times New Roman" w:hAnsi="Times New Roman" w:cs="Times New Roman"/>
          <w:sz w:val="24"/>
        </w:rPr>
        <w:instrText xml:space="preserve">Excel.Sheet.12 Libro1 Hoja1!F15C7:F19C10 </w:instrText>
      </w:r>
      <w:r w:rsidRPr="00B05C10">
        <w:rPr>
          <w:rFonts w:ascii="Times New Roman" w:hAnsi="Times New Roman" w:cs="Times New Roman"/>
          <w:sz w:val="24"/>
        </w:rPr>
        <w:instrText xml:space="preserve">\a \f 4 \h </w:instrText>
      </w:r>
      <w:r w:rsidR="00F87BD6" w:rsidRPr="00B05C10">
        <w:rPr>
          <w:rFonts w:ascii="Times New Roman" w:hAnsi="Times New Roman" w:cs="Times New Roman"/>
          <w:sz w:val="24"/>
        </w:rPr>
        <w:instrText xml:space="preserve"> \* MERGEFORMAT </w:instrText>
      </w:r>
      <w:r w:rsidR="005B055D" w:rsidRPr="00B05C10">
        <w:rPr>
          <w:rFonts w:ascii="Times New Roman" w:hAnsi="Times New Roman" w:cs="Times New Roman"/>
          <w:sz w:val="24"/>
        </w:rPr>
        <w:fldChar w:fldCharType="separate"/>
      </w:r>
    </w:p>
    <w:tbl>
      <w:tblPr>
        <w:tblW w:w="9500" w:type="dxa"/>
        <w:tblCellMar>
          <w:left w:w="70" w:type="dxa"/>
          <w:right w:w="70" w:type="dxa"/>
        </w:tblCellMar>
        <w:tblLook w:val="04A0" w:firstRow="1" w:lastRow="0" w:firstColumn="1" w:lastColumn="0" w:noHBand="0" w:noVBand="1"/>
      </w:tblPr>
      <w:tblGrid>
        <w:gridCol w:w="2553"/>
        <w:gridCol w:w="1820"/>
        <w:gridCol w:w="2820"/>
        <w:gridCol w:w="2307"/>
        <w:gridCol w:w="1200"/>
        <w:gridCol w:w="1200"/>
        <w:gridCol w:w="1200"/>
      </w:tblGrid>
      <w:tr w:rsidR="005B055D" w:rsidRPr="005B055D" w:rsidTr="005B055D">
        <w:trPr>
          <w:divId w:val="581646851"/>
          <w:trHeight w:val="217"/>
        </w:trPr>
        <w:tc>
          <w:tcPr>
            <w:tcW w:w="9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55D" w:rsidRPr="005B055D" w:rsidRDefault="005B055D" w:rsidP="005B055D">
            <w:pPr>
              <w:jc w:val="center"/>
              <w:rPr>
                <w:rFonts w:ascii="Times New Roman" w:eastAsia="Times New Roman" w:hAnsi="Times New Roman" w:cs="Times New Roman"/>
                <w:b/>
                <w:bCs/>
                <w:color w:val="000000"/>
                <w:sz w:val="24"/>
                <w:szCs w:val="24"/>
              </w:rPr>
            </w:pPr>
          </w:p>
        </w:tc>
        <w:tc>
          <w:tcPr>
            <w:tcW w:w="1200" w:type="dxa"/>
            <w:tcBorders>
              <w:top w:val="nil"/>
              <w:left w:val="nil"/>
              <w:bottom w:val="nil"/>
              <w:right w:val="nil"/>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sz w:val="20"/>
                <w:szCs w:val="20"/>
              </w:rPr>
            </w:pPr>
          </w:p>
        </w:tc>
      </w:tr>
      <w:tr w:rsidR="005B055D" w:rsidRPr="005B055D" w:rsidTr="005B055D">
        <w:trPr>
          <w:gridAfter w:val="3"/>
          <w:divId w:val="581646851"/>
          <w:wAfter w:w="3600" w:type="dxa"/>
          <w:trHeight w:val="645"/>
        </w:trPr>
        <w:tc>
          <w:tcPr>
            <w:tcW w:w="2553" w:type="dxa"/>
            <w:tcBorders>
              <w:top w:val="nil"/>
              <w:left w:val="single" w:sz="8" w:space="0" w:color="000000"/>
              <w:bottom w:val="single" w:sz="8" w:space="0" w:color="000000"/>
              <w:right w:val="single" w:sz="8" w:space="0" w:color="000000"/>
            </w:tcBorders>
            <w:shd w:val="clear" w:color="000000" w:fill="4472C4"/>
            <w:noWrap/>
            <w:vAlign w:val="bottom"/>
            <w:hideMark/>
          </w:tcPr>
          <w:p w:rsidR="005B055D" w:rsidRPr="005B055D" w:rsidRDefault="005B055D" w:rsidP="005B055D">
            <w:pPr>
              <w:spacing w:after="0" w:line="240" w:lineRule="auto"/>
              <w:jc w:val="center"/>
              <w:rPr>
                <w:rFonts w:ascii="Times New Roman" w:eastAsia="Times New Roman" w:hAnsi="Times New Roman" w:cs="Times New Roman"/>
                <w:color w:val="000000"/>
                <w:sz w:val="24"/>
                <w:szCs w:val="24"/>
              </w:rPr>
            </w:pPr>
          </w:p>
        </w:tc>
        <w:tc>
          <w:tcPr>
            <w:tcW w:w="1820" w:type="dxa"/>
            <w:tcBorders>
              <w:top w:val="nil"/>
              <w:left w:val="nil"/>
              <w:bottom w:val="single" w:sz="8" w:space="0" w:color="000000"/>
              <w:right w:val="single" w:sz="8" w:space="0" w:color="000000"/>
            </w:tcBorders>
            <w:shd w:val="clear" w:color="000000" w:fill="4472C4"/>
            <w:noWrap/>
            <w:vAlign w:val="bottom"/>
            <w:hideMark/>
          </w:tcPr>
          <w:p w:rsidR="005B055D" w:rsidRPr="005B055D" w:rsidRDefault="005B055D" w:rsidP="005B055D">
            <w:pPr>
              <w:spacing w:after="0" w:line="240" w:lineRule="auto"/>
              <w:jc w:val="center"/>
              <w:rPr>
                <w:rFonts w:ascii="Times New Roman" w:eastAsia="Times New Roman" w:hAnsi="Times New Roman" w:cs="Times New Roman"/>
                <w:color w:val="000000"/>
                <w:sz w:val="24"/>
                <w:szCs w:val="24"/>
              </w:rPr>
            </w:pPr>
          </w:p>
        </w:tc>
        <w:tc>
          <w:tcPr>
            <w:tcW w:w="2820" w:type="dxa"/>
            <w:tcBorders>
              <w:top w:val="nil"/>
              <w:left w:val="nil"/>
              <w:bottom w:val="single" w:sz="8" w:space="0" w:color="000000"/>
              <w:right w:val="single" w:sz="8" w:space="0" w:color="000000"/>
            </w:tcBorders>
            <w:shd w:val="clear" w:color="000000" w:fill="4472C4"/>
            <w:noWrap/>
            <w:vAlign w:val="bottom"/>
            <w:hideMark/>
          </w:tcPr>
          <w:p w:rsidR="005B055D" w:rsidRPr="005B055D" w:rsidRDefault="005B055D" w:rsidP="005B055D">
            <w:pPr>
              <w:spacing w:after="0" w:line="240" w:lineRule="auto"/>
              <w:jc w:val="center"/>
              <w:rPr>
                <w:rFonts w:ascii="Times New Roman" w:eastAsia="Times New Roman" w:hAnsi="Times New Roman" w:cs="Times New Roman"/>
                <w:color w:val="000000"/>
                <w:sz w:val="24"/>
                <w:szCs w:val="24"/>
              </w:rPr>
            </w:pPr>
          </w:p>
        </w:tc>
        <w:tc>
          <w:tcPr>
            <w:tcW w:w="2307" w:type="dxa"/>
            <w:tcBorders>
              <w:top w:val="nil"/>
              <w:left w:val="nil"/>
              <w:bottom w:val="single" w:sz="8" w:space="0" w:color="000000"/>
              <w:right w:val="single" w:sz="8" w:space="0" w:color="000000"/>
            </w:tcBorders>
            <w:shd w:val="clear" w:color="000000" w:fill="4472C4"/>
            <w:noWrap/>
            <w:vAlign w:val="bottom"/>
            <w:hideMark/>
          </w:tcPr>
          <w:p w:rsidR="005B055D" w:rsidRPr="005B055D" w:rsidRDefault="005B055D" w:rsidP="005B055D">
            <w:pPr>
              <w:spacing w:after="0" w:line="240" w:lineRule="auto"/>
              <w:jc w:val="center"/>
              <w:rPr>
                <w:rFonts w:ascii="Times New Roman" w:eastAsia="Times New Roman" w:hAnsi="Times New Roman" w:cs="Times New Roman"/>
                <w:color w:val="000000"/>
                <w:sz w:val="24"/>
                <w:szCs w:val="24"/>
              </w:rPr>
            </w:pPr>
          </w:p>
        </w:tc>
      </w:tr>
      <w:tr w:rsidR="005B055D" w:rsidRPr="005B055D" w:rsidTr="005B055D">
        <w:trPr>
          <w:gridAfter w:val="3"/>
          <w:divId w:val="581646851"/>
          <w:wAfter w:w="3600" w:type="dxa"/>
          <w:trHeight w:val="1455"/>
        </w:trPr>
        <w:tc>
          <w:tcPr>
            <w:tcW w:w="2553" w:type="dxa"/>
            <w:tcBorders>
              <w:top w:val="nil"/>
              <w:left w:val="single" w:sz="8" w:space="0" w:color="000000"/>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color w:val="000000"/>
              </w:rPr>
            </w:pPr>
          </w:p>
        </w:tc>
        <w:tc>
          <w:tcPr>
            <w:tcW w:w="1820" w:type="dxa"/>
            <w:tcBorders>
              <w:top w:val="nil"/>
              <w:left w:val="nil"/>
              <w:bottom w:val="nil"/>
              <w:right w:val="single" w:sz="8" w:space="0" w:color="000000"/>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color w:val="000000"/>
                <w:sz w:val="24"/>
                <w:szCs w:val="24"/>
              </w:rPr>
            </w:pPr>
          </w:p>
        </w:tc>
        <w:tc>
          <w:tcPr>
            <w:tcW w:w="2820" w:type="dxa"/>
            <w:tcBorders>
              <w:top w:val="nil"/>
              <w:left w:val="nil"/>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jc w:val="center"/>
              <w:rPr>
                <w:rFonts w:ascii="Times New Roman" w:eastAsia="Times New Roman" w:hAnsi="Times New Roman" w:cs="Times New Roman"/>
                <w:color w:val="000000"/>
                <w:sz w:val="24"/>
                <w:szCs w:val="24"/>
              </w:rPr>
            </w:pPr>
          </w:p>
        </w:tc>
        <w:tc>
          <w:tcPr>
            <w:tcW w:w="2307" w:type="dxa"/>
            <w:tcBorders>
              <w:top w:val="nil"/>
              <w:left w:val="nil"/>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jc w:val="center"/>
              <w:rPr>
                <w:rFonts w:ascii="Times New Roman" w:eastAsia="Times New Roman" w:hAnsi="Times New Roman" w:cs="Times New Roman"/>
                <w:color w:val="000000"/>
                <w:sz w:val="24"/>
                <w:szCs w:val="24"/>
              </w:rPr>
            </w:pPr>
          </w:p>
        </w:tc>
      </w:tr>
      <w:tr w:rsidR="005B055D" w:rsidRPr="005B055D" w:rsidTr="005B055D">
        <w:trPr>
          <w:gridAfter w:val="3"/>
          <w:divId w:val="581646851"/>
          <w:wAfter w:w="3600" w:type="dxa"/>
          <w:trHeight w:val="1275"/>
        </w:trPr>
        <w:tc>
          <w:tcPr>
            <w:tcW w:w="2553" w:type="dxa"/>
            <w:tcBorders>
              <w:top w:val="nil"/>
              <w:left w:val="single" w:sz="8" w:space="0" w:color="000000"/>
              <w:bottom w:val="single" w:sz="8" w:space="0" w:color="000000"/>
              <w:right w:val="nil"/>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color w:val="000000"/>
                <w:sz w:val="24"/>
                <w:szCs w:val="24"/>
              </w:rPr>
            </w:pP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color w:val="000000"/>
                <w:sz w:val="24"/>
                <w:szCs w:val="24"/>
              </w:rPr>
            </w:pPr>
          </w:p>
        </w:tc>
        <w:tc>
          <w:tcPr>
            <w:tcW w:w="2820" w:type="dxa"/>
            <w:tcBorders>
              <w:top w:val="nil"/>
              <w:left w:val="nil"/>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jc w:val="center"/>
              <w:rPr>
                <w:rFonts w:ascii="Times New Roman" w:eastAsia="Times New Roman" w:hAnsi="Times New Roman" w:cs="Times New Roman"/>
                <w:color w:val="000000"/>
                <w:sz w:val="24"/>
                <w:szCs w:val="24"/>
              </w:rPr>
            </w:pPr>
          </w:p>
        </w:tc>
        <w:tc>
          <w:tcPr>
            <w:tcW w:w="2307" w:type="dxa"/>
            <w:tcBorders>
              <w:top w:val="nil"/>
              <w:left w:val="nil"/>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jc w:val="center"/>
              <w:rPr>
                <w:rFonts w:ascii="Times New Roman" w:eastAsia="Times New Roman" w:hAnsi="Times New Roman" w:cs="Times New Roman"/>
                <w:color w:val="000000"/>
                <w:sz w:val="24"/>
                <w:szCs w:val="24"/>
              </w:rPr>
            </w:pPr>
          </w:p>
        </w:tc>
      </w:tr>
      <w:tr w:rsidR="005B055D" w:rsidRPr="005B055D" w:rsidTr="005B055D">
        <w:trPr>
          <w:gridAfter w:val="3"/>
          <w:divId w:val="581646851"/>
          <w:wAfter w:w="3600" w:type="dxa"/>
          <w:trHeight w:val="1398"/>
        </w:trPr>
        <w:tc>
          <w:tcPr>
            <w:tcW w:w="2553" w:type="dxa"/>
            <w:tcBorders>
              <w:top w:val="nil"/>
              <w:left w:val="single" w:sz="8" w:space="0" w:color="000000"/>
              <w:bottom w:val="single" w:sz="8" w:space="0" w:color="000000"/>
              <w:right w:val="nil"/>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color w:val="000000"/>
                <w:sz w:val="24"/>
                <w:szCs w:val="24"/>
              </w:rPr>
            </w:pPr>
          </w:p>
        </w:tc>
        <w:tc>
          <w:tcPr>
            <w:tcW w:w="1820" w:type="dxa"/>
            <w:tcBorders>
              <w:top w:val="nil"/>
              <w:left w:val="single" w:sz="8" w:space="0" w:color="auto"/>
              <w:bottom w:val="single" w:sz="8" w:space="0" w:color="auto"/>
              <w:right w:val="single" w:sz="8" w:space="0" w:color="auto"/>
            </w:tcBorders>
            <w:shd w:val="clear" w:color="auto" w:fill="auto"/>
            <w:noWrap/>
            <w:vAlign w:val="bottom"/>
            <w:hideMark/>
          </w:tcPr>
          <w:p w:rsidR="005B055D" w:rsidRPr="005B055D" w:rsidRDefault="005B055D" w:rsidP="005B055D">
            <w:pPr>
              <w:spacing w:after="0" w:line="240" w:lineRule="auto"/>
              <w:rPr>
                <w:rFonts w:ascii="Times New Roman" w:eastAsia="Times New Roman" w:hAnsi="Times New Roman" w:cs="Times New Roman"/>
                <w:color w:val="000000"/>
                <w:sz w:val="24"/>
                <w:szCs w:val="24"/>
              </w:rPr>
            </w:pPr>
          </w:p>
        </w:tc>
        <w:tc>
          <w:tcPr>
            <w:tcW w:w="2820" w:type="dxa"/>
            <w:tcBorders>
              <w:top w:val="nil"/>
              <w:left w:val="nil"/>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jc w:val="center"/>
              <w:rPr>
                <w:rFonts w:ascii="Times New Roman" w:eastAsia="Times New Roman" w:hAnsi="Times New Roman" w:cs="Times New Roman"/>
                <w:color w:val="000000"/>
                <w:sz w:val="24"/>
                <w:szCs w:val="24"/>
              </w:rPr>
            </w:pPr>
          </w:p>
        </w:tc>
        <w:tc>
          <w:tcPr>
            <w:tcW w:w="2307" w:type="dxa"/>
            <w:tcBorders>
              <w:top w:val="nil"/>
              <w:left w:val="nil"/>
              <w:bottom w:val="single" w:sz="8" w:space="0" w:color="000000"/>
              <w:right w:val="single" w:sz="8" w:space="0" w:color="000000"/>
            </w:tcBorders>
            <w:shd w:val="clear" w:color="auto" w:fill="auto"/>
            <w:noWrap/>
            <w:vAlign w:val="bottom"/>
            <w:hideMark/>
          </w:tcPr>
          <w:p w:rsidR="005B055D" w:rsidRPr="005B055D" w:rsidRDefault="005B055D" w:rsidP="005B055D">
            <w:pPr>
              <w:spacing w:after="0" w:line="240" w:lineRule="auto"/>
              <w:jc w:val="center"/>
              <w:rPr>
                <w:rFonts w:ascii="Times New Roman" w:eastAsia="Times New Roman" w:hAnsi="Times New Roman" w:cs="Times New Roman"/>
                <w:color w:val="000000"/>
                <w:sz w:val="24"/>
                <w:szCs w:val="24"/>
              </w:rPr>
            </w:pPr>
          </w:p>
        </w:tc>
      </w:tr>
    </w:tbl>
    <w:p w:rsidR="00AD6080" w:rsidRPr="00B05C10" w:rsidRDefault="00B647E7" w:rsidP="005410B3">
      <w:pPr>
        <w:spacing w:before="240"/>
        <w:jc w:val="both"/>
        <w:rPr>
          <w:rFonts w:ascii="Times New Roman" w:hAnsi="Times New Roman" w:cs="Times New Roman"/>
          <w:sz w:val="24"/>
        </w:rPr>
      </w:pPr>
      <w:r w:rsidRPr="00B05C10">
        <w:rPr>
          <w:rFonts w:ascii="Times New Roman" w:hAnsi="Times New Roman" w:cs="Times New Roman"/>
          <w:sz w:val="24"/>
        </w:rPr>
        <w:fldChar w:fldCharType="end"/>
      </w:r>
      <w:r w:rsidR="009B7052" w:rsidRPr="00B05C10">
        <w:rPr>
          <w:rFonts w:ascii="Times New Roman" w:hAnsi="Times New Roman" w:cs="Times New Roman"/>
          <w:sz w:val="24"/>
        </w:rPr>
        <w:t>Asistentes de investigación</w:t>
      </w:r>
    </w:p>
    <w:tbl>
      <w:tblPr>
        <w:tblStyle w:val="Tablaconcuadrcula"/>
        <w:tblW w:w="9180" w:type="dxa"/>
        <w:tblLook w:val="04A0" w:firstRow="1" w:lastRow="0" w:firstColumn="1" w:lastColumn="0" w:noHBand="0" w:noVBand="1"/>
      </w:tblPr>
      <w:tblGrid>
        <w:gridCol w:w="3369"/>
        <w:gridCol w:w="5811"/>
      </w:tblGrid>
      <w:tr w:rsidR="00DA78D4" w:rsidRPr="00B05C10" w:rsidTr="00DA78D4">
        <w:tc>
          <w:tcPr>
            <w:tcW w:w="3369" w:type="dxa"/>
            <w:shd w:val="clear" w:color="auto" w:fill="4F81BD" w:themeFill="accent1"/>
          </w:tcPr>
          <w:p w:rsidR="00DA78D4" w:rsidRPr="00B05C10" w:rsidRDefault="00DA78D4" w:rsidP="009B7052">
            <w:pPr>
              <w:rPr>
                <w:rFonts w:ascii="Times New Roman" w:hAnsi="Times New Roman" w:cs="Times New Roman"/>
                <w:sz w:val="24"/>
                <w:szCs w:val="24"/>
              </w:rPr>
            </w:pPr>
            <w:r w:rsidRPr="00B05C10">
              <w:rPr>
                <w:rFonts w:ascii="Times New Roman" w:hAnsi="Times New Roman" w:cs="Times New Roman"/>
                <w:sz w:val="24"/>
                <w:szCs w:val="24"/>
              </w:rPr>
              <w:t>Asistente de investigación</w:t>
            </w:r>
          </w:p>
        </w:tc>
        <w:tc>
          <w:tcPr>
            <w:tcW w:w="5811" w:type="dxa"/>
            <w:shd w:val="clear" w:color="auto" w:fill="4F81BD" w:themeFill="accent1"/>
          </w:tcPr>
          <w:p w:rsidR="00DA78D4" w:rsidRPr="00B05C10" w:rsidRDefault="00DA78D4" w:rsidP="009B7052">
            <w:pPr>
              <w:jc w:val="center"/>
              <w:rPr>
                <w:rFonts w:ascii="Times New Roman" w:hAnsi="Times New Roman" w:cs="Times New Roman"/>
                <w:sz w:val="24"/>
                <w:szCs w:val="24"/>
              </w:rPr>
            </w:pPr>
            <w:r w:rsidRPr="00B05C10">
              <w:rPr>
                <w:rFonts w:ascii="Times New Roman" w:hAnsi="Times New Roman" w:cs="Times New Roman"/>
                <w:sz w:val="24"/>
                <w:szCs w:val="24"/>
              </w:rPr>
              <w:t>Programa</w:t>
            </w:r>
          </w:p>
        </w:tc>
      </w:tr>
      <w:tr w:rsidR="00DA78D4" w:rsidRPr="00B05C10" w:rsidTr="00DA78D4">
        <w:tc>
          <w:tcPr>
            <w:tcW w:w="3369" w:type="dxa"/>
          </w:tcPr>
          <w:p w:rsidR="00DA78D4" w:rsidRPr="00B05C10" w:rsidRDefault="00DA78D4" w:rsidP="009B7052">
            <w:pPr>
              <w:rPr>
                <w:rFonts w:ascii="Times New Roman" w:hAnsi="Times New Roman" w:cs="Times New Roman"/>
                <w:sz w:val="24"/>
                <w:szCs w:val="24"/>
              </w:rPr>
            </w:pPr>
            <w:r w:rsidRPr="00B05C10">
              <w:rPr>
                <w:rFonts w:ascii="Times New Roman" w:hAnsi="Times New Roman" w:cs="Times New Roman"/>
                <w:sz w:val="24"/>
                <w:szCs w:val="24"/>
              </w:rPr>
              <w:t>Maestrante en Salud pública</w:t>
            </w:r>
          </w:p>
        </w:tc>
        <w:tc>
          <w:tcPr>
            <w:tcW w:w="5811" w:type="dxa"/>
          </w:tcPr>
          <w:p w:rsidR="00DA78D4" w:rsidRPr="00B05C10" w:rsidRDefault="00DA78D4" w:rsidP="009B7052">
            <w:pPr>
              <w:jc w:val="center"/>
              <w:rPr>
                <w:rFonts w:ascii="Times New Roman" w:hAnsi="Times New Roman" w:cs="Times New Roman"/>
                <w:sz w:val="24"/>
                <w:szCs w:val="24"/>
              </w:rPr>
            </w:pPr>
            <w:r w:rsidRPr="00B05C10">
              <w:rPr>
                <w:rFonts w:ascii="Times New Roman" w:hAnsi="Times New Roman" w:cs="Times New Roman"/>
                <w:sz w:val="24"/>
                <w:szCs w:val="24"/>
              </w:rPr>
              <w:t>Maestría en salud pública</w:t>
            </w:r>
          </w:p>
        </w:tc>
      </w:tr>
      <w:tr w:rsidR="00DA78D4" w:rsidRPr="00B05C10" w:rsidTr="00DA78D4">
        <w:tc>
          <w:tcPr>
            <w:tcW w:w="3369" w:type="dxa"/>
          </w:tcPr>
          <w:p w:rsidR="00DA78D4" w:rsidRPr="00B05C10" w:rsidRDefault="00DA78D4" w:rsidP="008B25DF">
            <w:pPr>
              <w:rPr>
                <w:rFonts w:ascii="Times New Roman" w:hAnsi="Times New Roman" w:cs="Times New Roman"/>
                <w:sz w:val="24"/>
                <w:szCs w:val="24"/>
              </w:rPr>
            </w:pPr>
            <w:r w:rsidRPr="00B05C10">
              <w:rPr>
                <w:rFonts w:ascii="Times New Roman" w:hAnsi="Times New Roman" w:cs="Times New Roman"/>
                <w:sz w:val="24"/>
                <w:szCs w:val="24"/>
              </w:rPr>
              <w:t>Maestrante en Salud pública</w:t>
            </w:r>
          </w:p>
        </w:tc>
        <w:tc>
          <w:tcPr>
            <w:tcW w:w="5811" w:type="dxa"/>
          </w:tcPr>
          <w:p w:rsidR="00DA78D4" w:rsidRPr="00B05C10" w:rsidRDefault="00DA78D4" w:rsidP="008B25DF">
            <w:pPr>
              <w:jc w:val="center"/>
              <w:rPr>
                <w:rFonts w:ascii="Times New Roman" w:hAnsi="Times New Roman" w:cs="Times New Roman"/>
                <w:sz w:val="24"/>
                <w:szCs w:val="24"/>
              </w:rPr>
            </w:pPr>
            <w:r w:rsidRPr="00B05C10">
              <w:rPr>
                <w:rFonts w:ascii="Times New Roman" w:hAnsi="Times New Roman" w:cs="Times New Roman"/>
                <w:sz w:val="24"/>
                <w:szCs w:val="24"/>
              </w:rPr>
              <w:t>Maestría en salud pública</w:t>
            </w:r>
          </w:p>
        </w:tc>
      </w:tr>
      <w:tr w:rsidR="00DA78D4" w:rsidRPr="00B05C10" w:rsidTr="00DA78D4">
        <w:tc>
          <w:tcPr>
            <w:tcW w:w="3369" w:type="dxa"/>
          </w:tcPr>
          <w:p w:rsidR="00DA78D4" w:rsidRPr="00B05C10" w:rsidRDefault="00DA78D4" w:rsidP="008B25DF">
            <w:pPr>
              <w:rPr>
                <w:rFonts w:ascii="Times New Roman" w:hAnsi="Times New Roman" w:cs="Times New Roman"/>
                <w:sz w:val="24"/>
                <w:szCs w:val="24"/>
              </w:rPr>
            </w:pPr>
            <w:r w:rsidRPr="00B05C10">
              <w:rPr>
                <w:rFonts w:ascii="Times New Roman" w:hAnsi="Times New Roman" w:cs="Times New Roman"/>
                <w:sz w:val="24"/>
                <w:szCs w:val="24"/>
              </w:rPr>
              <w:t>Maestrante en Salud pública</w:t>
            </w:r>
          </w:p>
        </w:tc>
        <w:tc>
          <w:tcPr>
            <w:tcW w:w="5811" w:type="dxa"/>
          </w:tcPr>
          <w:p w:rsidR="00DA78D4" w:rsidRPr="00B05C10" w:rsidRDefault="00DA78D4" w:rsidP="008B25DF">
            <w:pPr>
              <w:jc w:val="center"/>
              <w:rPr>
                <w:rFonts w:ascii="Times New Roman" w:hAnsi="Times New Roman" w:cs="Times New Roman"/>
                <w:sz w:val="24"/>
                <w:szCs w:val="24"/>
              </w:rPr>
            </w:pPr>
            <w:r w:rsidRPr="00B05C10">
              <w:rPr>
                <w:rFonts w:ascii="Times New Roman" w:hAnsi="Times New Roman" w:cs="Times New Roman"/>
                <w:sz w:val="24"/>
                <w:szCs w:val="24"/>
              </w:rPr>
              <w:t>Maestría en salud pública</w:t>
            </w:r>
          </w:p>
        </w:tc>
      </w:tr>
      <w:tr w:rsidR="00DA78D4" w:rsidRPr="00B05C10" w:rsidTr="00DA78D4">
        <w:tc>
          <w:tcPr>
            <w:tcW w:w="3369" w:type="dxa"/>
          </w:tcPr>
          <w:p w:rsidR="00DA78D4" w:rsidRPr="00B05C10" w:rsidRDefault="00DA78D4" w:rsidP="008B25DF">
            <w:pPr>
              <w:rPr>
                <w:rFonts w:ascii="Times New Roman" w:hAnsi="Times New Roman" w:cs="Times New Roman"/>
                <w:sz w:val="24"/>
                <w:szCs w:val="24"/>
              </w:rPr>
            </w:pPr>
            <w:r w:rsidRPr="00B05C10">
              <w:rPr>
                <w:rFonts w:ascii="Times New Roman" w:hAnsi="Times New Roman" w:cs="Times New Roman"/>
                <w:sz w:val="24"/>
                <w:szCs w:val="24"/>
              </w:rPr>
              <w:t>Maestrante en economía o en estadística</w:t>
            </w:r>
          </w:p>
        </w:tc>
        <w:tc>
          <w:tcPr>
            <w:tcW w:w="5811" w:type="dxa"/>
          </w:tcPr>
          <w:p w:rsidR="00DA78D4" w:rsidRPr="00B05C10" w:rsidRDefault="00DA78D4" w:rsidP="008B25DF">
            <w:pPr>
              <w:jc w:val="center"/>
              <w:rPr>
                <w:rFonts w:ascii="Times New Roman" w:hAnsi="Times New Roman" w:cs="Times New Roman"/>
                <w:sz w:val="24"/>
                <w:szCs w:val="24"/>
              </w:rPr>
            </w:pPr>
            <w:r w:rsidRPr="00B05C10">
              <w:rPr>
                <w:rFonts w:ascii="Times New Roman" w:hAnsi="Times New Roman" w:cs="Times New Roman"/>
                <w:sz w:val="24"/>
                <w:szCs w:val="24"/>
              </w:rPr>
              <w:t>Maestría en economía o Maestría en Estadística</w:t>
            </w:r>
          </w:p>
        </w:tc>
      </w:tr>
    </w:tbl>
    <w:p w:rsidR="009B7052" w:rsidRPr="00B05C10" w:rsidRDefault="009B7052" w:rsidP="005410B3">
      <w:pPr>
        <w:spacing w:before="240"/>
        <w:jc w:val="both"/>
        <w:rPr>
          <w:rFonts w:ascii="Times New Roman" w:hAnsi="Times New Roman" w:cs="Times New Roman"/>
          <w:sz w:val="24"/>
        </w:rPr>
      </w:pPr>
    </w:p>
    <w:p w:rsidR="005410B3" w:rsidRPr="006C3223" w:rsidRDefault="005410B3" w:rsidP="006C3223">
      <w:pPr>
        <w:pStyle w:val="Ttulo2"/>
      </w:pPr>
      <w:r w:rsidRPr="006C3223">
        <w:rPr>
          <w:rStyle w:val="Ttulo2Car"/>
        </w:rPr>
        <w:t>Alianza estratégica</w:t>
      </w:r>
      <w:r w:rsidRPr="006C3223">
        <w:t xml:space="preserve"> (mencione si el proyecto se presenta en colaboración con otras instituciones, enuncie el nombre de las instituciones)</w:t>
      </w:r>
    </w:p>
    <w:p w:rsidR="00A406EF" w:rsidRPr="00B05C10" w:rsidRDefault="00A406EF" w:rsidP="00FE153F">
      <w:pPr>
        <w:pStyle w:val="Prrafodelista"/>
        <w:numPr>
          <w:ilvl w:val="0"/>
          <w:numId w:val="2"/>
        </w:numPr>
        <w:jc w:val="both"/>
        <w:rPr>
          <w:rFonts w:ascii="Times New Roman" w:hAnsi="Times New Roman" w:cs="Times New Roman"/>
          <w:sz w:val="24"/>
        </w:rPr>
      </w:pPr>
      <w:r w:rsidRPr="00B05C10">
        <w:rPr>
          <w:rFonts w:ascii="Times New Roman" w:hAnsi="Times New Roman" w:cs="Times New Roman"/>
          <w:sz w:val="24"/>
        </w:rPr>
        <w:t>Universidad Santo Tomas, Sede Bucaramanga, Facultad de Odontología</w:t>
      </w:r>
    </w:p>
    <w:p w:rsidR="00A406EF" w:rsidRPr="00B05C10" w:rsidRDefault="00A406EF" w:rsidP="00FE153F">
      <w:pPr>
        <w:pStyle w:val="Prrafodelista"/>
        <w:numPr>
          <w:ilvl w:val="0"/>
          <w:numId w:val="2"/>
        </w:numPr>
        <w:jc w:val="both"/>
        <w:rPr>
          <w:rFonts w:ascii="Times New Roman" w:hAnsi="Times New Roman" w:cs="Times New Roman"/>
          <w:sz w:val="24"/>
        </w:rPr>
      </w:pPr>
      <w:r w:rsidRPr="00B05C10">
        <w:rPr>
          <w:rFonts w:ascii="Times New Roman" w:hAnsi="Times New Roman" w:cs="Times New Roman"/>
          <w:sz w:val="24"/>
        </w:rPr>
        <w:t xml:space="preserve">Pontificia Universidad Javeriana Cali, </w:t>
      </w:r>
      <w:r w:rsidR="007A09A0">
        <w:rPr>
          <w:rFonts w:ascii="Times New Roman" w:hAnsi="Times New Roman" w:cs="Times New Roman"/>
          <w:sz w:val="24"/>
        </w:rPr>
        <w:t xml:space="preserve">Departamento de Salud Pública y Epidemiologia de la </w:t>
      </w:r>
      <w:r w:rsidRPr="00B05C10">
        <w:rPr>
          <w:rFonts w:ascii="Times New Roman" w:hAnsi="Times New Roman" w:cs="Times New Roman"/>
          <w:sz w:val="24"/>
        </w:rPr>
        <w:t>Facultad de Salud</w:t>
      </w:r>
      <w:r w:rsidR="007A09A0">
        <w:rPr>
          <w:rFonts w:ascii="Times New Roman" w:hAnsi="Times New Roman" w:cs="Times New Roman"/>
          <w:sz w:val="24"/>
        </w:rPr>
        <w:t>.</w:t>
      </w:r>
    </w:p>
    <w:p w:rsidR="00A406EF" w:rsidRPr="00B05C10" w:rsidRDefault="00A406EF" w:rsidP="00FE153F">
      <w:pPr>
        <w:pStyle w:val="Prrafodelista"/>
        <w:numPr>
          <w:ilvl w:val="0"/>
          <w:numId w:val="2"/>
        </w:numPr>
        <w:jc w:val="both"/>
        <w:rPr>
          <w:rFonts w:ascii="Times New Roman" w:hAnsi="Times New Roman" w:cs="Times New Roman"/>
          <w:sz w:val="24"/>
        </w:rPr>
      </w:pPr>
      <w:r w:rsidRPr="00B05C10">
        <w:rPr>
          <w:rFonts w:ascii="Times New Roman" w:hAnsi="Times New Roman" w:cs="Times New Roman"/>
          <w:sz w:val="24"/>
        </w:rPr>
        <w:t>Organización Panamericana de la Salud, Organización Mundial de la Salud, Washington</w:t>
      </w:r>
    </w:p>
    <w:p w:rsidR="00A406EF" w:rsidRPr="00B05C10" w:rsidRDefault="00A406EF" w:rsidP="005410B3">
      <w:pPr>
        <w:jc w:val="both"/>
        <w:rPr>
          <w:rFonts w:ascii="Times New Roman" w:hAnsi="Times New Roman" w:cs="Times New Roman"/>
          <w:sz w:val="24"/>
        </w:rPr>
      </w:pPr>
    </w:p>
    <w:p w:rsidR="005410B3" w:rsidRPr="006C3223" w:rsidRDefault="005410B3" w:rsidP="006C3223">
      <w:pPr>
        <w:pStyle w:val="Ttulo2"/>
      </w:pPr>
      <w:r w:rsidRPr="006C3223">
        <w:rPr>
          <w:rStyle w:val="Ttulo2Car"/>
        </w:rPr>
        <w:t>Resumen de la propuesta</w:t>
      </w:r>
      <w:r w:rsidRPr="006C3223">
        <w:t xml:space="preserve"> (máximo 300 palabras)</w:t>
      </w:r>
    </w:p>
    <w:p w:rsidR="00B16DA5" w:rsidRPr="00B05C10" w:rsidRDefault="002F1965" w:rsidP="004D6CCE">
      <w:pPr>
        <w:shd w:val="clear" w:color="auto" w:fill="FFFFFF"/>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sz w:val="24"/>
        </w:rPr>
        <w:t>La interacción entre salud y trabajo ha sido documentada en salud pública, con énfasis particular en las últimas décadas donde se argumenta que la desregulación laboral, los procesos de precarización y la precariedad se relacionan con peores resultados en salud en la población. Colombia es uno de los países con mayor inequidad</w:t>
      </w:r>
      <w:r w:rsidR="009C4FD9">
        <w:rPr>
          <w:rFonts w:ascii="Times New Roman" w:hAnsi="Times New Roman" w:cs="Times New Roman"/>
          <w:sz w:val="24"/>
        </w:rPr>
        <w:t xml:space="preserve"> social</w:t>
      </w:r>
      <w:r>
        <w:rPr>
          <w:rFonts w:ascii="Times New Roman" w:hAnsi="Times New Roman" w:cs="Times New Roman"/>
          <w:sz w:val="24"/>
        </w:rPr>
        <w:t xml:space="preserve"> y con mayores cifras de economía informal. Asimismo, se dice que desde la década de los noventa el país </w:t>
      </w:r>
      <w:r w:rsidR="00CB04C0">
        <w:rPr>
          <w:rFonts w:ascii="Times New Roman" w:hAnsi="Times New Roman" w:cs="Times New Roman"/>
          <w:sz w:val="24"/>
        </w:rPr>
        <w:t xml:space="preserve">sufre un proceso de desregulación laboral, que acompañado a la reforma del sistema de salud y a otros procesos políticos, impactan de forma  sustantiva </w:t>
      </w:r>
      <w:r w:rsidR="008021C1">
        <w:rPr>
          <w:rFonts w:ascii="Times New Roman" w:hAnsi="Times New Roman" w:cs="Times New Roman"/>
          <w:sz w:val="24"/>
        </w:rPr>
        <w:t>en</w:t>
      </w:r>
      <w:r w:rsidR="00CB04C0">
        <w:rPr>
          <w:rFonts w:ascii="Times New Roman" w:hAnsi="Times New Roman" w:cs="Times New Roman"/>
          <w:sz w:val="24"/>
        </w:rPr>
        <w:t xml:space="preserve"> los profesionales de la salud.  Dado lo anterior</w:t>
      </w:r>
      <w:r w:rsidR="008021C1">
        <w:rPr>
          <w:rFonts w:ascii="Times New Roman" w:hAnsi="Times New Roman" w:cs="Times New Roman"/>
          <w:sz w:val="24"/>
        </w:rPr>
        <w:t>,</w:t>
      </w:r>
      <w:r w:rsidR="00CB04C0">
        <w:rPr>
          <w:rFonts w:ascii="Times New Roman" w:hAnsi="Times New Roman" w:cs="Times New Roman"/>
          <w:sz w:val="24"/>
        </w:rPr>
        <w:t xml:space="preserve"> se plantea </w:t>
      </w:r>
      <w:r w:rsidR="009C4FD9">
        <w:rPr>
          <w:rFonts w:ascii="Times New Roman" w:hAnsi="Times New Roman" w:cs="Times New Roman"/>
          <w:sz w:val="24"/>
        </w:rPr>
        <w:t xml:space="preserve">como </w:t>
      </w:r>
      <w:r w:rsidR="008021C1">
        <w:rPr>
          <w:rFonts w:ascii="Times New Roman" w:hAnsi="Times New Roman" w:cs="Times New Roman"/>
          <w:sz w:val="24"/>
        </w:rPr>
        <w:t>propósito</w:t>
      </w:r>
      <w:r w:rsidR="009C4FD9">
        <w:rPr>
          <w:rFonts w:ascii="Times New Roman" w:hAnsi="Times New Roman" w:cs="Times New Roman"/>
          <w:sz w:val="24"/>
        </w:rPr>
        <w:t xml:space="preserve"> general</w:t>
      </w:r>
      <w:r w:rsidR="008021C1">
        <w:rPr>
          <w:rFonts w:ascii="Times New Roman" w:hAnsi="Times New Roman" w:cs="Times New Roman"/>
          <w:sz w:val="24"/>
        </w:rPr>
        <w:t>:</w:t>
      </w:r>
      <w:r w:rsidR="009C4FD9">
        <w:rPr>
          <w:rFonts w:ascii="Times New Roman" w:hAnsi="Times New Roman" w:cs="Times New Roman"/>
          <w:sz w:val="24"/>
        </w:rPr>
        <w:t xml:space="preserve"> </w:t>
      </w:r>
      <w:r w:rsidR="004D6CCE">
        <w:rPr>
          <w:rFonts w:ascii="Times New Roman" w:hAnsi="Times New Roman" w:cs="Times New Roman"/>
          <w:sz w:val="24"/>
        </w:rPr>
        <w:t xml:space="preserve">analizar las interacciones </w:t>
      </w:r>
      <w:r w:rsidR="009C4FD9">
        <w:rPr>
          <w:rFonts w:ascii="Times New Roman" w:hAnsi="Times New Roman" w:cs="Times New Roman"/>
          <w:sz w:val="24"/>
        </w:rPr>
        <w:t xml:space="preserve"> </w:t>
      </w:r>
      <w:r w:rsidR="004D6CCE">
        <w:rPr>
          <w:rFonts w:ascii="Times New Roman" w:eastAsia="Calibri" w:hAnsi="Times New Roman" w:cs="Times New Roman"/>
          <w:color w:val="000000"/>
          <w:sz w:val="24"/>
          <w:lang w:eastAsia="en-US"/>
        </w:rPr>
        <w:t xml:space="preserve">salud- trabajo en la población colombiana, y el objetivo de la primera Fase es Comprender la configuración del </w:t>
      </w:r>
      <w:r w:rsidR="004D6CCE">
        <w:rPr>
          <w:rFonts w:ascii="Times New Roman" w:eastAsia="Calibri" w:hAnsi="Times New Roman" w:cs="Times New Roman"/>
          <w:color w:val="000000"/>
          <w:sz w:val="24"/>
          <w:lang w:eastAsia="en-US"/>
        </w:rPr>
        <w:lastRenderedPageBreak/>
        <w:t xml:space="preserve">entorno laboral y las </w:t>
      </w:r>
      <w:r w:rsidR="009C4FD9" w:rsidRPr="00B05C10">
        <w:rPr>
          <w:rFonts w:ascii="Times New Roman" w:eastAsia="Calibri" w:hAnsi="Times New Roman" w:cs="Times New Roman"/>
          <w:color w:val="000000"/>
          <w:sz w:val="24"/>
          <w:lang w:eastAsia="en-US"/>
        </w:rPr>
        <w:t>condiciones de</w:t>
      </w:r>
      <w:r w:rsidR="004D6CCE">
        <w:rPr>
          <w:rFonts w:ascii="Times New Roman" w:eastAsia="Calibri" w:hAnsi="Times New Roman" w:cs="Times New Roman"/>
          <w:color w:val="000000"/>
          <w:sz w:val="24"/>
          <w:lang w:eastAsia="en-US"/>
        </w:rPr>
        <w:t xml:space="preserve"> salud y</w:t>
      </w:r>
      <w:r w:rsidR="009C4FD9" w:rsidRPr="00B05C10">
        <w:rPr>
          <w:rFonts w:ascii="Times New Roman" w:eastAsia="Calibri" w:hAnsi="Times New Roman" w:cs="Times New Roman"/>
          <w:color w:val="000000"/>
          <w:sz w:val="24"/>
          <w:lang w:eastAsia="en-US"/>
        </w:rPr>
        <w:t xml:space="preserve"> trabajo </w:t>
      </w:r>
      <w:r w:rsidR="004D6CCE">
        <w:rPr>
          <w:rFonts w:ascii="Times New Roman" w:eastAsia="Calibri" w:hAnsi="Times New Roman" w:cs="Times New Roman"/>
          <w:color w:val="000000"/>
          <w:sz w:val="24"/>
          <w:lang w:eastAsia="en-US"/>
        </w:rPr>
        <w:t>de los profesionales de la salud colombianos. Para ello, se propone un diseño mixto concurrente con tres componentes: heurís</w:t>
      </w:r>
      <w:r w:rsidR="00D24055">
        <w:rPr>
          <w:rFonts w:ascii="Times New Roman" w:eastAsia="Calibri" w:hAnsi="Times New Roman" w:cs="Times New Roman"/>
          <w:color w:val="000000"/>
          <w:sz w:val="24"/>
          <w:lang w:eastAsia="en-US"/>
        </w:rPr>
        <w:t xml:space="preserve">tico que se </w:t>
      </w:r>
      <w:r w:rsidR="005E4C48">
        <w:rPr>
          <w:rFonts w:ascii="Times New Roman" w:eastAsia="Calibri" w:hAnsi="Times New Roman" w:cs="Times New Roman"/>
          <w:color w:val="000000"/>
          <w:sz w:val="24"/>
          <w:lang w:eastAsia="en-US"/>
        </w:rPr>
        <w:t>concentrará</w:t>
      </w:r>
      <w:r w:rsidR="00D24055">
        <w:rPr>
          <w:rFonts w:ascii="Times New Roman" w:eastAsia="Calibri" w:hAnsi="Times New Roman" w:cs="Times New Roman"/>
          <w:color w:val="000000"/>
          <w:sz w:val="24"/>
          <w:lang w:eastAsia="en-US"/>
        </w:rPr>
        <w:t xml:space="preserve"> en el análisis documental y de contexto qu</w:t>
      </w:r>
      <w:r w:rsidR="005E4C48">
        <w:rPr>
          <w:rFonts w:ascii="Times New Roman" w:eastAsia="Calibri" w:hAnsi="Times New Roman" w:cs="Times New Roman"/>
          <w:color w:val="000000"/>
          <w:sz w:val="24"/>
          <w:lang w:eastAsia="en-US"/>
        </w:rPr>
        <w:t xml:space="preserve">e configura el entorno laboral. </w:t>
      </w:r>
      <w:r w:rsidR="00D24055">
        <w:rPr>
          <w:rFonts w:ascii="Times New Roman" w:eastAsia="Calibri" w:hAnsi="Times New Roman" w:cs="Times New Roman"/>
          <w:color w:val="000000"/>
          <w:sz w:val="24"/>
          <w:lang w:eastAsia="en-US"/>
        </w:rPr>
        <w:t>Un E</w:t>
      </w:r>
      <w:r w:rsidR="001770D6">
        <w:rPr>
          <w:rFonts w:ascii="Times New Roman" w:eastAsia="Calibri" w:hAnsi="Times New Roman" w:cs="Times New Roman"/>
          <w:color w:val="000000"/>
          <w:sz w:val="24"/>
          <w:lang w:eastAsia="en-US"/>
        </w:rPr>
        <w:t xml:space="preserve">xploratorio transversal </w:t>
      </w:r>
      <w:r w:rsidR="005E4C48">
        <w:rPr>
          <w:rFonts w:ascii="Times New Roman" w:eastAsia="Calibri" w:hAnsi="Times New Roman" w:cs="Times New Roman"/>
          <w:color w:val="000000"/>
          <w:sz w:val="24"/>
          <w:lang w:eastAsia="en-US"/>
        </w:rPr>
        <w:t xml:space="preserve">para determinar las condiciones de salud y trabajo a partir del uso de datos secundarios provenientes de encuestas multisectoriales </w:t>
      </w:r>
      <w:r w:rsidR="001770D6">
        <w:rPr>
          <w:rFonts w:ascii="Times New Roman" w:eastAsia="Calibri" w:hAnsi="Times New Roman" w:cs="Times New Roman"/>
          <w:color w:val="000000"/>
          <w:sz w:val="24"/>
          <w:lang w:eastAsia="en-US"/>
        </w:rPr>
        <w:t>y</w:t>
      </w:r>
      <w:r w:rsidR="004D6CCE">
        <w:rPr>
          <w:rFonts w:ascii="Times New Roman" w:eastAsia="Calibri" w:hAnsi="Times New Roman" w:cs="Times New Roman"/>
          <w:color w:val="000000"/>
          <w:sz w:val="24"/>
          <w:lang w:eastAsia="en-US"/>
        </w:rPr>
        <w:t xml:space="preserve"> </w:t>
      </w:r>
      <w:r w:rsidR="005E4C48">
        <w:rPr>
          <w:rFonts w:ascii="Times New Roman" w:eastAsia="Calibri" w:hAnsi="Times New Roman" w:cs="Times New Roman"/>
          <w:color w:val="000000"/>
          <w:sz w:val="24"/>
          <w:lang w:eastAsia="en-US"/>
        </w:rPr>
        <w:t xml:space="preserve">uno </w:t>
      </w:r>
      <w:r w:rsidR="004D6CCE">
        <w:rPr>
          <w:rFonts w:ascii="Times New Roman" w:eastAsia="Calibri" w:hAnsi="Times New Roman" w:cs="Times New Roman"/>
          <w:color w:val="000000"/>
          <w:sz w:val="24"/>
          <w:lang w:eastAsia="en-US"/>
        </w:rPr>
        <w:t xml:space="preserve">cualitativo de casos </w:t>
      </w:r>
      <w:r w:rsidR="005E4C48">
        <w:rPr>
          <w:rFonts w:ascii="Times New Roman" w:eastAsia="Calibri" w:hAnsi="Times New Roman" w:cs="Times New Roman"/>
          <w:color w:val="000000"/>
          <w:sz w:val="24"/>
          <w:lang w:eastAsia="en-US"/>
        </w:rPr>
        <w:t>a partir de un muestreo teórico en las ciudades seleccionadas para establecer relaciones de violencia laboral en el sector salud. Como resultados se espera tener una configuración histórica procesual del entorno laboral en las dimensiones macro y menso, así como una caracterización de las condiciones de trabajo en el sector salud, para discutir la existencia o no de precariedad laboral y un análisis de posibles expresiones de violencia asociadas al trabajo, elementos que a su vez permitirán emitir recomendaciones de política pública.</w:t>
      </w:r>
    </w:p>
    <w:p w:rsidR="00B16DA5" w:rsidRDefault="005410B3" w:rsidP="00B16DA5">
      <w:pPr>
        <w:pStyle w:val="Ttulo2"/>
      </w:pPr>
      <w:r w:rsidRPr="00B05C10">
        <w:t>Palabras clave</w:t>
      </w:r>
      <w:r w:rsidR="005B4202">
        <w:t>:</w:t>
      </w:r>
    </w:p>
    <w:p w:rsidR="005410B3" w:rsidRDefault="004D6CCE" w:rsidP="00B16DA5">
      <w:pPr>
        <w:pStyle w:val="Prrafodelista"/>
        <w:jc w:val="both"/>
        <w:rPr>
          <w:rFonts w:ascii="Times New Roman" w:hAnsi="Times New Roman" w:cs="Times New Roman"/>
          <w:sz w:val="24"/>
        </w:rPr>
      </w:pPr>
      <w:r>
        <w:rPr>
          <w:rFonts w:ascii="Times New Roman" w:hAnsi="Times New Roman" w:cs="Times New Roman"/>
          <w:sz w:val="24"/>
        </w:rPr>
        <w:t>Español: s</w:t>
      </w:r>
      <w:r w:rsidR="005B4202">
        <w:rPr>
          <w:rFonts w:ascii="Times New Roman" w:hAnsi="Times New Roman" w:cs="Times New Roman"/>
          <w:sz w:val="24"/>
        </w:rPr>
        <w:t>alud, trabajo, trabajadores de la salud, entorno laboral, condiciones de trabajo</w:t>
      </w:r>
      <w:r w:rsidR="005410B3" w:rsidRPr="00B05C10">
        <w:rPr>
          <w:rFonts w:ascii="Times New Roman" w:hAnsi="Times New Roman" w:cs="Times New Roman"/>
          <w:sz w:val="24"/>
        </w:rPr>
        <w:t xml:space="preserve"> </w:t>
      </w:r>
    </w:p>
    <w:p w:rsidR="004D6CCE" w:rsidRPr="00B05C10" w:rsidRDefault="00E95A41" w:rsidP="00B16DA5">
      <w:pPr>
        <w:pStyle w:val="Prrafodelista"/>
        <w:jc w:val="both"/>
        <w:rPr>
          <w:rFonts w:ascii="Times New Roman" w:hAnsi="Times New Roman" w:cs="Times New Roman"/>
          <w:sz w:val="24"/>
        </w:rPr>
      </w:pPr>
      <w:r>
        <w:rPr>
          <w:rFonts w:ascii="Times New Roman" w:hAnsi="Times New Roman" w:cs="Times New Roman"/>
          <w:sz w:val="24"/>
        </w:rPr>
        <w:t>Inglés</w:t>
      </w:r>
      <w:r w:rsidR="004D6CCE">
        <w:rPr>
          <w:rFonts w:ascii="Times New Roman" w:hAnsi="Times New Roman" w:cs="Times New Roman"/>
          <w:sz w:val="24"/>
        </w:rPr>
        <w:t>: health, work or job, health of physician, working conditions, working laboral</w:t>
      </w:r>
    </w:p>
    <w:p w:rsidR="005410B3" w:rsidRPr="00B05C10" w:rsidRDefault="005410B3" w:rsidP="00B16DA5">
      <w:pPr>
        <w:pStyle w:val="Ttulo2"/>
      </w:pPr>
      <w:r w:rsidRPr="00B05C10">
        <w:t>Planteamiento del problema y pregunta de investigación</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La relación salud y trabajo se ha establecido como una interdependencia recíproca entre estos dos componentes. Las transformaciones sociales a partir de las configuraciones del trabajo en los diferentes modos de producción han conllevado a condiciones de salud expresadas en las formas de vivir y enfermar. Una comunidad o un país mejoran el nivel de salud de su población cuando aseguran que todas las personas en condiciones de trabajar puedan acceder a un empleo que satisfaga no sólo sus necesidades económicas básicas, sino que llene también los otros aspectos positivos del trabajo.</w:t>
      </w:r>
      <w:sdt>
        <w:sdtPr>
          <w:rPr>
            <w:rFonts w:ascii="Times New Roman" w:eastAsia="Calibri" w:hAnsi="Times New Roman" w:cs="Times New Roman"/>
            <w:color w:val="000000"/>
            <w:sz w:val="24"/>
            <w:lang w:eastAsia="en-US"/>
          </w:rPr>
          <w:id w:val="-796222142"/>
          <w:citation/>
        </w:sdtPr>
        <w:sdtEndPr/>
        <w:sdtContent>
          <w:r w:rsidRPr="00B05C10">
            <w:rPr>
              <w:rFonts w:ascii="Times New Roman" w:eastAsia="Calibri" w:hAnsi="Times New Roman" w:cs="Times New Roman"/>
              <w:color w:val="000000"/>
              <w:sz w:val="24"/>
              <w:lang w:eastAsia="en-US"/>
            </w:rPr>
            <w:fldChar w:fldCharType="begin"/>
          </w:r>
          <w:r w:rsidRPr="00B05C10">
            <w:rPr>
              <w:rFonts w:ascii="Times New Roman" w:eastAsia="Calibri" w:hAnsi="Times New Roman" w:cs="Times New Roman"/>
              <w:color w:val="000000"/>
              <w:sz w:val="24"/>
              <w:lang w:eastAsia="en-US"/>
            </w:rPr>
            <w:instrText xml:space="preserve"> CITATION Par03 \l 9226 </w:instrText>
          </w:r>
          <w:r w:rsidRPr="00B05C10">
            <w:rPr>
              <w:rFonts w:ascii="Times New Roman" w:eastAsia="Calibri" w:hAnsi="Times New Roman" w:cs="Times New Roman"/>
              <w:color w:val="000000"/>
              <w:sz w:val="24"/>
              <w:lang w:eastAsia="en-US"/>
            </w:rPr>
            <w:fldChar w:fldCharType="separate"/>
          </w:r>
          <w:r w:rsidR="002D4DA6">
            <w:rPr>
              <w:rFonts w:ascii="Times New Roman" w:eastAsia="Calibri" w:hAnsi="Times New Roman" w:cs="Times New Roman"/>
              <w:noProof/>
              <w:color w:val="000000"/>
              <w:sz w:val="24"/>
              <w:lang w:eastAsia="en-US"/>
            </w:rPr>
            <w:t xml:space="preserve"> </w:t>
          </w:r>
          <w:r w:rsidR="002D4DA6" w:rsidRPr="002D4DA6">
            <w:rPr>
              <w:rFonts w:ascii="Times New Roman" w:eastAsia="Calibri" w:hAnsi="Times New Roman" w:cs="Times New Roman"/>
              <w:noProof/>
              <w:color w:val="000000"/>
              <w:sz w:val="24"/>
              <w:lang w:eastAsia="en-US"/>
            </w:rPr>
            <w:t>(Parra, 2003)</w:t>
          </w:r>
          <w:r w:rsidRPr="00B05C10">
            <w:rPr>
              <w:rFonts w:ascii="Times New Roman" w:eastAsia="Calibri" w:hAnsi="Times New Roman" w:cs="Times New Roman"/>
              <w:color w:val="000000"/>
              <w:sz w:val="24"/>
              <w:lang w:eastAsia="en-US"/>
            </w:rPr>
            <w:fldChar w:fldCharType="end"/>
          </w:r>
        </w:sdtContent>
      </w:sdt>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 xml:space="preserve">Por entorno de trabajo se entiende todas las circunstancias externas e internas que rodean la esfera laboral las cuales incluyen desde los aspectos sociales, culturales y económicos que </w:t>
      </w:r>
      <w:r w:rsidRPr="00B05C10">
        <w:rPr>
          <w:rFonts w:ascii="Times New Roman" w:eastAsia="Calibri" w:hAnsi="Times New Roman" w:cs="Times New Roman"/>
          <w:color w:val="000000"/>
          <w:sz w:val="24"/>
          <w:lang w:eastAsia="en-US"/>
        </w:rPr>
        <w:lastRenderedPageBreak/>
        <w:t xml:space="preserve">median en la relación laboral, de tal forma que algunos clasifican dicho entorno como externo, </w:t>
      </w:r>
      <w:r w:rsidR="002D4DA6">
        <w:rPr>
          <w:rFonts w:ascii="Times New Roman" w:eastAsia="Calibri" w:hAnsi="Times New Roman" w:cs="Times New Roman"/>
          <w:color w:val="000000"/>
          <w:sz w:val="24"/>
          <w:lang w:eastAsia="en-US"/>
        </w:rPr>
        <w:t>interno y microentorno (Cabanelas</w:t>
      </w:r>
      <w:r w:rsidRPr="00B05C10">
        <w:rPr>
          <w:rFonts w:ascii="Times New Roman" w:eastAsia="Calibri" w:hAnsi="Times New Roman" w:cs="Times New Roman"/>
          <w:color w:val="000000"/>
          <w:sz w:val="24"/>
          <w:lang w:eastAsia="en-US"/>
        </w:rPr>
        <w:t>, J 1997).</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Por su parte las condiciones de trabajo, si bien no se separan del concepto de entorno, hacen referencia a los aspectos que influyen de manera directa en el desarrollo de un trabajo y que incluyen desde el tipo de relación laboral y la remuneración, así como, la carga de trabajo (esfuerzo físico, mental y psicológico), la organización del trabajo (jornada, ritmo laboral, relaciones sociales), y las condiciones de infraestructura y seguridad para la reducción de riesgos</w:t>
      </w:r>
      <w:r w:rsidR="00D005E7" w:rsidRPr="00B05C10">
        <w:rPr>
          <w:rFonts w:ascii="Times New Roman" w:eastAsia="Calibri" w:hAnsi="Times New Roman" w:cs="Times New Roman"/>
          <w:color w:val="000000"/>
          <w:sz w:val="24"/>
          <w:lang w:eastAsia="en-US"/>
        </w:rPr>
        <w:t>.</w:t>
      </w:r>
      <w:r w:rsidR="00D005E7">
        <w:rPr>
          <w:rFonts w:ascii="Times New Roman" w:eastAsia="Calibri" w:hAnsi="Times New Roman" w:cs="Times New Roman"/>
          <w:color w:val="000000"/>
          <w:sz w:val="24"/>
          <w:lang w:eastAsia="en-US"/>
        </w:rPr>
        <w:t xml:space="preserve"> (OMS, 2010)</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El proceso globalizador trajo consigo la implementación de mecanismos jurídicos, reformas y estrategias, y su objetivo se ha centrado en quitar rigidez a la legislación laboral, con el fin de permitir que el trabajo se flexi</w:t>
      </w:r>
      <w:r w:rsidR="001770D6">
        <w:rPr>
          <w:rFonts w:ascii="Times New Roman" w:eastAsia="Calibri" w:hAnsi="Times New Roman" w:cs="Times New Roman"/>
          <w:color w:val="000000"/>
          <w:sz w:val="24"/>
          <w:lang w:eastAsia="en-US"/>
        </w:rPr>
        <w:t>bilice y sea precario</w:t>
      </w:r>
      <w:r w:rsidRPr="00B05C10">
        <w:rPr>
          <w:rFonts w:ascii="Times New Roman" w:eastAsia="Calibri" w:hAnsi="Times New Roman" w:cs="Times New Roman"/>
          <w:color w:val="000000"/>
          <w:sz w:val="24"/>
          <w:lang w:eastAsia="en-US"/>
        </w:rPr>
        <w:t>, lo cual se evidencia en el rompimiento de las relaciones laborales de protección del trabajador (Lozano W, 1998, Gómez A, 2013)</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La precarización laboral tiene componentes económicos como la reducción salarial y de ingresos, pero también componentes jurídicos reflejados en los tipos de contratación laboral que legalizan formas inestables de inserción laboral y le dan una connotación de labilidad a la relación laboral que conlleva a inseguridad e incertidumbre en los ingresos presentes y futuros y reproducen formas de exclusión, pues las sociedades pierden la capacidad de</w:t>
      </w:r>
      <w:r w:rsidR="00C07724">
        <w:rPr>
          <w:rFonts w:ascii="Times New Roman" w:eastAsia="Calibri" w:hAnsi="Times New Roman" w:cs="Times New Roman"/>
          <w:color w:val="000000"/>
          <w:sz w:val="24"/>
          <w:lang w:eastAsia="en-US"/>
        </w:rPr>
        <w:t xml:space="preserve"> integrar a todos sus miembros </w:t>
      </w:r>
      <w:r w:rsidRPr="00B05C10">
        <w:rPr>
          <w:rFonts w:ascii="Times New Roman" w:eastAsia="Calibri" w:hAnsi="Times New Roman" w:cs="Times New Roman"/>
          <w:color w:val="000000"/>
          <w:sz w:val="24"/>
          <w:lang w:eastAsia="en-US"/>
        </w:rPr>
        <w:t>(Suárez et Al, 2005).</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De ahí que se observe como consecuencia la elevación del empleo informal, mantenimiento de niveles significativos de desempleo con mayor afectación sobre mujeres y jóvenes que ingresan al mercado, con un deterioro de los salarios reales y por tanto reducción del ingr</w:t>
      </w:r>
      <w:r w:rsidR="00472AFE">
        <w:rPr>
          <w:rFonts w:ascii="Times New Roman" w:eastAsia="Calibri" w:hAnsi="Times New Roman" w:cs="Times New Roman"/>
          <w:color w:val="000000"/>
          <w:sz w:val="24"/>
          <w:lang w:eastAsia="en-US"/>
        </w:rPr>
        <w:t>eso de las familias (CEPAL, 2017</w:t>
      </w:r>
      <w:r w:rsidRPr="00B05C10">
        <w:rPr>
          <w:rFonts w:ascii="Times New Roman" w:eastAsia="Calibri" w:hAnsi="Times New Roman" w:cs="Times New Roman"/>
          <w:color w:val="000000"/>
          <w:sz w:val="24"/>
          <w:lang w:eastAsia="en-US"/>
        </w:rPr>
        <w:t>)</w:t>
      </w:r>
    </w:p>
    <w:p w:rsidR="003751B1" w:rsidRPr="00B05C10" w:rsidRDefault="003751B1" w:rsidP="003751B1">
      <w:pPr>
        <w:spacing w:line="240" w:lineRule="auto"/>
        <w:jc w:val="center"/>
        <w:rPr>
          <w:rFonts w:ascii="Times New Roman" w:eastAsia="Calibri" w:hAnsi="Times New Roman" w:cs="Times New Roman"/>
          <w:i/>
          <w:iCs/>
          <w:color w:val="44546A"/>
          <w:sz w:val="18"/>
          <w:szCs w:val="18"/>
          <w:lang w:eastAsia="en-US"/>
        </w:rPr>
      </w:pPr>
      <w:r w:rsidRPr="00B05C10">
        <w:rPr>
          <w:rFonts w:ascii="Times New Roman" w:eastAsia="Calibri" w:hAnsi="Times New Roman" w:cs="Times New Roman"/>
          <w:i/>
          <w:iCs/>
          <w:color w:val="44546A"/>
          <w:sz w:val="18"/>
          <w:szCs w:val="18"/>
          <w:lang w:eastAsia="en-US"/>
        </w:rPr>
        <w:t xml:space="preserve">Figura </w:t>
      </w:r>
      <w:r w:rsidRPr="00B05C10">
        <w:rPr>
          <w:rFonts w:ascii="Times New Roman" w:eastAsia="Calibri" w:hAnsi="Times New Roman" w:cs="Times New Roman"/>
          <w:i/>
          <w:iCs/>
          <w:color w:val="44546A"/>
          <w:sz w:val="18"/>
          <w:szCs w:val="18"/>
          <w:lang w:eastAsia="en-US"/>
        </w:rPr>
        <w:fldChar w:fldCharType="begin"/>
      </w:r>
      <w:r w:rsidRPr="00B05C10">
        <w:rPr>
          <w:rFonts w:ascii="Times New Roman" w:eastAsia="Calibri" w:hAnsi="Times New Roman" w:cs="Times New Roman"/>
          <w:i/>
          <w:iCs/>
          <w:color w:val="44546A"/>
          <w:sz w:val="18"/>
          <w:szCs w:val="18"/>
          <w:lang w:eastAsia="en-US"/>
        </w:rPr>
        <w:instrText xml:space="preserve"> SEQ Figura \* ARABIC </w:instrText>
      </w:r>
      <w:r w:rsidRPr="00B05C10">
        <w:rPr>
          <w:rFonts w:ascii="Times New Roman" w:eastAsia="Calibri" w:hAnsi="Times New Roman" w:cs="Times New Roman"/>
          <w:i/>
          <w:iCs/>
          <w:color w:val="44546A"/>
          <w:sz w:val="18"/>
          <w:szCs w:val="18"/>
          <w:lang w:eastAsia="en-US"/>
        </w:rPr>
        <w:fldChar w:fldCharType="separate"/>
      </w:r>
      <w:r w:rsidRPr="00B05C10">
        <w:rPr>
          <w:rFonts w:ascii="Times New Roman" w:eastAsia="Calibri" w:hAnsi="Times New Roman" w:cs="Times New Roman"/>
          <w:i/>
          <w:iCs/>
          <w:noProof/>
          <w:color w:val="44546A"/>
          <w:sz w:val="18"/>
          <w:szCs w:val="18"/>
          <w:lang w:eastAsia="en-US"/>
        </w:rPr>
        <w:t>1</w:t>
      </w:r>
      <w:r w:rsidRPr="00B05C10">
        <w:rPr>
          <w:rFonts w:ascii="Times New Roman" w:eastAsia="Calibri" w:hAnsi="Times New Roman" w:cs="Times New Roman"/>
          <w:i/>
          <w:iCs/>
          <w:noProof/>
          <w:color w:val="44546A"/>
          <w:sz w:val="18"/>
          <w:szCs w:val="18"/>
          <w:lang w:eastAsia="en-US"/>
        </w:rPr>
        <w:fldChar w:fldCharType="end"/>
      </w:r>
      <w:r w:rsidRPr="00B05C10">
        <w:rPr>
          <w:rFonts w:ascii="Times New Roman" w:eastAsia="Calibri" w:hAnsi="Times New Roman" w:cs="Times New Roman"/>
          <w:i/>
          <w:iCs/>
          <w:color w:val="44546A"/>
          <w:sz w:val="18"/>
          <w:szCs w:val="18"/>
          <w:lang w:eastAsia="en-US"/>
        </w:rPr>
        <w:t xml:space="preserve">. América Latina (promedio ponderado de 18 países,  salario medio de las mujeres asalariadas urbanas entre 20 y 49 años de edad que trabajan 35 horas o más por semana respecto del salario medio de los hombres de iguales </w:t>
      </w:r>
      <w:r w:rsidRPr="00B05C10">
        <w:rPr>
          <w:rFonts w:ascii="Times New Roman" w:eastAsia="Calibri" w:hAnsi="Times New Roman" w:cs="Times New Roman"/>
          <w:i/>
          <w:iCs/>
          <w:color w:val="44546A"/>
          <w:sz w:val="18"/>
          <w:szCs w:val="18"/>
          <w:lang w:eastAsia="en-US"/>
        </w:rPr>
        <w:lastRenderedPageBreak/>
        <w:t>características por años de escolaridad 1990 - 2014</w:t>
      </w:r>
      <w:r w:rsidRPr="00B05C10">
        <w:rPr>
          <w:rFonts w:ascii="Times New Roman" w:eastAsia="Calibri" w:hAnsi="Times New Roman" w:cs="Times New Roman"/>
          <w:i/>
          <w:iCs/>
          <w:noProof/>
          <w:color w:val="44546A"/>
          <w:sz w:val="18"/>
          <w:szCs w:val="18"/>
        </w:rPr>
        <w:drawing>
          <wp:inline distT="0" distB="0" distL="0" distR="0" wp14:anchorId="308D8E78" wp14:editId="419F6FC7">
            <wp:extent cx="4680000" cy="2987648"/>
            <wp:effectExtent l="0" t="0" r="635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76"/>
                    <a:stretch/>
                  </pic:blipFill>
                  <pic:spPr bwMode="auto">
                    <a:xfrm>
                      <a:off x="0" y="0"/>
                      <a:ext cx="4680000" cy="2987648"/>
                    </a:xfrm>
                    <a:prstGeom prst="rect">
                      <a:avLst/>
                    </a:prstGeom>
                    <a:ln>
                      <a:noFill/>
                    </a:ln>
                    <a:extLst>
                      <a:ext uri="{53640926-AAD7-44D8-BBD7-CCE9431645EC}">
                        <a14:shadowObscured xmlns:a14="http://schemas.microsoft.com/office/drawing/2010/main"/>
                      </a:ext>
                    </a:extLst>
                  </pic:spPr>
                </pic:pic>
              </a:graphicData>
            </a:graphic>
          </wp:inline>
        </w:drawing>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Colombia se vinculó a las exigencias promovidas por estamentos internacionales y desde los años noventa género los mecanismos de desregulación laboral que trajeron consigo la creación de empresas de trabajo temporal y cooperativas de trabajo asociado  donde se liberan a los empleadores de las responsabilidades sociales las cuales son desplazadas hacia el empleado (Farné S, Vergara C, 2007)</w:t>
      </w:r>
    </w:p>
    <w:p w:rsidR="003751B1"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sz w:val="24"/>
          <w:lang w:eastAsia="en-US"/>
        </w:rPr>
      </w:pPr>
      <w:r w:rsidRPr="00B05C10">
        <w:rPr>
          <w:rFonts w:ascii="Times New Roman" w:eastAsia="Calibri" w:hAnsi="Times New Roman" w:cs="Times New Roman"/>
          <w:color w:val="000000"/>
          <w:sz w:val="24"/>
          <w:lang w:eastAsia="en-US"/>
        </w:rPr>
        <w:t xml:space="preserve">Las cifras refieren que la flexibilización laboral ha afectado a todas las esferas ocupacionales desde el nivel auxiliar y técnico hasta universitario y avanzado, donde el caso de los profesionales de la salud no ha sido la excepción, pues datos para el año 2009 del entonces ministerio de protección social refería una participación en las empresas temporales del 15% del total de profesionales y técnicos como se observa en la tabla </w:t>
      </w:r>
      <w:r w:rsidRPr="00B05C10">
        <w:rPr>
          <w:rFonts w:ascii="Times New Roman" w:eastAsia="Calibri" w:hAnsi="Times New Roman" w:cs="Times New Roman"/>
          <w:sz w:val="24"/>
          <w:lang w:eastAsia="en-US"/>
        </w:rPr>
        <w:t xml:space="preserve">1. </w:t>
      </w:r>
    </w:p>
    <w:p w:rsidR="003751B1" w:rsidRPr="00D24055" w:rsidRDefault="003751B1" w:rsidP="00D24055">
      <w:pPr>
        <w:pStyle w:val="Ttulo4"/>
      </w:pPr>
      <w:bookmarkStart w:id="0" w:name="_Toc492904578"/>
      <w:r w:rsidRPr="00D24055">
        <w:lastRenderedPageBreak/>
        <w:t xml:space="preserve">Tabla </w:t>
      </w:r>
      <w:fldSimple w:instr=" SEQ Tabla \* ARABIC ">
        <w:r w:rsidR="00D24055">
          <w:rPr>
            <w:noProof/>
          </w:rPr>
          <w:t>1</w:t>
        </w:r>
      </w:fldSimple>
      <w:r w:rsidRPr="00D24055">
        <w:t>. Oferta de mano de obra en salud a través de las empresas de servicios temporales, Colombia 2009</w:t>
      </w:r>
      <w:bookmarkEnd w:id="0"/>
    </w:p>
    <w:p w:rsidR="003751B1" w:rsidRPr="00B05C10" w:rsidRDefault="003751B1" w:rsidP="003751B1">
      <w:pPr>
        <w:shd w:val="clear" w:color="auto" w:fill="FFFFFF"/>
        <w:spacing w:before="100" w:beforeAutospacing="1" w:after="100" w:afterAutospacing="1" w:line="360" w:lineRule="auto"/>
        <w:jc w:val="center"/>
        <w:rPr>
          <w:rFonts w:ascii="Times New Roman" w:eastAsia="Calibri" w:hAnsi="Times New Roman" w:cs="Times New Roman"/>
          <w:color w:val="000000"/>
          <w:sz w:val="24"/>
          <w:lang w:eastAsia="en-US"/>
        </w:rPr>
      </w:pPr>
      <w:r w:rsidRPr="00B05C10">
        <w:rPr>
          <w:rFonts w:ascii="Times New Roman" w:eastAsia="Calibri" w:hAnsi="Times New Roman" w:cs="Times New Roman"/>
          <w:noProof/>
          <w:color w:val="000000"/>
          <w:sz w:val="24"/>
        </w:rPr>
        <w:drawing>
          <wp:inline distT="0" distB="0" distL="0" distR="0" wp14:anchorId="1C900B7F" wp14:editId="5D15D7AF">
            <wp:extent cx="3857625" cy="29241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2924175"/>
                    </a:xfrm>
                    <a:prstGeom prst="rect">
                      <a:avLst/>
                    </a:prstGeom>
                    <a:noFill/>
                    <a:ln>
                      <a:noFill/>
                    </a:ln>
                  </pic:spPr>
                </pic:pic>
              </a:graphicData>
            </a:graphic>
          </wp:inline>
        </w:drawing>
      </w:r>
    </w:p>
    <w:p w:rsidR="003751B1"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 xml:space="preserve">De igual manera en este mismo grupo ocupacional, la reducción en el ingreso se ha hecho tangible, pues datos del observatorio laboral para la educación permiten analizar un detrimento en el ingreso si se compara lo recibido por un recién graduado en el año 2010 al mismo caso para el año 2015 como se observa en la tabla 2.  </w:t>
      </w:r>
    </w:p>
    <w:p w:rsidR="009C4FD9" w:rsidRDefault="009C4FD9"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p>
    <w:p w:rsidR="009C4FD9" w:rsidRDefault="009C4FD9"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p>
    <w:p w:rsidR="009C4FD9" w:rsidRDefault="009C4FD9"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p>
    <w:p w:rsidR="009C4FD9" w:rsidRDefault="009C4FD9"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p>
    <w:p w:rsidR="009C4FD9" w:rsidRDefault="009C4FD9"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p>
    <w:p w:rsidR="009C4FD9" w:rsidRDefault="009C4FD9"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p>
    <w:p w:rsidR="003751B1" w:rsidRPr="00B05C10" w:rsidRDefault="003751B1" w:rsidP="00D24055">
      <w:pPr>
        <w:pStyle w:val="Ttulo4"/>
      </w:pPr>
      <w:bookmarkStart w:id="1" w:name="_Toc492904579"/>
      <w:r w:rsidRPr="00B05C10">
        <w:lastRenderedPageBreak/>
        <w:t xml:space="preserve">Tabla </w:t>
      </w:r>
      <w:fldSimple w:instr=" SEQ Tabla \* ARABIC ">
        <w:r w:rsidR="00D24055">
          <w:rPr>
            <w:noProof/>
          </w:rPr>
          <w:t>2</w:t>
        </w:r>
      </w:fldSimple>
      <w:r w:rsidRPr="00B05C10">
        <w:t>. Tasa de cotizantes e ingresos recibidos por recién graduados en el área de la salud en los años 2010 y 2015 en Colombia</w:t>
      </w:r>
      <w:bookmarkEnd w:id="1"/>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noProof/>
          <w:color w:val="000000"/>
          <w:sz w:val="24"/>
        </w:rPr>
        <w:drawing>
          <wp:inline distT="0" distB="0" distL="0" distR="0" wp14:anchorId="2A003888" wp14:editId="658578B8">
            <wp:extent cx="5612130" cy="3274410"/>
            <wp:effectExtent l="0" t="0" r="762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274410"/>
                    </a:xfrm>
                    <a:prstGeom prst="rect">
                      <a:avLst/>
                    </a:prstGeom>
                    <a:noFill/>
                    <a:ln>
                      <a:noFill/>
                    </a:ln>
                  </pic:spPr>
                </pic:pic>
              </a:graphicData>
            </a:graphic>
          </wp:inline>
        </w:drawing>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Sin embargo en Colombia, además de la situación de trabajo precario, se presenta el desempleo como un agravante de las condiciones de vida de la población, el cual ha presentado cifras fluctuantes cercanas al 20% y tan solo inferiores al 10% en el último año. (DANE, 2017)</w:t>
      </w:r>
    </w:p>
    <w:p w:rsidR="00D24055" w:rsidRDefault="00D24055" w:rsidP="003751B1">
      <w:pPr>
        <w:spacing w:line="240" w:lineRule="auto"/>
        <w:rPr>
          <w:rFonts w:ascii="Times New Roman" w:eastAsia="Calibri" w:hAnsi="Times New Roman" w:cs="Times New Roman"/>
          <w:i/>
          <w:iCs/>
          <w:color w:val="44546A"/>
          <w:sz w:val="18"/>
          <w:szCs w:val="18"/>
          <w:lang w:eastAsia="en-US"/>
        </w:rPr>
      </w:pPr>
    </w:p>
    <w:p w:rsidR="00D24055" w:rsidRDefault="00D24055" w:rsidP="003751B1">
      <w:pPr>
        <w:spacing w:line="240" w:lineRule="auto"/>
        <w:rPr>
          <w:rFonts w:ascii="Times New Roman" w:eastAsia="Calibri" w:hAnsi="Times New Roman" w:cs="Times New Roman"/>
          <w:i/>
          <w:iCs/>
          <w:color w:val="44546A"/>
          <w:sz w:val="18"/>
          <w:szCs w:val="18"/>
          <w:lang w:eastAsia="en-US"/>
        </w:rPr>
      </w:pPr>
    </w:p>
    <w:p w:rsidR="00D24055" w:rsidRDefault="00D24055" w:rsidP="003751B1">
      <w:pPr>
        <w:spacing w:line="240" w:lineRule="auto"/>
        <w:rPr>
          <w:rFonts w:ascii="Times New Roman" w:eastAsia="Calibri" w:hAnsi="Times New Roman" w:cs="Times New Roman"/>
          <w:i/>
          <w:iCs/>
          <w:color w:val="44546A"/>
          <w:sz w:val="18"/>
          <w:szCs w:val="18"/>
          <w:lang w:eastAsia="en-US"/>
        </w:rPr>
      </w:pPr>
    </w:p>
    <w:p w:rsidR="00D24055" w:rsidRDefault="00D24055" w:rsidP="003751B1">
      <w:pPr>
        <w:spacing w:line="240" w:lineRule="auto"/>
        <w:rPr>
          <w:rFonts w:ascii="Times New Roman" w:eastAsia="Calibri" w:hAnsi="Times New Roman" w:cs="Times New Roman"/>
          <w:i/>
          <w:iCs/>
          <w:color w:val="44546A"/>
          <w:sz w:val="18"/>
          <w:szCs w:val="18"/>
          <w:lang w:eastAsia="en-US"/>
        </w:rPr>
      </w:pPr>
    </w:p>
    <w:p w:rsidR="00D24055" w:rsidRDefault="00D24055" w:rsidP="003751B1">
      <w:pPr>
        <w:spacing w:line="240" w:lineRule="auto"/>
        <w:rPr>
          <w:rFonts w:ascii="Times New Roman" w:eastAsia="Calibri" w:hAnsi="Times New Roman" w:cs="Times New Roman"/>
          <w:i/>
          <w:iCs/>
          <w:color w:val="44546A"/>
          <w:sz w:val="18"/>
          <w:szCs w:val="18"/>
          <w:lang w:eastAsia="en-US"/>
        </w:rPr>
      </w:pPr>
    </w:p>
    <w:p w:rsidR="00D24055" w:rsidRDefault="00D24055" w:rsidP="003751B1">
      <w:pPr>
        <w:spacing w:line="240" w:lineRule="auto"/>
        <w:rPr>
          <w:rFonts w:ascii="Times New Roman" w:eastAsia="Calibri" w:hAnsi="Times New Roman" w:cs="Times New Roman"/>
          <w:i/>
          <w:iCs/>
          <w:color w:val="44546A"/>
          <w:sz w:val="18"/>
          <w:szCs w:val="18"/>
          <w:lang w:eastAsia="en-US"/>
        </w:rPr>
      </w:pPr>
    </w:p>
    <w:p w:rsidR="00D24055" w:rsidRDefault="00D24055" w:rsidP="003751B1">
      <w:pPr>
        <w:spacing w:line="240" w:lineRule="auto"/>
        <w:rPr>
          <w:rFonts w:ascii="Times New Roman" w:eastAsia="Calibri" w:hAnsi="Times New Roman" w:cs="Times New Roman"/>
          <w:i/>
          <w:iCs/>
          <w:color w:val="44546A"/>
          <w:sz w:val="18"/>
          <w:szCs w:val="18"/>
          <w:lang w:eastAsia="en-US"/>
        </w:rPr>
      </w:pPr>
    </w:p>
    <w:p w:rsidR="00D24055" w:rsidRDefault="00D24055" w:rsidP="003751B1">
      <w:pPr>
        <w:spacing w:line="240" w:lineRule="auto"/>
        <w:rPr>
          <w:rFonts w:ascii="Times New Roman" w:eastAsia="Calibri" w:hAnsi="Times New Roman" w:cs="Times New Roman"/>
          <w:i/>
          <w:iCs/>
          <w:color w:val="44546A"/>
          <w:sz w:val="18"/>
          <w:szCs w:val="18"/>
          <w:lang w:eastAsia="en-US"/>
        </w:rPr>
      </w:pPr>
    </w:p>
    <w:p w:rsidR="00D24055" w:rsidRDefault="00D24055" w:rsidP="003751B1">
      <w:pPr>
        <w:spacing w:line="240" w:lineRule="auto"/>
        <w:rPr>
          <w:rFonts w:ascii="Times New Roman" w:eastAsia="Calibri" w:hAnsi="Times New Roman" w:cs="Times New Roman"/>
          <w:i/>
          <w:iCs/>
          <w:color w:val="44546A"/>
          <w:sz w:val="18"/>
          <w:szCs w:val="18"/>
          <w:lang w:eastAsia="en-US"/>
        </w:rPr>
      </w:pPr>
    </w:p>
    <w:p w:rsidR="00D24055" w:rsidRDefault="00D24055" w:rsidP="003751B1">
      <w:pPr>
        <w:spacing w:line="240" w:lineRule="auto"/>
        <w:rPr>
          <w:rFonts w:ascii="Times New Roman" w:eastAsia="Calibri" w:hAnsi="Times New Roman" w:cs="Times New Roman"/>
          <w:i/>
          <w:iCs/>
          <w:color w:val="44546A"/>
          <w:sz w:val="18"/>
          <w:szCs w:val="18"/>
          <w:lang w:eastAsia="en-US"/>
        </w:rPr>
      </w:pPr>
    </w:p>
    <w:p w:rsidR="003751B1" w:rsidRPr="00B05C10" w:rsidRDefault="003751B1" w:rsidP="003751B1">
      <w:pPr>
        <w:spacing w:line="240" w:lineRule="auto"/>
        <w:rPr>
          <w:rFonts w:ascii="Times New Roman" w:eastAsia="Calibri" w:hAnsi="Times New Roman" w:cs="Times New Roman"/>
          <w:i/>
          <w:iCs/>
          <w:color w:val="44546A"/>
          <w:sz w:val="18"/>
          <w:szCs w:val="18"/>
          <w:lang w:eastAsia="en-US"/>
        </w:rPr>
      </w:pPr>
      <w:r w:rsidRPr="00B05C10">
        <w:rPr>
          <w:rFonts w:ascii="Times New Roman" w:eastAsia="Calibri" w:hAnsi="Times New Roman" w:cs="Times New Roman"/>
          <w:i/>
          <w:iCs/>
          <w:color w:val="44546A"/>
          <w:sz w:val="18"/>
          <w:szCs w:val="18"/>
          <w:lang w:eastAsia="en-US"/>
        </w:rPr>
        <w:t xml:space="preserve">Figura </w:t>
      </w:r>
      <w:r w:rsidRPr="00B05C10">
        <w:rPr>
          <w:rFonts w:ascii="Times New Roman" w:eastAsia="Calibri" w:hAnsi="Times New Roman" w:cs="Times New Roman"/>
          <w:i/>
          <w:iCs/>
          <w:color w:val="44546A"/>
          <w:sz w:val="18"/>
          <w:szCs w:val="18"/>
          <w:lang w:eastAsia="en-US"/>
        </w:rPr>
        <w:fldChar w:fldCharType="begin"/>
      </w:r>
      <w:r w:rsidRPr="00B05C10">
        <w:rPr>
          <w:rFonts w:ascii="Times New Roman" w:eastAsia="Calibri" w:hAnsi="Times New Roman" w:cs="Times New Roman"/>
          <w:i/>
          <w:iCs/>
          <w:color w:val="44546A"/>
          <w:sz w:val="18"/>
          <w:szCs w:val="18"/>
          <w:lang w:eastAsia="en-US"/>
        </w:rPr>
        <w:instrText xml:space="preserve"> SEQ Figura \* ARABIC </w:instrText>
      </w:r>
      <w:r w:rsidRPr="00B05C10">
        <w:rPr>
          <w:rFonts w:ascii="Times New Roman" w:eastAsia="Calibri" w:hAnsi="Times New Roman" w:cs="Times New Roman"/>
          <w:i/>
          <w:iCs/>
          <w:color w:val="44546A"/>
          <w:sz w:val="18"/>
          <w:szCs w:val="18"/>
          <w:lang w:eastAsia="en-US"/>
        </w:rPr>
        <w:fldChar w:fldCharType="separate"/>
      </w:r>
      <w:r w:rsidRPr="00B05C10">
        <w:rPr>
          <w:rFonts w:ascii="Times New Roman" w:eastAsia="Calibri" w:hAnsi="Times New Roman" w:cs="Times New Roman"/>
          <w:i/>
          <w:iCs/>
          <w:noProof/>
          <w:color w:val="44546A"/>
          <w:sz w:val="18"/>
          <w:szCs w:val="18"/>
          <w:lang w:eastAsia="en-US"/>
        </w:rPr>
        <w:t>2</w:t>
      </w:r>
      <w:r w:rsidRPr="00B05C10">
        <w:rPr>
          <w:rFonts w:ascii="Times New Roman" w:eastAsia="Calibri" w:hAnsi="Times New Roman" w:cs="Times New Roman"/>
          <w:i/>
          <w:iCs/>
          <w:noProof/>
          <w:color w:val="44546A"/>
          <w:sz w:val="18"/>
          <w:szCs w:val="18"/>
          <w:lang w:eastAsia="en-US"/>
        </w:rPr>
        <w:fldChar w:fldCharType="end"/>
      </w:r>
      <w:r w:rsidRPr="00B05C10">
        <w:rPr>
          <w:rFonts w:ascii="Times New Roman" w:eastAsia="Calibri" w:hAnsi="Times New Roman" w:cs="Times New Roman"/>
          <w:i/>
          <w:iCs/>
          <w:color w:val="44546A"/>
          <w:sz w:val="18"/>
          <w:szCs w:val="18"/>
          <w:lang w:eastAsia="en-US"/>
        </w:rPr>
        <w:t>. Incidencia de la pobreza por ingresos y tasa de desempleo nacional, Colombia 1960 - 2015</w:t>
      </w:r>
    </w:p>
    <w:p w:rsidR="003751B1" w:rsidRPr="00B05C10" w:rsidRDefault="003751B1" w:rsidP="003751B1">
      <w:pPr>
        <w:shd w:val="clear" w:color="auto" w:fill="FFFFFF"/>
        <w:spacing w:after="0" w:line="360" w:lineRule="auto"/>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noProof/>
          <w:color w:val="000000"/>
          <w:sz w:val="24"/>
        </w:rPr>
        <w:drawing>
          <wp:inline distT="0" distB="0" distL="0" distR="0" wp14:anchorId="4C751757" wp14:editId="430D3F0B">
            <wp:extent cx="5611232" cy="2389658"/>
            <wp:effectExtent l="0" t="0" r="8890" b="0"/>
            <wp:docPr id="7" name="Imagen 7" descr="http://www.eldiplo.info/portal/images/stories/graficos146/grafico5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iplo.info/portal/images/stories/graficos146/grafico5146.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0420"/>
                    <a:stretch/>
                  </pic:blipFill>
                  <pic:spPr bwMode="auto">
                    <a:xfrm>
                      <a:off x="0" y="0"/>
                      <a:ext cx="5612130" cy="2390041"/>
                    </a:xfrm>
                    <a:prstGeom prst="rect">
                      <a:avLst/>
                    </a:prstGeom>
                    <a:noFill/>
                    <a:ln>
                      <a:noFill/>
                    </a:ln>
                    <a:extLst>
                      <a:ext uri="{53640926-AAD7-44D8-BBD7-CCE9431645EC}">
                        <a14:shadowObscured xmlns:a14="http://schemas.microsoft.com/office/drawing/2010/main"/>
                      </a:ext>
                    </a:extLst>
                  </pic:spPr>
                </pic:pic>
              </a:graphicData>
            </a:graphic>
          </wp:inline>
        </w:drawing>
      </w:r>
      <w:r w:rsidRPr="00B05C10">
        <w:rPr>
          <w:rFonts w:ascii="Times New Roman" w:eastAsia="Calibri" w:hAnsi="Times New Roman" w:cs="Times New Roman"/>
          <w:color w:val="000000"/>
          <w:sz w:val="24"/>
          <w:lang w:eastAsia="en-US"/>
        </w:rPr>
        <w:t xml:space="preserve"> </w:t>
      </w:r>
    </w:p>
    <w:p w:rsidR="003751B1" w:rsidRPr="00B05C10" w:rsidRDefault="003751B1" w:rsidP="003751B1">
      <w:pPr>
        <w:shd w:val="clear" w:color="auto" w:fill="FFFFFF"/>
        <w:spacing w:after="0" w:line="240" w:lineRule="auto"/>
        <w:jc w:val="both"/>
        <w:rPr>
          <w:rFonts w:ascii="Times New Roman" w:eastAsia="Calibri" w:hAnsi="Times New Roman" w:cs="Times New Roman"/>
          <w:color w:val="000000"/>
          <w:sz w:val="20"/>
          <w:lang w:eastAsia="en-US"/>
        </w:rPr>
      </w:pPr>
      <w:r w:rsidRPr="00B05C10">
        <w:rPr>
          <w:rFonts w:ascii="Times New Roman" w:eastAsia="Calibri" w:hAnsi="Times New Roman" w:cs="Times New Roman"/>
          <w:color w:val="000000"/>
          <w:sz w:val="20"/>
          <w:lang w:eastAsia="en-US"/>
        </w:rPr>
        <w:t xml:space="preserve">Fuente: Sarmiento L, 2015. Colapso del modelo de desarrollo colombiano. En: Le monde diplomatic. Disponible en: </w:t>
      </w:r>
      <w:hyperlink r:id="rId12" w:history="1">
        <w:r w:rsidRPr="00B05C10">
          <w:rPr>
            <w:rFonts w:ascii="Times New Roman" w:eastAsia="Calibri" w:hAnsi="Times New Roman" w:cs="Times New Roman"/>
            <w:color w:val="0563C1"/>
            <w:sz w:val="20"/>
            <w:u w:val="single"/>
            <w:lang w:eastAsia="en-US"/>
          </w:rPr>
          <w:t>http://www.eldiplo.info/portal/index.php/1851/item/829-colapso-del-modelo-de-desarrollo-colombiano</w:t>
        </w:r>
      </w:hyperlink>
      <w:r w:rsidRPr="00B05C10">
        <w:rPr>
          <w:rFonts w:ascii="Times New Roman" w:eastAsia="Calibri" w:hAnsi="Times New Roman" w:cs="Times New Roman"/>
          <w:color w:val="000000"/>
          <w:sz w:val="20"/>
          <w:lang w:eastAsia="en-US"/>
        </w:rPr>
        <w:t>. Acceso agosto 24 de 2017</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Ahora bien, los análisis sobre el trabajo requieren superar la condición de supervivencia dependiente del ingreso para analizar las presiones que el entorno generan sobre las personas que ocasionan daño y sufrimiento, generan relaciones inequitativas y fomentan los excesos de poder (Gómez A, 2014)</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Es importante reconocer que la reducción en el ingreso afecta las condiciones de salud, porque impide suplir necesidades básicas de forma adecuada y modifica los hábitos de vida y consumo que repercuten en la aparición de enfermedades crónicas que se van reflejando en el curso de vida, sumado a la ampliación de la edad para trabajar, pues las tendencias muestran la ocupación de personas entre el grupo de edad de 55 a 64 años (Cedetes, 2013)</w:t>
      </w:r>
    </w:p>
    <w:p w:rsidR="003751B1"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sz w:val="24"/>
          <w:lang w:eastAsia="en-US"/>
        </w:rPr>
      </w:pPr>
      <w:r w:rsidRPr="00B05C10">
        <w:rPr>
          <w:rFonts w:ascii="Times New Roman" w:eastAsia="Calibri" w:hAnsi="Times New Roman" w:cs="Times New Roman"/>
          <w:sz w:val="24"/>
          <w:lang w:eastAsia="en-US"/>
        </w:rPr>
        <w:t>El proceso de trabajo determina las condiciones de salud dada su interacción dinámica y la generación de perfiles de desgaste que desembocan en formas de enfermar y morir (Escalona E, 2006, Laurel A, Márquez M, 1985). Con la magnitud de los pro</w:t>
      </w:r>
      <w:r w:rsidRPr="00B05C10">
        <w:rPr>
          <w:rFonts w:ascii="Times New Roman" w:eastAsia="Calibri" w:hAnsi="Times New Roman" w:cs="Times New Roman"/>
          <w:sz w:val="24"/>
          <w:lang w:eastAsia="en-US"/>
        </w:rPr>
        <w:softHyphen/>
        <w:t xml:space="preserve">blemas actuales en salud, se intenta comprender el proceso salud enfermedad desde otros referentes que posibiliten un </w:t>
      </w:r>
      <w:r w:rsidRPr="00B05C10">
        <w:rPr>
          <w:rFonts w:ascii="Times New Roman" w:eastAsia="Calibri" w:hAnsi="Times New Roman" w:cs="Times New Roman"/>
          <w:sz w:val="24"/>
          <w:lang w:eastAsia="en-US"/>
        </w:rPr>
        <w:lastRenderedPageBreak/>
        <w:t xml:space="preserve">horizonte más integral de la salud humana, incluso hacia una idea de salud como un factor de desarrollo (Arredondo A, 2011). </w:t>
      </w:r>
    </w:p>
    <w:p w:rsidR="00C01C67" w:rsidRDefault="00C01C67" w:rsidP="00C01C67">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Pr>
          <w:rFonts w:ascii="Times New Roman" w:eastAsia="Calibri" w:hAnsi="Times New Roman" w:cs="Times New Roman"/>
          <w:sz w:val="24"/>
          <w:lang w:eastAsia="en-US"/>
        </w:rPr>
        <w:t xml:space="preserve">Por lo anterior, este proyecto se propone como </w:t>
      </w:r>
      <w:r>
        <w:rPr>
          <w:rFonts w:ascii="Times New Roman" w:eastAsia="Calibri" w:hAnsi="Times New Roman" w:cs="Times New Roman"/>
          <w:color w:val="000000"/>
          <w:sz w:val="24"/>
          <w:lang w:eastAsia="en-US"/>
        </w:rPr>
        <w:t xml:space="preserve">preguntas de investigación </w:t>
      </w:r>
    </w:p>
    <w:p w:rsidR="00C01C67" w:rsidRDefault="00C01C67" w:rsidP="00C01C67">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¿Cuáles son las interacciones entre la salud y el trabajo de la población colombiana?</w:t>
      </w:r>
    </w:p>
    <w:p w:rsidR="00C01C67" w:rsidRDefault="00C01C67" w:rsidP="00C01C67">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 xml:space="preserve">Para la cual se propone un desarrollo en tres etapas, cada una de un año, donde se espera responder las siguientes preguntas: </w:t>
      </w:r>
    </w:p>
    <w:p w:rsidR="00C01C67" w:rsidRDefault="00C01C67" w:rsidP="00D24055">
      <w:pPr>
        <w:pStyle w:val="Ttulo4"/>
        <w:rPr>
          <w:rFonts w:eastAsia="Calibri"/>
          <w:color w:val="000000"/>
          <w:sz w:val="24"/>
        </w:rPr>
      </w:pPr>
      <w:bookmarkStart w:id="2" w:name="_Toc492904580"/>
      <w:r>
        <w:t xml:space="preserve">Tabla </w:t>
      </w:r>
      <w:fldSimple w:instr=" SEQ Tabla \* ARABIC ">
        <w:r w:rsidR="00D24055">
          <w:rPr>
            <w:noProof/>
          </w:rPr>
          <w:t>3</w:t>
        </w:r>
      </w:fldSimple>
      <w:r>
        <w:t>. Distribución de las etapas y preguntas de investigación del proyecto Observatorio interacciones salud y trabajo</w:t>
      </w:r>
      <w:bookmarkEnd w:id="2"/>
    </w:p>
    <w:tbl>
      <w:tblPr>
        <w:tblStyle w:val="Tabladecuadrcula1clara-nfasis5"/>
        <w:tblW w:w="8684" w:type="dxa"/>
        <w:tblLook w:val="0420" w:firstRow="1" w:lastRow="0" w:firstColumn="0" w:lastColumn="0" w:noHBand="0" w:noVBand="1"/>
      </w:tblPr>
      <w:tblGrid>
        <w:gridCol w:w="1702"/>
        <w:gridCol w:w="6982"/>
      </w:tblGrid>
      <w:tr w:rsidR="00C01C67" w:rsidRPr="00C01C67" w:rsidTr="001C1E40">
        <w:trPr>
          <w:cnfStyle w:val="100000000000" w:firstRow="1" w:lastRow="0" w:firstColumn="0" w:lastColumn="0" w:oddVBand="0" w:evenVBand="0" w:oddHBand="0" w:evenHBand="0" w:firstRowFirstColumn="0" w:firstRowLastColumn="0" w:lastRowFirstColumn="0" w:lastRowLastColumn="0"/>
          <w:trHeight w:val="423"/>
        </w:trPr>
        <w:tc>
          <w:tcPr>
            <w:tcW w:w="1702" w:type="dxa"/>
            <w:hideMark/>
          </w:tcPr>
          <w:p w:rsidR="00C01C67" w:rsidRPr="00C01C67" w:rsidRDefault="00C01C67" w:rsidP="00C01C67">
            <w:pPr>
              <w:jc w:val="center"/>
              <w:rPr>
                <w:rFonts w:ascii="Arial" w:eastAsia="Times New Roman" w:hAnsi="Arial" w:cs="Arial"/>
                <w:color w:val="31849B" w:themeColor="accent5" w:themeShade="BF"/>
                <w:sz w:val="36"/>
                <w:szCs w:val="36"/>
              </w:rPr>
            </w:pPr>
            <w:r w:rsidRPr="00C01C67">
              <w:rPr>
                <w:rFonts w:ascii="Calibri" w:eastAsia="Times New Roman" w:hAnsi="Calibri" w:cs="Calibri"/>
                <w:color w:val="31849B" w:themeColor="accent5" w:themeShade="BF"/>
                <w:kern w:val="24"/>
                <w:sz w:val="36"/>
                <w:szCs w:val="36"/>
              </w:rPr>
              <w:t>ETAPAS</w:t>
            </w:r>
          </w:p>
        </w:tc>
        <w:tc>
          <w:tcPr>
            <w:tcW w:w="6982" w:type="dxa"/>
            <w:hideMark/>
          </w:tcPr>
          <w:p w:rsidR="00C01C67" w:rsidRPr="00C01C67" w:rsidRDefault="00C01C67" w:rsidP="00C01C67">
            <w:pPr>
              <w:jc w:val="center"/>
              <w:rPr>
                <w:rFonts w:ascii="Arial" w:eastAsia="Times New Roman" w:hAnsi="Arial" w:cs="Arial"/>
                <w:color w:val="31849B" w:themeColor="accent5" w:themeShade="BF"/>
                <w:sz w:val="36"/>
                <w:szCs w:val="36"/>
              </w:rPr>
            </w:pPr>
            <w:r w:rsidRPr="00C01C67">
              <w:rPr>
                <w:rFonts w:ascii="Calibri" w:eastAsia="Times New Roman" w:hAnsi="Calibri" w:cs="Calibri"/>
                <w:color w:val="31849B" w:themeColor="accent5" w:themeShade="BF"/>
                <w:kern w:val="24"/>
                <w:sz w:val="36"/>
                <w:szCs w:val="36"/>
              </w:rPr>
              <w:t>PREGUNTAS</w:t>
            </w:r>
          </w:p>
        </w:tc>
      </w:tr>
      <w:tr w:rsidR="00C01C67" w:rsidRPr="00C01C67" w:rsidTr="001C1E40">
        <w:trPr>
          <w:trHeight w:val="1232"/>
        </w:trPr>
        <w:tc>
          <w:tcPr>
            <w:tcW w:w="1702" w:type="dxa"/>
            <w:hideMark/>
          </w:tcPr>
          <w:p w:rsidR="00C01C67" w:rsidRPr="00C01C67" w:rsidRDefault="00C01C67" w:rsidP="00C01C67">
            <w:pPr>
              <w:rPr>
                <w:rFonts w:ascii="Times New Roman" w:eastAsia="Times New Roman" w:hAnsi="Times New Roman" w:cs="Times New Roman"/>
                <w:sz w:val="24"/>
                <w:szCs w:val="24"/>
              </w:rPr>
            </w:pPr>
            <w:r w:rsidRPr="00C01C67">
              <w:rPr>
                <w:rFonts w:ascii="Times New Roman" w:eastAsia="Times New Roman" w:hAnsi="Times New Roman" w:cs="Times New Roman"/>
                <w:color w:val="000000" w:themeColor="text1"/>
                <w:kern w:val="24"/>
                <w:sz w:val="24"/>
                <w:szCs w:val="24"/>
              </w:rPr>
              <w:t>Etapa 1. 2018</w:t>
            </w:r>
          </w:p>
        </w:tc>
        <w:tc>
          <w:tcPr>
            <w:tcW w:w="6982" w:type="dxa"/>
            <w:hideMark/>
          </w:tcPr>
          <w:p w:rsidR="00C01C67" w:rsidRPr="00C01C67" w:rsidRDefault="00C01C67" w:rsidP="00C01C67">
            <w:pPr>
              <w:jc w:val="center"/>
              <w:rPr>
                <w:rFonts w:ascii="Times New Roman" w:eastAsia="Times New Roman" w:hAnsi="Times New Roman" w:cs="Times New Roman"/>
                <w:sz w:val="24"/>
                <w:szCs w:val="24"/>
              </w:rPr>
            </w:pPr>
            <w:r w:rsidRPr="00C01C67">
              <w:rPr>
                <w:rFonts w:ascii="Times New Roman" w:hAnsi="Times New Roman" w:cs="Times New Roman"/>
                <w:color w:val="000000" w:themeColor="text1"/>
                <w:kern w:val="24"/>
                <w:sz w:val="24"/>
                <w:szCs w:val="24"/>
              </w:rPr>
              <w:t>¿Cómo se configura el entorno laboral en el curso de vida, de los profesionales de la salud en Colombia?</w:t>
            </w:r>
          </w:p>
          <w:p w:rsidR="00C01C67" w:rsidRPr="00C01C67" w:rsidRDefault="00C01C67" w:rsidP="00C01C67">
            <w:pPr>
              <w:jc w:val="center"/>
              <w:rPr>
                <w:rFonts w:ascii="Times New Roman" w:eastAsia="Times New Roman" w:hAnsi="Times New Roman" w:cs="Times New Roman"/>
                <w:sz w:val="24"/>
                <w:szCs w:val="24"/>
              </w:rPr>
            </w:pPr>
            <w:r w:rsidRPr="00C01C67">
              <w:rPr>
                <w:rFonts w:ascii="Times New Roman" w:hAnsi="Times New Roman" w:cs="Times New Roman"/>
                <w:color w:val="000000" w:themeColor="text1"/>
                <w:kern w:val="24"/>
                <w:sz w:val="24"/>
                <w:szCs w:val="24"/>
              </w:rPr>
              <w:t>¿Cuáles son las condiciones de trabajo de los profesionales de la salud en Colombia?</w:t>
            </w:r>
          </w:p>
        </w:tc>
      </w:tr>
      <w:tr w:rsidR="00C01C67" w:rsidRPr="00C01C67" w:rsidTr="001C1E40">
        <w:trPr>
          <w:trHeight w:val="704"/>
        </w:trPr>
        <w:tc>
          <w:tcPr>
            <w:tcW w:w="1702" w:type="dxa"/>
            <w:hideMark/>
          </w:tcPr>
          <w:p w:rsidR="00C01C67" w:rsidRPr="00C01C67" w:rsidRDefault="00C01C67" w:rsidP="00C01C67">
            <w:pPr>
              <w:rPr>
                <w:rFonts w:ascii="Times New Roman" w:eastAsia="Times New Roman" w:hAnsi="Times New Roman" w:cs="Times New Roman"/>
                <w:sz w:val="24"/>
                <w:szCs w:val="24"/>
              </w:rPr>
            </w:pPr>
            <w:r w:rsidRPr="00C01C67">
              <w:rPr>
                <w:rFonts w:ascii="Times New Roman" w:eastAsia="Times New Roman" w:hAnsi="Times New Roman" w:cs="Times New Roman"/>
                <w:color w:val="000000" w:themeColor="text1"/>
                <w:kern w:val="24"/>
                <w:sz w:val="24"/>
                <w:szCs w:val="24"/>
              </w:rPr>
              <w:t>Etapa 2. 2019</w:t>
            </w:r>
          </w:p>
        </w:tc>
        <w:tc>
          <w:tcPr>
            <w:tcW w:w="6982" w:type="dxa"/>
            <w:hideMark/>
          </w:tcPr>
          <w:p w:rsidR="00C01C67" w:rsidRPr="00C01C67" w:rsidRDefault="00C01C67" w:rsidP="00C01C67">
            <w:pPr>
              <w:jc w:val="center"/>
              <w:rPr>
                <w:rFonts w:ascii="Times New Roman" w:eastAsia="Times New Roman" w:hAnsi="Times New Roman" w:cs="Times New Roman"/>
                <w:sz w:val="24"/>
                <w:szCs w:val="24"/>
              </w:rPr>
            </w:pPr>
            <w:r w:rsidRPr="00C01C67">
              <w:rPr>
                <w:rFonts w:ascii="Times New Roman" w:eastAsia="Times New Roman" w:hAnsi="Times New Roman" w:cs="Times New Roman"/>
                <w:color w:val="000000" w:themeColor="text1"/>
                <w:kern w:val="24"/>
                <w:sz w:val="24"/>
                <w:szCs w:val="24"/>
              </w:rPr>
              <w:t>¿Cuál es la relación del entorno laboral con las condiciones de salud de trabajadores colombianos de otros sectores?</w:t>
            </w:r>
          </w:p>
        </w:tc>
      </w:tr>
      <w:tr w:rsidR="00C01C67" w:rsidRPr="00C01C67" w:rsidTr="00C01C67">
        <w:trPr>
          <w:trHeight w:val="909"/>
        </w:trPr>
        <w:tc>
          <w:tcPr>
            <w:tcW w:w="1702" w:type="dxa"/>
            <w:hideMark/>
          </w:tcPr>
          <w:p w:rsidR="00C01C67" w:rsidRPr="00C01C67" w:rsidRDefault="00C01C67" w:rsidP="00C01C67">
            <w:pPr>
              <w:rPr>
                <w:rFonts w:ascii="Times New Roman" w:eastAsia="Times New Roman" w:hAnsi="Times New Roman" w:cs="Times New Roman"/>
                <w:sz w:val="24"/>
                <w:szCs w:val="24"/>
              </w:rPr>
            </w:pPr>
            <w:r w:rsidRPr="00C01C67">
              <w:rPr>
                <w:rFonts w:ascii="Times New Roman" w:eastAsia="Times New Roman" w:hAnsi="Times New Roman" w:cs="Times New Roman"/>
                <w:color w:val="000000" w:themeColor="text1"/>
                <w:kern w:val="24"/>
                <w:sz w:val="24"/>
                <w:szCs w:val="24"/>
              </w:rPr>
              <w:t>Etapa 3. 2020</w:t>
            </w:r>
          </w:p>
        </w:tc>
        <w:tc>
          <w:tcPr>
            <w:tcW w:w="6982" w:type="dxa"/>
            <w:hideMark/>
          </w:tcPr>
          <w:p w:rsidR="00C01C67" w:rsidRPr="00C01C67" w:rsidRDefault="00C01C67" w:rsidP="00C01C67">
            <w:pPr>
              <w:jc w:val="center"/>
              <w:rPr>
                <w:rFonts w:ascii="Times New Roman" w:eastAsia="Times New Roman" w:hAnsi="Times New Roman" w:cs="Times New Roman"/>
                <w:sz w:val="24"/>
                <w:szCs w:val="24"/>
              </w:rPr>
            </w:pPr>
            <w:r w:rsidRPr="00C01C67">
              <w:rPr>
                <w:rFonts w:ascii="Times New Roman" w:eastAsia="Times New Roman" w:hAnsi="Times New Roman" w:cs="Times New Roman"/>
                <w:color w:val="000000" w:themeColor="text1"/>
                <w:kern w:val="24"/>
                <w:sz w:val="24"/>
                <w:szCs w:val="24"/>
              </w:rPr>
              <w:t>¿Qué particularidades del entorno laboral generan mayor impacto sobre la salud y cuáles serían las propuestas de política pública para su intervención?</w:t>
            </w:r>
          </w:p>
        </w:tc>
      </w:tr>
    </w:tbl>
    <w:p w:rsidR="00C01C67" w:rsidRPr="00B05C10" w:rsidRDefault="00C01C67" w:rsidP="00C01C67">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 xml:space="preserve"> Para esta convocatoria, corresponde a la primera fase las preguntas: </w:t>
      </w:r>
    </w:p>
    <w:p w:rsidR="00C01C67" w:rsidRPr="00B16DA5" w:rsidRDefault="00C01C67" w:rsidP="001C1E40">
      <w:pPr>
        <w:shd w:val="clear" w:color="auto" w:fill="FFFFFF"/>
        <w:spacing w:after="0" w:line="360" w:lineRule="auto"/>
        <w:jc w:val="both"/>
        <w:rPr>
          <w:rFonts w:ascii="Times New Roman" w:eastAsia="Calibri" w:hAnsi="Times New Roman" w:cs="Times New Roman"/>
          <w:color w:val="000000"/>
          <w:sz w:val="24"/>
          <w:lang w:eastAsia="en-US"/>
        </w:rPr>
      </w:pPr>
      <w:r w:rsidRPr="00B16DA5">
        <w:rPr>
          <w:rFonts w:ascii="Times New Roman" w:eastAsia="Calibri" w:hAnsi="Times New Roman" w:cs="Times New Roman"/>
          <w:color w:val="000000"/>
          <w:sz w:val="24"/>
          <w:lang w:eastAsia="en-US"/>
        </w:rPr>
        <w:t>¿Cómo se configura el entorno laboral en el curso de vida, de los profesionales de la salud en Colombia?</w:t>
      </w:r>
    </w:p>
    <w:p w:rsidR="00C01C67" w:rsidRDefault="00C01C67" w:rsidP="001C1E40">
      <w:pPr>
        <w:shd w:val="clear" w:color="auto" w:fill="FFFFFF"/>
        <w:spacing w:after="0" w:line="360" w:lineRule="auto"/>
        <w:jc w:val="both"/>
        <w:rPr>
          <w:rFonts w:ascii="Times New Roman" w:eastAsia="Calibri" w:hAnsi="Times New Roman" w:cs="Times New Roman"/>
          <w:color w:val="000000"/>
          <w:sz w:val="24"/>
          <w:lang w:eastAsia="en-US"/>
        </w:rPr>
      </w:pPr>
      <w:r w:rsidRPr="00B16DA5">
        <w:rPr>
          <w:rFonts w:ascii="Times New Roman" w:eastAsia="Calibri" w:hAnsi="Times New Roman" w:cs="Times New Roman"/>
          <w:color w:val="000000"/>
          <w:sz w:val="24"/>
          <w:lang w:eastAsia="en-US"/>
        </w:rPr>
        <w:t>¿Cuáles son las condiciones de trabajo de los profesionales de la salud en Colombia?</w:t>
      </w:r>
    </w:p>
    <w:p w:rsidR="00051856" w:rsidRDefault="00051856" w:rsidP="00C01C67">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p>
    <w:p w:rsidR="001C1E40" w:rsidRPr="00B05C10" w:rsidRDefault="001C1E40" w:rsidP="00C01C67">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p>
    <w:p w:rsidR="003751B1" w:rsidRPr="00B05C10" w:rsidRDefault="003751B1" w:rsidP="00B16DA5">
      <w:pPr>
        <w:pStyle w:val="Ttulo2"/>
        <w:rPr>
          <w:lang w:eastAsia="en-US"/>
        </w:rPr>
      </w:pPr>
      <w:r w:rsidRPr="00B05C10">
        <w:rPr>
          <w:lang w:eastAsia="en-US"/>
        </w:rPr>
        <w:t>Justificación</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val="es-ES_tradnl" w:eastAsia="en-US"/>
        </w:rPr>
      </w:pPr>
      <w:r w:rsidRPr="00B05C10">
        <w:rPr>
          <w:rFonts w:ascii="Times New Roman" w:eastAsia="Calibri" w:hAnsi="Times New Roman" w:cs="Times New Roman"/>
          <w:color w:val="000000"/>
          <w:sz w:val="24"/>
          <w:lang w:val="es-ES_tradnl" w:eastAsia="en-US"/>
        </w:rPr>
        <w:lastRenderedPageBreak/>
        <w:t xml:space="preserve">En la actualidad, y debido a dinámicas complejas y multidimensionales, en nuestra sociedad han emergido nuevas problemáticas en el campo de la salud pública, mismas que priorizan de su propio acervo de conocimientos y prácticas para hacerles frente, así como mecanismos específicos para estudiarlas y medirlas, e igualmente hacerles seguimiento y proponer políticas para superarlas.  </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val="es-ES_tradnl" w:eastAsia="en-US"/>
        </w:rPr>
      </w:pPr>
      <w:r w:rsidRPr="00B05C10">
        <w:rPr>
          <w:rFonts w:ascii="Times New Roman" w:eastAsia="Calibri" w:hAnsi="Times New Roman" w:cs="Times New Roman"/>
          <w:color w:val="000000"/>
          <w:sz w:val="24"/>
          <w:lang w:val="es-ES_tradnl" w:eastAsia="en-US"/>
        </w:rPr>
        <w:t>Una de estas problemáticas se genera a partir de la relación entre salud y trabajo, realidad en donde los individuos y colectivos expresan cierta manera de enfermar y morir a partir de circunstancias concretas, como lo es la política económica, la legislación sectorial, las condiciones laborales y el bienestar de los trabajadores, entre otras. Lógicamente estas circunstancias varían de acuerdo al sector productivo y al estatus laboral de los sujetos.</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val="es-ES_tradnl" w:eastAsia="en-US"/>
        </w:rPr>
      </w:pPr>
      <w:r w:rsidRPr="00B05C10">
        <w:rPr>
          <w:rFonts w:ascii="Times New Roman" w:eastAsia="Calibri" w:hAnsi="Times New Roman" w:cs="Times New Roman"/>
          <w:color w:val="000000"/>
          <w:sz w:val="24"/>
          <w:lang w:val="es-ES_tradnl" w:eastAsia="en-US"/>
        </w:rPr>
        <w:t>En el espectro de la salud pública colombiana no existe un escenario académico en dónde se haga un seguimiento cualitativo y cuantitativo sobre la situación de salud de los trabajadores; es decir, que permita registrar diversos eventos sanitarios, investigar sobre el contexto específico en que se generan los mismos y hacer recomendaciones en política pública en este tópico. Esto involucra la exploración, la caracterización y el análisis de las condiciones de salud, enfermedad y atención de la población trabajadora de acuerdo a variables poblacionales, anhelos profesionales, coyunturas económicas, regiones productivas, etc.</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val="es-ES_tradnl" w:eastAsia="en-US"/>
        </w:rPr>
      </w:pPr>
      <w:r w:rsidRPr="00B05C10">
        <w:rPr>
          <w:rFonts w:ascii="Times New Roman" w:eastAsia="Calibri" w:hAnsi="Times New Roman" w:cs="Times New Roman"/>
          <w:color w:val="000000"/>
          <w:sz w:val="24"/>
          <w:lang w:val="es-ES_tradnl" w:eastAsia="en-US"/>
        </w:rPr>
        <w:t xml:space="preserve">Además de la generación de insumos sobre la realidad sanitaria de los trabajadores del país, un Observatorio de Interacciones entre Salud y Trabajo permitirá posicionar este instrumento académico en el campo de la salud pública nacional, convirtiéndolo en uno de los ejes que la Universidad Santo Tomás apremia para fortalecer sus misiones de enseñanza, investigación y proyección social alrededor de los campos del conocimiento que tienen a la salud y el trabajo como uno de sus objetos de estudio. Igualmente a partir de dicho observatorio se pueden dinamizar un ejercicio ético político direccionado por imperiosos como la justicia sanitaria, el derecho a la salud y el trabajo y el “buen vivir” en comunidad. </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p>
    <w:p w:rsidR="003751B1" w:rsidRPr="00B05C10" w:rsidRDefault="003751B1" w:rsidP="00B16DA5">
      <w:pPr>
        <w:pStyle w:val="Ttulo2"/>
        <w:rPr>
          <w:lang w:eastAsia="en-US"/>
        </w:rPr>
      </w:pPr>
      <w:r w:rsidRPr="00B05C10">
        <w:rPr>
          <w:lang w:eastAsia="en-US"/>
        </w:rPr>
        <w:lastRenderedPageBreak/>
        <w:t>OBJETIVO GENERAL</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Comprender la configuración del entorno laboral en el curso de vida y su relación con las condiciones de trabajo de los profesionales de la salud en Colombia.</w:t>
      </w:r>
    </w:p>
    <w:p w:rsidR="003751B1" w:rsidRPr="00B05C10" w:rsidRDefault="003751B1" w:rsidP="00B16DA5">
      <w:pPr>
        <w:pStyle w:val="Ttulo2"/>
        <w:rPr>
          <w:lang w:eastAsia="en-US"/>
        </w:rPr>
      </w:pPr>
      <w:r w:rsidRPr="00B05C10">
        <w:rPr>
          <w:lang w:eastAsia="en-US"/>
        </w:rPr>
        <w:t>Objetivos específicos</w:t>
      </w:r>
    </w:p>
    <w:p w:rsidR="003751B1" w:rsidRPr="00B05C10" w:rsidRDefault="003751B1" w:rsidP="00FE153F">
      <w:pPr>
        <w:numPr>
          <w:ilvl w:val="0"/>
          <w:numId w:val="3"/>
        </w:numPr>
        <w:shd w:val="clear" w:color="auto" w:fill="FFFFFF"/>
        <w:spacing w:before="100" w:beforeAutospacing="1" w:after="100" w:afterAutospacing="1" w:line="360" w:lineRule="auto"/>
        <w:contextualSpacing/>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 xml:space="preserve">Determinar las interacciones contextuales que intervienen en la configuración del entorno laboral de los profesionales de la salud </w:t>
      </w:r>
    </w:p>
    <w:p w:rsidR="003751B1" w:rsidRPr="00B05C10" w:rsidRDefault="003751B1" w:rsidP="00FE153F">
      <w:pPr>
        <w:numPr>
          <w:ilvl w:val="0"/>
          <w:numId w:val="3"/>
        </w:numPr>
        <w:shd w:val="clear" w:color="auto" w:fill="FFFFFF"/>
        <w:spacing w:before="100" w:beforeAutospacing="1" w:after="100" w:afterAutospacing="1" w:line="360" w:lineRule="auto"/>
        <w:contextualSpacing/>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Caracterizar las condiciones de salud y trabajo de los profesionales de la salud en Colombia</w:t>
      </w:r>
    </w:p>
    <w:p w:rsidR="003751B1" w:rsidRPr="00B05C10" w:rsidRDefault="003751B1" w:rsidP="00FE153F">
      <w:pPr>
        <w:numPr>
          <w:ilvl w:val="0"/>
          <w:numId w:val="3"/>
        </w:numPr>
        <w:shd w:val="clear" w:color="auto" w:fill="FFFFFF"/>
        <w:spacing w:before="100" w:beforeAutospacing="1" w:after="100" w:afterAutospacing="1" w:line="360" w:lineRule="auto"/>
        <w:contextualSpacing/>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Reconocer situaciones características de las condiciones de trabajo que se expresan en violencia laboral.</w:t>
      </w:r>
    </w:p>
    <w:p w:rsidR="003751B1" w:rsidRPr="00B05C10" w:rsidRDefault="003751B1" w:rsidP="00FE153F">
      <w:pPr>
        <w:numPr>
          <w:ilvl w:val="0"/>
          <w:numId w:val="3"/>
        </w:numPr>
        <w:shd w:val="clear" w:color="auto" w:fill="FFFFFF"/>
        <w:spacing w:before="100" w:beforeAutospacing="1" w:after="100" w:afterAutospacing="1" w:line="360" w:lineRule="auto"/>
        <w:contextualSpacing/>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Identificar fuentes secundarias de información de relevancia para la continuidad de las demás fases del estudio</w:t>
      </w:r>
    </w:p>
    <w:p w:rsidR="003751B1" w:rsidRPr="00B05C10" w:rsidRDefault="003751B1" w:rsidP="003751B1">
      <w:pPr>
        <w:shd w:val="clear" w:color="auto" w:fill="FFFFFF"/>
        <w:spacing w:before="100" w:beforeAutospacing="1" w:after="100" w:afterAutospacing="1" w:line="360" w:lineRule="auto"/>
        <w:ind w:left="720"/>
        <w:contextualSpacing/>
        <w:jc w:val="both"/>
        <w:rPr>
          <w:rFonts w:ascii="Times New Roman" w:eastAsia="Calibri" w:hAnsi="Times New Roman" w:cs="Times New Roman"/>
          <w:color w:val="000000"/>
          <w:sz w:val="24"/>
          <w:lang w:eastAsia="en-US"/>
        </w:rPr>
      </w:pPr>
    </w:p>
    <w:p w:rsidR="003751B1" w:rsidRPr="00B05C10" w:rsidRDefault="003751B1" w:rsidP="003751B1">
      <w:pPr>
        <w:shd w:val="clear" w:color="auto" w:fill="FFFFFF"/>
        <w:spacing w:before="100" w:beforeAutospacing="1" w:after="100" w:afterAutospacing="1" w:line="360" w:lineRule="auto"/>
        <w:ind w:left="720"/>
        <w:contextualSpacing/>
        <w:jc w:val="both"/>
        <w:rPr>
          <w:rFonts w:ascii="Times New Roman" w:eastAsia="Calibri" w:hAnsi="Times New Roman" w:cs="Times New Roman"/>
          <w:color w:val="000000"/>
          <w:sz w:val="24"/>
          <w:lang w:eastAsia="en-US"/>
        </w:rPr>
      </w:pPr>
    </w:p>
    <w:p w:rsidR="003751B1" w:rsidRPr="00B05C10" w:rsidRDefault="003751B1" w:rsidP="00B16DA5">
      <w:pPr>
        <w:pStyle w:val="Ttulo2"/>
        <w:rPr>
          <w:highlight w:val="white"/>
          <w:lang w:eastAsia="en-US"/>
        </w:rPr>
      </w:pPr>
      <w:r w:rsidRPr="00B05C10">
        <w:rPr>
          <w:highlight w:val="white"/>
          <w:lang w:eastAsia="en-US"/>
        </w:rPr>
        <w:t>Estado de arte</w:t>
      </w:r>
    </w:p>
    <w:p w:rsidR="003751B1" w:rsidRPr="00B05C10" w:rsidRDefault="003751B1" w:rsidP="003751B1">
      <w:pPr>
        <w:keepNext/>
        <w:keepLines/>
        <w:shd w:val="clear" w:color="auto" w:fill="FFFFFF"/>
        <w:spacing w:before="40" w:beforeAutospacing="1" w:after="0" w:afterAutospacing="1" w:line="360" w:lineRule="auto"/>
        <w:jc w:val="both"/>
        <w:outlineLvl w:val="2"/>
        <w:rPr>
          <w:rFonts w:ascii="Times New Roman" w:eastAsia="Times New Roman" w:hAnsi="Times New Roman" w:cs="Times New Roman"/>
          <w:color w:val="1F4D78"/>
          <w:sz w:val="24"/>
          <w:szCs w:val="24"/>
          <w:highlight w:val="white"/>
          <w:lang w:eastAsia="en-US"/>
        </w:rPr>
      </w:pPr>
      <w:r w:rsidRPr="00B05C10">
        <w:rPr>
          <w:rFonts w:ascii="Times New Roman" w:eastAsia="Times New Roman" w:hAnsi="Times New Roman" w:cs="Times New Roman"/>
          <w:color w:val="1F4D78"/>
          <w:sz w:val="24"/>
          <w:szCs w:val="24"/>
          <w:highlight w:val="white"/>
          <w:lang w:eastAsia="en-US"/>
        </w:rPr>
        <w:t>Contexto nacional:</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highlight w:val="white"/>
          <w:lang w:eastAsia="en-US"/>
        </w:rPr>
      </w:pPr>
      <w:r w:rsidRPr="00B05C10">
        <w:rPr>
          <w:rFonts w:ascii="Times New Roman" w:eastAsia="Calibri" w:hAnsi="Times New Roman" w:cs="Times New Roman"/>
          <w:color w:val="222222"/>
          <w:sz w:val="24"/>
          <w:szCs w:val="24"/>
          <w:highlight w:val="white"/>
          <w:lang w:eastAsia="en-US"/>
        </w:rPr>
        <w:t xml:space="preserve"> En el contexto colombiano como Estado Social de derecho en la Constitución de 1991, el trabajo ocupó un lugar como unas de las obligaciones de orden social protegido por el estado, pero sin menoscabar la libertad, la dignidad humana ni los derechos de los trabajadores.  </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highlight w:val="white"/>
          <w:lang w:eastAsia="en-US"/>
        </w:rPr>
      </w:pPr>
      <w:r w:rsidRPr="00B05C10">
        <w:rPr>
          <w:rFonts w:ascii="Times New Roman" w:eastAsia="Calibri" w:hAnsi="Times New Roman" w:cs="Times New Roman"/>
          <w:color w:val="222222"/>
          <w:sz w:val="24"/>
          <w:szCs w:val="24"/>
          <w:highlight w:val="white"/>
          <w:lang w:eastAsia="en-US"/>
        </w:rPr>
        <w:t>Ya desde una noción de ordenamiento constitucional donde el trabajo sería un principio, deber y derecho, en particular en la dignidad humana y condiciones de trabajo el cual son reflejados en siguientes artículos:</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highlight w:val="white"/>
          <w:lang w:eastAsia="en-US"/>
        </w:rPr>
      </w:pPr>
    </w:p>
    <w:p w:rsidR="003751B1" w:rsidRPr="00B05C10" w:rsidRDefault="003751B1" w:rsidP="003751B1">
      <w:pPr>
        <w:shd w:val="clear" w:color="auto" w:fill="FFFFFF"/>
        <w:spacing w:before="100" w:beforeAutospacing="1" w:after="100" w:afterAutospacing="1" w:line="360" w:lineRule="auto"/>
        <w:ind w:left="709" w:right="807"/>
        <w:jc w:val="both"/>
        <w:rPr>
          <w:rFonts w:ascii="Times New Roman" w:eastAsia="Calibri" w:hAnsi="Times New Roman" w:cs="Times New Roman"/>
          <w:color w:val="222222"/>
          <w:sz w:val="24"/>
          <w:szCs w:val="24"/>
          <w:lang w:eastAsia="en-US"/>
        </w:rPr>
      </w:pPr>
      <w:r w:rsidRPr="00B05C10">
        <w:rPr>
          <w:rFonts w:ascii="Times New Roman" w:eastAsia="Calibri" w:hAnsi="Times New Roman" w:cs="Times New Roman"/>
          <w:color w:val="222222"/>
          <w:sz w:val="24"/>
          <w:szCs w:val="24"/>
          <w:lang w:eastAsia="en-US"/>
        </w:rPr>
        <w:lastRenderedPageBreak/>
        <w:t xml:space="preserve">“El trabajo es un derecho y una obligación social y goza, en todas sus modalidades, de la especial protección del Estado. Toda persona tiene derecho a un trabajo en condiciones dignas y justas.” (Art. 25) </w:t>
      </w:r>
    </w:p>
    <w:p w:rsidR="003751B1" w:rsidRPr="00B05C10" w:rsidRDefault="003751B1" w:rsidP="003751B1">
      <w:pPr>
        <w:shd w:val="clear" w:color="auto" w:fill="FFFFFF"/>
        <w:spacing w:before="100" w:beforeAutospacing="1" w:after="100" w:afterAutospacing="1" w:line="360" w:lineRule="auto"/>
        <w:ind w:left="709" w:right="807"/>
        <w:jc w:val="both"/>
        <w:rPr>
          <w:rFonts w:ascii="Times New Roman" w:eastAsia="Calibri" w:hAnsi="Times New Roman" w:cs="Times New Roman"/>
          <w:color w:val="222222"/>
          <w:sz w:val="24"/>
          <w:szCs w:val="24"/>
          <w:lang w:eastAsia="en-US"/>
        </w:rPr>
      </w:pPr>
      <w:r w:rsidRPr="00B05C10">
        <w:rPr>
          <w:rFonts w:ascii="Times New Roman" w:eastAsia="Calibri" w:hAnsi="Times New Roman" w:cs="Times New Roman"/>
          <w:color w:val="222222"/>
          <w:sz w:val="24"/>
          <w:szCs w:val="24"/>
          <w:lang w:eastAsia="en-US"/>
        </w:rPr>
        <w:t xml:space="preserve">“El Congreso expedirá el estatuto del trabajo”. (Art. 53) </w:t>
      </w:r>
    </w:p>
    <w:p w:rsidR="003751B1" w:rsidRPr="00B05C10" w:rsidRDefault="003751B1" w:rsidP="003751B1">
      <w:pPr>
        <w:shd w:val="clear" w:color="auto" w:fill="FFFFFF"/>
        <w:spacing w:before="100" w:beforeAutospacing="1" w:after="100" w:afterAutospacing="1" w:line="360" w:lineRule="auto"/>
        <w:ind w:left="709" w:right="807"/>
        <w:jc w:val="both"/>
        <w:rPr>
          <w:rFonts w:ascii="Times New Roman" w:eastAsia="Calibri" w:hAnsi="Times New Roman" w:cs="Times New Roman"/>
          <w:color w:val="222222"/>
          <w:sz w:val="24"/>
          <w:szCs w:val="24"/>
          <w:lang w:eastAsia="en-US"/>
        </w:rPr>
      </w:pPr>
      <w:r w:rsidRPr="00B05C10">
        <w:rPr>
          <w:rFonts w:ascii="Times New Roman" w:eastAsia="Calibri" w:hAnsi="Times New Roman" w:cs="Times New Roman"/>
          <w:color w:val="222222"/>
          <w:sz w:val="24"/>
          <w:szCs w:val="24"/>
          <w:lang w:eastAsia="en-US"/>
        </w:rPr>
        <w:t>“Toda persona tiene derecho al trabajo digno y socialmente útil; al efecto, se promoverán la creación de empleos y la organización social de trabajo, conforme a la ley”. (Art.123)</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highlight w:val="white"/>
          <w:lang w:eastAsia="en-US"/>
        </w:rPr>
      </w:pP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lang w:eastAsia="en-US"/>
        </w:rPr>
      </w:pPr>
      <w:r w:rsidRPr="00B05C10">
        <w:rPr>
          <w:rFonts w:ascii="Times New Roman" w:eastAsia="Calibri" w:hAnsi="Times New Roman" w:cs="Times New Roman"/>
          <w:color w:val="222222"/>
          <w:sz w:val="24"/>
          <w:szCs w:val="24"/>
          <w:lang w:eastAsia="en-US"/>
        </w:rPr>
        <w:t>En relación a la salud la Constitución no la definió como derecho humano sino como un servicio público, perspectiva constitucional que orientó la estructuración del sistema de seguridad social (Ley 100 de 1993) que involucra los componentes de salud y riesgos profesionales, quedando estos como servicios en un mercado del aseguramiento de las contingencias de enfermedad general y maternidad por un lado y por el otro, de los accidentes de trabajo y enfermedades profesionales (ATEP) que son asegurados por las Administradoras de Riesgos Profesionales (ARP)</w:t>
      </w:r>
      <w:r w:rsidRPr="00B05C10">
        <w:rPr>
          <w:rFonts w:ascii="Times New Roman" w:eastAsia="Calibri" w:hAnsi="Times New Roman" w:cs="Times New Roman"/>
          <w:color w:val="222222"/>
          <w:sz w:val="24"/>
          <w:szCs w:val="24"/>
          <w:vertAlign w:val="superscript"/>
          <w:lang w:eastAsia="en-US"/>
        </w:rPr>
        <w:footnoteReference w:id="1"/>
      </w:r>
      <w:r w:rsidRPr="00B05C10">
        <w:rPr>
          <w:rFonts w:ascii="Times New Roman" w:eastAsia="Calibri" w:hAnsi="Times New Roman" w:cs="Times New Roman"/>
          <w:color w:val="222222"/>
          <w:sz w:val="24"/>
          <w:szCs w:val="24"/>
          <w:lang w:eastAsia="en-US"/>
        </w:rPr>
        <w:t xml:space="preserve"> (Luna Garcia, 2008)</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lang w:eastAsia="en-US"/>
        </w:rPr>
      </w:pP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lang w:eastAsia="en-US"/>
        </w:rPr>
      </w:pPr>
      <w:r w:rsidRPr="00B05C10">
        <w:rPr>
          <w:rFonts w:ascii="Times New Roman" w:eastAsia="Calibri" w:hAnsi="Times New Roman" w:cs="Times New Roman"/>
          <w:color w:val="222222"/>
          <w:sz w:val="24"/>
          <w:szCs w:val="24"/>
          <w:lang w:eastAsia="en-US"/>
        </w:rPr>
        <w:t xml:space="preserve">Ya en 1950 ya se había contemplado para todo los trabajadores el código sustantivo del trabajo, quien tiene como principal propósito fue liberar tensiones laborales con el fin de mejorar las condiciones de las empresas colombianas; quien define trabajo como: “toda actividad humana libre, ya sea material o intelectual, permanente o transitoria, que una persona natural ejecuta conscientemente al servicio de otra, y cualquier que sea su finalidad, </w:t>
      </w:r>
      <w:r w:rsidRPr="00B05C10">
        <w:rPr>
          <w:rFonts w:ascii="Times New Roman" w:eastAsia="Calibri" w:hAnsi="Times New Roman" w:cs="Times New Roman"/>
          <w:color w:val="222222"/>
          <w:sz w:val="24"/>
          <w:szCs w:val="24"/>
          <w:lang w:eastAsia="en-US"/>
        </w:rPr>
        <w:lastRenderedPageBreak/>
        <w:t>siempre que se efectúe en ejecución de un contrato de trabajo”.  (Código Sustantivo del Trabajo)</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lang w:eastAsia="en-US"/>
        </w:rPr>
      </w:pPr>
      <w:r w:rsidRPr="00B05C10">
        <w:rPr>
          <w:rFonts w:ascii="Times New Roman" w:eastAsia="Calibri" w:hAnsi="Times New Roman" w:cs="Times New Roman"/>
          <w:color w:val="222222"/>
          <w:sz w:val="24"/>
          <w:szCs w:val="24"/>
          <w:highlight w:val="white"/>
          <w:lang w:eastAsia="en-US"/>
        </w:rPr>
        <w:t xml:space="preserve">Sin embargo, la Procuraduría General de la Nación (2010), investiga sobre concepto de trabajo docente como una aproximación a los problemas del mundo del trabajo, donde se pretende incorporar los anhelos que los trabajadores aspiran en el ámbito del trabajo, contemplando desde la </w:t>
      </w:r>
      <w:r w:rsidRPr="00B05C10">
        <w:rPr>
          <w:rFonts w:ascii="Times New Roman" w:eastAsia="Calibri" w:hAnsi="Times New Roman" w:cs="Times New Roman"/>
          <w:color w:val="222222"/>
          <w:sz w:val="24"/>
          <w:szCs w:val="24"/>
          <w:lang w:eastAsia="en-US"/>
        </w:rPr>
        <w:t xml:space="preserve">Organización Internacional del Trabajo – </w:t>
      </w:r>
      <w:r w:rsidRPr="00B05C10">
        <w:rPr>
          <w:rFonts w:ascii="Times New Roman" w:eastAsia="Calibri" w:hAnsi="Times New Roman" w:cs="Times New Roman"/>
          <w:color w:val="222222"/>
          <w:sz w:val="24"/>
          <w:szCs w:val="24"/>
          <w:highlight w:val="white"/>
          <w:lang w:eastAsia="en-US"/>
        </w:rPr>
        <w:t>OIT-.</w:t>
      </w:r>
    </w:p>
    <w:p w:rsidR="003751B1" w:rsidRPr="00B05C10" w:rsidRDefault="003751B1" w:rsidP="003751B1">
      <w:pPr>
        <w:shd w:val="clear" w:color="auto" w:fill="FFFFFF"/>
        <w:spacing w:before="240" w:beforeAutospacing="1" w:after="240" w:afterAutospacing="1" w:line="360" w:lineRule="auto"/>
        <w:jc w:val="both"/>
        <w:rPr>
          <w:rFonts w:ascii="Times New Roman" w:eastAsia="Calibri" w:hAnsi="Times New Roman" w:cs="Times New Roman"/>
          <w:color w:val="222222"/>
          <w:sz w:val="19"/>
          <w:szCs w:val="19"/>
          <w:highlight w:val="white"/>
          <w:lang w:eastAsia="en-US"/>
        </w:rPr>
      </w:pPr>
      <w:r w:rsidRPr="00B05C10">
        <w:rPr>
          <w:rFonts w:ascii="Times New Roman" w:eastAsia="Calibri" w:hAnsi="Times New Roman" w:cs="Times New Roman"/>
          <w:color w:val="222222"/>
          <w:sz w:val="24"/>
          <w:szCs w:val="24"/>
          <w:highlight w:val="white"/>
          <w:lang w:eastAsia="en-US"/>
        </w:rPr>
        <w:t>Posada (2011) señala que la condición laboral de los colombianos conlleva a una evidente precariedad general marcada por determinantes como son el tipo de contratación, el empleo informal, el acoso laboral, entre muchos otros, donde la falta de control en los factores de riesgo obedece a un pobre seguimiento por parte de los entes implicados en la regulación y cumplimiento de las normas erigidas en cuanto a seguridad y garantías de los trabajadores.</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highlight w:val="white"/>
          <w:lang w:eastAsia="en-US"/>
        </w:rPr>
      </w:pPr>
      <w:r w:rsidRPr="00B05C10">
        <w:rPr>
          <w:rFonts w:ascii="Times New Roman" w:eastAsia="Calibri" w:hAnsi="Times New Roman" w:cs="Times New Roman"/>
          <w:color w:val="222222"/>
          <w:sz w:val="24"/>
          <w:szCs w:val="24"/>
          <w:highlight w:val="white"/>
          <w:lang w:eastAsia="en-US"/>
        </w:rPr>
        <w:t xml:space="preserve">Riaño - Casallas (2012) su eje central en el artículo de reflexión es sobre las condiciones para un trabajo decente, que afirma que los profesionales de salud de Colombia no cuentan con condiciones de trabajo decente sobre todo cuando se encargan de cuidar la salud del otro; además resalta que no solo debe limitarse al aspecto salarial, sino a considerar otras dimensiones relacionadas con el bienestar de los trabajadores tal como la salud y la seguridad en el trabajo.  </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highlight w:val="white"/>
          <w:lang w:eastAsia="en-US"/>
        </w:rPr>
      </w:pP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highlight w:val="white"/>
          <w:lang w:eastAsia="en-US"/>
        </w:rPr>
      </w:pPr>
      <w:r w:rsidRPr="00B05C10">
        <w:rPr>
          <w:rFonts w:ascii="Times New Roman" w:eastAsia="Calibri" w:hAnsi="Times New Roman" w:cs="Times New Roman"/>
          <w:color w:val="222222"/>
          <w:sz w:val="24"/>
          <w:szCs w:val="24"/>
          <w:highlight w:val="white"/>
          <w:lang w:eastAsia="en-US"/>
        </w:rPr>
        <w:t>Particularmente el plan decenal de salud pública 2012 - 2021, planean la dimensión de salud y ámbito laboral desde un carácter de políticas que buscar dar seguridad y salud en el trabajo, así como la prevención de riesgos de origen laboral, el cual no es un tema nuevo ya que está contemplado desde la Constitución Política de Colombia.</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highlight w:val="white"/>
          <w:lang w:eastAsia="en-US"/>
        </w:rPr>
      </w:pP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highlight w:val="white"/>
          <w:lang w:eastAsia="en-US"/>
        </w:rPr>
      </w:pPr>
      <w:r w:rsidRPr="00B05C10">
        <w:rPr>
          <w:rFonts w:ascii="Times New Roman" w:eastAsia="Calibri" w:hAnsi="Times New Roman" w:cs="Times New Roman"/>
          <w:color w:val="222222"/>
          <w:sz w:val="24"/>
          <w:szCs w:val="24"/>
          <w:highlight w:val="white"/>
          <w:lang w:eastAsia="en-US"/>
        </w:rPr>
        <w:lastRenderedPageBreak/>
        <w:t>Sin embargo, actualmente el Ministerio de Salud y Protección Social con el fin de dar cumplimiento en la normatividad y dar mayor sustentado al bienestar y seguridad de los trabajadores, lo complementa con la protección de la salud mental, apoyado con la siguiente normatividad</w:t>
      </w:r>
      <w:sdt>
        <w:sdtPr>
          <w:rPr>
            <w:rFonts w:ascii="Times New Roman" w:eastAsia="Calibri" w:hAnsi="Times New Roman" w:cs="Times New Roman"/>
            <w:color w:val="222222"/>
            <w:sz w:val="24"/>
            <w:szCs w:val="24"/>
            <w:highlight w:val="white"/>
            <w:lang w:eastAsia="en-US"/>
          </w:rPr>
          <w:id w:val="-1157379562"/>
          <w:citation/>
        </w:sdtPr>
        <w:sdtEndPr/>
        <w:sdtContent>
          <w:r w:rsidRPr="00B05C10">
            <w:rPr>
              <w:rFonts w:ascii="Times New Roman" w:eastAsia="Calibri" w:hAnsi="Times New Roman" w:cs="Times New Roman"/>
              <w:color w:val="222222"/>
              <w:sz w:val="24"/>
              <w:szCs w:val="24"/>
              <w:highlight w:val="white"/>
              <w:lang w:eastAsia="en-US"/>
            </w:rPr>
            <w:fldChar w:fldCharType="begin"/>
          </w:r>
          <w:r w:rsidRPr="00B05C10">
            <w:rPr>
              <w:rFonts w:ascii="Times New Roman" w:eastAsia="Calibri" w:hAnsi="Times New Roman" w:cs="Times New Roman"/>
              <w:color w:val="222222"/>
              <w:sz w:val="24"/>
              <w:szCs w:val="24"/>
              <w:highlight w:val="white"/>
              <w:lang w:eastAsia="en-US"/>
            </w:rPr>
            <w:instrText xml:space="preserve"> CITATION Con12 \l 9226 </w:instrText>
          </w:r>
          <w:r w:rsidRPr="00B05C10">
            <w:rPr>
              <w:rFonts w:ascii="Times New Roman" w:eastAsia="Calibri" w:hAnsi="Times New Roman" w:cs="Times New Roman"/>
              <w:color w:val="222222"/>
              <w:sz w:val="24"/>
              <w:szCs w:val="24"/>
              <w:highlight w:val="white"/>
              <w:lang w:eastAsia="en-US"/>
            </w:rPr>
            <w:fldChar w:fldCharType="separate"/>
          </w:r>
          <w:r w:rsidR="002D4DA6">
            <w:rPr>
              <w:rFonts w:ascii="Times New Roman" w:eastAsia="Calibri" w:hAnsi="Times New Roman" w:cs="Times New Roman"/>
              <w:noProof/>
              <w:color w:val="222222"/>
              <w:sz w:val="24"/>
              <w:szCs w:val="24"/>
              <w:highlight w:val="white"/>
              <w:lang w:eastAsia="en-US"/>
            </w:rPr>
            <w:t xml:space="preserve"> </w:t>
          </w:r>
          <w:r w:rsidR="002D4DA6" w:rsidRPr="002D4DA6">
            <w:rPr>
              <w:rFonts w:ascii="Times New Roman" w:eastAsia="Calibri" w:hAnsi="Times New Roman" w:cs="Times New Roman"/>
              <w:noProof/>
              <w:color w:val="222222"/>
              <w:sz w:val="24"/>
              <w:szCs w:val="24"/>
              <w:highlight w:val="white"/>
              <w:lang w:eastAsia="en-US"/>
            </w:rPr>
            <w:t>(Congreso de Colombia, 2012)</w:t>
          </w:r>
          <w:r w:rsidRPr="00B05C10">
            <w:rPr>
              <w:rFonts w:ascii="Times New Roman" w:eastAsia="Calibri" w:hAnsi="Times New Roman" w:cs="Times New Roman"/>
              <w:color w:val="222222"/>
              <w:sz w:val="24"/>
              <w:szCs w:val="24"/>
              <w:highlight w:val="white"/>
              <w:lang w:eastAsia="en-US"/>
            </w:rPr>
            <w:fldChar w:fldCharType="end"/>
          </w:r>
        </w:sdtContent>
      </w:sdt>
      <w:sdt>
        <w:sdtPr>
          <w:rPr>
            <w:rFonts w:ascii="Times New Roman" w:eastAsia="Calibri" w:hAnsi="Times New Roman" w:cs="Times New Roman"/>
            <w:color w:val="222222"/>
            <w:sz w:val="24"/>
            <w:szCs w:val="24"/>
            <w:highlight w:val="white"/>
            <w:lang w:eastAsia="en-US"/>
          </w:rPr>
          <w:id w:val="223350802"/>
          <w:citation/>
        </w:sdtPr>
        <w:sdtEndPr/>
        <w:sdtContent>
          <w:r w:rsidRPr="00B05C10">
            <w:rPr>
              <w:rFonts w:ascii="Times New Roman" w:eastAsia="Calibri" w:hAnsi="Times New Roman" w:cs="Times New Roman"/>
              <w:color w:val="222222"/>
              <w:sz w:val="24"/>
              <w:szCs w:val="24"/>
              <w:highlight w:val="white"/>
              <w:lang w:eastAsia="en-US"/>
            </w:rPr>
            <w:fldChar w:fldCharType="begin"/>
          </w:r>
          <w:r w:rsidRPr="00B05C10">
            <w:rPr>
              <w:rFonts w:ascii="Times New Roman" w:eastAsia="Calibri" w:hAnsi="Times New Roman" w:cs="Times New Roman"/>
              <w:color w:val="222222"/>
              <w:sz w:val="24"/>
              <w:szCs w:val="24"/>
              <w:highlight w:val="white"/>
              <w:lang w:eastAsia="en-US"/>
            </w:rPr>
            <w:instrText xml:space="preserve"> CITATION Con13 \l 9226 </w:instrText>
          </w:r>
          <w:r w:rsidRPr="00B05C10">
            <w:rPr>
              <w:rFonts w:ascii="Times New Roman" w:eastAsia="Calibri" w:hAnsi="Times New Roman" w:cs="Times New Roman"/>
              <w:color w:val="222222"/>
              <w:sz w:val="24"/>
              <w:szCs w:val="24"/>
              <w:highlight w:val="white"/>
              <w:lang w:eastAsia="en-US"/>
            </w:rPr>
            <w:fldChar w:fldCharType="separate"/>
          </w:r>
          <w:r w:rsidR="002D4DA6">
            <w:rPr>
              <w:rFonts w:ascii="Times New Roman" w:eastAsia="Calibri" w:hAnsi="Times New Roman" w:cs="Times New Roman"/>
              <w:noProof/>
              <w:color w:val="222222"/>
              <w:sz w:val="24"/>
              <w:szCs w:val="24"/>
              <w:highlight w:val="white"/>
              <w:lang w:eastAsia="en-US"/>
            </w:rPr>
            <w:t xml:space="preserve"> </w:t>
          </w:r>
          <w:r w:rsidR="002D4DA6" w:rsidRPr="002D4DA6">
            <w:rPr>
              <w:rFonts w:ascii="Times New Roman" w:eastAsia="Calibri" w:hAnsi="Times New Roman" w:cs="Times New Roman"/>
              <w:noProof/>
              <w:color w:val="222222"/>
              <w:sz w:val="24"/>
              <w:szCs w:val="24"/>
              <w:highlight w:val="white"/>
              <w:lang w:eastAsia="en-US"/>
            </w:rPr>
            <w:t>(Congreso de la Colombia, 2013)</w:t>
          </w:r>
          <w:r w:rsidRPr="00B05C10">
            <w:rPr>
              <w:rFonts w:ascii="Times New Roman" w:eastAsia="Calibri" w:hAnsi="Times New Roman" w:cs="Times New Roman"/>
              <w:color w:val="222222"/>
              <w:sz w:val="24"/>
              <w:szCs w:val="24"/>
              <w:highlight w:val="white"/>
              <w:lang w:eastAsia="en-US"/>
            </w:rPr>
            <w:fldChar w:fldCharType="end"/>
          </w:r>
        </w:sdtContent>
      </w:sdt>
      <w:r w:rsidRPr="00B05C10">
        <w:rPr>
          <w:rFonts w:ascii="Times New Roman" w:eastAsia="Calibri" w:hAnsi="Times New Roman" w:cs="Times New Roman"/>
          <w:color w:val="222222"/>
          <w:sz w:val="24"/>
          <w:szCs w:val="24"/>
          <w:highlight w:val="white"/>
          <w:lang w:eastAsia="en-US"/>
        </w:rPr>
        <w:t>:</w:t>
      </w:r>
    </w:p>
    <w:p w:rsidR="003751B1" w:rsidRPr="00B05C10" w:rsidRDefault="003751B1" w:rsidP="00FE153F">
      <w:pPr>
        <w:numPr>
          <w:ilvl w:val="0"/>
          <w:numId w:val="4"/>
        </w:numPr>
        <w:pBdr>
          <w:top w:val="nil"/>
          <w:left w:val="nil"/>
          <w:bottom w:val="nil"/>
          <w:right w:val="nil"/>
          <w:between w:val="nil"/>
        </w:pBdr>
        <w:shd w:val="clear" w:color="auto" w:fill="FFFFFF"/>
        <w:spacing w:before="100" w:beforeAutospacing="1" w:after="0" w:afterAutospacing="1" w:line="360" w:lineRule="auto"/>
        <w:contextualSpacing/>
        <w:jc w:val="both"/>
        <w:rPr>
          <w:rFonts w:ascii="Times New Roman" w:eastAsia="Calibri" w:hAnsi="Times New Roman" w:cs="Times New Roman"/>
          <w:color w:val="222222"/>
          <w:sz w:val="24"/>
          <w:szCs w:val="24"/>
          <w:highlight w:val="white"/>
          <w:lang w:eastAsia="en-US"/>
        </w:rPr>
      </w:pPr>
      <w:r w:rsidRPr="00B05C10">
        <w:rPr>
          <w:rFonts w:ascii="Times New Roman" w:eastAsia="Arial" w:hAnsi="Times New Roman" w:cs="Times New Roman"/>
          <w:color w:val="222222"/>
          <w:sz w:val="24"/>
          <w:szCs w:val="24"/>
          <w:lang w:eastAsia="en-US"/>
        </w:rPr>
        <w:t>Ley 1562 de 2012, que amplía la definición de accidente de trabajo, incluyendo la “perturbación psiquiátrica” en el trabajador por causa o con ocasión del trabajo</w:t>
      </w:r>
      <w:r w:rsidRPr="00B05C10">
        <w:rPr>
          <w:rFonts w:ascii="Times New Roman" w:eastAsia="Calibri" w:hAnsi="Times New Roman" w:cs="Times New Roman"/>
          <w:color w:val="000000"/>
          <w:sz w:val="24"/>
          <w:lang w:eastAsia="en-US"/>
        </w:rPr>
        <w:t xml:space="preserve"> (</w:t>
      </w:r>
      <w:r w:rsidRPr="00B05C10">
        <w:rPr>
          <w:rFonts w:ascii="Times New Roman" w:eastAsia="Arial" w:hAnsi="Times New Roman" w:cs="Times New Roman"/>
          <w:color w:val="222222"/>
          <w:sz w:val="24"/>
          <w:szCs w:val="24"/>
          <w:lang w:eastAsia="en-US"/>
        </w:rPr>
        <w:t>pág. 3); y la Ley 1616 de 2013, con el objeto de garantizar el Derecho a la Salud Mental de la población colombiana, que en su Artículo 9, hace énfasis en la “Promoción de la salud mental y prevención del trastorno mental en el ámbito laboral” (pág. 1).</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highlight w:val="white"/>
          <w:lang w:eastAsia="en-US"/>
        </w:rPr>
      </w:pPr>
      <w:r w:rsidRPr="00B05C10">
        <w:rPr>
          <w:rFonts w:ascii="Times New Roman" w:eastAsia="Calibri" w:hAnsi="Times New Roman" w:cs="Times New Roman"/>
          <w:color w:val="222222"/>
          <w:sz w:val="24"/>
          <w:szCs w:val="24"/>
          <w:highlight w:val="white"/>
          <w:lang w:eastAsia="en-US"/>
        </w:rPr>
        <w:t>Todo lo anterior relacionado con el estrés de carácter laboral desde las condiciones laborales, relaciones interpersonales, características de personalidad, el tipo de organización y liderazgo, el contexto social y económico, y las características del diseño de la tarea a desarrollar.  Consecuentes por la sobrecarga en la atención, la ausencia de descansos, tareas rutinarias y la no utilización de habilidades propias del trabajador. (Urrego Angel, 2016).</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lang w:eastAsia="en-US"/>
        </w:rPr>
      </w:pPr>
      <w:r w:rsidRPr="00B05C10">
        <w:rPr>
          <w:rFonts w:ascii="Times New Roman" w:eastAsia="Calibri" w:hAnsi="Times New Roman" w:cs="Times New Roman"/>
          <w:color w:val="222222"/>
          <w:sz w:val="24"/>
          <w:szCs w:val="24"/>
          <w:highlight w:val="white"/>
          <w:lang w:eastAsia="en-US"/>
        </w:rPr>
        <w:t xml:space="preserve">En el 2015 </w:t>
      </w:r>
      <w:r w:rsidRPr="00B05C10">
        <w:rPr>
          <w:rFonts w:ascii="Times New Roman" w:eastAsia="Calibri" w:hAnsi="Times New Roman" w:cs="Times New Roman"/>
          <w:color w:val="222222"/>
          <w:sz w:val="24"/>
          <w:szCs w:val="24"/>
          <w:lang w:eastAsia="en-US"/>
        </w:rPr>
        <w:t>el Observatorio de Talento Humano en Salud - OTHS – Colombia a través del Ministerio de Salud y Protección Social establece una guía con un marco conceptual y metodológico, que proponen herramientas necesarias para apoyar la gestión de información y conocimiento sobre la oferta, distribución, composición y situación del talento humano en salud en el país, en términos definidos en la ley 1751 de 2015</w:t>
      </w:r>
      <w:r w:rsidRPr="00B05C10">
        <w:rPr>
          <w:rFonts w:ascii="Times New Roman" w:eastAsia="Calibri" w:hAnsi="Times New Roman" w:cs="Times New Roman"/>
          <w:color w:val="222222"/>
          <w:sz w:val="24"/>
          <w:szCs w:val="24"/>
          <w:vertAlign w:val="superscript"/>
          <w:lang w:eastAsia="en-US"/>
        </w:rPr>
        <w:footnoteReference w:id="2"/>
      </w:r>
      <w:r w:rsidRPr="00B05C10">
        <w:rPr>
          <w:rFonts w:ascii="Times New Roman" w:eastAsia="Calibri" w:hAnsi="Times New Roman" w:cs="Times New Roman"/>
          <w:color w:val="222222"/>
          <w:sz w:val="24"/>
          <w:szCs w:val="24"/>
          <w:lang w:eastAsia="en-US"/>
        </w:rPr>
        <w:t>. Enfocada a incrementar la calidad y efectividad de las políticas y propuestas de intervención dirigidas a fortalecer el talento humano en salud en el país.  (Observatorio de Talento Humano en Salud, 2015)</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lang w:eastAsia="en-US"/>
        </w:rPr>
      </w:pPr>
      <w:r w:rsidRPr="00B05C10">
        <w:rPr>
          <w:rFonts w:ascii="Times New Roman" w:eastAsia="Calibri" w:hAnsi="Times New Roman" w:cs="Times New Roman"/>
          <w:color w:val="222222"/>
          <w:sz w:val="24"/>
          <w:szCs w:val="24"/>
          <w:lang w:eastAsia="en-US"/>
        </w:rPr>
        <w:t xml:space="preserve">Sin embargo, los profesionales de sector por fuentes de medios de comunicación se han unidos a otros sectores, donde se demuestra el estado actual en el ámbito laboral donde </w:t>
      </w:r>
      <w:r w:rsidRPr="00B05C10">
        <w:rPr>
          <w:rFonts w:ascii="Times New Roman" w:eastAsia="Calibri" w:hAnsi="Times New Roman" w:cs="Times New Roman"/>
          <w:color w:val="222222"/>
          <w:sz w:val="24"/>
          <w:szCs w:val="24"/>
          <w:lang w:eastAsia="en-US"/>
        </w:rPr>
        <w:lastRenderedPageBreak/>
        <w:t>solicitan alza salarial, subsidios de transportes y equidad salarial para las mujeres.  (Periódico el Tiempo, 2016).</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lang w:eastAsia="en-US"/>
        </w:rPr>
      </w:pPr>
      <w:r w:rsidRPr="00B05C10">
        <w:rPr>
          <w:rFonts w:ascii="Times New Roman" w:eastAsia="Calibri" w:hAnsi="Times New Roman" w:cs="Times New Roman"/>
          <w:color w:val="222222"/>
          <w:sz w:val="24"/>
          <w:szCs w:val="24"/>
          <w:lang w:eastAsia="en-US"/>
        </w:rPr>
        <w:t>Y continúa en diciembre del 2016 donde los profesionales de salud manifiestan  que los encargados de prestar los servicios de salud no tienen derecho a enfermarse, no hay garantía de insumos y futuro profesional.  (Periódico el Tiempo, 2016)</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lang w:eastAsia="en-US"/>
        </w:rPr>
      </w:pPr>
      <w:r w:rsidRPr="00B05C10">
        <w:rPr>
          <w:rFonts w:ascii="Times New Roman" w:eastAsia="Calibri" w:hAnsi="Times New Roman" w:cs="Times New Roman"/>
          <w:color w:val="222222"/>
          <w:sz w:val="24"/>
          <w:szCs w:val="24"/>
          <w:lang w:eastAsia="en-US"/>
        </w:rPr>
        <w:t xml:space="preserve">Al mismo tiempo existen trabajos de grados desarrollado por el Doctorado de Salud Pública de la Universidad Nacional de Colombina denominado Neoliberalismo y trabajo medico en el Sistema de General de Seguridad Social en Salud, con el fin de comprender el por qué y cómo se transforma ese trabajo en el momento neoliberal actual y cuáles fueron sus implicaciones para la vida, salud y bienestar, hallazgos como explotación, subsunción, despejo y la configuración de este trabajo como violencia sanitaria neoliberal. </w:t>
      </w:r>
      <w:sdt>
        <w:sdtPr>
          <w:rPr>
            <w:rFonts w:ascii="Times New Roman" w:eastAsia="Calibri" w:hAnsi="Times New Roman" w:cs="Times New Roman"/>
            <w:color w:val="222222"/>
            <w:sz w:val="24"/>
            <w:szCs w:val="24"/>
            <w:lang w:eastAsia="en-US"/>
          </w:rPr>
          <w:id w:val="-1334911321"/>
          <w:citation/>
        </w:sdtPr>
        <w:sdtEndPr/>
        <w:sdtContent>
          <w:r w:rsidRPr="00B05C10">
            <w:rPr>
              <w:rFonts w:ascii="Times New Roman" w:eastAsia="Calibri" w:hAnsi="Times New Roman" w:cs="Times New Roman"/>
              <w:color w:val="222222"/>
              <w:sz w:val="24"/>
              <w:szCs w:val="24"/>
              <w:lang w:eastAsia="en-US"/>
            </w:rPr>
            <w:fldChar w:fldCharType="begin"/>
          </w:r>
          <w:r w:rsidRPr="00B05C10">
            <w:rPr>
              <w:rFonts w:ascii="Times New Roman" w:eastAsia="Calibri" w:hAnsi="Times New Roman" w:cs="Times New Roman"/>
              <w:color w:val="222222"/>
              <w:sz w:val="24"/>
              <w:szCs w:val="24"/>
              <w:lang w:eastAsia="en-US"/>
            </w:rPr>
            <w:instrText xml:space="preserve"> CITATION Ard16 \l 9226 </w:instrText>
          </w:r>
          <w:r w:rsidRPr="00B05C10">
            <w:rPr>
              <w:rFonts w:ascii="Times New Roman" w:eastAsia="Calibri" w:hAnsi="Times New Roman" w:cs="Times New Roman"/>
              <w:color w:val="222222"/>
              <w:sz w:val="24"/>
              <w:szCs w:val="24"/>
              <w:lang w:eastAsia="en-US"/>
            </w:rPr>
            <w:fldChar w:fldCharType="separate"/>
          </w:r>
          <w:r w:rsidR="002D4DA6" w:rsidRPr="002D4DA6">
            <w:rPr>
              <w:rFonts w:ascii="Times New Roman" w:eastAsia="Calibri" w:hAnsi="Times New Roman" w:cs="Times New Roman"/>
              <w:noProof/>
              <w:color w:val="222222"/>
              <w:sz w:val="24"/>
              <w:szCs w:val="24"/>
              <w:lang w:eastAsia="en-US"/>
            </w:rPr>
            <w:t>(Ardila S, 2016)</w:t>
          </w:r>
          <w:r w:rsidRPr="00B05C10">
            <w:rPr>
              <w:rFonts w:ascii="Times New Roman" w:eastAsia="Calibri" w:hAnsi="Times New Roman" w:cs="Times New Roman"/>
              <w:color w:val="222222"/>
              <w:sz w:val="24"/>
              <w:szCs w:val="24"/>
              <w:lang w:eastAsia="en-US"/>
            </w:rPr>
            <w:fldChar w:fldCharType="end"/>
          </w:r>
        </w:sdtContent>
      </w:sdt>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lang w:eastAsia="en-US"/>
        </w:rPr>
      </w:pPr>
      <w:r w:rsidRPr="00B05C10">
        <w:rPr>
          <w:rFonts w:ascii="Times New Roman" w:eastAsia="Calibri" w:hAnsi="Times New Roman" w:cs="Times New Roman"/>
          <w:color w:val="222222"/>
          <w:sz w:val="24"/>
          <w:szCs w:val="24"/>
          <w:lang w:eastAsia="en-US"/>
        </w:rPr>
        <w:t xml:space="preserve">Y también se encuentra el trabajo de grado  que analizo la  configuración de la unidad de cuidado intensivo favorece la génesis de condiciones que precipitan la aparición de síndrome de desgaste profesional (burnout) en el médico intensivista, donde </w:t>
      </w:r>
      <w:r w:rsidRPr="00B05C10">
        <w:rPr>
          <w:rFonts w:ascii="Times New Roman" w:eastAsia="Calibri" w:hAnsi="Times New Roman" w:cs="Times New Roman"/>
          <w:color w:val="000000"/>
          <w:sz w:val="24"/>
          <w:lang w:eastAsia="en-US"/>
        </w:rPr>
        <w:t>tras exponer las diversas concepciones en torno a esta condición, el ensayo concluye con la exposición de las implicaciones y las opciones de estudio del agotamiento profesional como enfermedad en función de las condiciones y los entornos que favorecen su aparición entre los profesionales dedicados a la salud.</w:t>
      </w:r>
      <w:sdt>
        <w:sdtPr>
          <w:rPr>
            <w:rFonts w:ascii="Times New Roman" w:eastAsia="Calibri" w:hAnsi="Times New Roman" w:cs="Times New Roman"/>
            <w:color w:val="000000"/>
            <w:sz w:val="24"/>
            <w:lang w:eastAsia="en-US"/>
          </w:rPr>
          <w:id w:val="-103811725"/>
          <w:citation/>
        </w:sdtPr>
        <w:sdtEndPr/>
        <w:sdtContent>
          <w:r w:rsidRPr="00B05C10">
            <w:rPr>
              <w:rFonts w:ascii="Times New Roman" w:eastAsia="Calibri" w:hAnsi="Times New Roman" w:cs="Times New Roman"/>
              <w:color w:val="000000"/>
              <w:sz w:val="24"/>
              <w:lang w:eastAsia="en-US"/>
            </w:rPr>
            <w:fldChar w:fldCharType="begin"/>
          </w:r>
          <w:r w:rsidRPr="00B05C10">
            <w:rPr>
              <w:rFonts w:ascii="Times New Roman" w:eastAsia="Calibri" w:hAnsi="Times New Roman" w:cs="Times New Roman"/>
              <w:color w:val="000000"/>
              <w:sz w:val="24"/>
              <w:lang w:eastAsia="en-US"/>
            </w:rPr>
            <w:instrText xml:space="preserve"> CITATION Seg16 \l 9226 </w:instrText>
          </w:r>
          <w:r w:rsidRPr="00B05C10">
            <w:rPr>
              <w:rFonts w:ascii="Times New Roman" w:eastAsia="Calibri" w:hAnsi="Times New Roman" w:cs="Times New Roman"/>
              <w:color w:val="000000"/>
              <w:sz w:val="24"/>
              <w:lang w:eastAsia="en-US"/>
            </w:rPr>
            <w:fldChar w:fldCharType="separate"/>
          </w:r>
          <w:r w:rsidR="002D4DA6">
            <w:rPr>
              <w:rFonts w:ascii="Times New Roman" w:eastAsia="Calibri" w:hAnsi="Times New Roman" w:cs="Times New Roman"/>
              <w:noProof/>
              <w:color w:val="000000"/>
              <w:sz w:val="24"/>
              <w:lang w:eastAsia="en-US"/>
            </w:rPr>
            <w:t xml:space="preserve"> </w:t>
          </w:r>
          <w:r w:rsidR="002D4DA6" w:rsidRPr="002D4DA6">
            <w:rPr>
              <w:rFonts w:ascii="Times New Roman" w:eastAsia="Calibri" w:hAnsi="Times New Roman" w:cs="Times New Roman"/>
              <w:noProof/>
              <w:color w:val="000000"/>
              <w:sz w:val="24"/>
              <w:lang w:eastAsia="en-US"/>
            </w:rPr>
            <w:t>(Segura, 2016)</w:t>
          </w:r>
          <w:r w:rsidRPr="00B05C10">
            <w:rPr>
              <w:rFonts w:ascii="Times New Roman" w:eastAsia="Calibri" w:hAnsi="Times New Roman" w:cs="Times New Roman"/>
              <w:color w:val="000000"/>
              <w:sz w:val="24"/>
              <w:lang w:eastAsia="en-US"/>
            </w:rPr>
            <w:fldChar w:fldCharType="end"/>
          </w:r>
        </w:sdtContent>
      </w:sdt>
      <w:r w:rsidRPr="00B05C10">
        <w:rPr>
          <w:rFonts w:ascii="Times New Roman" w:eastAsia="Calibri" w:hAnsi="Times New Roman" w:cs="Times New Roman"/>
          <w:color w:val="000000"/>
          <w:sz w:val="24"/>
          <w:lang w:eastAsia="en-US"/>
        </w:rPr>
        <w:t>.</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lang w:eastAsia="en-US"/>
        </w:rPr>
      </w:pPr>
      <w:r w:rsidRPr="00B05C10">
        <w:rPr>
          <w:rFonts w:ascii="Times New Roman" w:eastAsia="Calibri" w:hAnsi="Times New Roman" w:cs="Times New Roman"/>
          <w:color w:val="222222"/>
          <w:sz w:val="24"/>
          <w:szCs w:val="24"/>
          <w:highlight w:val="white"/>
          <w:lang w:eastAsia="en-US"/>
        </w:rPr>
        <w:t xml:space="preserve">Finalmente, es importante resaltar que la búsqueda de evidencia científica del estado actual de salud y trabajo de los profesionales de la salud se requiere </w:t>
      </w:r>
      <w:r w:rsidRPr="00B05C10">
        <w:rPr>
          <w:rFonts w:ascii="Times New Roman" w:eastAsia="Calibri" w:hAnsi="Times New Roman" w:cs="Times New Roman"/>
          <w:color w:val="222222"/>
          <w:sz w:val="24"/>
          <w:szCs w:val="24"/>
          <w:lang w:eastAsia="en-US"/>
        </w:rPr>
        <w:t>“incrementar la evidencia y literatura disponible sobre la situación actual, tendencias y benchmarking en el nivel local y territorial, así como entre subgrupos específicos del recurso humano en salud, e incluso entre ciudades principales” el cual muy poco se estudia al respecto.  (Observatorio de Talento Humano en Salud, 2015)</w:t>
      </w:r>
    </w:p>
    <w:p w:rsidR="003751B1" w:rsidRPr="00B05C10" w:rsidRDefault="003751B1" w:rsidP="003751B1">
      <w:pPr>
        <w:keepNext/>
        <w:keepLines/>
        <w:shd w:val="clear" w:color="auto" w:fill="FFFFFF"/>
        <w:spacing w:before="40" w:beforeAutospacing="1" w:after="0" w:afterAutospacing="1" w:line="360" w:lineRule="auto"/>
        <w:jc w:val="both"/>
        <w:outlineLvl w:val="2"/>
        <w:rPr>
          <w:rFonts w:ascii="Times New Roman" w:eastAsia="Times New Roman" w:hAnsi="Times New Roman" w:cs="Times New Roman"/>
          <w:color w:val="1F4D78"/>
          <w:sz w:val="24"/>
          <w:szCs w:val="24"/>
          <w:highlight w:val="white"/>
          <w:lang w:eastAsia="en-US"/>
        </w:rPr>
      </w:pPr>
      <w:r w:rsidRPr="00B05C10">
        <w:rPr>
          <w:rFonts w:ascii="Times New Roman" w:eastAsia="Times New Roman" w:hAnsi="Times New Roman" w:cs="Times New Roman"/>
          <w:color w:val="1F4D78"/>
          <w:sz w:val="24"/>
          <w:szCs w:val="24"/>
          <w:highlight w:val="white"/>
          <w:lang w:eastAsia="en-US"/>
        </w:rPr>
        <w:lastRenderedPageBreak/>
        <w:t>Contexto internacional</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highlight w:val="white"/>
          <w:lang w:eastAsia="en-US"/>
        </w:rPr>
      </w:pPr>
      <w:r w:rsidRPr="00B05C10">
        <w:rPr>
          <w:rFonts w:ascii="Times New Roman" w:eastAsia="Calibri" w:hAnsi="Times New Roman" w:cs="Times New Roman"/>
          <w:color w:val="222222"/>
          <w:sz w:val="24"/>
          <w:szCs w:val="24"/>
          <w:highlight w:val="white"/>
          <w:lang w:eastAsia="en-US"/>
        </w:rPr>
        <w:t xml:space="preserve">Hacia finales del siglo XVIII y principios del XIX que comenzaron a surgir líderes sociales, entre investigadores y políticos, tales como Louis-René Villermé en Francia, Sir Edwin Chadwick en Gran Bretaña y Rudolf Virchow en Alemania, quienes comenzaron a estudiar los efectos de las condiciones laborales en la salud de la población trabajadora, bajo este marco se generan las posturas que son prácticamente las bases de los modelos usados actualmente para comprender la relación salud-enfermedad; por una parte se propone que los problemas de la salud de los trabajadores están vinculados a la manera como están insertos en los procesos de producción siendo la salud una expresión clara de la explotación; y por otra parte se comprenden estos problemas como consecuencia del ambiente de trabajo en función de riesgos específicos </w:t>
      </w:r>
      <w:r w:rsidRPr="00B05C10">
        <w:rPr>
          <w:rFonts w:ascii="Times New Roman" w:eastAsia="Calibri" w:hAnsi="Times New Roman" w:cs="Times New Roman"/>
          <w:color w:val="000000"/>
          <w:sz w:val="24"/>
          <w:szCs w:val="24"/>
          <w:highlight w:val="white"/>
          <w:lang w:eastAsia="en-US"/>
        </w:rPr>
        <w:t>(Berlinguer, 2007)</w:t>
      </w:r>
      <w:r w:rsidRPr="00B05C10">
        <w:rPr>
          <w:rFonts w:ascii="Times New Roman" w:eastAsia="Calibri" w:hAnsi="Times New Roman" w:cs="Times New Roman"/>
          <w:color w:val="222222"/>
          <w:sz w:val="24"/>
          <w:szCs w:val="24"/>
          <w:highlight w:val="white"/>
          <w:lang w:eastAsia="en-US"/>
        </w:rPr>
        <w:t>.</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highlight w:val="white"/>
          <w:lang w:eastAsia="en-US"/>
        </w:rPr>
      </w:pPr>
    </w:p>
    <w:p w:rsidR="003751B1" w:rsidRPr="00B05C10" w:rsidRDefault="003751B1" w:rsidP="003751B1">
      <w:pPr>
        <w:shd w:val="clear" w:color="auto" w:fill="FFFFFF"/>
        <w:spacing w:before="100" w:beforeAutospacing="1" w:after="240" w:afterAutospacing="1" w:line="360" w:lineRule="auto"/>
        <w:jc w:val="both"/>
        <w:rPr>
          <w:rFonts w:ascii="Times New Roman" w:eastAsia="Calibri" w:hAnsi="Times New Roman" w:cs="Times New Roman"/>
          <w:color w:val="222222"/>
          <w:sz w:val="24"/>
          <w:szCs w:val="24"/>
          <w:highlight w:val="white"/>
          <w:lang w:eastAsia="en-US"/>
        </w:rPr>
      </w:pPr>
      <w:r w:rsidRPr="00B05C10">
        <w:rPr>
          <w:rFonts w:ascii="Times New Roman" w:eastAsia="Calibri" w:hAnsi="Times New Roman" w:cs="Times New Roman"/>
          <w:color w:val="222222"/>
          <w:sz w:val="24"/>
          <w:szCs w:val="24"/>
          <w:highlight w:val="white"/>
          <w:lang w:eastAsia="en-US"/>
        </w:rPr>
        <w:t>De ahí la importancia de dirigir el interés de la comunidad científica en esta dirección, puesto que aspectos tan delicados como la morbilidad y la desigualdad en los trabajadores van en aumento. La OMS (2007) en su plan de acción mundial para la salud de los trabajadores 2007-2017 propone:</w:t>
      </w:r>
    </w:p>
    <w:p w:rsidR="003751B1" w:rsidRPr="00B05C10" w:rsidRDefault="003751B1" w:rsidP="003751B1">
      <w:pPr>
        <w:shd w:val="clear" w:color="auto" w:fill="FFFFFF"/>
        <w:spacing w:before="100" w:beforeAutospacing="1" w:after="100" w:afterAutospacing="1" w:line="360" w:lineRule="auto"/>
        <w:ind w:left="700" w:right="700"/>
        <w:jc w:val="both"/>
        <w:rPr>
          <w:rFonts w:ascii="Times New Roman" w:eastAsia="Calibri" w:hAnsi="Times New Roman" w:cs="Times New Roman"/>
          <w:color w:val="222222"/>
          <w:sz w:val="24"/>
          <w:szCs w:val="24"/>
          <w:highlight w:val="white"/>
          <w:lang w:eastAsia="en-US"/>
        </w:rPr>
      </w:pPr>
      <w:r w:rsidRPr="00B05C10">
        <w:rPr>
          <w:rFonts w:ascii="Times New Roman" w:eastAsia="Calibri" w:hAnsi="Times New Roman" w:cs="Times New Roman"/>
          <w:color w:val="222222"/>
          <w:sz w:val="24"/>
          <w:szCs w:val="24"/>
          <w:highlight w:val="white"/>
          <w:lang w:eastAsia="en-US"/>
        </w:rPr>
        <w:t>“tratar todos los aspectos relacionados con la salud de los trabajadores, incluidas la prevención primaria de los peligros laborales, la protección y promoción de la salud en el lugar de trabajo, las condiciones de empleo y la mejora de la respuesta de los sistemas de salud a la salud de los trabajadores. Está basado en algunos principios comunes. Todos los trabajadores deben poder disfrutar del más alto nivel posible de salud física y mental y de condiciones de trabajo favorables. El lugar de trabajo no debe perjudicar la salud ni el bienestar. La prevención primaria de los peligros para la salud de los trabajadores merece una atención prioritaria.” (pág. 5)</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222222"/>
          <w:sz w:val="24"/>
          <w:szCs w:val="24"/>
          <w:highlight w:val="white"/>
          <w:lang w:eastAsia="en-US"/>
        </w:rPr>
      </w:pPr>
      <w:r w:rsidRPr="00B05C10">
        <w:rPr>
          <w:rFonts w:ascii="Times New Roman" w:eastAsia="Calibri" w:hAnsi="Times New Roman" w:cs="Times New Roman"/>
          <w:color w:val="222222"/>
          <w:sz w:val="24"/>
          <w:szCs w:val="24"/>
          <w:highlight w:val="white"/>
          <w:lang w:eastAsia="en-US"/>
        </w:rPr>
        <w:lastRenderedPageBreak/>
        <w:t>De acuerdo con la investigación conducida por Amable, Benach y González (2001), “los problemas de salud mental que aparecen más estrechamente asociados con la precariedad laboral son el nerviosismo y la ansiedad, la depresión, el miedo, el sufrimiento, la sociabilidad y las relaciones de amistad” (pág. 167). Esto da luz sobre la pertinencia de centrar el interés en aquellos determinantes sociales dados por el entorno y condiciones laborales que están afectando directa o indirectamente la salud de los trabajadores.</w:t>
      </w:r>
    </w:p>
    <w:p w:rsidR="003751B1" w:rsidRPr="00B05C10" w:rsidRDefault="003751B1" w:rsidP="003751B1">
      <w:pPr>
        <w:shd w:val="clear" w:color="auto" w:fill="FFFFFF"/>
        <w:spacing w:before="240" w:beforeAutospacing="1" w:after="240" w:afterAutospacing="1" w:line="360" w:lineRule="auto"/>
        <w:jc w:val="both"/>
        <w:rPr>
          <w:rFonts w:ascii="Times New Roman" w:eastAsia="Calibri" w:hAnsi="Times New Roman" w:cs="Times New Roman"/>
          <w:color w:val="222222"/>
          <w:sz w:val="24"/>
          <w:szCs w:val="24"/>
          <w:highlight w:val="white"/>
          <w:lang w:eastAsia="en-US"/>
        </w:rPr>
      </w:pPr>
      <w:r w:rsidRPr="00B05C10">
        <w:rPr>
          <w:rFonts w:ascii="Times New Roman" w:eastAsia="Calibri" w:hAnsi="Times New Roman" w:cs="Times New Roman"/>
          <w:color w:val="222222"/>
          <w:sz w:val="24"/>
          <w:szCs w:val="24"/>
          <w:highlight w:val="white"/>
          <w:lang w:eastAsia="en-US"/>
        </w:rPr>
        <w:t xml:space="preserve">Según Benach et al, (2010) existen tres importantes conceptos que es necesario vincular adecuadamente, estos son trabajo precario, desocupación y salud. La relación de los conceptos trabajo – salud apunta siempre a los problemas que acarrea la predominancia del interés en los altos niveles de producción en el menor tiempo posible, lo cual implica esfuerzos sobredimensionados por parte de los trabajadores, todo lo cual responde a su vez al modelo socio-económico globalizado del capitalismo. Asimismo es importante tener en cuenta que las normas legales sólo consideran las enfermedades profesionales y los accidentes de trabajo como factores de riesgo en la salud laboral, por lo que sugiere incluir en la agenda aspectos como la relación de la jornada de trabajo con la salud, el tipo de contratación en relación a la falta de estabilidad y control de las condiciones laborales (Mejía, 2013). </w:t>
      </w:r>
    </w:p>
    <w:p w:rsidR="003751B1" w:rsidRPr="00B05C10" w:rsidRDefault="003751B1" w:rsidP="003751B1">
      <w:pPr>
        <w:shd w:val="clear" w:color="auto" w:fill="FFFFFF"/>
        <w:spacing w:before="240" w:beforeAutospacing="1" w:after="240" w:afterAutospacing="1" w:line="360" w:lineRule="auto"/>
        <w:jc w:val="both"/>
        <w:rPr>
          <w:rFonts w:ascii="Times New Roman" w:eastAsia="Calibri" w:hAnsi="Times New Roman" w:cs="Times New Roman"/>
          <w:color w:val="222222"/>
          <w:sz w:val="24"/>
          <w:szCs w:val="24"/>
          <w:highlight w:val="white"/>
          <w:lang w:eastAsia="en-US"/>
        </w:rPr>
      </w:pPr>
      <w:r w:rsidRPr="00B05C10">
        <w:rPr>
          <w:rFonts w:ascii="Times New Roman" w:eastAsia="Calibri" w:hAnsi="Times New Roman" w:cs="Times New Roman"/>
          <w:color w:val="222222"/>
          <w:sz w:val="24"/>
          <w:szCs w:val="24"/>
          <w:highlight w:val="white"/>
          <w:lang w:eastAsia="en-US"/>
        </w:rPr>
        <w:t xml:space="preserve">Santana (2012) señala que, en países en vía de desarrollo, el trabajo informal, el autoempleo, la subcontratación y el trabajo de medio tiempo alcanzan a constituir hasta un 70% de la fuerza laboral, las cuales son formas flexibles de trabajo que permanecen al margen de la regulación estatal y, por lo tanto, no poseen ningún tipo de protección laboral y social. De igual manera, los salarios precarios y la disminución de la contribución salarial a seguros médicos, son factores que afectan directamente la salud de los trabajadores. </w:t>
      </w:r>
    </w:p>
    <w:p w:rsidR="003751B1" w:rsidRPr="00B05C10" w:rsidRDefault="003751B1" w:rsidP="003751B1">
      <w:pPr>
        <w:shd w:val="clear" w:color="auto" w:fill="FFFFFF"/>
        <w:spacing w:before="240" w:beforeAutospacing="1" w:after="240" w:afterAutospacing="1" w:line="360" w:lineRule="auto"/>
        <w:jc w:val="both"/>
        <w:rPr>
          <w:rFonts w:ascii="Times New Roman" w:eastAsia="Calibri" w:hAnsi="Times New Roman" w:cs="Times New Roman"/>
          <w:color w:val="222222"/>
          <w:sz w:val="24"/>
          <w:szCs w:val="24"/>
          <w:highlight w:val="white"/>
          <w:lang w:eastAsia="en-US"/>
        </w:rPr>
      </w:pPr>
      <w:r w:rsidRPr="00B05C10">
        <w:rPr>
          <w:rFonts w:ascii="Times New Roman" w:eastAsia="Calibri" w:hAnsi="Times New Roman" w:cs="Times New Roman"/>
          <w:color w:val="222222"/>
          <w:sz w:val="24"/>
          <w:szCs w:val="24"/>
          <w:highlight w:val="white"/>
          <w:lang w:eastAsia="en-US"/>
        </w:rPr>
        <w:t xml:space="preserve">Las condiciones laborales que afectan directamente al trabajador son aquellas que están relacionados a la organización del trabajo, los factores de riesgo psicosocial y la sobrecarga laboral, por ejemplo, Martínez, Albores y Márquez (2012) un estudio mexicano señalan que los trabajadores del área de la salud se exponen a una alta demanda emocional, falta de </w:t>
      </w:r>
      <w:r w:rsidRPr="00B05C10">
        <w:rPr>
          <w:rFonts w:ascii="Times New Roman" w:eastAsia="Calibri" w:hAnsi="Times New Roman" w:cs="Times New Roman"/>
          <w:color w:val="222222"/>
          <w:sz w:val="24"/>
          <w:szCs w:val="24"/>
          <w:highlight w:val="white"/>
          <w:lang w:eastAsia="en-US"/>
        </w:rPr>
        <w:lastRenderedPageBreak/>
        <w:t xml:space="preserve">control y autonomía en el trabajo, asociado a un bajo apoyo social, variables que contribuye al ausentismo, a la baja productividad y a la baja calidad de la atención a los pacientes. </w:t>
      </w:r>
    </w:p>
    <w:p w:rsidR="003751B1" w:rsidRPr="00B05C10" w:rsidRDefault="003751B1" w:rsidP="003751B1">
      <w:pPr>
        <w:shd w:val="clear" w:color="auto" w:fill="FFFFFF"/>
        <w:spacing w:before="240" w:beforeAutospacing="1" w:after="240" w:afterAutospacing="1" w:line="360" w:lineRule="auto"/>
        <w:jc w:val="both"/>
        <w:rPr>
          <w:rFonts w:ascii="Times New Roman" w:eastAsia="Calibri" w:hAnsi="Times New Roman" w:cs="Times New Roman"/>
          <w:color w:val="222222"/>
          <w:sz w:val="24"/>
          <w:szCs w:val="24"/>
          <w:lang w:eastAsia="en-US"/>
        </w:rPr>
      </w:pPr>
      <w:r w:rsidRPr="00B05C10">
        <w:rPr>
          <w:rFonts w:ascii="Times New Roman" w:eastAsia="Calibri" w:hAnsi="Times New Roman" w:cs="Times New Roman"/>
          <w:color w:val="222222"/>
          <w:sz w:val="24"/>
          <w:szCs w:val="24"/>
          <w:lang w:eastAsia="en-US"/>
        </w:rPr>
        <w:t>Vives (2015) señala en su investigación sobre la medición del empleo precario en tiempos de crisis por medio de la Escala de Precariedad del Empleo (EPRES) en España en un contexto de crisis económica y creciente desempleo; donde demostró adecuadas propiedades psicométricas y mayor sensibilidad para medir la vulnerabilidad, así como la inestabilidad laboral en personas con contrato permanente e incrementos de la precariedad en algunas dimensiones, ocurridos en el mercado laboral español.</w:t>
      </w:r>
    </w:p>
    <w:p w:rsidR="003751B1" w:rsidRPr="00B05C10" w:rsidRDefault="003751B1" w:rsidP="003751B1">
      <w:pPr>
        <w:shd w:val="clear" w:color="auto" w:fill="FFFFFF"/>
        <w:spacing w:before="240" w:beforeAutospacing="1" w:after="240" w:afterAutospacing="1" w:line="360" w:lineRule="auto"/>
        <w:jc w:val="both"/>
        <w:rPr>
          <w:rFonts w:ascii="Times New Roman" w:eastAsia="Calibri" w:hAnsi="Times New Roman" w:cs="Times New Roman"/>
          <w:color w:val="222222"/>
          <w:sz w:val="24"/>
          <w:szCs w:val="24"/>
          <w:highlight w:val="white"/>
          <w:lang w:eastAsia="en-US"/>
        </w:rPr>
      </w:pPr>
      <w:r w:rsidRPr="00B05C10">
        <w:rPr>
          <w:rFonts w:ascii="Times New Roman" w:eastAsia="Calibri" w:hAnsi="Times New Roman" w:cs="Times New Roman"/>
          <w:color w:val="222222"/>
          <w:sz w:val="24"/>
          <w:szCs w:val="24"/>
          <w:highlight w:val="white"/>
          <w:lang w:eastAsia="en-US"/>
        </w:rPr>
        <w:t>Canales, Valenzuela y Paravic (2016), mencionan que las condiciones de trabajo en relacionadas a la organización del mismo además de la precariedad, la demanda laboral y los limitados recursos, son condiciones que vivencian frecuentemente los trabajadores de enfermería en Chile y donde los problemas de estrés, fatiga y burnout son los más evidenciados.</w:t>
      </w:r>
    </w:p>
    <w:p w:rsidR="003751B1" w:rsidRPr="00B05C10" w:rsidRDefault="003751B1" w:rsidP="003751B1">
      <w:pPr>
        <w:shd w:val="clear" w:color="auto" w:fill="FFFFFF"/>
        <w:spacing w:before="240" w:beforeAutospacing="1" w:after="240" w:afterAutospacing="1" w:line="360" w:lineRule="auto"/>
        <w:jc w:val="both"/>
        <w:rPr>
          <w:rFonts w:ascii="Times New Roman" w:eastAsia="Calibri" w:hAnsi="Times New Roman" w:cs="Times New Roman"/>
          <w:color w:val="222222"/>
          <w:sz w:val="24"/>
          <w:szCs w:val="24"/>
          <w:highlight w:val="white"/>
          <w:lang w:eastAsia="en-US"/>
        </w:rPr>
      </w:pPr>
      <w:r w:rsidRPr="00B05C10">
        <w:rPr>
          <w:rFonts w:ascii="Times New Roman" w:eastAsia="Calibri" w:hAnsi="Times New Roman" w:cs="Times New Roman"/>
          <w:color w:val="222222"/>
          <w:sz w:val="24"/>
          <w:szCs w:val="24"/>
          <w:highlight w:val="white"/>
          <w:lang w:eastAsia="en-US"/>
        </w:rPr>
        <w:t>Cruz Robazzi, Chaves, Barcellos, Almeida da Silva, y Oliveira (2010) afirman que los trabajadores cubanos presentan cuadros de estrés ocupacional y crónico, sufrimiento y quejas físicas y psíquicas en general, como consecuencia de la alta carga laboral en el contexto de la salud; igualmente en Uruguay existen reportes sobre la aparición de mobbing como consecuencia de una sobrecarga laboral junto a otros factores de alto riesgo laboral (George, 2015), mientras que en Centroamérica Lopez, Benavides, Vives y Artazcoz (2017) señalan que la sobrecarga laboral principalmente percibida en trabajadores de sexo masculino repercute en la salud mental y finalmente en su rendimiento laboral.</w:t>
      </w:r>
    </w:p>
    <w:p w:rsidR="003751B1" w:rsidRPr="00B16DA5" w:rsidRDefault="003751B1" w:rsidP="00B16DA5">
      <w:pPr>
        <w:pStyle w:val="Ttulo2"/>
      </w:pPr>
      <w:r w:rsidRPr="00B16DA5">
        <w:t>Marco Teórico</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rPr>
      </w:pPr>
      <w:r w:rsidRPr="00B05C10">
        <w:rPr>
          <w:rFonts w:ascii="Times New Roman" w:eastAsia="Calibri" w:hAnsi="Times New Roman" w:cs="Times New Roman"/>
          <w:color w:val="000000"/>
          <w:sz w:val="24"/>
        </w:rPr>
        <w:t xml:space="preserve">La construcción de un Observatorio sobre Salud y Trabajo prioriza de unos soportes teóricos que orienten el quehacer de esta herramienta de análisis y construcción de política en el campo sanitario. Así, una discusión sobre la emergencia de esta estrategia es un paso esencial. Igual un acercamiento a categorías como trabajo y empleo, y su relación con la salud de la </w:t>
      </w:r>
      <w:r w:rsidRPr="00B05C10">
        <w:rPr>
          <w:rFonts w:ascii="Times New Roman" w:eastAsia="Calibri" w:hAnsi="Times New Roman" w:cs="Times New Roman"/>
          <w:color w:val="000000"/>
          <w:sz w:val="24"/>
        </w:rPr>
        <w:lastRenderedPageBreak/>
        <w:t>población. Una aproximación a un elemento fundamental como lo es el curso socio histórico de vida, es un concepto cardinal al ser el trabajo un soporte material e inmaterial para la reproducción de los individuos y su parentela, y un escenario en donde se expresan micro poderes, violencias de diferentes dimensiones y, en general, el control de los sujetos y la acumulación de capital.</w:t>
      </w:r>
    </w:p>
    <w:p w:rsidR="003751B1" w:rsidRPr="00B16DA5" w:rsidRDefault="003751B1" w:rsidP="00B16DA5">
      <w:pPr>
        <w:pStyle w:val="Ttulo3"/>
      </w:pPr>
      <w:r w:rsidRPr="00B16DA5">
        <w:t>Observatorios en salud y su papel en la construcción de democracia </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bCs/>
          <w:color w:val="000000"/>
          <w:sz w:val="24"/>
          <w:lang w:eastAsia="en-US"/>
        </w:rPr>
      </w:pPr>
      <w:r w:rsidRPr="00B05C10">
        <w:rPr>
          <w:rFonts w:ascii="Times New Roman" w:eastAsia="Calibri" w:hAnsi="Times New Roman" w:cs="Times New Roman"/>
          <w:color w:val="000000"/>
          <w:sz w:val="24"/>
        </w:rPr>
        <w:t xml:space="preserve">La disertación inicial está alrededor de los observatorios en salud pública, mismos que han tomado fuerza en los tres últimos lustros. Éstos se fundan en la necesidad de monitorear el proceso de salud–enfermedad de la población, ejercicio centrado en la producción de recomendaciones de política pública. El observatorio es comprendido como una tecnología que tiene sus orígenes en el campo de la meteorología y la astronomía. En el campo de la salud, las primeras experiencias documentadas se presentan en Canadá y Francia en la década de los setenta (Hemming y Wilkinson, 2003).  En la década de los noventa se establece el observatorio en salud de Liverpool del Reino Unido,  el cual, al igual que el de Canadá y Francia, tiene como objetivo proveer información relevante para la toma decisiones en materia de políticas en salud ((Wilkinson, Lamb y Fitzpatrick, 2010).  Para algunos teóricos de las ciencias políticas, los observatorios son formas de organización social que aportan en la construcción de la democracia de interacción, permitiendo la generación de nuevas de formas de relación entre el poder y la sociedad </w:t>
      </w:r>
      <w:r w:rsidRPr="00B05C10">
        <w:rPr>
          <w:rFonts w:ascii="Times New Roman" w:eastAsia="Calibri" w:hAnsi="Times New Roman" w:cs="Times New Roman"/>
          <w:bCs/>
          <w:color w:val="000000"/>
          <w:sz w:val="24"/>
          <w:lang w:eastAsia="en-US"/>
        </w:rPr>
        <w:t xml:space="preserve">(Rosanvallon, 2009; Fischer, 2003).  </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19"/>
          <w:szCs w:val="19"/>
        </w:rPr>
      </w:pPr>
      <w:r w:rsidRPr="00B05C10">
        <w:rPr>
          <w:rFonts w:ascii="Times New Roman" w:eastAsia="Calibri" w:hAnsi="Times New Roman" w:cs="Times New Roman"/>
          <w:bCs/>
          <w:color w:val="000000"/>
          <w:sz w:val="24"/>
          <w:lang w:eastAsia="en-US"/>
        </w:rPr>
        <w:t xml:space="preserve">Lo anterior permite decir que el Observatorio es una tecnología que involucra recursos tangibles e intangibles, para el desarrollo de dos dimensiones. Una es técnico-científica, que en el caso de salud se traduce en acciones de observación, medición, análisis y diseminación de la información. La otra es política y permite ubicar el observatorio como un mecanismo de exigibilidad social, para el ejercicio de la deliberación y argumentación, y la conformación de nuevas formas de interacción democrática. Se suma, el potencial que los académicos encuentran en internet y otros medios de comunicación para el logro de conexiones y conformación de expresiones sociales (Rosanvallon, 2009), y a la vez, los elementos que los </w:t>
      </w:r>
      <w:r w:rsidRPr="00B05C10">
        <w:rPr>
          <w:rFonts w:ascii="Times New Roman" w:eastAsia="Calibri" w:hAnsi="Times New Roman" w:cs="Times New Roman"/>
          <w:bCs/>
          <w:color w:val="000000"/>
          <w:sz w:val="24"/>
          <w:lang w:eastAsia="en-US"/>
        </w:rPr>
        <w:lastRenderedPageBreak/>
        <w:t>sistemas de información y gestión de conocimiento. Estos son considerados en esta investigación una tercera dimensión del Observatorio.</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rPr>
      </w:pPr>
      <w:r w:rsidRPr="00B05C10">
        <w:rPr>
          <w:rFonts w:ascii="Times New Roman" w:eastAsia="Calibri" w:hAnsi="Times New Roman" w:cs="Times New Roman"/>
          <w:color w:val="000000"/>
          <w:sz w:val="24"/>
        </w:rPr>
        <w:t xml:space="preserve">Se puede decir que la dimensión técnico-científica se articula en tres tipos de acción. La primera es la observación – investigación: En ésta es relevante la búsqueda, sistematización y análisis de información sobre el tópico establecido. En general, éstas pueden obedecer a procesos transversales y longitudinales, siendo estos últimos más usados para el monitoreo de indicadores de salud de colectivos poblacionales. Las observaciones pueden ser dentro o entre regiones y requieren la construcción de tipologías que permitan realizar la comparación.  Las experiencias que se describen dan prioridad al monitoreo de indicadores locales o nacionales, y es reciente el monitoreo de indicadores de salud global en ámbitos de comparación regional, en pro de contribuir a la disminución de inequidades sociales en salud. </w:t>
      </w:r>
    </w:p>
    <w:p w:rsidR="00D24055" w:rsidRDefault="003751B1" w:rsidP="00D24055">
      <w:pPr>
        <w:shd w:val="clear" w:color="auto" w:fill="FFFFFF"/>
        <w:spacing w:before="100" w:beforeAutospacing="1" w:after="100" w:afterAutospacing="1" w:line="360" w:lineRule="auto"/>
        <w:jc w:val="both"/>
        <w:rPr>
          <w:rFonts w:ascii="Times New Roman" w:eastAsia="Calibri" w:hAnsi="Times New Roman" w:cs="Times New Roman"/>
          <w:color w:val="000000"/>
          <w:sz w:val="24"/>
        </w:rPr>
      </w:pPr>
      <w:r w:rsidRPr="00B05C10">
        <w:rPr>
          <w:rFonts w:ascii="Times New Roman" w:eastAsia="Calibri" w:hAnsi="Times New Roman" w:cs="Times New Roman"/>
          <w:color w:val="000000"/>
          <w:sz w:val="24"/>
        </w:rPr>
        <w:t>La segunda son las actividades de diseminación de información, como informes, documentos científicos dispuestos en medios electrónicos, conferencias, seminarios e intercambios (Wilkinson, Lamb y Fitzpatrick, 2010). Se suma la conformación de redes de colaboración interinstitucionales para el logro de la información y los procesos de a</w:t>
      </w:r>
      <w:r w:rsidR="00440A99">
        <w:rPr>
          <w:rFonts w:ascii="Times New Roman" w:eastAsia="Calibri" w:hAnsi="Times New Roman" w:cs="Times New Roman"/>
          <w:color w:val="000000"/>
          <w:sz w:val="24"/>
        </w:rPr>
        <w:t>nálisis de resultados. (Tabla 3</w:t>
      </w:r>
      <w:r w:rsidR="00D24055">
        <w:rPr>
          <w:rFonts w:ascii="Times New Roman" w:eastAsia="Calibri" w:hAnsi="Times New Roman" w:cs="Times New Roman"/>
          <w:color w:val="000000"/>
          <w:sz w:val="24"/>
        </w:rPr>
        <w:t>)</w:t>
      </w:r>
    </w:p>
    <w:p w:rsidR="00440A99" w:rsidRPr="00D24055" w:rsidRDefault="00D24055" w:rsidP="00D24055">
      <w:pPr>
        <w:pStyle w:val="Ttulo4"/>
        <w:rPr>
          <w:color w:val="000000"/>
          <w:sz w:val="24"/>
          <w:lang w:eastAsia="es-CO"/>
        </w:rPr>
      </w:pPr>
      <w:r>
        <w:t xml:space="preserve">Tabla </w:t>
      </w:r>
      <w:fldSimple w:instr=" SEQ Tabla \* ARABIC ">
        <w:r>
          <w:rPr>
            <w:noProof/>
          </w:rPr>
          <w:t>4</w:t>
        </w:r>
      </w:fldSimple>
      <w:r>
        <w:t xml:space="preserve">. </w:t>
      </w:r>
      <w:r w:rsidR="00440A99">
        <w:t>Síntesis de Experiencias de Observatorios en salud</w:t>
      </w:r>
    </w:p>
    <w:tbl>
      <w:tblPr>
        <w:tblStyle w:val="Tablaconcuadrcula1"/>
        <w:tblW w:w="0" w:type="auto"/>
        <w:tblLook w:val="04A0" w:firstRow="1" w:lastRow="0" w:firstColumn="1" w:lastColumn="0" w:noHBand="0" w:noVBand="1"/>
      </w:tblPr>
      <w:tblGrid>
        <w:gridCol w:w="2547"/>
        <w:gridCol w:w="6281"/>
      </w:tblGrid>
      <w:tr w:rsidR="003751B1" w:rsidRPr="00B05C10" w:rsidTr="00C46CB1">
        <w:tc>
          <w:tcPr>
            <w:tcW w:w="2547"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18"/>
                <w:szCs w:val="18"/>
              </w:rPr>
            </w:pPr>
            <w:r w:rsidRPr="00B05C10">
              <w:rPr>
                <w:rFonts w:ascii="Times New Roman" w:hAnsi="Times New Roman" w:cs="Times New Roman"/>
                <w:color w:val="000000"/>
                <w:sz w:val="18"/>
                <w:szCs w:val="18"/>
              </w:rPr>
              <w:t>Roles</w:t>
            </w:r>
          </w:p>
        </w:tc>
        <w:tc>
          <w:tcPr>
            <w:tcW w:w="6281"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18"/>
                <w:szCs w:val="18"/>
              </w:rPr>
            </w:pPr>
            <w:r w:rsidRPr="00B05C10">
              <w:rPr>
                <w:rFonts w:ascii="Times New Roman" w:hAnsi="Times New Roman" w:cs="Times New Roman"/>
                <w:color w:val="000000"/>
                <w:sz w:val="18"/>
                <w:szCs w:val="18"/>
              </w:rPr>
              <w:t>Ejemplos</w:t>
            </w:r>
          </w:p>
        </w:tc>
      </w:tr>
      <w:tr w:rsidR="003751B1" w:rsidRPr="00B05C10" w:rsidTr="00C46CB1">
        <w:tc>
          <w:tcPr>
            <w:tcW w:w="2547"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18"/>
                <w:szCs w:val="18"/>
              </w:rPr>
            </w:pPr>
            <w:r w:rsidRPr="00B05C10">
              <w:rPr>
                <w:rFonts w:ascii="Times New Roman" w:hAnsi="Times New Roman" w:cs="Times New Roman"/>
                <w:color w:val="000000"/>
                <w:sz w:val="18"/>
                <w:szCs w:val="18"/>
              </w:rPr>
              <w:t>Monitoreo de la salud  y tendencias de salud</w:t>
            </w:r>
          </w:p>
        </w:tc>
        <w:tc>
          <w:tcPr>
            <w:tcW w:w="6281"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18"/>
                <w:szCs w:val="18"/>
                <w:lang w:val="en-US"/>
              </w:rPr>
            </w:pPr>
            <w:r w:rsidRPr="00B05C10">
              <w:rPr>
                <w:rFonts w:ascii="Times New Roman" w:hAnsi="Times New Roman" w:cs="Times New Roman"/>
                <w:color w:val="000000"/>
                <w:sz w:val="18"/>
                <w:szCs w:val="18"/>
                <w:lang w:val="en-US"/>
              </w:rPr>
              <w:t>Northern and Yorkshire Public Health Observatory (Hemming y Wilkinson, 2003)</w:t>
            </w:r>
          </w:p>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18"/>
                <w:szCs w:val="18"/>
              </w:rPr>
            </w:pPr>
            <w:r w:rsidRPr="00B05C10">
              <w:rPr>
                <w:rFonts w:ascii="Times New Roman" w:hAnsi="Times New Roman" w:cs="Times New Roman"/>
                <w:color w:val="000000"/>
                <w:sz w:val="18"/>
                <w:szCs w:val="18"/>
              </w:rPr>
              <w:t>Observatorio de salud de Suiza.http://www.obsan.admin.ch/en</w:t>
            </w:r>
          </w:p>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18"/>
                <w:szCs w:val="18"/>
                <w:lang w:val="en-US"/>
              </w:rPr>
            </w:pPr>
            <w:r w:rsidRPr="00B05C10">
              <w:rPr>
                <w:rFonts w:ascii="Times New Roman" w:hAnsi="Times New Roman" w:cs="Times New Roman"/>
                <w:color w:val="000000"/>
                <w:sz w:val="18"/>
                <w:szCs w:val="18"/>
                <w:lang w:val="en-US"/>
              </w:rPr>
              <w:t>Observatorio de Scotlan (Gordon, Fischbacher, Stockton, 2010).</w:t>
            </w:r>
          </w:p>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18"/>
                <w:szCs w:val="18"/>
              </w:rPr>
            </w:pPr>
            <w:r w:rsidRPr="00B05C10">
              <w:rPr>
                <w:rFonts w:ascii="Times New Roman" w:hAnsi="Times New Roman" w:cs="Times New Roman"/>
                <w:color w:val="000000"/>
                <w:sz w:val="18"/>
                <w:szCs w:val="18"/>
              </w:rPr>
              <w:t xml:space="preserve">Colombia cuenta con más de diez observatorios en salud cuyo propósito es hacer el seguimiento al Plan Decenal de Salud 2012-2022.  </w:t>
            </w:r>
          </w:p>
        </w:tc>
      </w:tr>
      <w:tr w:rsidR="003751B1" w:rsidRPr="009F133A" w:rsidTr="00C46CB1">
        <w:tc>
          <w:tcPr>
            <w:tcW w:w="2547"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18"/>
                <w:szCs w:val="18"/>
              </w:rPr>
            </w:pPr>
            <w:r w:rsidRPr="00B05C10">
              <w:rPr>
                <w:rFonts w:ascii="Times New Roman" w:hAnsi="Times New Roman" w:cs="Times New Roman"/>
                <w:color w:val="000000"/>
                <w:sz w:val="18"/>
                <w:szCs w:val="18"/>
              </w:rPr>
              <w:t>Identificación de brechas en información</w:t>
            </w:r>
          </w:p>
        </w:tc>
        <w:tc>
          <w:tcPr>
            <w:tcW w:w="6281"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18"/>
                <w:szCs w:val="18"/>
                <w:lang w:val="en-US"/>
              </w:rPr>
            </w:pPr>
            <w:r w:rsidRPr="00B05C10">
              <w:rPr>
                <w:rFonts w:ascii="Times New Roman" w:hAnsi="Times New Roman" w:cs="Times New Roman"/>
                <w:color w:val="000000"/>
                <w:sz w:val="18"/>
                <w:szCs w:val="18"/>
                <w:lang w:val="en-US"/>
              </w:rPr>
              <w:t>Indicateurs de santé dans les régions d’Europe (Isare). Projets du programme européen Propositions d’indicateurs</w:t>
            </w:r>
          </w:p>
        </w:tc>
      </w:tr>
      <w:tr w:rsidR="003751B1" w:rsidRPr="00B05C10" w:rsidTr="00C46CB1">
        <w:tc>
          <w:tcPr>
            <w:tcW w:w="2547"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18"/>
                <w:szCs w:val="18"/>
              </w:rPr>
            </w:pPr>
            <w:r w:rsidRPr="00B05C10">
              <w:rPr>
                <w:rFonts w:ascii="Times New Roman" w:hAnsi="Times New Roman" w:cs="Times New Roman"/>
                <w:color w:val="000000"/>
                <w:sz w:val="18"/>
                <w:szCs w:val="18"/>
              </w:rPr>
              <w:t>Evaluación de métodos de información y medición de brechas de equidad</w:t>
            </w:r>
          </w:p>
        </w:tc>
        <w:tc>
          <w:tcPr>
            <w:tcW w:w="6281"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18"/>
                <w:szCs w:val="18"/>
              </w:rPr>
            </w:pPr>
            <w:r w:rsidRPr="00B05C10">
              <w:rPr>
                <w:rFonts w:ascii="Times New Roman" w:hAnsi="Times New Roman" w:cs="Times New Roman"/>
                <w:color w:val="000000"/>
                <w:sz w:val="18"/>
                <w:szCs w:val="18"/>
              </w:rPr>
              <w:t>Social Observatory e la Caixa https://observatoriosociallacaixa.org</w:t>
            </w:r>
          </w:p>
        </w:tc>
      </w:tr>
      <w:tr w:rsidR="003751B1" w:rsidRPr="00B05C10" w:rsidTr="00C46CB1">
        <w:tc>
          <w:tcPr>
            <w:tcW w:w="2547"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18"/>
                <w:szCs w:val="18"/>
              </w:rPr>
            </w:pPr>
            <w:r w:rsidRPr="00B05C10">
              <w:rPr>
                <w:rFonts w:ascii="Times New Roman" w:hAnsi="Times New Roman" w:cs="Times New Roman"/>
                <w:color w:val="000000"/>
                <w:sz w:val="18"/>
                <w:szCs w:val="18"/>
              </w:rPr>
              <w:lastRenderedPageBreak/>
              <w:t>Generación de proyectos para reducir brechas en equidad y mejorar la salud de las poblaciones. Análisis regionales comparados.</w:t>
            </w:r>
          </w:p>
        </w:tc>
        <w:tc>
          <w:tcPr>
            <w:tcW w:w="6281"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18"/>
                <w:szCs w:val="18"/>
              </w:rPr>
            </w:pPr>
            <w:r w:rsidRPr="00B05C10">
              <w:rPr>
                <w:rFonts w:ascii="Times New Roman" w:hAnsi="Times New Roman" w:cs="Times New Roman"/>
                <w:color w:val="000000"/>
                <w:sz w:val="18"/>
                <w:szCs w:val="18"/>
              </w:rPr>
              <w:t xml:space="preserve">Observatorio de salud Liverpool. Proyecto ISARE(Indicadores de salud dentro de la región de Europa): reúne más de 265 regiones de Europa. La búsqueda es la comparación de indicadores de salud en diferentes sistemas de salud y contextos políticos. </w:t>
            </w:r>
          </w:p>
        </w:tc>
      </w:tr>
      <w:tr w:rsidR="003751B1" w:rsidRPr="00B05C10" w:rsidTr="00C46CB1">
        <w:tc>
          <w:tcPr>
            <w:tcW w:w="2547"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18"/>
                <w:szCs w:val="18"/>
              </w:rPr>
            </w:pPr>
            <w:r w:rsidRPr="00B05C10">
              <w:rPr>
                <w:rFonts w:ascii="Times New Roman" w:hAnsi="Times New Roman" w:cs="Times New Roman"/>
                <w:color w:val="000000"/>
                <w:sz w:val="18"/>
                <w:szCs w:val="18"/>
              </w:rPr>
              <w:t>Monitoreo del impacto de acciones locales</w:t>
            </w:r>
          </w:p>
        </w:tc>
        <w:tc>
          <w:tcPr>
            <w:tcW w:w="6281"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18"/>
                <w:szCs w:val="18"/>
              </w:rPr>
            </w:pPr>
            <w:r w:rsidRPr="00B05C10">
              <w:rPr>
                <w:rFonts w:ascii="Times New Roman" w:hAnsi="Times New Roman" w:cs="Times New Roman"/>
                <w:color w:val="000000"/>
                <w:sz w:val="18"/>
                <w:szCs w:val="18"/>
              </w:rPr>
              <w:t>Observatorio de salud Asturias http://obsaludasturias.com/obsa/</w:t>
            </w:r>
          </w:p>
        </w:tc>
      </w:tr>
    </w:tbl>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rPr>
      </w:pPr>
      <w:r w:rsidRPr="00B05C10">
        <w:rPr>
          <w:rFonts w:ascii="Times New Roman" w:eastAsia="Calibri" w:hAnsi="Times New Roman" w:cs="Times New Roman"/>
          <w:color w:val="000000"/>
          <w:sz w:val="24"/>
        </w:rPr>
        <w:t xml:space="preserve">Fuente: adaptado de Hemming y Wilkinson, 2003.  </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bCs/>
          <w:color w:val="000000"/>
          <w:sz w:val="24"/>
          <w:lang w:eastAsia="en-US"/>
        </w:rPr>
      </w:pPr>
      <w:r w:rsidRPr="00B05C10">
        <w:rPr>
          <w:rFonts w:ascii="Times New Roman" w:eastAsia="Calibri" w:hAnsi="Times New Roman" w:cs="Times New Roman"/>
          <w:color w:val="000000"/>
          <w:sz w:val="24"/>
        </w:rPr>
        <w:t xml:space="preserve">En este proceso la dimensión política alude a una relación directa con el sistema político de cada contexto. Siguiendo el tradicional ciclo de la política pública, se puede afirmar que las acciones están en el orden de la formulación – posicionar un tema en la agenda política-  cuyo propósito es generar recomendación de política pública; implementación y evaluación, para ello el desarrollo de mecanismos de análisis y medición de las políticas; y la generación de espacios de abogacía y exigibilidad social, </w:t>
      </w:r>
      <w:r w:rsidRPr="00B05C10">
        <w:rPr>
          <w:rFonts w:ascii="Times New Roman" w:eastAsia="Calibri" w:hAnsi="Times New Roman" w:cs="Times New Roman"/>
          <w:bCs/>
          <w:color w:val="000000"/>
          <w:sz w:val="24"/>
          <w:lang w:eastAsia="en-US"/>
        </w:rPr>
        <w:t xml:space="preserve">que aportan evidencia respecto de las inequidades sociales en salud y permitan la comparación dentro y entre regiones para hacer seguimiento programático a agendas de gobierno nacional y local . </w:t>
      </w:r>
    </w:p>
    <w:p w:rsidR="003751B1" w:rsidRPr="00B05C10" w:rsidRDefault="003751B1" w:rsidP="00B16DA5">
      <w:pPr>
        <w:pStyle w:val="Ttulo3"/>
      </w:pPr>
      <w:r w:rsidRPr="00B05C10">
        <w:t>Relaciones laborales, condiciones de empleabilidad y resultados en salud.</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rPr>
      </w:pPr>
      <w:r w:rsidRPr="00B05C10">
        <w:rPr>
          <w:rFonts w:ascii="Times New Roman" w:eastAsia="Calibri" w:hAnsi="Times New Roman" w:cs="Times New Roman"/>
          <w:color w:val="000000"/>
          <w:sz w:val="24"/>
        </w:rPr>
        <w:t xml:space="preserve">Otra discusión teórica en este proyecto es la relación entre empleo y salud, misma que se enmarca en la relación existente entre la jerarquización socioeconómica y los resultados sanitarios reportados desde el siglo XVIII. En este campo ña Epidemiología anglosajona ha mostrado que esta relación se establece a través de diferentes rutas que conectan el mercado de trabajo con los resultados en salud (Marmot, 2006). Este marco explica esta relación a través de dos rutas: fenómenos psicológicos, originados por la pérdida de autonomía en los espacios de trabajo, la cual es más frecuente en escalas de bajo gradiente económico. El proceso psicológico genera cambios neuroendocrinos que se reflejan en cambios gonado y somatotropicos y generan peores resultados en salud. La segunda ruta es la privación material generada por ingresos económicos bajos. Este marco recibe críticas por concentrar la explicación del proceso social en la pérdida de autonomía y descuidar </w:t>
      </w:r>
      <w:r w:rsidR="00E95A41" w:rsidRPr="00B05C10">
        <w:rPr>
          <w:rFonts w:ascii="Times New Roman" w:eastAsia="Calibri" w:hAnsi="Times New Roman" w:cs="Times New Roman"/>
          <w:color w:val="000000"/>
          <w:sz w:val="24"/>
        </w:rPr>
        <w:t>por qué</w:t>
      </w:r>
      <w:r w:rsidRPr="00B05C10">
        <w:rPr>
          <w:rFonts w:ascii="Times New Roman" w:eastAsia="Calibri" w:hAnsi="Times New Roman" w:cs="Times New Roman"/>
          <w:color w:val="000000"/>
          <w:sz w:val="24"/>
        </w:rPr>
        <w:t xml:space="preserve"> se da una u </w:t>
      </w:r>
      <w:r w:rsidRPr="00B05C10">
        <w:rPr>
          <w:rFonts w:ascii="Times New Roman" w:eastAsia="Calibri" w:hAnsi="Times New Roman" w:cs="Times New Roman"/>
          <w:color w:val="000000"/>
          <w:sz w:val="24"/>
        </w:rPr>
        <w:lastRenderedPageBreak/>
        <w:t xml:space="preserve">otra organización social (Krieger, 2003). Para el grupo de </w:t>
      </w:r>
      <w:r w:rsidRPr="00B05C10">
        <w:rPr>
          <w:rFonts w:ascii="Times New Roman" w:eastAsia="Calibri" w:hAnsi="Times New Roman" w:cs="Times New Roman"/>
          <w:i/>
          <w:color w:val="000000"/>
          <w:sz w:val="24"/>
          <w:lang w:eastAsia="en-US"/>
        </w:rPr>
        <w:t>Employment Conditions Knowledge Network</w:t>
      </w:r>
      <w:r w:rsidRPr="00B05C10">
        <w:rPr>
          <w:rFonts w:ascii="Times New Roman" w:eastAsia="Calibri" w:hAnsi="Times New Roman" w:cs="Times New Roman"/>
          <w:color w:val="000000"/>
          <w:sz w:val="24"/>
          <w:lang w:eastAsia="en-US"/>
        </w:rPr>
        <w:t xml:space="preserve"> –</w:t>
      </w:r>
      <w:r w:rsidRPr="00B05C10">
        <w:rPr>
          <w:rFonts w:ascii="Times New Roman" w:eastAsia="Calibri" w:hAnsi="Times New Roman" w:cs="Times New Roman"/>
          <w:color w:val="000000"/>
          <w:sz w:val="24"/>
        </w:rPr>
        <w:t xml:space="preserve">EMCONET- un aporte central de la epidemiologia anglosajona es la identificación de las dos rutas de conexión entre el proceso social y el proceso psicobiologico, concentrando su esfuerzo en una extensa revisión sobre las explicaciones de la organización social. </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rPr>
      </w:pPr>
      <w:r w:rsidRPr="00B05C10">
        <w:rPr>
          <w:rFonts w:ascii="Times New Roman" w:eastAsia="Calibri" w:hAnsi="Times New Roman" w:cs="Times New Roman"/>
          <w:color w:val="000000"/>
          <w:sz w:val="24"/>
        </w:rPr>
        <w:t>Para estos autores, la deslocación del trabajo y la desregulación salarial en sociedades fordistas, genera precarización laboral (Benach, Muntaner, Santana, 2007; Benach, Vives, Tarafa, Delcos, Muntaner, 2016 ).  Éstos retoman las tipologías de regímenes de bienestar de Esping – Andersen (1990), que incluye aspectos como los valores, partidos y formas de sindicalización, y la clasificación de Babones (2005) citado en Benach et al (2007), respecto del lugar que el país tenga en la economía mundo-periferia, análisis que les permite describir la categoría relaciones laborales. Esta detalla las relaciones de poder que se dan al interior de un contexto histórico específico, los autores concluyen que países ubicados en el capitalismo central, con un régimen de bienestar social demócrata, tienen menor desigualdad social en las relaciones laborales.</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rPr>
      </w:pPr>
      <w:r w:rsidRPr="00B05C10">
        <w:rPr>
          <w:rFonts w:ascii="Times New Roman" w:eastAsia="Calibri" w:hAnsi="Times New Roman" w:cs="Times New Roman"/>
          <w:color w:val="000000"/>
          <w:sz w:val="24"/>
        </w:rPr>
        <w:t>En el caso de economías que no se caracterizaron por el fordismo, como la colombiana, se sugiere que la informalidad y el desempleo son elementos constituyentes de la precariedad laboral. Comprendida como un constructo multidimensional, abarca dimensiones de empleo inseguro, relaciones de negociación individualizadas, limites en los derechos sociales y la protección, y menor poder para la garantía de los derechos del trabajador. El proceso de precarización es entendido como multinivel, por lo que propone diferentes niveles jerárquicos que conectan procesos de desregulación laboral, precariedad laboral y la familia. Asimismo, refieren los autores que peores condiciones de empleo, comprendidas como los riesgos en el ámbito laboral, se asocian a procesos de desregulación laboral, baja sindicalización y procesos de precarización (Benach, Vives, Tarafa, Delcos, Muntaner , 2016  (Ilustración Nº 1).</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rPr>
      </w:pPr>
      <w:r w:rsidRPr="00B05C10">
        <w:rPr>
          <w:rFonts w:ascii="Times New Roman" w:eastAsia="Calibri" w:hAnsi="Times New Roman" w:cs="Times New Roman"/>
          <w:color w:val="000000"/>
          <w:sz w:val="24"/>
        </w:rPr>
        <w:lastRenderedPageBreak/>
        <w:t xml:space="preserve">La preocupación de los autores por medir las relaciones de las tres categorías centrales del modelo: relaciones laborales, precariedad laboral y condiciones de empleo, se acompaña de propuestas de escalas de medición como la escala de precariedad del empleo (Vives, Gonzalez, Soller, Bernalles, Gonzalez, Benach, 2017) que se ampliará en el estado del arte. </w:t>
      </w:r>
    </w:p>
    <w:p w:rsidR="003751B1" w:rsidRPr="00B05C10" w:rsidRDefault="003751B1" w:rsidP="00E95A41">
      <w:pPr>
        <w:pStyle w:val="Ttulo4"/>
      </w:pPr>
      <w:r w:rsidRPr="00B05C10">
        <w:t xml:space="preserve">Ilustración </w:t>
      </w:r>
      <w:fldSimple w:instr=" SEQ Ilustración \* ARABIC ">
        <w:r w:rsidR="00B5611A">
          <w:rPr>
            <w:noProof/>
          </w:rPr>
          <w:t>1</w:t>
        </w:r>
      </w:fldSimple>
      <w:r w:rsidR="00E95A41">
        <w:rPr>
          <w:noProof/>
        </w:rPr>
        <w:t>.</w:t>
      </w:r>
      <w:r w:rsidRPr="00B05C10">
        <w:t xml:space="preserve"> Modelo conceptual: relaciones laborales y resultados en salud</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rPr>
      </w:pPr>
      <w:r w:rsidRPr="00B05C10">
        <w:rPr>
          <w:rFonts w:ascii="Times New Roman" w:eastAsia="Calibri" w:hAnsi="Times New Roman" w:cs="Times New Roman"/>
          <w:noProof/>
          <w:color w:val="000000"/>
          <w:sz w:val="24"/>
        </w:rPr>
        <w:drawing>
          <wp:inline distT="0" distB="0" distL="0" distR="0" wp14:anchorId="6E386C0C" wp14:editId="05960D83">
            <wp:extent cx="4853808" cy="2466952"/>
            <wp:effectExtent l="0" t="0" r="444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8575" cy="2469375"/>
                    </a:xfrm>
                    <a:prstGeom prst="rect">
                      <a:avLst/>
                    </a:prstGeom>
                    <a:noFill/>
                  </pic:spPr>
                </pic:pic>
              </a:graphicData>
            </a:graphic>
          </wp:inline>
        </w:drawing>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rPr>
      </w:pPr>
      <w:r w:rsidRPr="00B05C10">
        <w:rPr>
          <w:rFonts w:ascii="Times New Roman" w:eastAsia="Calibri" w:hAnsi="Times New Roman" w:cs="Times New Roman"/>
          <w:color w:val="000000"/>
          <w:sz w:val="24"/>
        </w:rPr>
        <w:t>Fuente: Tomado de Benach, Vives, Tarafa, Delcos, Muntaner (2016)</w:t>
      </w:r>
    </w:p>
    <w:p w:rsidR="003751B1" w:rsidRPr="00B16DA5" w:rsidRDefault="003751B1" w:rsidP="00B16DA5">
      <w:pPr>
        <w:pStyle w:val="Ttulo3"/>
      </w:pPr>
      <w:r w:rsidRPr="00B16DA5">
        <w:t>Curso socio- histórico de la vida </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rPr>
      </w:pPr>
      <w:r w:rsidRPr="00B05C10">
        <w:rPr>
          <w:rFonts w:ascii="Times New Roman" w:eastAsia="Calibri" w:hAnsi="Times New Roman" w:cs="Times New Roman"/>
          <w:color w:val="000000"/>
          <w:sz w:val="24"/>
        </w:rPr>
        <w:t xml:space="preserve">Una última categoría analítica en este proyecto  el curso socio histórico de la vida. Sobre ésta la Epidemiología anglosajona ha señalado la relación entre estatus socioeconómico de la madre o la familia durante la infancia y peores resultados en salud en la adultez (Lynch y Smith. 2005).  Se afirma que las personas están expuestas a un proceso acumulado de ventajas o desventajas que se reflejan en peores resultados en salud a lo largo de la vida individual y en la trayectoria de vida de las poblaciones, particularmente en la vejez, afectando así la capacidad intrínseca de los sujetos. Los modelos bio-demográficos indican que la variabilidad de la trayectoria de la longevidad humana pueden explicarse hasta en un 75% por componentes no genéticos (OPS, OMS, 2016). Las mediciones de curso de vida han mantenido la idea de exposición en momentos específicos del desarrollo psicobiologico, y si </w:t>
      </w:r>
      <w:r w:rsidRPr="00B05C10">
        <w:rPr>
          <w:rFonts w:ascii="Times New Roman" w:eastAsia="Calibri" w:hAnsi="Times New Roman" w:cs="Times New Roman"/>
          <w:color w:val="000000"/>
          <w:sz w:val="24"/>
        </w:rPr>
        <w:lastRenderedPageBreak/>
        <w:t xml:space="preserve">bien esto ha permitido abrir la puerta para nuevas maneras de comprensión, la explicación causal no da cuenta de la dinámica que acompaña la conformación social de las trayectorias de vida, las cuales son marcadas por inequidades de clase social, genero, etnia y territorio. </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rPr>
      </w:pP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rPr>
      </w:pPr>
      <w:r w:rsidRPr="00B05C10">
        <w:rPr>
          <w:rFonts w:ascii="Times New Roman" w:eastAsia="Calibri" w:hAnsi="Times New Roman" w:cs="Times New Roman"/>
          <w:color w:val="000000"/>
          <w:sz w:val="24"/>
        </w:rPr>
        <w:t xml:space="preserve">El curso socio-histórico de la vida se entiende como la interacción entre historias individuales e historias sociales, que da lugar a trayectorias de vida de individuos y poblaciones.  Propuesto por la gerontología social, aporta un recurso analítico – empírico para reconfigurar las interacciones entre la historia individual y la historia social en tiempos determinados. Da importancia a la dimensión histórica y macrosocial, dado que asume que la historia individual se da en el marco de historias sociales preconfiguradas (Elder, Rudking &amp; Conger, 1995; Attias-Donfut, 1991). Dialoga con el marco propuesto por Benach, Vives y Muntaner (2016), al concebir que la configuración del curso de la vida está en estrecha relación con el mercado de trabajo (Guillemard, 2008) . </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rPr>
      </w:pPr>
      <w:r w:rsidRPr="00B05C10">
        <w:rPr>
          <w:rFonts w:ascii="Times New Roman" w:eastAsia="Calibri" w:hAnsi="Times New Roman" w:cs="Times New Roman"/>
          <w:color w:val="000000"/>
          <w:sz w:val="24"/>
        </w:rPr>
        <w:t xml:space="preserve">Los autores dan importancia a la temporalidad, en la cual se identifica el tiempo individual, por ejemplo: las trayectorias de vida laboral, y el tiempo histórico, evolución del mercado laboral. Esto permite identificar las transiciones de la vida y las disrupciones que se dan en trayectorias particulares. Otro aspecto central es la identificación de vidas entrecruzadas y la relación entre generaciones, en el ámbito micro y mesocial ( Attias-Donfut, 1991). </w:t>
      </w:r>
    </w:p>
    <w:p w:rsidR="003751B1" w:rsidRPr="00B16DA5" w:rsidRDefault="003751B1" w:rsidP="00B16DA5">
      <w:pPr>
        <w:pStyle w:val="Ttulo3"/>
        <w:rPr>
          <w:szCs w:val="24"/>
        </w:rPr>
      </w:pPr>
      <w:r w:rsidRPr="00B16DA5">
        <w:rPr>
          <w:shd w:val="clear" w:color="auto" w:fill="FFFFFF"/>
          <w:lang w:eastAsia="en-US"/>
        </w:rPr>
        <w:t xml:space="preserve"> Trabajo en salud como espacio del micropoder social/ violencia laboral</w:t>
      </w:r>
    </w:p>
    <w:p w:rsidR="003751B1" w:rsidRPr="00B05C10" w:rsidRDefault="00C46CB1" w:rsidP="003751B1">
      <w:pPr>
        <w:shd w:val="clear" w:color="auto" w:fill="FFFFFF"/>
        <w:spacing w:before="100" w:beforeAutospacing="1" w:after="0" w:afterAutospacing="1" w:line="360" w:lineRule="auto"/>
        <w:jc w:val="both"/>
        <w:rPr>
          <w:rFonts w:ascii="Times New Roman" w:eastAsia="Times New Roman" w:hAnsi="Times New Roman" w:cs="Times New Roman"/>
          <w:color w:val="222222"/>
          <w:sz w:val="24"/>
          <w:szCs w:val="24"/>
        </w:rPr>
      </w:pPr>
      <w:r w:rsidRPr="00B05C10">
        <w:rPr>
          <w:rFonts w:ascii="Times New Roman" w:eastAsia="Times New Roman" w:hAnsi="Times New Roman" w:cs="Times New Roman"/>
          <w:color w:val="222222"/>
          <w:sz w:val="24"/>
          <w:szCs w:val="24"/>
        </w:rPr>
        <w:t xml:space="preserve">El espacio del trabajo es identificado se convierte en un espacio de micropoderes </w:t>
      </w:r>
      <w:r w:rsidR="00D24785" w:rsidRPr="00B05C10">
        <w:rPr>
          <w:rFonts w:ascii="Times New Roman" w:eastAsia="Times New Roman" w:hAnsi="Times New Roman" w:cs="Times New Roman"/>
          <w:color w:val="222222"/>
          <w:sz w:val="24"/>
          <w:szCs w:val="24"/>
        </w:rPr>
        <w:t>que permiten que se dinamicen las formas globales de dominación como lo expresaría en su momento Foucault y que  Habermas plantearía como la colonización del mundo de la vida, (1977), ante lo cual surge también el concepto de resistencias localizadas como contraparte, dichos espacios llevan entonces a otro planteamiento de Foucault que tiene que ver con la fragmentación del sujeto, lo cual es postulado por algunos marxistas como</w:t>
      </w:r>
      <w:r w:rsidR="0089558C" w:rsidRPr="00B05C10">
        <w:rPr>
          <w:rFonts w:ascii="Times New Roman" w:eastAsia="Times New Roman" w:hAnsi="Times New Roman" w:cs="Times New Roman"/>
          <w:color w:val="222222"/>
          <w:sz w:val="24"/>
          <w:szCs w:val="24"/>
        </w:rPr>
        <w:t xml:space="preserve"> </w:t>
      </w:r>
      <w:r w:rsidR="00D24785" w:rsidRPr="00B05C10">
        <w:rPr>
          <w:rFonts w:ascii="Times New Roman" w:eastAsia="Times New Roman" w:hAnsi="Times New Roman" w:cs="Times New Roman"/>
          <w:color w:val="222222"/>
          <w:sz w:val="24"/>
          <w:szCs w:val="24"/>
        </w:rPr>
        <w:t xml:space="preserve">una tendencia inherente a  la expansión del capitalismo, y ante lo cual Harvey refiere: “Es precisamente en </w:t>
      </w:r>
      <w:r w:rsidR="00D24785" w:rsidRPr="00B05C10">
        <w:rPr>
          <w:rFonts w:ascii="Times New Roman" w:eastAsia="Times New Roman" w:hAnsi="Times New Roman" w:cs="Times New Roman"/>
          <w:color w:val="222222"/>
          <w:sz w:val="24"/>
          <w:szCs w:val="24"/>
        </w:rPr>
        <w:lastRenderedPageBreak/>
        <w:t>este contexto que el individualismo posesivo y los emprendimientos creativos, innovación y especulación pueden florecer, aunque eso signifique también la proliferación de la fragmentación de tareas y de responsabilidades y una necesaria transformación de las relaciones sociales (Harvey, 1989, p 103)</w:t>
      </w:r>
    </w:p>
    <w:p w:rsidR="0089558C" w:rsidRPr="00B05C10" w:rsidRDefault="0089558C" w:rsidP="003751B1">
      <w:pPr>
        <w:shd w:val="clear" w:color="auto" w:fill="FFFFFF"/>
        <w:spacing w:before="100" w:beforeAutospacing="1" w:after="0" w:afterAutospacing="1" w:line="360" w:lineRule="auto"/>
        <w:jc w:val="both"/>
        <w:rPr>
          <w:rFonts w:ascii="Times New Roman" w:eastAsia="Times New Roman" w:hAnsi="Times New Roman" w:cs="Times New Roman"/>
          <w:color w:val="222222"/>
          <w:sz w:val="24"/>
          <w:szCs w:val="24"/>
        </w:rPr>
      </w:pPr>
      <w:r w:rsidRPr="00B05C10">
        <w:rPr>
          <w:rFonts w:ascii="Times New Roman" w:eastAsia="Times New Roman" w:hAnsi="Times New Roman" w:cs="Times New Roman"/>
          <w:color w:val="222222"/>
          <w:sz w:val="24"/>
          <w:szCs w:val="24"/>
        </w:rPr>
        <w:t>A partir del planteamiento anterior, es posible delimitar el trabajo como otro escenario proclive a la violencia, a partir de las múltiples interacciones que de él se derivan, donde elementos como al competencia, la privación la negación y de base la dominación desembocan en formas de violencia. (Orozco &amp; Davila, 2013)</w:t>
      </w:r>
    </w:p>
    <w:p w:rsidR="003751B1" w:rsidRPr="00B05C10" w:rsidRDefault="003751B1" w:rsidP="003751B1">
      <w:pPr>
        <w:shd w:val="clear" w:color="auto" w:fill="FFFFFF"/>
        <w:spacing w:before="100" w:beforeAutospacing="1" w:after="100" w:afterAutospacing="1" w:line="360" w:lineRule="auto"/>
        <w:ind w:left="720"/>
        <w:contextualSpacing/>
        <w:jc w:val="both"/>
        <w:rPr>
          <w:rFonts w:ascii="Times New Roman" w:eastAsia="Calibri" w:hAnsi="Times New Roman" w:cs="Times New Roman"/>
          <w:color w:val="000000"/>
          <w:sz w:val="24"/>
          <w:lang w:eastAsia="en-US"/>
        </w:rPr>
      </w:pPr>
    </w:p>
    <w:p w:rsidR="003751B1" w:rsidRPr="00B16DA5" w:rsidRDefault="003751B1" w:rsidP="00A06555">
      <w:pPr>
        <w:pStyle w:val="Ttulo2"/>
        <w:rPr>
          <w:lang w:eastAsia="en-US"/>
        </w:rPr>
      </w:pPr>
      <w:r w:rsidRPr="00B16DA5">
        <w:rPr>
          <w:lang w:eastAsia="en-US"/>
        </w:rPr>
        <w:t>Metodología</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 xml:space="preserve">Se propone la realización de un </w:t>
      </w:r>
      <w:r w:rsidRPr="00B16DA5">
        <w:rPr>
          <w:rFonts w:ascii="Times New Roman" w:eastAsia="Calibri" w:hAnsi="Times New Roman" w:cs="Times New Roman"/>
          <w:color w:val="000000"/>
          <w:sz w:val="24"/>
          <w:lang w:eastAsia="en-US"/>
        </w:rPr>
        <w:t>diseño mixto</w:t>
      </w:r>
      <w:r w:rsidRPr="00B05C10">
        <w:rPr>
          <w:rFonts w:ascii="Times New Roman" w:eastAsia="Calibri" w:hAnsi="Times New Roman" w:cs="Times New Roman"/>
          <w:color w:val="000000"/>
          <w:sz w:val="24"/>
          <w:lang w:eastAsia="en-US"/>
        </w:rPr>
        <w:t xml:space="preserve"> de tipo concurrente cuali-cuanti –cuali donde los abordajes tanto cualitativos como cuantitativos tienen el mismo peso y el resultado surge de la interpretación completaria. (Creswell et Al. 2010)</w:t>
      </w:r>
      <w:r w:rsidR="00B16DA5">
        <w:rPr>
          <w:rFonts w:ascii="Times New Roman" w:eastAsia="Calibri" w:hAnsi="Times New Roman" w:cs="Times New Roman"/>
          <w:color w:val="000000"/>
          <w:sz w:val="24"/>
          <w:lang w:eastAsia="en-US"/>
        </w:rPr>
        <w:t xml:space="preserve"> </w:t>
      </w:r>
      <w:r w:rsidRPr="00B05C10">
        <w:rPr>
          <w:rFonts w:ascii="Times New Roman" w:eastAsia="Calibri" w:hAnsi="Times New Roman" w:cs="Times New Roman"/>
          <w:color w:val="000000"/>
          <w:sz w:val="24"/>
          <w:lang w:eastAsia="en-US"/>
        </w:rPr>
        <w:t xml:space="preserve">concurrente (que integre TRES aspectos centrales: </w:t>
      </w:r>
    </w:p>
    <w:p w:rsidR="003751B1" w:rsidRPr="00B05C10" w:rsidRDefault="003751B1" w:rsidP="00FE153F">
      <w:pPr>
        <w:numPr>
          <w:ilvl w:val="0"/>
          <w:numId w:val="5"/>
        </w:numPr>
        <w:shd w:val="clear" w:color="auto" w:fill="FFFFFF"/>
        <w:spacing w:before="100" w:beforeAutospacing="1" w:after="100" w:afterAutospacing="1" w:line="360" w:lineRule="auto"/>
        <w:contextualSpacing/>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 xml:space="preserve">Estudio documental: </w:t>
      </w:r>
    </w:p>
    <w:p w:rsidR="003751B1" w:rsidRPr="00B05C10" w:rsidRDefault="003751B1" w:rsidP="008C0CEC">
      <w:pPr>
        <w:shd w:val="clear" w:color="auto" w:fill="FFFFFF"/>
        <w:spacing w:before="100" w:beforeAutospacing="1" w:after="100" w:afterAutospacing="1" w:line="360" w:lineRule="auto"/>
        <w:ind w:left="720"/>
        <w:contextualSpacing/>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 xml:space="preserve">COMPONENTE DE ANALISIS </w:t>
      </w:r>
      <w:r w:rsidR="008C0CEC">
        <w:rPr>
          <w:rFonts w:ascii="Times New Roman" w:eastAsia="Calibri" w:hAnsi="Times New Roman" w:cs="Times New Roman"/>
          <w:color w:val="000000"/>
          <w:sz w:val="24"/>
          <w:lang w:eastAsia="en-US"/>
        </w:rPr>
        <w:t>HEURISTICO</w:t>
      </w:r>
      <w:r w:rsidRPr="00B05C10">
        <w:rPr>
          <w:rFonts w:ascii="Times New Roman" w:eastAsia="Calibri" w:hAnsi="Times New Roman" w:cs="Times New Roman"/>
          <w:color w:val="000000"/>
          <w:sz w:val="24"/>
          <w:lang w:eastAsia="en-US"/>
        </w:rPr>
        <w:t xml:space="preserve"> (DE CONTENIDO) Que permita responder a los objetivos 1 </w:t>
      </w:r>
      <w:r w:rsidR="008C0CEC">
        <w:rPr>
          <w:rFonts w:ascii="Times New Roman" w:eastAsia="Calibri" w:hAnsi="Times New Roman" w:cs="Times New Roman"/>
          <w:color w:val="000000"/>
          <w:sz w:val="24"/>
          <w:lang w:eastAsia="en-US"/>
        </w:rPr>
        <w:t xml:space="preserve"> C</w:t>
      </w:r>
      <w:r w:rsidRPr="00B05C10">
        <w:rPr>
          <w:rFonts w:ascii="Times New Roman" w:eastAsia="Calibri" w:hAnsi="Times New Roman" w:cs="Times New Roman"/>
          <w:color w:val="000000"/>
          <w:sz w:val="24"/>
          <w:lang w:eastAsia="en-US"/>
        </w:rPr>
        <w:t>onfiguración del entorno laboral de los profesionales de la salud en el periodo 1993 – 2015.</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Se busca reconstruir el marco político, normativo y económico del mercado laboral de los profesionales de la salud y las interacciones de éste con el marco legislativo del sistema de salud. Esta fase se articula a partir de: la revisión d</w:t>
      </w:r>
      <w:r w:rsidR="007D3EC5" w:rsidRPr="00B05C10">
        <w:rPr>
          <w:rFonts w:ascii="Times New Roman" w:eastAsia="Calibri" w:hAnsi="Times New Roman" w:cs="Times New Roman"/>
          <w:color w:val="000000"/>
          <w:sz w:val="24"/>
          <w:lang w:eastAsia="en-US"/>
        </w:rPr>
        <w:t xml:space="preserve">ocumental de las fuentes  </w:t>
      </w:r>
      <w:r w:rsidRPr="00B05C10">
        <w:rPr>
          <w:rFonts w:ascii="Times New Roman" w:eastAsia="Calibri" w:hAnsi="Times New Roman" w:cs="Times New Roman"/>
          <w:color w:val="000000"/>
          <w:sz w:val="24"/>
          <w:lang w:eastAsia="en-US"/>
        </w:rPr>
        <w:t xml:space="preserve">y de la fase cualitativa desde las experiencias de los sujetos.  </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Las fuentes tendrán valoración de calidad a través de la contrastación de las mismas.</w:t>
      </w:r>
    </w:p>
    <w:p w:rsidR="003751B1" w:rsidRPr="00B05C10" w:rsidRDefault="00D24055" w:rsidP="00D24055">
      <w:pPr>
        <w:pStyle w:val="Ttulo4"/>
        <w:rPr>
          <w:rFonts w:eastAsia="Calibri"/>
          <w:color w:val="000000"/>
          <w:sz w:val="24"/>
        </w:rPr>
      </w:pPr>
      <w:r>
        <w:t xml:space="preserve">Tabla </w:t>
      </w:r>
      <w:fldSimple w:instr=" SEQ Tabla \* ARABIC ">
        <w:r>
          <w:rPr>
            <w:noProof/>
          </w:rPr>
          <w:t>5</w:t>
        </w:r>
      </w:fldSimple>
      <w:r>
        <w:t xml:space="preserve">. </w:t>
      </w:r>
      <w:r w:rsidR="00A06555">
        <w:t>Posibles fuentes de información para la fase documental</w:t>
      </w:r>
    </w:p>
    <w:tbl>
      <w:tblPr>
        <w:tblStyle w:val="Tablaconcuadrcula1"/>
        <w:tblW w:w="0" w:type="auto"/>
        <w:tblLook w:val="04A0" w:firstRow="1" w:lastRow="0" w:firstColumn="1" w:lastColumn="0" w:noHBand="0" w:noVBand="1"/>
      </w:tblPr>
      <w:tblGrid>
        <w:gridCol w:w="4414"/>
        <w:gridCol w:w="4414"/>
      </w:tblGrid>
      <w:tr w:rsidR="003751B1" w:rsidRPr="00B05C10" w:rsidTr="00C46CB1">
        <w:tc>
          <w:tcPr>
            <w:tcW w:w="4414"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t>Fuente</w:t>
            </w:r>
          </w:p>
        </w:tc>
        <w:tc>
          <w:tcPr>
            <w:tcW w:w="4414"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t>Posibles preguntas orientadoras</w:t>
            </w:r>
          </w:p>
        </w:tc>
      </w:tr>
      <w:tr w:rsidR="003751B1" w:rsidRPr="00B05C10" w:rsidTr="00C46CB1">
        <w:tc>
          <w:tcPr>
            <w:tcW w:w="4414"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lastRenderedPageBreak/>
              <w:t>Estatales:</w:t>
            </w:r>
          </w:p>
        </w:tc>
        <w:tc>
          <w:tcPr>
            <w:tcW w:w="4414"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p>
        </w:tc>
      </w:tr>
      <w:tr w:rsidR="003751B1" w:rsidRPr="00B05C10" w:rsidTr="00C46CB1">
        <w:tc>
          <w:tcPr>
            <w:tcW w:w="4414" w:type="dxa"/>
          </w:tcPr>
          <w:p w:rsidR="003751B1" w:rsidRPr="00B05C10" w:rsidRDefault="003751B1" w:rsidP="00FE153F">
            <w:pPr>
              <w:numPr>
                <w:ilvl w:val="0"/>
                <w:numId w:val="6"/>
              </w:numPr>
              <w:shd w:val="clear" w:color="auto" w:fill="FFFFFF"/>
              <w:spacing w:before="100" w:beforeAutospacing="1" w:after="100" w:afterAutospacing="1" w:line="360" w:lineRule="auto"/>
              <w:contextualSpacing/>
              <w:jc w:val="both"/>
              <w:rPr>
                <w:rFonts w:ascii="Times New Roman" w:hAnsi="Times New Roman" w:cs="Times New Roman"/>
                <w:color w:val="000000"/>
                <w:sz w:val="24"/>
              </w:rPr>
            </w:pPr>
            <w:r w:rsidRPr="00B05C10">
              <w:rPr>
                <w:rFonts w:ascii="Times New Roman" w:hAnsi="Times New Roman" w:cs="Times New Roman"/>
                <w:color w:val="000000"/>
                <w:sz w:val="24"/>
              </w:rPr>
              <w:t>Informes de mercado laboral: DANE</w:t>
            </w:r>
          </w:p>
        </w:tc>
        <w:tc>
          <w:tcPr>
            <w:tcW w:w="4414" w:type="dxa"/>
          </w:tcPr>
          <w:p w:rsidR="003751B1" w:rsidRPr="00B05C10" w:rsidRDefault="00051856"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t>¿Cambio</w:t>
            </w:r>
            <w:r w:rsidR="003751B1" w:rsidRPr="00B05C10">
              <w:rPr>
                <w:rFonts w:ascii="Times New Roman" w:hAnsi="Times New Roman" w:cs="Times New Roman"/>
                <w:color w:val="000000"/>
                <w:sz w:val="24"/>
              </w:rPr>
              <w:t xml:space="preserve"> del mercado laboral en Colombia?</w:t>
            </w:r>
          </w:p>
        </w:tc>
      </w:tr>
      <w:tr w:rsidR="003751B1" w:rsidRPr="00B05C10" w:rsidTr="00C46CB1">
        <w:tc>
          <w:tcPr>
            <w:tcW w:w="4414" w:type="dxa"/>
          </w:tcPr>
          <w:p w:rsidR="003751B1" w:rsidRPr="00B05C10" w:rsidRDefault="003751B1" w:rsidP="00FE153F">
            <w:pPr>
              <w:numPr>
                <w:ilvl w:val="0"/>
                <w:numId w:val="6"/>
              </w:numPr>
              <w:shd w:val="clear" w:color="auto" w:fill="FFFFFF"/>
              <w:spacing w:before="100" w:beforeAutospacing="1" w:after="100" w:afterAutospacing="1" w:line="360" w:lineRule="auto"/>
              <w:contextualSpacing/>
              <w:jc w:val="both"/>
              <w:rPr>
                <w:rFonts w:ascii="Times New Roman" w:hAnsi="Times New Roman" w:cs="Times New Roman"/>
                <w:color w:val="000000"/>
                <w:sz w:val="24"/>
              </w:rPr>
            </w:pPr>
            <w:r w:rsidRPr="00B05C10">
              <w:rPr>
                <w:rFonts w:ascii="Times New Roman" w:hAnsi="Times New Roman" w:cs="Times New Roman"/>
                <w:color w:val="000000"/>
                <w:sz w:val="24"/>
              </w:rPr>
              <w:t>Informe de mercado laboral del Observatorio de trabajo – U Andes</w:t>
            </w:r>
          </w:p>
        </w:tc>
        <w:tc>
          <w:tcPr>
            <w:tcW w:w="4414" w:type="dxa"/>
          </w:tcPr>
          <w:p w:rsidR="003751B1" w:rsidRPr="00B05C10" w:rsidRDefault="00051856"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t>¿Cambio</w:t>
            </w:r>
            <w:r w:rsidR="003751B1" w:rsidRPr="00B05C10">
              <w:rPr>
                <w:rFonts w:ascii="Times New Roman" w:hAnsi="Times New Roman" w:cs="Times New Roman"/>
                <w:color w:val="000000"/>
                <w:sz w:val="24"/>
              </w:rPr>
              <w:t xml:space="preserve"> del mercado laboral profesional en Colombia?</w:t>
            </w:r>
          </w:p>
        </w:tc>
      </w:tr>
      <w:tr w:rsidR="003751B1" w:rsidRPr="00B05C10" w:rsidTr="00C46CB1">
        <w:tc>
          <w:tcPr>
            <w:tcW w:w="4414" w:type="dxa"/>
          </w:tcPr>
          <w:p w:rsidR="003751B1" w:rsidRPr="00B05C10" w:rsidRDefault="003751B1" w:rsidP="00FE153F">
            <w:pPr>
              <w:numPr>
                <w:ilvl w:val="0"/>
                <w:numId w:val="6"/>
              </w:numPr>
              <w:shd w:val="clear" w:color="auto" w:fill="FFFFFF"/>
              <w:spacing w:before="100" w:beforeAutospacing="1" w:after="100" w:afterAutospacing="1" w:line="360" w:lineRule="auto"/>
              <w:contextualSpacing/>
              <w:jc w:val="both"/>
              <w:rPr>
                <w:rFonts w:ascii="Times New Roman" w:hAnsi="Times New Roman" w:cs="Times New Roman"/>
                <w:color w:val="000000"/>
                <w:sz w:val="24"/>
              </w:rPr>
            </w:pPr>
            <w:r w:rsidRPr="00B05C10">
              <w:rPr>
                <w:rFonts w:ascii="Times New Roman" w:hAnsi="Times New Roman" w:cs="Times New Roman"/>
                <w:color w:val="000000"/>
                <w:sz w:val="24"/>
              </w:rPr>
              <w:t xml:space="preserve">Informes de mercado laboral Banco de la República. </w:t>
            </w:r>
          </w:p>
        </w:tc>
        <w:tc>
          <w:tcPr>
            <w:tcW w:w="4414" w:type="dxa"/>
          </w:tcPr>
          <w:p w:rsidR="003751B1" w:rsidRPr="00B05C10" w:rsidRDefault="00051856"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t>¿Cambio</w:t>
            </w:r>
            <w:r w:rsidR="003751B1" w:rsidRPr="00B05C10">
              <w:rPr>
                <w:rFonts w:ascii="Times New Roman" w:hAnsi="Times New Roman" w:cs="Times New Roman"/>
                <w:color w:val="000000"/>
                <w:sz w:val="24"/>
              </w:rPr>
              <w:t xml:space="preserve"> del mercado laboral profesional en Colombia?</w:t>
            </w:r>
          </w:p>
        </w:tc>
      </w:tr>
      <w:tr w:rsidR="003751B1" w:rsidRPr="00B05C10" w:rsidTr="00C46CB1">
        <w:tc>
          <w:tcPr>
            <w:tcW w:w="4414" w:type="dxa"/>
          </w:tcPr>
          <w:p w:rsidR="003751B1" w:rsidRPr="00B05C10" w:rsidRDefault="003751B1" w:rsidP="00FE153F">
            <w:pPr>
              <w:numPr>
                <w:ilvl w:val="0"/>
                <w:numId w:val="6"/>
              </w:numPr>
              <w:shd w:val="clear" w:color="auto" w:fill="FFFFFF"/>
              <w:spacing w:before="100" w:beforeAutospacing="1" w:after="100" w:afterAutospacing="1" w:line="360" w:lineRule="auto"/>
              <w:contextualSpacing/>
              <w:jc w:val="both"/>
              <w:rPr>
                <w:rFonts w:ascii="Times New Roman" w:hAnsi="Times New Roman" w:cs="Times New Roman"/>
                <w:color w:val="000000"/>
                <w:sz w:val="24"/>
              </w:rPr>
            </w:pPr>
            <w:r w:rsidRPr="00B05C10">
              <w:rPr>
                <w:rFonts w:ascii="Times New Roman" w:hAnsi="Times New Roman" w:cs="Times New Roman"/>
                <w:color w:val="000000"/>
                <w:sz w:val="24"/>
              </w:rPr>
              <w:t>Informes de mercado laboral de profesionales de la salud en Colombia. Ministerio de salud</w:t>
            </w:r>
          </w:p>
        </w:tc>
        <w:tc>
          <w:tcPr>
            <w:tcW w:w="4414" w:type="dxa"/>
          </w:tcPr>
          <w:p w:rsidR="003751B1" w:rsidRPr="00B05C10" w:rsidRDefault="00051856"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t>¿Cambios</w:t>
            </w:r>
            <w:r w:rsidR="003751B1" w:rsidRPr="00B05C10">
              <w:rPr>
                <w:rFonts w:ascii="Times New Roman" w:hAnsi="Times New Roman" w:cs="Times New Roman"/>
                <w:color w:val="000000"/>
                <w:sz w:val="24"/>
              </w:rPr>
              <w:t xml:space="preserve"> en la estructuración del mercado laboral? ¿</w:t>
            </w:r>
            <w:r w:rsidRPr="00B05C10">
              <w:rPr>
                <w:rFonts w:ascii="Times New Roman" w:hAnsi="Times New Roman" w:cs="Times New Roman"/>
                <w:color w:val="000000"/>
                <w:sz w:val="24"/>
              </w:rPr>
              <w:t>Análisis</w:t>
            </w:r>
            <w:r w:rsidR="003751B1" w:rsidRPr="00B05C10">
              <w:rPr>
                <w:rFonts w:ascii="Times New Roman" w:hAnsi="Times New Roman" w:cs="Times New Roman"/>
                <w:color w:val="000000"/>
                <w:sz w:val="24"/>
              </w:rPr>
              <w:t xml:space="preserve"> de oferta y demanda realizados.</w:t>
            </w:r>
          </w:p>
        </w:tc>
      </w:tr>
      <w:tr w:rsidR="003751B1" w:rsidRPr="00B05C10" w:rsidTr="00C46CB1">
        <w:tc>
          <w:tcPr>
            <w:tcW w:w="4414" w:type="dxa"/>
          </w:tcPr>
          <w:p w:rsidR="003751B1" w:rsidRPr="00B05C10" w:rsidRDefault="003751B1" w:rsidP="00FE153F">
            <w:pPr>
              <w:numPr>
                <w:ilvl w:val="0"/>
                <w:numId w:val="6"/>
              </w:numPr>
              <w:shd w:val="clear" w:color="auto" w:fill="FFFFFF"/>
              <w:spacing w:before="100" w:beforeAutospacing="1" w:after="100" w:afterAutospacing="1" w:line="360" w:lineRule="auto"/>
              <w:contextualSpacing/>
              <w:jc w:val="both"/>
              <w:rPr>
                <w:rFonts w:ascii="Times New Roman" w:hAnsi="Times New Roman" w:cs="Times New Roman"/>
                <w:color w:val="000000"/>
                <w:sz w:val="24"/>
              </w:rPr>
            </w:pPr>
            <w:r w:rsidRPr="00B05C10">
              <w:rPr>
                <w:rFonts w:ascii="Times New Roman" w:hAnsi="Times New Roman" w:cs="Times New Roman"/>
                <w:color w:val="000000"/>
                <w:sz w:val="24"/>
              </w:rPr>
              <w:t>Encuesta de mercado laboral de profesionales de la salud 2007 -2017 de la Asociación Colombiana de Clínica  y Hospitales</w:t>
            </w:r>
          </w:p>
        </w:tc>
        <w:tc>
          <w:tcPr>
            <w:tcW w:w="4414" w:type="dxa"/>
          </w:tcPr>
          <w:p w:rsidR="003751B1" w:rsidRPr="00B05C10" w:rsidRDefault="00051856"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t>¿Cambios</w:t>
            </w:r>
            <w:r w:rsidR="003751B1" w:rsidRPr="00B05C10">
              <w:rPr>
                <w:rFonts w:ascii="Times New Roman" w:hAnsi="Times New Roman" w:cs="Times New Roman"/>
                <w:color w:val="000000"/>
                <w:sz w:val="24"/>
              </w:rPr>
              <w:t xml:space="preserve"> del mercado laboral, salarios, y formas de contratación?</w:t>
            </w:r>
          </w:p>
        </w:tc>
      </w:tr>
      <w:tr w:rsidR="003751B1" w:rsidRPr="00B05C10" w:rsidTr="00C46CB1">
        <w:tc>
          <w:tcPr>
            <w:tcW w:w="4414" w:type="dxa"/>
          </w:tcPr>
          <w:p w:rsidR="003751B1" w:rsidRPr="00B05C10" w:rsidRDefault="003751B1" w:rsidP="00FE153F">
            <w:pPr>
              <w:numPr>
                <w:ilvl w:val="0"/>
                <w:numId w:val="6"/>
              </w:numPr>
              <w:shd w:val="clear" w:color="auto" w:fill="FFFFFF"/>
              <w:spacing w:before="100" w:beforeAutospacing="1" w:after="100" w:afterAutospacing="1" w:line="360" w:lineRule="auto"/>
              <w:contextualSpacing/>
              <w:jc w:val="both"/>
              <w:rPr>
                <w:rFonts w:ascii="Times New Roman" w:hAnsi="Times New Roman" w:cs="Times New Roman"/>
                <w:color w:val="000000"/>
                <w:sz w:val="24"/>
              </w:rPr>
            </w:pPr>
            <w:r w:rsidRPr="00B05C10">
              <w:rPr>
                <w:rFonts w:ascii="Times New Roman" w:hAnsi="Times New Roman" w:cs="Times New Roman"/>
                <w:color w:val="000000"/>
                <w:sz w:val="24"/>
              </w:rPr>
              <w:t>Propuestas sobre reformas sobre educación de profesionales de la salud en la última década. ASMEDAS, ASCOFAME, Y OTRAS ASOCIACIONES. Radicadas en el ejecutivo y de consecución por medio electrónico.</w:t>
            </w:r>
          </w:p>
        </w:tc>
        <w:tc>
          <w:tcPr>
            <w:tcW w:w="4414"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t>¿</w:t>
            </w:r>
            <w:r w:rsidR="00051856" w:rsidRPr="00B05C10">
              <w:rPr>
                <w:rFonts w:ascii="Times New Roman" w:hAnsi="Times New Roman" w:cs="Times New Roman"/>
                <w:color w:val="000000"/>
                <w:sz w:val="24"/>
              </w:rPr>
              <w:t>Aspectos</w:t>
            </w:r>
            <w:r w:rsidRPr="00B05C10">
              <w:rPr>
                <w:rFonts w:ascii="Times New Roman" w:hAnsi="Times New Roman" w:cs="Times New Roman"/>
                <w:color w:val="000000"/>
                <w:sz w:val="24"/>
              </w:rPr>
              <w:t xml:space="preserve"> problemáticos que justifican las propuestas respecto del mercado laboral de los profesionales de la salud.</w:t>
            </w:r>
          </w:p>
        </w:tc>
      </w:tr>
      <w:tr w:rsidR="003751B1" w:rsidRPr="00B05C10" w:rsidTr="00C46CB1">
        <w:tc>
          <w:tcPr>
            <w:tcW w:w="4414" w:type="dxa"/>
          </w:tcPr>
          <w:p w:rsidR="003751B1" w:rsidRPr="00B05C10" w:rsidRDefault="003751B1" w:rsidP="00FE153F">
            <w:pPr>
              <w:numPr>
                <w:ilvl w:val="0"/>
                <w:numId w:val="6"/>
              </w:numPr>
              <w:shd w:val="clear" w:color="auto" w:fill="FFFFFF"/>
              <w:spacing w:before="100" w:beforeAutospacing="1" w:after="100" w:afterAutospacing="1" w:line="360" w:lineRule="auto"/>
              <w:contextualSpacing/>
              <w:jc w:val="both"/>
              <w:rPr>
                <w:rFonts w:ascii="Times New Roman" w:hAnsi="Times New Roman" w:cs="Times New Roman"/>
                <w:color w:val="000000"/>
                <w:sz w:val="24"/>
              </w:rPr>
            </w:pPr>
            <w:r w:rsidRPr="00B05C10">
              <w:rPr>
                <w:rFonts w:ascii="Times New Roman" w:hAnsi="Times New Roman" w:cs="Times New Roman"/>
                <w:color w:val="000000"/>
                <w:sz w:val="24"/>
              </w:rPr>
              <w:t>Marcos de leyes: 100 de 1993, 1122 de 2007, 1432 de 2011</w:t>
            </w:r>
          </w:p>
        </w:tc>
        <w:tc>
          <w:tcPr>
            <w:tcW w:w="4414"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t>¿conexiones con el mercado laboral de los profesionales de la salud?</w:t>
            </w:r>
          </w:p>
        </w:tc>
      </w:tr>
      <w:tr w:rsidR="003751B1" w:rsidRPr="00B05C10" w:rsidTr="00C46CB1">
        <w:tc>
          <w:tcPr>
            <w:tcW w:w="4414" w:type="dxa"/>
          </w:tcPr>
          <w:p w:rsidR="003751B1" w:rsidRPr="00B05C10" w:rsidRDefault="003751B1" w:rsidP="00FE153F">
            <w:pPr>
              <w:numPr>
                <w:ilvl w:val="0"/>
                <w:numId w:val="6"/>
              </w:numPr>
              <w:shd w:val="clear" w:color="auto" w:fill="FFFFFF"/>
              <w:spacing w:before="100" w:beforeAutospacing="1" w:after="100" w:afterAutospacing="1" w:line="360" w:lineRule="auto"/>
              <w:contextualSpacing/>
              <w:jc w:val="both"/>
              <w:rPr>
                <w:rFonts w:ascii="Times New Roman" w:hAnsi="Times New Roman" w:cs="Times New Roman"/>
                <w:color w:val="000000"/>
                <w:sz w:val="24"/>
              </w:rPr>
            </w:pPr>
            <w:r w:rsidRPr="00B05C10">
              <w:rPr>
                <w:rFonts w:ascii="Times New Roman" w:hAnsi="Times New Roman" w:cs="Times New Roman"/>
                <w:color w:val="000000"/>
                <w:sz w:val="24"/>
              </w:rPr>
              <w:t>Artículos de prensa nacional ubicados en medio electrónico sobre el tema</w:t>
            </w:r>
          </w:p>
        </w:tc>
        <w:tc>
          <w:tcPr>
            <w:tcW w:w="4414"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t>¿ demandas y propuestas sobre el mercado laboral de profesionales de la salud?</w:t>
            </w:r>
          </w:p>
        </w:tc>
      </w:tr>
      <w:tr w:rsidR="003751B1" w:rsidRPr="00B05C10" w:rsidTr="00C46CB1">
        <w:tc>
          <w:tcPr>
            <w:tcW w:w="4414" w:type="dxa"/>
          </w:tcPr>
          <w:p w:rsidR="003751B1" w:rsidRPr="00B05C10" w:rsidRDefault="003751B1" w:rsidP="00FE153F">
            <w:pPr>
              <w:numPr>
                <w:ilvl w:val="0"/>
                <w:numId w:val="6"/>
              </w:numPr>
              <w:shd w:val="clear" w:color="auto" w:fill="FFFFFF"/>
              <w:spacing w:before="100" w:beforeAutospacing="1" w:after="100" w:afterAutospacing="1" w:line="360" w:lineRule="auto"/>
              <w:contextualSpacing/>
              <w:jc w:val="both"/>
              <w:rPr>
                <w:rFonts w:ascii="Times New Roman" w:hAnsi="Times New Roman" w:cs="Times New Roman"/>
                <w:color w:val="000000"/>
                <w:sz w:val="24"/>
              </w:rPr>
            </w:pPr>
            <w:r w:rsidRPr="00B05C10">
              <w:rPr>
                <w:rFonts w:ascii="Times New Roman" w:hAnsi="Times New Roman" w:cs="Times New Roman"/>
                <w:color w:val="000000"/>
                <w:sz w:val="24"/>
              </w:rPr>
              <w:t xml:space="preserve">Revisión de conceptos emblemáticos de la Corte Constitucional sobre demandas </w:t>
            </w:r>
            <w:r w:rsidRPr="00B05C10">
              <w:rPr>
                <w:rFonts w:ascii="Times New Roman" w:hAnsi="Times New Roman" w:cs="Times New Roman"/>
                <w:color w:val="000000"/>
                <w:sz w:val="24"/>
              </w:rPr>
              <w:lastRenderedPageBreak/>
              <w:t>laborales de profesionales de la salud</w:t>
            </w:r>
          </w:p>
        </w:tc>
        <w:tc>
          <w:tcPr>
            <w:tcW w:w="4414"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lastRenderedPageBreak/>
              <w:t>¿demandas de los  profesionales de la salud sobre el tema?</w:t>
            </w:r>
          </w:p>
        </w:tc>
      </w:tr>
    </w:tbl>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Análisis de la Información</w:t>
      </w:r>
    </w:p>
    <w:p w:rsidR="003751B1" w:rsidRPr="00B05C10" w:rsidRDefault="003751B1" w:rsidP="003751B1">
      <w:pPr>
        <w:shd w:val="clear" w:color="auto" w:fill="FFFFFF"/>
        <w:spacing w:before="100" w:beforeAutospacing="1" w:after="100" w:afterAutospacing="1" w:line="360" w:lineRule="auto"/>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Se realizará un análisis heurístico de los textos, utilizando como base el análisis de contenido para la reconstrucción de hitos que marcan el periodo de análisis, y la identificación de las interacciones de poder que organizan el periodo. Para ello se rastrear redes sociespaciales de interacción, discursos y principales prácticas. Los discursos y prácticas se materializan en propuestas, políticas y otros elementos que orientan el periodo.</w:t>
      </w:r>
    </w:p>
    <w:p w:rsidR="0089558C" w:rsidRPr="00B05C10" w:rsidRDefault="003751B1" w:rsidP="00FE153F">
      <w:pPr>
        <w:numPr>
          <w:ilvl w:val="0"/>
          <w:numId w:val="5"/>
        </w:numPr>
        <w:shd w:val="clear" w:color="auto" w:fill="FFFFFF"/>
        <w:spacing w:before="100" w:beforeAutospacing="1" w:after="100" w:afterAutospacing="1" w:line="360" w:lineRule="auto"/>
        <w:contextualSpacing/>
        <w:jc w:val="both"/>
        <w:rPr>
          <w:rFonts w:ascii="Times New Roman" w:eastAsia="Calibri" w:hAnsi="Times New Roman" w:cs="Times New Roman"/>
          <w:sz w:val="24"/>
          <w:lang w:eastAsia="en-US"/>
        </w:rPr>
      </w:pPr>
      <w:r w:rsidRPr="00B05C10">
        <w:rPr>
          <w:rFonts w:ascii="Times New Roman" w:eastAsia="Calibri" w:hAnsi="Times New Roman" w:cs="Times New Roman"/>
          <w:sz w:val="24"/>
          <w:lang w:eastAsia="en-US"/>
        </w:rPr>
        <w:t>E</w:t>
      </w:r>
      <w:r w:rsidR="00D24055" w:rsidRPr="00B05C10">
        <w:rPr>
          <w:rFonts w:ascii="Times New Roman" w:eastAsia="Calibri" w:hAnsi="Times New Roman" w:cs="Times New Roman"/>
          <w:sz w:val="24"/>
          <w:lang w:eastAsia="en-US"/>
        </w:rPr>
        <w:t>studio</w:t>
      </w:r>
      <w:r w:rsidRPr="00B05C10">
        <w:rPr>
          <w:rFonts w:ascii="Times New Roman" w:eastAsia="Calibri" w:hAnsi="Times New Roman" w:cs="Times New Roman"/>
          <w:sz w:val="24"/>
          <w:lang w:eastAsia="en-US"/>
        </w:rPr>
        <w:t xml:space="preserve"> </w:t>
      </w:r>
      <w:r w:rsidR="000135C0" w:rsidRPr="00B05C10">
        <w:rPr>
          <w:rFonts w:ascii="Times New Roman" w:eastAsia="Calibri" w:hAnsi="Times New Roman" w:cs="Times New Roman"/>
          <w:sz w:val="24"/>
          <w:lang w:eastAsia="en-US"/>
        </w:rPr>
        <w:t>Exploratorio de corte</w:t>
      </w:r>
      <w:r w:rsidRPr="00B05C10">
        <w:rPr>
          <w:rFonts w:ascii="Times New Roman" w:eastAsia="Calibri" w:hAnsi="Times New Roman" w:cs="Times New Roman"/>
          <w:sz w:val="24"/>
          <w:lang w:eastAsia="en-US"/>
        </w:rPr>
        <w:t xml:space="preserve"> </w:t>
      </w:r>
      <w:r w:rsidR="000135C0" w:rsidRPr="00B05C10">
        <w:rPr>
          <w:rFonts w:ascii="Times New Roman" w:eastAsia="Calibri" w:hAnsi="Times New Roman" w:cs="Times New Roman"/>
          <w:sz w:val="24"/>
          <w:lang w:eastAsia="en-US"/>
        </w:rPr>
        <w:t>transversal</w:t>
      </w:r>
      <w:r w:rsidRPr="00B05C10">
        <w:rPr>
          <w:rFonts w:ascii="Times New Roman" w:eastAsia="Calibri" w:hAnsi="Times New Roman" w:cs="Times New Roman"/>
          <w:sz w:val="24"/>
          <w:lang w:eastAsia="en-US"/>
        </w:rPr>
        <w:t xml:space="preserve">. </w:t>
      </w:r>
    </w:p>
    <w:p w:rsidR="003751B1" w:rsidRPr="00B05C10" w:rsidRDefault="0089558C" w:rsidP="00A06555">
      <w:pPr>
        <w:shd w:val="clear" w:color="auto" w:fill="FFFFFF"/>
        <w:spacing w:before="100" w:beforeAutospacing="1" w:after="100" w:afterAutospacing="1" w:line="360" w:lineRule="auto"/>
        <w:contextualSpacing/>
        <w:jc w:val="both"/>
        <w:rPr>
          <w:rFonts w:ascii="Times New Roman" w:eastAsia="Calibri" w:hAnsi="Times New Roman" w:cs="Times New Roman"/>
          <w:sz w:val="24"/>
          <w:lang w:eastAsia="en-US"/>
        </w:rPr>
      </w:pPr>
      <w:r w:rsidRPr="00B05C10">
        <w:rPr>
          <w:rFonts w:ascii="Times New Roman" w:eastAsia="Calibri" w:hAnsi="Times New Roman" w:cs="Times New Roman"/>
          <w:sz w:val="24"/>
          <w:lang w:eastAsia="en-US"/>
        </w:rPr>
        <w:t>Objetivo: con este estudio se busca responder el objetivo concerniente a la identificación de las condiciones de salud y trabajo de los trabajadores de la salud en Colombia.</w:t>
      </w:r>
    </w:p>
    <w:p w:rsidR="000135C0" w:rsidRPr="00B05C10" w:rsidRDefault="0089558C" w:rsidP="00A06555">
      <w:pPr>
        <w:shd w:val="clear" w:color="auto" w:fill="FFFFFF"/>
        <w:spacing w:before="100" w:beforeAutospacing="1" w:after="100" w:afterAutospacing="1" w:line="360" w:lineRule="auto"/>
        <w:contextualSpacing/>
        <w:jc w:val="both"/>
        <w:rPr>
          <w:rFonts w:ascii="Times New Roman" w:eastAsia="Calibri" w:hAnsi="Times New Roman" w:cs="Times New Roman"/>
          <w:sz w:val="24"/>
          <w:lang w:eastAsia="en-US"/>
        </w:rPr>
      </w:pPr>
      <w:r w:rsidRPr="00B05C10">
        <w:rPr>
          <w:rFonts w:ascii="Times New Roman" w:eastAsia="Calibri" w:hAnsi="Times New Roman" w:cs="Times New Roman"/>
          <w:sz w:val="24"/>
          <w:lang w:eastAsia="en-US"/>
        </w:rPr>
        <w:t>Fuentes de información: Se ha determinado tomar como fuentes de tipo secundario las referidas a los repositorios de datos de cada una de las secret</w:t>
      </w:r>
      <w:r w:rsidR="000135C0" w:rsidRPr="00B05C10">
        <w:rPr>
          <w:rFonts w:ascii="Times New Roman" w:eastAsia="Calibri" w:hAnsi="Times New Roman" w:cs="Times New Roman"/>
          <w:sz w:val="24"/>
          <w:lang w:eastAsia="en-US"/>
        </w:rPr>
        <w:t xml:space="preserve">arias de salud departamentales, así como los registros de Talento Humano para el País captados por el ministerio de salud y protección social </w:t>
      </w:r>
      <w:r w:rsidRPr="00B05C10">
        <w:rPr>
          <w:rFonts w:ascii="Times New Roman" w:eastAsia="Calibri" w:hAnsi="Times New Roman" w:cs="Times New Roman"/>
          <w:sz w:val="24"/>
          <w:lang w:eastAsia="en-US"/>
        </w:rPr>
        <w:t>para obtener un Universo de población a analizar y caracterizarlos según una variable de entrada referida a profesión.</w:t>
      </w:r>
      <w:r w:rsidR="000135C0" w:rsidRPr="00B05C10">
        <w:rPr>
          <w:rFonts w:ascii="Times New Roman" w:eastAsia="Calibri" w:hAnsi="Times New Roman" w:cs="Times New Roman"/>
          <w:sz w:val="24"/>
          <w:lang w:eastAsia="en-US"/>
        </w:rPr>
        <w:t xml:space="preserve"> </w:t>
      </w:r>
    </w:p>
    <w:p w:rsidR="0089558C" w:rsidRPr="00B05C10" w:rsidRDefault="000135C0" w:rsidP="00A06555">
      <w:pPr>
        <w:shd w:val="clear" w:color="auto" w:fill="FFFFFF"/>
        <w:spacing w:before="100" w:beforeAutospacing="1" w:after="100" w:afterAutospacing="1" w:line="360" w:lineRule="auto"/>
        <w:contextualSpacing/>
        <w:jc w:val="both"/>
        <w:rPr>
          <w:rFonts w:ascii="Times New Roman" w:eastAsia="Calibri" w:hAnsi="Times New Roman" w:cs="Times New Roman"/>
          <w:sz w:val="24"/>
          <w:lang w:eastAsia="en-US"/>
        </w:rPr>
      </w:pPr>
      <w:r w:rsidRPr="00B05C10">
        <w:rPr>
          <w:rFonts w:ascii="Times New Roman" w:eastAsia="Calibri" w:hAnsi="Times New Roman" w:cs="Times New Roman"/>
          <w:sz w:val="24"/>
          <w:lang w:eastAsia="en-US"/>
        </w:rPr>
        <w:t>Así mismo se abordaran las diferentes encuestas existentes con un rango de elaboración de los últimos cinco años  tanto del nivel general (Gran encuesta integrada de Hogares), como las sectoriales (ENDS, ENSIN, ENCA, Multidimensional) y los repositorios de datos tanto del observatorio de la Salud del Instituto nacional de salud como los del Observatorio de Ministerio de Educación y demás que nos aporten datos para lograr una caracterización de dichas condiciones de salud y trabajo.</w:t>
      </w:r>
    </w:p>
    <w:p w:rsidR="000135C0" w:rsidRPr="00B05C10" w:rsidRDefault="000135C0" w:rsidP="00A06555">
      <w:pPr>
        <w:shd w:val="clear" w:color="auto" w:fill="FFFFFF"/>
        <w:spacing w:before="100" w:beforeAutospacing="1" w:after="100" w:afterAutospacing="1" w:line="360" w:lineRule="auto"/>
        <w:contextualSpacing/>
        <w:jc w:val="both"/>
        <w:rPr>
          <w:rFonts w:ascii="Times New Roman" w:eastAsia="Calibri" w:hAnsi="Times New Roman" w:cs="Times New Roman"/>
          <w:sz w:val="24"/>
          <w:lang w:eastAsia="en-US"/>
        </w:rPr>
      </w:pPr>
      <w:r w:rsidRPr="00B05C10">
        <w:rPr>
          <w:rFonts w:ascii="Times New Roman" w:eastAsia="Calibri" w:hAnsi="Times New Roman" w:cs="Times New Roman"/>
          <w:sz w:val="24"/>
          <w:lang w:eastAsia="en-US"/>
        </w:rPr>
        <w:t xml:space="preserve">En cuanto, al procesamiento de los datos se ha determinado la realización de un listado inicial de variables donde se </w:t>
      </w:r>
      <w:r w:rsidR="00D24055" w:rsidRPr="00B05C10">
        <w:rPr>
          <w:rFonts w:ascii="Times New Roman" w:eastAsia="Calibri" w:hAnsi="Times New Roman" w:cs="Times New Roman"/>
          <w:sz w:val="24"/>
          <w:lang w:eastAsia="en-US"/>
        </w:rPr>
        <w:t>reúnan</w:t>
      </w:r>
      <w:r w:rsidRPr="00B05C10">
        <w:rPr>
          <w:rFonts w:ascii="Times New Roman" w:eastAsia="Calibri" w:hAnsi="Times New Roman" w:cs="Times New Roman"/>
          <w:sz w:val="24"/>
          <w:lang w:eastAsia="en-US"/>
        </w:rPr>
        <w:t xml:space="preserve"> los dos componentes, condiciones de salud y condiciones de trabajo, listado que se ira consolidando con la exploración misma de las fuentes de información a revisar. Dichas a partir del listado de variables y su Operacionalización se </w:t>
      </w:r>
      <w:r w:rsidRPr="00B05C10">
        <w:rPr>
          <w:rFonts w:ascii="Times New Roman" w:eastAsia="Calibri" w:hAnsi="Times New Roman" w:cs="Times New Roman"/>
          <w:sz w:val="24"/>
          <w:lang w:eastAsia="en-US"/>
        </w:rPr>
        <w:lastRenderedPageBreak/>
        <w:t>construirá una base de datos propia la cual se someterá a procesos de barrido y limpieza de datos para su posterior análisis</w:t>
      </w:r>
    </w:p>
    <w:p w:rsidR="00A06555" w:rsidRDefault="00A06555" w:rsidP="00A06555">
      <w:pPr>
        <w:shd w:val="clear" w:color="auto" w:fill="FFFFFF"/>
        <w:spacing w:before="100" w:beforeAutospacing="1" w:after="100" w:afterAutospacing="1" w:line="360" w:lineRule="auto"/>
        <w:contextualSpacing/>
        <w:jc w:val="both"/>
        <w:rPr>
          <w:rFonts w:ascii="Times New Roman" w:eastAsia="Calibri" w:hAnsi="Times New Roman" w:cs="Times New Roman"/>
          <w:sz w:val="24"/>
          <w:lang w:eastAsia="en-US"/>
        </w:rPr>
      </w:pPr>
    </w:p>
    <w:p w:rsidR="000135C0" w:rsidRPr="00B05C10" w:rsidRDefault="000135C0" w:rsidP="00A06555">
      <w:pPr>
        <w:shd w:val="clear" w:color="auto" w:fill="FFFFFF"/>
        <w:spacing w:before="100" w:beforeAutospacing="1" w:after="100" w:afterAutospacing="1" w:line="360" w:lineRule="auto"/>
        <w:contextualSpacing/>
        <w:jc w:val="both"/>
        <w:rPr>
          <w:rFonts w:ascii="Times New Roman" w:eastAsia="Calibri" w:hAnsi="Times New Roman" w:cs="Times New Roman"/>
          <w:sz w:val="24"/>
          <w:lang w:eastAsia="en-US"/>
        </w:rPr>
      </w:pPr>
      <w:r w:rsidRPr="00B05C10">
        <w:rPr>
          <w:rFonts w:ascii="Times New Roman" w:eastAsia="Calibri" w:hAnsi="Times New Roman" w:cs="Times New Roman"/>
          <w:sz w:val="24"/>
          <w:lang w:eastAsia="en-US"/>
        </w:rPr>
        <w:t>El plan de análisis de los datos se ubicara en tres aspectos: uno referido a la caracterización propiamente dicha de los profesionales y sus condiciones de salud y trabajo, desde una perspectiva descriptiva, un segundo referido al análisis de las interacciones entre dichas condiciones, el cua</w:t>
      </w:r>
      <w:r w:rsidR="00D24055">
        <w:rPr>
          <w:rFonts w:ascii="Times New Roman" w:eastAsia="Calibri" w:hAnsi="Times New Roman" w:cs="Times New Roman"/>
          <w:sz w:val="24"/>
          <w:lang w:eastAsia="en-US"/>
        </w:rPr>
        <w:t>l se determinará por análisis bí</w:t>
      </w:r>
      <w:r w:rsidR="005726CC" w:rsidRPr="00B05C10">
        <w:rPr>
          <w:rFonts w:ascii="Times New Roman" w:eastAsia="Calibri" w:hAnsi="Times New Roman" w:cs="Times New Roman"/>
          <w:sz w:val="24"/>
          <w:lang w:eastAsia="en-US"/>
        </w:rPr>
        <w:t>variado</w:t>
      </w:r>
      <w:r w:rsidRPr="00B05C10">
        <w:rPr>
          <w:rFonts w:ascii="Times New Roman" w:eastAsia="Calibri" w:hAnsi="Times New Roman" w:cs="Times New Roman"/>
          <w:sz w:val="24"/>
          <w:lang w:eastAsia="en-US"/>
        </w:rPr>
        <w:t xml:space="preserve"> y multivariado que involucre la determinación de  posibles correlaciones</w:t>
      </w:r>
      <w:r w:rsidR="005726CC" w:rsidRPr="00B05C10">
        <w:rPr>
          <w:rFonts w:ascii="Times New Roman" w:eastAsia="Calibri" w:hAnsi="Times New Roman" w:cs="Times New Roman"/>
          <w:sz w:val="24"/>
          <w:lang w:eastAsia="en-US"/>
        </w:rPr>
        <w:t xml:space="preserve"> y un tercero que tiene que ver con la identificación de la categoría “precariedad laboral” la cual será determinada según las condiciones de las variables encontradas, que determinen el nivel de medición que se aplicará.</w:t>
      </w:r>
    </w:p>
    <w:p w:rsidR="000135C0" w:rsidRPr="00B05C10" w:rsidRDefault="000135C0" w:rsidP="0089558C">
      <w:pPr>
        <w:shd w:val="clear" w:color="auto" w:fill="FFFFFF"/>
        <w:spacing w:before="100" w:beforeAutospacing="1" w:after="100" w:afterAutospacing="1" w:line="360" w:lineRule="auto"/>
        <w:ind w:left="720"/>
        <w:contextualSpacing/>
        <w:jc w:val="both"/>
        <w:rPr>
          <w:rFonts w:ascii="Times New Roman" w:eastAsia="Calibri" w:hAnsi="Times New Roman" w:cs="Times New Roman"/>
          <w:sz w:val="24"/>
          <w:lang w:eastAsia="en-US"/>
        </w:rPr>
      </w:pPr>
    </w:p>
    <w:p w:rsidR="003751B1" w:rsidRPr="00B05C10" w:rsidRDefault="003751B1" w:rsidP="00FE153F">
      <w:pPr>
        <w:numPr>
          <w:ilvl w:val="0"/>
          <w:numId w:val="5"/>
        </w:numPr>
        <w:shd w:val="clear" w:color="auto" w:fill="FFFFFF"/>
        <w:spacing w:before="100" w:beforeAutospacing="1" w:after="100" w:afterAutospacing="1" w:line="360" w:lineRule="auto"/>
        <w:contextualSpacing/>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lang w:eastAsia="en-US"/>
        </w:rPr>
        <w:t xml:space="preserve">Estudio cualitativo de casos  </w:t>
      </w:r>
    </w:p>
    <w:p w:rsidR="003751B1" w:rsidRPr="00B05C10" w:rsidRDefault="003751B1" w:rsidP="00A06555">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z w:val="24"/>
          <w:szCs w:val="24"/>
          <w:lang w:eastAsia="en-US"/>
        </w:rPr>
      </w:pPr>
      <w:r w:rsidRPr="00B05C10">
        <w:rPr>
          <w:rFonts w:ascii="Times New Roman" w:eastAsia="Calibri" w:hAnsi="Times New Roman" w:cs="Times New Roman"/>
          <w:b/>
          <w:color w:val="000000"/>
          <w:sz w:val="24"/>
          <w:lang w:eastAsia="en-US"/>
        </w:rPr>
        <w:t xml:space="preserve">Objetivo: </w:t>
      </w:r>
      <w:r w:rsidRPr="00B05C10">
        <w:rPr>
          <w:rFonts w:ascii="Times New Roman" w:eastAsia="Calibri" w:hAnsi="Times New Roman" w:cs="Times New Roman"/>
          <w:color w:val="000000"/>
          <w:sz w:val="24"/>
          <w:szCs w:val="24"/>
          <w:lang w:eastAsia="en-US"/>
        </w:rPr>
        <w:t>Identificar y describir dinámicas laborales de particular interés para comprender la violencia en el trabajo de los profesionales de la salud</w:t>
      </w:r>
    </w:p>
    <w:p w:rsidR="003751B1" w:rsidRPr="00B05C10" w:rsidRDefault="003751B1" w:rsidP="00A06555">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z w:val="24"/>
          <w:szCs w:val="24"/>
          <w:lang w:eastAsia="en-US"/>
        </w:rPr>
      </w:pPr>
      <w:r w:rsidRPr="00B05C10">
        <w:rPr>
          <w:rFonts w:ascii="Times New Roman" w:eastAsia="Calibri" w:hAnsi="Times New Roman" w:cs="Times New Roman"/>
          <w:color w:val="000000"/>
          <w:sz w:val="24"/>
          <w:szCs w:val="24"/>
          <w:lang w:eastAsia="en-US"/>
        </w:rPr>
        <w:t>Metodología: Enfoque etnográfico, desarrollado mediante estudios de caso a partir de entrevistas biográficas y observación participante. A través de este enfoque se busca comprender la violencia en el trabajo como un proceso que ocurre durante el curso de vida de las personas que se dinamiza en tiempos y espacios específicos, y en un contexto dispuesto por la política económica y laboral del país.</w:t>
      </w:r>
    </w:p>
    <w:p w:rsidR="003751B1" w:rsidRPr="00B05C10" w:rsidRDefault="003751B1" w:rsidP="00A06555">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z w:val="24"/>
          <w:lang w:eastAsia="en-US"/>
        </w:rPr>
      </w:pPr>
      <w:r w:rsidRPr="00B05C10">
        <w:rPr>
          <w:rFonts w:ascii="Times New Roman" w:eastAsia="Calibri" w:hAnsi="Times New Roman" w:cs="Times New Roman"/>
          <w:color w:val="000000"/>
          <w:sz w:val="24"/>
          <w:szCs w:val="24"/>
          <w:lang w:eastAsia="en-US"/>
        </w:rPr>
        <w:t xml:space="preserve">Se van a elegir seis casos tipo, en las ciudades donde se va desarrollar el estudio, localidades que se escogerán por conveniencia según las categorías otorgadas por el Departamento Nacional de Planeación. </w:t>
      </w:r>
      <w:r w:rsidRPr="00B05C10">
        <w:rPr>
          <w:rFonts w:ascii="Times New Roman" w:eastAsia="Calibri" w:hAnsi="Times New Roman" w:cs="Times New Roman"/>
          <w:color w:val="000000"/>
          <w:sz w:val="24"/>
          <w:lang w:eastAsia="en-US"/>
        </w:rPr>
        <w:t>Cada uno de estos casos tendrán una revisión de contextos a partir de fuentes secundarias, mismos que servirán para tener un panorama inicial de las dinámicas económicas y laborales de dicho municipio/localidad en donde transcurre la vida de las personas.</w:t>
      </w:r>
    </w:p>
    <w:p w:rsidR="003751B1" w:rsidRPr="00B05C10" w:rsidRDefault="003751B1" w:rsidP="00A06555">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z w:val="24"/>
          <w:szCs w:val="24"/>
          <w:lang w:eastAsia="en-US"/>
        </w:rPr>
      </w:pPr>
      <w:r w:rsidRPr="00B05C10">
        <w:rPr>
          <w:rFonts w:ascii="Times New Roman" w:eastAsia="Calibri" w:hAnsi="Times New Roman" w:cs="Times New Roman"/>
          <w:color w:val="000000"/>
          <w:sz w:val="24"/>
          <w:szCs w:val="24"/>
          <w:lang w:eastAsia="en-US"/>
        </w:rPr>
        <w:t>La selección de los casos responde a un muestreo teórico que armonizara el mayor número de categorías.  Estas son: trabajador independiente, trabajador no calificado, trabajador calificado y trabajador altamente calificado, combinadas con criterios como la edad (Adultos joven, mayor y persona mayor) y el género.</w:t>
      </w:r>
    </w:p>
    <w:p w:rsidR="003751B1" w:rsidRPr="00B05C10" w:rsidRDefault="00D24055" w:rsidP="00D24055">
      <w:pPr>
        <w:pStyle w:val="Ttulo4"/>
        <w:rPr>
          <w:rFonts w:eastAsia="Calibri"/>
          <w:color w:val="000000"/>
          <w:sz w:val="24"/>
        </w:rPr>
      </w:pPr>
      <w:r>
        <w:lastRenderedPageBreak/>
        <w:t xml:space="preserve">Tabla </w:t>
      </w:r>
      <w:fldSimple w:instr=" SEQ Tabla \* ARABIC ">
        <w:r>
          <w:rPr>
            <w:noProof/>
          </w:rPr>
          <w:t>6</w:t>
        </w:r>
      </w:fldSimple>
      <w:r>
        <w:t xml:space="preserve">. </w:t>
      </w:r>
      <w:r w:rsidR="00A06555">
        <w:t xml:space="preserve"> Casos Tipo</w:t>
      </w:r>
    </w:p>
    <w:tbl>
      <w:tblPr>
        <w:tblStyle w:val="Tablaconcuadrcula1"/>
        <w:tblW w:w="7808" w:type="dxa"/>
        <w:jc w:val="center"/>
        <w:tblLayout w:type="fixed"/>
        <w:tblLook w:val="04A0" w:firstRow="1" w:lastRow="0" w:firstColumn="1" w:lastColumn="0" w:noHBand="0" w:noVBand="1"/>
      </w:tblPr>
      <w:tblGrid>
        <w:gridCol w:w="3839"/>
        <w:gridCol w:w="992"/>
        <w:gridCol w:w="992"/>
        <w:gridCol w:w="993"/>
        <w:gridCol w:w="992"/>
      </w:tblGrid>
      <w:tr w:rsidR="003751B1" w:rsidRPr="00B05C10" w:rsidTr="00C46CB1">
        <w:trPr>
          <w:jc w:val="center"/>
        </w:trPr>
        <w:tc>
          <w:tcPr>
            <w:tcW w:w="3839" w:type="dxa"/>
            <w:vMerge w:val="restart"/>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4"/>
              </w:rPr>
            </w:pPr>
            <w:r w:rsidRPr="00B05C10">
              <w:rPr>
                <w:rFonts w:ascii="Times New Roman" w:hAnsi="Times New Roman" w:cs="Times New Roman"/>
                <w:color w:val="000000"/>
                <w:sz w:val="24"/>
              </w:rPr>
              <w:t>Categorías teóricas</w:t>
            </w:r>
          </w:p>
        </w:tc>
        <w:tc>
          <w:tcPr>
            <w:tcW w:w="3969" w:type="dxa"/>
            <w:gridSpan w:val="4"/>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4"/>
              </w:rPr>
            </w:pPr>
            <w:r w:rsidRPr="00B05C10">
              <w:rPr>
                <w:rFonts w:ascii="Times New Roman" w:hAnsi="Times New Roman" w:cs="Times New Roman"/>
                <w:color w:val="000000"/>
                <w:sz w:val="24"/>
              </w:rPr>
              <w:t>MUNICIPIOS</w:t>
            </w:r>
          </w:p>
        </w:tc>
      </w:tr>
      <w:tr w:rsidR="003751B1" w:rsidRPr="00B05C10" w:rsidTr="00C46CB1">
        <w:trPr>
          <w:jc w:val="center"/>
        </w:trPr>
        <w:tc>
          <w:tcPr>
            <w:tcW w:w="3839" w:type="dxa"/>
            <w:vMerge/>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r w:rsidRPr="00B05C10">
              <w:rPr>
                <w:rFonts w:ascii="Times New Roman" w:hAnsi="Times New Roman" w:cs="Times New Roman"/>
                <w:color w:val="000000"/>
                <w:sz w:val="20"/>
                <w:szCs w:val="20"/>
              </w:rPr>
              <w:t>Cat. 1-2</w:t>
            </w:r>
          </w:p>
        </w:tc>
        <w:tc>
          <w:tcPr>
            <w:tcW w:w="992"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0"/>
                <w:szCs w:val="20"/>
              </w:rPr>
            </w:pPr>
            <w:r w:rsidRPr="00B05C10">
              <w:rPr>
                <w:rFonts w:ascii="Times New Roman" w:hAnsi="Times New Roman" w:cs="Times New Roman"/>
                <w:color w:val="000000"/>
                <w:sz w:val="20"/>
                <w:szCs w:val="20"/>
              </w:rPr>
              <w:t xml:space="preserve"> Cat. 3-4</w:t>
            </w:r>
          </w:p>
        </w:tc>
        <w:tc>
          <w:tcPr>
            <w:tcW w:w="993"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r w:rsidRPr="00B05C10">
              <w:rPr>
                <w:rFonts w:ascii="Times New Roman" w:hAnsi="Times New Roman" w:cs="Times New Roman"/>
                <w:color w:val="000000"/>
                <w:sz w:val="20"/>
                <w:szCs w:val="20"/>
              </w:rPr>
              <w:t>Cat. 5-6</w:t>
            </w: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r w:rsidRPr="00B05C10">
              <w:rPr>
                <w:rFonts w:ascii="Times New Roman" w:hAnsi="Times New Roman" w:cs="Times New Roman"/>
                <w:color w:val="000000"/>
                <w:sz w:val="20"/>
                <w:szCs w:val="20"/>
              </w:rPr>
              <w:t>Bogotá</w:t>
            </w:r>
          </w:p>
        </w:tc>
      </w:tr>
      <w:tr w:rsidR="003751B1" w:rsidRPr="00B05C10" w:rsidTr="00C46CB1">
        <w:trPr>
          <w:jc w:val="center"/>
        </w:trPr>
        <w:tc>
          <w:tcPr>
            <w:tcW w:w="3839"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t>Trabajador independiente</w:t>
            </w: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3"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r w:rsidRPr="00B05C10">
              <w:rPr>
                <w:rFonts w:ascii="Times New Roman" w:hAnsi="Times New Roman" w:cs="Times New Roman"/>
                <w:color w:val="000000"/>
                <w:sz w:val="20"/>
                <w:szCs w:val="20"/>
              </w:rPr>
              <w:t xml:space="preserve">(AM-H) </w:t>
            </w: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r>
      <w:tr w:rsidR="003751B1" w:rsidRPr="00B05C10" w:rsidTr="00C46CB1">
        <w:trPr>
          <w:jc w:val="center"/>
        </w:trPr>
        <w:tc>
          <w:tcPr>
            <w:tcW w:w="3839"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t xml:space="preserve">Trabajador </w:t>
            </w:r>
            <w:r w:rsidR="0089558C" w:rsidRPr="00B05C10">
              <w:rPr>
                <w:rFonts w:ascii="Times New Roman" w:hAnsi="Times New Roman" w:cs="Times New Roman"/>
                <w:color w:val="000000"/>
                <w:sz w:val="24"/>
              </w:rPr>
              <w:t>–</w:t>
            </w:r>
            <w:r w:rsidRPr="00B05C10">
              <w:rPr>
                <w:rFonts w:ascii="Times New Roman" w:hAnsi="Times New Roman" w:cs="Times New Roman"/>
                <w:color w:val="000000"/>
                <w:sz w:val="24"/>
              </w:rPr>
              <w:t xml:space="preserve"> técnico</w:t>
            </w: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2"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0"/>
                <w:szCs w:val="20"/>
              </w:rPr>
            </w:pPr>
          </w:p>
        </w:tc>
        <w:tc>
          <w:tcPr>
            <w:tcW w:w="993"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r w:rsidRPr="00B05C10">
              <w:rPr>
                <w:rFonts w:ascii="Times New Roman" w:hAnsi="Times New Roman" w:cs="Times New Roman"/>
                <w:color w:val="000000"/>
                <w:sz w:val="20"/>
                <w:szCs w:val="20"/>
              </w:rPr>
              <w:t>(AM-M)</w:t>
            </w: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r w:rsidRPr="00B05C10">
              <w:rPr>
                <w:rFonts w:ascii="Times New Roman" w:hAnsi="Times New Roman" w:cs="Times New Roman"/>
                <w:color w:val="000000"/>
                <w:sz w:val="20"/>
                <w:szCs w:val="20"/>
              </w:rPr>
              <w:t>(AJ-M)</w:t>
            </w:r>
          </w:p>
        </w:tc>
      </w:tr>
      <w:tr w:rsidR="003751B1" w:rsidRPr="00B05C10" w:rsidTr="00C46CB1">
        <w:trPr>
          <w:jc w:val="center"/>
        </w:trPr>
        <w:tc>
          <w:tcPr>
            <w:tcW w:w="3839"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t xml:space="preserve">Trabajador  -profesional </w:t>
            </w: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r w:rsidRPr="00B05C10">
              <w:rPr>
                <w:rFonts w:ascii="Times New Roman" w:hAnsi="Times New Roman" w:cs="Times New Roman"/>
                <w:color w:val="000000"/>
                <w:sz w:val="20"/>
                <w:szCs w:val="20"/>
              </w:rPr>
              <w:t xml:space="preserve">(AJ-H) </w:t>
            </w: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3"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r w:rsidRPr="00B05C10">
              <w:rPr>
                <w:rFonts w:ascii="Times New Roman" w:hAnsi="Times New Roman" w:cs="Times New Roman"/>
                <w:color w:val="000000"/>
                <w:sz w:val="20"/>
                <w:szCs w:val="20"/>
              </w:rPr>
              <w:t>(PM-H)</w:t>
            </w:r>
          </w:p>
        </w:tc>
      </w:tr>
      <w:tr w:rsidR="003751B1" w:rsidRPr="00B05C10" w:rsidTr="00C46CB1">
        <w:trPr>
          <w:jc w:val="center"/>
        </w:trPr>
        <w:tc>
          <w:tcPr>
            <w:tcW w:w="3839"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t>Trabajador  -especialista</w:t>
            </w: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r w:rsidRPr="00B05C10">
              <w:rPr>
                <w:rFonts w:ascii="Times New Roman" w:hAnsi="Times New Roman" w:cs="Times New Roman"/>
                <w:color w:val="000000"/>
                <w:sz w:val="20"/>
                <w:szCs w:val="20"/>
              </w:rPr>
              <w:t>(PM-M)</w:t>
            </w:r>
          </w:p>
        </w:tc>
        <w:tc>
          <w:tcPr>
            <w:tcW w:w="993"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r>
      <w:tr w:rsidR="003751B1" w:rsidRPr="00B05C10" w:rsidTr="00C46CB1">
        <w:trPr>
          <w:jc w:val="center"/>
        </w:trPr>
        <w:tc>
          <w:tcPr>
            <w:tcW w:w="3839"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t>Adultos jóvenes -  AJ   (≤45 años)</w:t>
            </w: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3"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r>
      <w:tr w:rsidR="003751B1" w:rsidRPr="00B05C10" w:rsidTr="00C46CB1">
        <w:trPr>
          <w:jc w:val="center"/>
        </w:trPr>
        <w:tc>
          <w:tcPr>
            <w:tcW w:w="3839"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t>Adultos mayores - AM (≥46 ≤60) años)</w:t>
            </w: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3"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r>
      <w:tr w:rsidR="003751B1" w:rsidRPr="00B05C10" w:rsidTr="00C46CB1">
        <w:trPr>
          <w:jc w:val="center"/>
        </w:trPr>
        <w:tc>
          <w:tcPr>
            <w:tcW w:w="3839"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t>Personas mayores - PM (≥60)</w:t>
            </w: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3"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r>
      <w:tr w:rsidR="003751B1" w:rsidRPr="00B05C10" w:rsidTr="00C46CB1">
        <w:trPr>
          <w:jc w:val="center"/>
        </w:trPr>
        <w:tc>
          <w:tcPr>
            <w:tcW w:w="3839"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t>Hombres  - H</w:t>
            </w: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3"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r>
      <w:tr w:rsidR="003751B1" w:rsidRPr="00B05C10" w:rsidTr="00C46CB1">
        <w:trPr>
          <w:jc w:val="center"/>
        </w:trPr>
        <w:tc>
          <w:tcPr>
            <w:tcW w:w="3839" w:type="dxa"/>
          </w:tcPr>
          <w:p w:rsidR="003751B1" w:rsidRPr="00B05C10" w:rsidRDefault="003751B1" w:rsidP="003751B1">
            <w:pPr>
              <w:shd w:val="clear" w:color="auto" w:fill="FFFFFF"/>
              <w:spacing w:before="100" w:beforeAutospacing="1" w:after="100" w:afterAutospacing="1" w:line="360" w:lineRule="auto"/>
              <w:jc w:val="both"/>
              <w:rPr>
                <w:rFonts w:ascii="Times New Roman" w:hAnsi="Times New Roman" w:cs="Times New Roman"/>
                <w:color w:val="000000"/>
                <w:sz w:val="24"/>
              </w:rPr>
            </w:pPr>
            <w:r w:rsidRPr="00B05C10">
              <w:rPr>
                <w:rFonts w:ascii="Times New Roman" w:hAnsi="Times New Roman" w:cs="Times New Roman"/>
                <w:color w:val="000000"/>
                <w:sz w:val="24"/>
              </w:rPr>
              <w:t xml:space="preserve">Mujeres </w:t>
            </w:r>
            <w:r w:rsidR="0089558C" w:rsidRPr="00B05C10">
              <w:rPr>
                <w:rFonts w:ascii="Times New Roman" w:hAnsi="Times New Roman" w:cs="Times New Roman"/>
                <w:color w:val="000000"/>
                <w:sz w:val="24"/>
              </w:rPr>
              <w:t>–</w:t>
            </w:r>
            <w:r w:rsidRPr="00B05C10">
              <w:rPr>
                <w:rFonts w:ascii="Times New Roman" w:hAnsi="Times New Roman" w:cs="Times New Roman"/>
                <w:color w:val="000000"/>
                <w:sz w:val="24"/>
              </w:rPr>
              <w:t xml:space="preserve"> M</w:t>
            </w: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3"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c>
          <w:tcPr>
            <w:tcW w:w="992" w:type="dxa"/>
          </w:tcPr>
          <w:p w:rsidR="003751B1" w:rsidRPr="00B05C10" w:rsidRDefault="003751B1" w:rsidP="003751B1">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tc>
      </w:tr>
    </w:tbl>
    <w:p w:rsidR="003751B1" w:rsidRDefault="003751B1" w:rsidP="003751B1">
      <w:p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eastAsia="en-US"/>
        </w:rPr>
      </w:pPr>
      <w:r w:rsidRPr="00B05C10">
        <w:rPr>
          <w:rFonts w:ascii="Times New Roman" w:eastAsia="Calibri" w:hAnsi="Times New Roman" w:cs="Times New Roman"/>
          <w:color w:val="000000"/>
          <w:sz w:val="24"/>
          <w:szCs w:val="24"/>
          <w:lang w:eastAsia="en-US"/>
        </w:rPr>
        <w:t>La recolección de la información tiene dos momentos. Una destinada a la elaboración de contextos y la otra el trabajo de campo. La fase de análisis comprende tres fases: el análisis por caso, el análisis conjunto y el análisis final.</w:t>
      </w:r>
    </w:p>
    <w:p w:rsidR="00F54856" w:rsidRDefault="00F54856" w:rsidP="003751B1">
      <w:p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Integración de resultados: se realizará a partir de un ejercicio de interpretación conjunta de los resultados obtenidos en cada diseño siguiendo como guía las preguntas de investigación y su complementariedad. Se asumirá cada uno de los componentes como mediadores en un análisis macro a micro como se presenta en la siguiente ilustración</w:t>
      </w:r>
      <w:r w:rsidR="00B5611A">
        <w:rPr>
          <w:rFonts w:ascii="Times New Roman" w:eastAsia="Calibri" w:hAnsi="Times New Roman" w:cs="Times New Roman"/>
          <w:color w:val="000000"/>
          <w:sz w:val="24"/>
          <w:szCs w:val="24"/>
          <w:lang w:eastAsia="en-US"/>
        </w:rPr>
        <w:t>.</w:t>
      </w:r>
    </w:p>
    <w:p w:rsidR="00B5611A" w:rsidRDefault="00B5611A" w:rsidP="003751B1">
      <w:p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eastAsia="en-US"/>
        </w:rPr>
      </w:pPr>
    </w:p>
    <w:p w:rsidR="00B5611A" w:rsidRDefault="00B5611A" w:rsidP="003751B1">
      <w:p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eastAsia="en-US"/>
        </w:rPr>
      </w:pPr>
    </w:p>
    <w:p w:rsidR="00B5611A" w:rsidRDefault="00B5611A" w:rsidP="003751B1">
      <w:p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eastAsia="en-US"/>
        </w:rPr>
      </w:pPr>
    </w:p>
    <w:p w:rsidR="00B5611A" w:rsidRDefault="00B5611A" w:rsidP="00B5611A">
      <w:pPr>
        <w:pStyle w:val="Ttulo4"/>
        <w:rPr>
          <w:rFonts w:eastAsia="Calibri"/>
          <w:color w:val="000000"/>
          <w:sz w:val="24"/>
          <w:szCs w:val="24"/>
        </w:rPr>
      </w:pPr>
      <w:r>
        <w:lastRenderedPageBreak/>
        <w:t xml:space="preserve">Ilustración </w:t>
      </w:r>
      <w:fldSimple w:instr=" SEQ Ilustración \* ARABIC ">
        <w:r>
          <w:rPr>
            <w:noProof/>
          </w:rPr>
          <w:t>2</w:t>
        </w:r>
      </w:fldSimple>
      <w:r>
        <w:t>. Dimensiones de análisis delos componentes del estudio mixto</w:t>
      </w:r>
    </w:p>
    <w:p w:rsidR="00F54856" w:rsidRDefault="00F54856" w:rsidP="00B5611A">
      <w:pPr>
        <w:shd w:val="clear" w:color="auto" w:fill="FFFFFF"/>
        <w:spacing w:before="100" w:beforeAutospacing="1" w:after="100" w:afterAutospacing="1"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noProof/>
          <w:color w:val="000000"/>
          <w:sz w:val="24"/>
          <w:szCs w:val="24"/>
        </w:rPr>
        <w:drawing>
          <wp:inline distT="0" distB="0" distL="0" distR="0">
            <wp:extent cx="2895600" cy="3200400"/>
            <wp:effectExtent l="0" t="0" r="0" b="1905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54856" w:rsidRDefault="00B5611A" w:rsidP="003751B1">
      <w:p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Fuente: Elaboración propia, equipo investigador</w:t>
      </w:r>
    </w:p>
    <w:p w:rsidR="00F54856" w:rsidRPr="00B05C10" w:rsidRDefault="00F54856" w:rsidP="003751B1">
      <w:p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eastAsia="en-US"/>
        </w:rPr>
      </w:pPr>
    </w:p>
    <w:p w:rsidR="005410B3" w:rsidRPr="006C3223" w:rsidRDefault="005410B3" w:rsidP="006C3223">
      <w:pPr>
        <w:pStyle w:val="Ttulo2"/>
      </w:pPr>
      <w:r w:rsidRPr="00445AC4">
        <w:rPr>
          <w:rStyle w:val="Ttulo2Car"/>
        </w:rPr>
        <w:t xml:space="preserve">Productos esperados </w:t>
      </w:r>
      <w:r w:rsidRPr="006C3223">
        <w:t>(relaciónelos de acuerdo con la tipología de Colciencias</w:t>
      </w:r>
      <w:r w:rsidR="005F220A" w:rsidRPr="006C3223">
        <w:t>- Ver Tabla anexa a la convocatoria</w:t>
      </w:r>
      <w:r w:rsidRPr="006C3223">
        <w:t>)</w:t>
      </w:r>
      <w:r w:rsidR="005F220A" w:rsidRPr="006C3223">
        <w:t xml:space="preserve"> </w:t>
      </w:r>
    </w:p>
    <w:p w:rsidR="006D6290" w:rsidRDefault="006D6290" w:rsidP="00FE153F">
      <w:pPr>
        <w:pStyle w:val="Prrafodelista"/>
        <w:numPr>
          <w:ilvl w:val="0"/>
          <w:numId w:val="8"/>
        </w:numPr>
        <w:jc w:val="both"/>
        <w:rPr>
          <w:rFonts w:ascii="Times New Roman" w:hAnsi="Times New Roman" w:cs="Times New Roman"/>
          <w:sz w:val="24"/>
        </w:rPr>
      </w:pPr>
      <w:r>
        <w:rPr>
          <w:rFonts w:ascii="Times New Roman" w:hAnsi="Times New Roman" w:cs="Times New Roman"/>
          <w:sz w:val="24"/>
        </w:rPr>
        <w:t>Productos resultados de actividades de generación de nuevo conocimiento:</w:t>
      </w:r>
    </w:p>
    <w:p w:rsidR="00EB095B" w:rsidRDefault="00EB095B" w:rsidP="00FE153F">
      <w:pPr>
        <w:pStyle w:val="Prrafodelista"/>
        <w:numPr>
          <w:ilvl w:val="1"/>
          <w:numId w:val="8"/>
        </w:numPr>
        <w:jc w:val="both"/>
        <w:rPr>
          <w:rFonts w:ascii="Times New Roman" w:hAnsi="Times New Roman" w:cs="Times New Roman"/>
          <w:sz w:val="24"/>
        </w:rPr>
      </w:pPr>
      <w:r>
        <w:rPr>
          <w:rFonts w:ascii="Times New Roman" w:hAnsi="Times New Roman" w:cs="Times New Roman"/>
          <w:sz w:val="24"/>
        </w:rPr>
        <w:t xml:space="preserve">Dos </w:t>
      </w:r>
      <w:r w:rsidR="00AA68CA">
        <w:rPr>
          <w:rFonts w:ascii="Times New Roman" w:hAnsi="Times New Roman" w:cs="Times New Roman"/>
          <w:sz w:val="24"/>
        </w:rPr>
        <w:t>Artículos</w:t>
      </w:r>
      <w:r>
        <w:rPr>
          <w:rFonts w:ascii="Times New Roman" w:hAnsi="Times New Roman" w:cs="Times New Roman"/>
          <w:sz w:val="24"/>
        </w:rPr>
        <w:t xml:space="preserve"> Q2</w:t>
      </w:r>
    </w:p>
    <w:p w:rsidR="00EB095B" w:rsidRDefault="00EB095B" w:rsidP="00FE153F">
      <w:pPr>
        <w:pStyle w:val="Prrafodelista"/>
        <w:numPr>
          <w:ilvl w:val="1"/>
          <w:numId w:val="8"/>
        </w:numPr>
        <w:jc w:val="both"/>
        <w:rPr>
          <w:rFonts w:ascii="Times New Roman" w:hAnsi="Times New Roman" w:cs="Times New Roman"/>
          <w:sz w:val="24"/>
        </w:rPr>
      </w:pPr>
      <w:r>
        <w:rPr>
          <w:rFonts w:ascii="Times New Roman" w:hAnsi="Times New Roman" w:cs="Times New Roman"/>
          <w:sz w:val="24"/>
        </w:rPr>
        <w:t>Dos Artículos Q3</w:t>
      </w:r>
    </w:p>
    <w:p w:rsidR="00A07586" w:rsidRDefault="00A07586" w:rsidP="00FE153F">
      <w:pPr>
        <w:pStyle w:val="Prrafodelista"/>
        <w:numPr>
          <w:ilvl w:val="0"/>
          <w:numId w:val="8"/>
        </w:numPr>
        <w:jc w:val="both"/>
        <w:rPr>
          <w:rFonts w:ascii="Times New Roman" w:hAnsi="Times New Roman" w:cs="Times New Roman"/>
          <w:sz w:val="24"/>
        </w:rPr>
      </w:pPr>
      <w:r>
        <w:rPr>
          <w:rFonts w:ascii="Times New Roman" w:hAnsi="Times New Roman" w:cs="Times New Roman"/>
          <w:sz w:val="24"/>
        </w:rPr>
        <w:t>Productos resultados de actividades de apropiación social del conocimiento</w:t>
      </w:r>
    </w:p>
    <w:p w:rsidR="00EB095B" w:rsidRDefault="00A07586" w:rsidP="00FE153F">
      <w:pPr>
        <w:pStyle w:val="Prrafodelista"/>
        <w:numPr>
          <w:ilvl w:val="1"/>
          <w:numId w:val="8"/>
        </w:numPr>
        <w:jc w:val="both"/>
        <w:rPr>
          <w:rFonts w:ascii="Times New Roman" w:hAnsi="Times New Roman" w:cs="Times New Roman"/>
          <w:sz w:val="24"/>
        </w:rPr>
      </w:pPr>
      <w:r>
        <w:rPr>
          <w:rFonts w:ascii="Times New Roman" w:hAnsi="Times New Roman" w:cs="Times New Roman"/>
          <w:sz w:val="24"/>
        </w:rPr>
        <w:t xml:space="preserve">Circulación de conocimiento especializado: </w:t>
      </w:r>
      <w:r w:rsidR="00EB095B">
        <w:rPr>
          <w:rFonts w:ascii="Times New Roman" w:hAnsi="Times New Roman" w:cs="Times New Roman"/>
          <w:sz w:val="24"/>
        </w:rPr>
        <w:t>Un evento académico nacional</w:t>
      </w:r>
    </w:p>
    <w:p w:rsidR="00A07586" w:rsidRDefault="00A07586" w:rsidP="00FE153F">
      <w:pPr>
        <w:pStyle w:val="Prrafodelista"/>
        <w:numPr>
          <w:ilvl w:val="0"/>
          <w:numId w:val="8"/>
        </w:numPr>
        <w:jc w:val="both"/>
        <w:rPr>
          <w:rFonts w:ascii="Times New Roman" w:hAnsi="Times New Roman" w:cs="Times New Roman"/>
          <w:sz w:val="24"/>
        </w:rPr>
      </w:pPr>
      <w:r>
        <w:rPr>
          <w:rFonts w:ascii="Times New Roman" w:hAnsi="Times New Roman" w:cs="Times New Roman"/>
          <w:sz w:val="24"/>
        </w:rPr>
        <w:t>Productos relacionados con la formación de recurso humano para la CTE</w:t>
      </w:r>
    </w:p>
    <w:p w:rsidR="00EB095B" w:rsidRDefault="00A07586" w:rsidP="00FE153F">
      <w:pPr>
        <w:pStyle w:val="Prrafodelista"/>
        <w:numPr>
          <w:ilvl w:val="1"/>
          <w:numId w:val="8"/>
        </w:numPr>
        <w:jc w:val="both"/>
        <w:rPr>
          <w:rFonts w:ascii="Times New Roman" w:hAnsi="Times New Roman" w:cs="Times New Roman"/>
          <w:sz w:val="24"/>
        </w:rPr>
      </w:pPr>
      <w:r>
        <w:rPr>
          <w:rFonts w:ascii="Times New Roman" w:hAnsi="Times New Roman" w:cs="Times New Roman"/>
          <w:sz w:val="24"/>
        </w:rPr>
        <w:t xml:space="preserve">3 tesis de maestría mediante la vinculación de </w:t>
      </w:r>
      <w:r w:rsidR="00EB095B">
        <w:rPr>
          <w:rFonts w:ascii="Times New Roman" w:hAnsi="Times New Roman" w:cs="Times New Roman"/>
          <w:sz w:val="24"/>
        </w:rPr>
        <w:t>4 estudiantes de maestría</w:t>
      </w:r>
      <w:r>
        <w:rPr>
          <w:rFonts w:ascii="Times New Roman" w:hAnsi="Times New Roman" w:cs="Times New Roman"/>
          <w:sz w:val="24"/>
        </w:rPr>
        <w:t xml:space="preserve"> en salud pública, economía o estadística.</w:t>
      </w:r>
    </w:p>
    <w:p w:rsidR="00270FA9" w:rsidRDefault="00270FA9" w:rsidP="00270FA9">
      <w:pPr>
        <w:jc w:val="both"/>
        <w:rPr>
          <w:rFonts w:ascii="Times New Roman" w:hAnsi="Times New Roman" w:cs="Times New Roman"/>
          <w:sz w:val="24"/>
        </w:rPr>
      </w:pPr>
      <w:r w:rsidRPr="00270FA9">
        <w:rPr>
          <w:rFonts w:ascii="Times New Roman" w:hAnsi="Times New Roman" w:cs="Times New Roman"/>
          <w:sz w:val="24"/>
        </w:rPr>
        <w:t>Los cuales</w:t>
      </w:r>
      <w:r>
        <w:rPr>
          <w:rFonts w:ascii="Times New Roman" w:hAnsi="Times New Roman" w:cs="Times New Roman"/>
          <w:sz w:val="24"/>
        </w:rPr>
        <w:t xml:space="preserve"> tendrán la siguiente asignación por el equipo de trabajo:</w:t>
      </w:r>
    </w:p>
    <w:p w:rsidR="006707AF" w:rsidRDefault="006707AF" w:rsidP="00270FA9">
      <w:pPr>
        <w:jc w:val="both"/>
        <w:rPr>
          <w:rFonts w:ascii="Times New Roman" w:hAnsi="Times New Roman" w:cs="Times New Roman"/>
          <w:sz w:val="24"/>
        </w:rPr>
      </w:pPr>
    </w:p>
    <w:p w:rsidR="00D24055" w:rsidRPr="00D24055" w:rsidRDefault="00D24055" w:rsidP="00D24055">
      <w:pPr>
        <w:pStyle w:val="Ttulo4"/>
      </w:pPr>
      <w:r w:rsidRPr="00D24055">
        <w:t xml:space="preserve">Tabla </w:t>
      </w:r>
      <w:fldSimple w:instr=" SEQ Tabla \* ARABIC ">
        <w:r>
          <w:rPr>
            <w:noProof/>
          </w:rPr>
          <w:t>7</w:t>
        </w:r>
      </w:fldSimple>
      <w:r w:rsidRPr="00D24055">
        <w:t>. Distribución de los productos a entregar por cada uno de los miembros del equipo</w:t>
      </w:r>
    </w:p>
    <w:tbl>
      <w:tblPr>
        <w:tblStyle w:val="Tablaconcuadrcula"/>
        <w:tblW w:w="0" w:type="auto"/>
        <w:tblLook w:val="04A0" w:firstRow="1" w:lastRow="0" w:firstColumn="1" w:lastColumn="0" w:noHBand="0" w:noVBand="1"/>
      </w:tblPr>
      <w:tblGrid>
        <w:gridCol w:w="1877"/>
        <w:gridCol w:w="812"/>
        <w:gridCol w:w="2551"/>
        <w:gridCol w:w="3588"/>
      </w:tblGrid>
      <w:tr w:rsidR="004F1B1D" w:rsidRPr="00AA68CA" w:rsidTr="00AA68CA">
        <w:tc>
          <w:tcPr>
            <w:tcW w:w="1877" w:type="dxa"/>
          </w:tcPr>
          <w:p w:rsidR="004F1B1D" w:rsidRPr="00AA68CA" w:rsidRDefault="00270FA9" w:rsidP="004F1B1D">
            <w:pPr>
              <w:jc w:val="both"/>
              <w:rPr>
                <w:rFonts w:ascii="Times New Roman" w:hAnsi="Times New Roman" w:cs="Times New Roman"/>
                <w:sz w:val="16"/>
                <w:szCs w:val="16"/>
              </w:rPr>
            </w:pPr>
            <w:r w:rsidRPr="00AA68CA">
              <w:rPr>
                <w:rFonts w:ascii="Times New Roman" w:hAnsi="Times New Roman" w:cs="Times New Roman"/>
                <w:sz w:val="16"/>
                <w:szCs w:val="16"/>
              </w:rPr>
              <w:t xml:space="preserve"> </w:t>
            </w:r>
            <w:r w:rsidR="004F1B1D" w:rsidRPr="00AA68CA">
              <w:rPr>
                <w:rFonts w:ascii="Times New Roman" w:hAnsi="Times New Roman" w:cs="Times New Roman"/>
                <w:sz w:val="16"/>
                <w:szCs w:val="16"/>
              </w:rPr>
              <w:t>Producto</w:t>
            </w:r>
          </w:p>
        </w:tc>
        <w:tc>
          <w:tcPr>
            <w:tcW w:w="812"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Cantidad</w:t>
            </w:r>
          </w:p>
        </w:tc>
        <w:tc>
          <w:tcPr>
            <w:tcW w:w="2551"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Tipología Colciencias</w:t>
            </w:r>
          </w:p>
        </w:tc>
        <w:tc>
          <w:tcPr>
            <w:tcW w:w="3588"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Responsable</w:t>
            </w:r>
          </w:p>
        </w:tc>
      </w:tr>
      <w:tr w:rsidR="004F1B1D" w:rsidRPr="00AA68CA" w:rsidTr="00AA68CA">
        <w:tc>
          <w:tcPr>
            <w:tcW w:w="1877"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lastRenderedPageBreak/>
              <w:t>Articulo Q2</w:t>
            </w:r>
          </w:p>
        </w:tc>
        <w:tc>
          <w:tcPr>
            <w:tcW w:w="812"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1</w:t>
            </w:r>
          </w:p>
        </w:tc>
        <w:tc>
          <w:tcPr>
            <w:tcW w:w="2551"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Generación de nuevo conocimiento</w:t>
            </w:r>
          </w:p>
        </w:tc>
        <w:tc>
          <w:tcPr>
            <w:tcW w:w="3588"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Clara Mercedes Suarez Rodríguez</w:t>
            </w:r>
          </w:p>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Deisy J. Arrubla S, Patricia Cifuentes</w:t>
            </w:r>
          </w:p>
        </w:tc>
      </w:tr>
      <w:tr w:rsidR="004F1B1D" w:rsidRPr="00AA68CA" w:rsidTr="00AA68CA">
        <w:tc>
          <w:tcPr>
            <w:tcW w:w="1877"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Articulo Q2</w:t>
            </w:r>
          </w:p>
        </w:tc>
        <w:tc>
          <w:tcPr>
            <w:tcW w:w="812"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1</w:t>
            </w:r>
          </w:p>
        </w:tc>
        <w:tc>
          <w:tcPr>
            <w:tcW w:w="2551"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Generación de nuevo conocimiento</w:t>
            </w:r>
          </w:p>
        </w:tc>
        <w:tc>
          <w:tcPr>
            <w:tcW w:w="3588"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Jair Ospina, Victoria Estrada, Sonia Concha</w:t>
            </w:r>
          </w:p>
        </w:tc>
      </w:tr>
      <w:tr w:rsidR="004F1B1D" w:rsidRPr="00AA68CA" w:rsidTr="00AA68CA">
        <w:tc>
          <w:tcPr>
            <w:tcW w:w="1877"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Articulo Q3</w:t>
            </w:r>
          </w:p>
        </w:tc>
        <w:tc>
          <w:tcPr>
            <w:tcW w:w="812"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1</w:t>
            </w:r>
          </w:p>
        </w:tc>
        <w:tc>
          <w:tcPr>
            <w:tcW w:w="2551"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Generación de nuevo conocimiento</w:t>
            </w:r>
          </w:p>
        </w:tc>
        <w:tc>
          <w:tcPr>
            <w:tcW w:w="3588"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 xml:space="preserve">Wilmer Javier </w:t>
            </w:r>
            <w:r w:rsidR="00AA68CA" w:rsidRPr="00AA68CA">
              <w:rPr>
                <w:rFonts w:ascii="Times New Roman" w:hAnsi="Times New Roman" w:cs="Times New Roman"/>
                <w:sz w:val="16"/>
                <w:szCs w:val="16"/>
              </w:rPr>
              <w:t>Ríos</w:t>
            </w:r>
            <w:r w:rsidRPr="00AA68CA">
              <w:rPr>
                <w:rFonts w:ascii="Times New Roman" w:hAnsi="Times New Roman" w:cs="Times New Roman"/>
                <w:sz w:val="16"/>
                <w:szCs w:val="16"/>
              </w:rPr>
              <w:t>, Alejandra Valenzuela, Sonia Concha.</w:t>
            </w:r>
          </w:p>
        </w:tc>
      </w:tr>
      <w:tr w:rsidR="004F1B1D" w:rsidRPr="00AA68CA" w:rsidTr="00AA68CA">
        <w:tc>
          <w:tcPr>
            <w:tcW w:w="1877"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Articulo Q3</w:t>
            </w:r>
          </w:p>
        </w:tc>
        <w:tc>
          <w:tcPr>
            <w:tcW w:w="812"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1</w:t>
            </w:r>
          </w:p>
        </w:tc>
        <w:tc>
          <w:tcPr>
            <w:tcW w:w="2551"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Generación de nuevo conocimiento</w:t>
            </w:r>
          </w:p>
        </w:tc>
        <w:tc>
          <w:tcPr>
            <w:tcW w:w="3588"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Clara Mercedes Suarez Rodríguez</w:t>
            </w:r>
          </w:p>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Deisy J. Arrubla S, Carlos Iván Rodríguez</w:t>
            </w:r>
          </w:p>
        </w:tc>
      </w:tr>
      <w:tr w:rsidR="004F1B1D" w:rsidRPr="00AA68CA" w:rsidTr="00AA68CA">
        <w:tc>
          <w:tcPr>
            <w:tcW w:w="1877"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Evento académico nacional</w:t>
            </w:r>
          </w:p>
        </w:tc>
        <w:tc>
          <w:tcPr>
            <w:tcW w:w="812"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1</w:t>
            </w:r>
          </w:p>
        </w:tc>
        <w:tc>
          <w:tcPr>
            <w:tcW w:w="2551"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Apropiación social del conocimiento</w:t>
            </w:r>
          </w:p>
        </w:tc>
        <w:tc>
          <w:tcPr>
            <w:tcW w:w="3588"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Clara Mercedes Suarez Rodríguez</w:t>
            </w:r>
          </w:p>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Deisy J. Arrubla S, Jair Ospina, Carlos Iván Rodríguez Melo, Alejandra Valenzuela, Wilmer Javier Ríos.</w:t>
            </w:r>
          </w:p>
        </w:tc>
      </w:tr>
      <w:tr w:rsidR="004F1B1D" w:rsidRPr="00AA68CA" w:rsidTr="00AA68CA">
        <w:tc>
          <w:tcPr>
            <w:tcW w:w="1877"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 xml:space="preserve">Tesis Maestría </w:t>
            </w:r>
          </w:p>
        </w:tc>
        <w:tc>
          <w:tcPr>
            <w:tcW w:w="812"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3</w:t>
            </w:r>
          </w:p>
        </w:tc>
        <w:tc>
          <w:tcPr>
            <w:tcW w:w="2551"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Formación de recurso humano para la CTE</w:t>
            </w:r>
          </w:p>
        </w:tc>
        <w:tc>
          <w:tcPr>
            <w:tcW w:w="3588" w:type="dxa"/>
          </w:tcPr>
          <w:p w:rsidR="004F1B1D" w:rsidRPr="00AA68CA" w:rsidRDefault="004F1B1D" w:rsidP="004F1B1D">
            <w:pPr>
              <w:jc w:val="both"/>
              <w:rPr>
                <w:rFonts w:ascii="Times New Roman" w:hAnsi="Times New Roman" w:cs="Times New Roman"/>
                <w:sz w:val="16"/>
                <w:szCs w:val="16"/>
              </w:rPr>
            </w:pPr>
            <w:r w:rsidRPr="00AA68CA">
              <w:rPr>
                <w:rFonts w:ascii="Times New Roman" w:hAnsi="Times New Roman" w:cs="Times New Roman"/>
                <w:sz w:val="16"/>
                <w:szCs w:val="16"/>
              </w:rPr>
              <w:t>Jair Ospina, Clara Mercedes Suarez Rodríguez, Victoria Estrada</w:t>
            </w:r>
          </w:p>
          <w:p w:rsidR="004F1B1D" w:rsidRPr="00AA68CA" w:rsidRDefault="004F1B1D" w:rsidP="004F1B1D">
            <w:pPr>
              <w:jc w:val="both"/>
              <w:rPr>
                <w:rFonts w:ascii="Times New Roman" w:hAnsi="Times New Roman" w:cs="Times New Roman"/>
                <w:sz w:val="16"/>
                <w:szCs w:val="16"/>
              </w:rPr>
            </w:pPr>
          </w:p>
        </w:tc>
      </w:tr>
    </w:tbl>
    <w:p w:rsidR="00B05C10" w:rsidRDefault="00B05C10" w:rsidP="00270FA9">
      <w:pPr>
        <w:jc w:val="both"/>
        <w:rPr>
          <w:rFonts w:ascii="Times New Roman" w:hAnsi="Times New Roman" w:cs="Times New Roman"/>
          <w:sz w:val="24"/>
        </w:rPr>
      </w:pPr>
    </w:p>
    <w:p w:rsidR="005F220A" w:rsidRDefault="005F220A" w:rsidP="006E027E">
      <w:pPr>
        <w:pStyle w:val="Ttulo2"/>
        <w:numPr>
          <w:ilvl w:val="0"/>
          <w:numId w:val="0"/>
        </w:numPr>
        <w:ind w:left="720"/>
      </w:pPr>
      <w:r w:rsidRPr="00B05C10">
        <w:t>Contribución del proyecto al cumplimiento de la misión institucional: (Se pueden consultar en la página de la Unidad de Investigación)</w:t>
      </w:r>
    </w:p>
    <w:p w:rsidR="00B05C10" w:rsidRPr="00B05C10" w:rsidRDefault="00B05C10" w:rsidP="00B05C10">
      <w:pPr>
        <w:ind w:left="360"/>
        <w:jc w:val="both"/>
        <w:rPr>
          <w:rFonts w:ascii="Times New Roman" w:hAnsi="Times New Roman" w:cs="Times New Roman"/>
          <w:b/>
        </w:rPr>
      </w:pPr>
      <w:r w:rsidRPr="00B05C10">
        <w:rPr>
          <w:rFonts w:ascii="Times New Roman" w:hAnsi="Times New Roman" w:cs="Times New Roman"/>
          <w:b/>
        </w:rPr>
        <w:t xml:space="preserve">Su la relación con la misión institucional, </w:t>
      </w:r>
      <w:r w:rsidRPr="00B05C10">
        <w:rPr>
          <w:rFonts w:ascii="Times New Roman" w:hAnsi="Times New Roman" w:cs="Times New Roman"/>
        </w:rPr>
        <w:t>se da</w:t>
      </w:r>
      <w:r w:rsidRPr="00B05C10">
        <w:rPr>
          <w:rFonts w:ascii="Times New Roman" w:hAnsi="Times New Roman" w:cs="Times New Roman"/>
          <w:b/>
        </w:rPr>
        <w:t xml:space="preserve"> </w:t>
      </w:r>
      <w:r w:rsidRPr="00B05C10">
        <w:rPr>
          <w:rFonts w:ascii="Times New Roman" w:hAnsi="Times New Roman" w:cs="Times New Roman"/>
        </w:rPr>
        <w:t>por medio de los procesos investigativos desarrollados en la USTA, encaminados a desarrollar desde la comunidad académica la capacidad valorativa y amplia de la realidad nacional, con el fin de aportar soluciones a las problemáticas y a las necesidades de la sociedad y del país. De esta manera se ejerce una función social encaminada a una transformación social hacia el bien común; sustentado en las cuatro justicias indicadas por Tomás de Aquino: justicia general, distributiva, social y conmutativa, necesarias para establecer el bien común y la paz, que supere las crisis estructurales y de las personas (Universidad Santo Tomás, 2004c. p. 139).</w:t>
      </w:r>
    </w:p>
    <w:p w:rsidR="00B05C10" w:rsidRPr="00B05C10" w:rsidRDefault="00B05C10" w:rsidP="00B05C10">
      <w:pPr>
        <w:ind w:left="360"/>
        <w:rPr>
          <w:rFonts w:ascii="Times New Roman" w:hAnsi="Times New Roman" w:cs="Times New Roman"/>
          <w:b/>
        </w:rPr>
      </w:pPr>
      <w:r w:rsidRPr="00B05C10">
        <w:rPr>
          <w:rFonts w:ascii="Times New Roman" w:hAnsi="Times New Roman" w:cs="Times New Roman"/>
          <w:b/>
        </w:rPr>
        <w:t xml:space="preserve">Su relaciona con las siguientes líneas del Plan Integral Multicampus PIM 2016 – 2027: </w:t>
      </w:r>
    </w:p>
    <w:p w:rsidR="00B05C10" w:rsidRPr="00B05C10" w:rsidRDefault="00B05C10" w:rsidP="00B05C10">
      <w:pPr>
        <w:ind w:left="360"/>
        <w:rPr>
          <w:rFonts w:ascii="Times New Roman" w:hAnsi="Times New Roman" w:cs="Times New Roman"/>
          <w:b/>
        </w:rPr>
      </w:pPr>
      <w:r w:rsidRPr="00B05C10">
        <w:rPr>
          <w:rFonts w:ascii="Times New Roman" w:hAnsi="Times New Roman" w:cs="Times New Roman"/>
          <w:b/>
        </w:rPr>
        <w:t>Línea 3: proyección social e investigación pertinentes:</w:t>
      </w:r>
    </w:p>
    <w:p w:rsidR="00B05C10" w:rsidRPr="00B05C10" w:rsidRDefault="00B05C10" w:rsidP="00B05C10">
      <w:pPr>
        <w:ind w:left="360"/>
        <w:jc w:val="both"/>
        <w:rPr>
          <w:rFonts w:ascii="Times New Roman" w:hAnsi="Times New Roman" w:cs="Times New Roman"/>
        </w:rPr>
      </w:pPr>
      <w:r w:rsidRPr="00B05C10">
        <w:rPr>
          <w:rFonts w:ascii="Times New Roman" w:hAnsi="Times New Roman" w:cs="Times New Roman"/>
        </w:rPr>
        <w:t>Tiene como objetivo focalizar y articular las dos funciones sustantivas como “proyección social e investigación”, esto con el fin no solo de consolidar la visibilidad, el impacto nacional y global de la USTA, sino de lograr ser una generadora de conocimiento acorde las realidades regionales y nacionales en ambientes sustentables de justicia y paz;  el cual responde a los desafíos de la globalización, incorporándose de forma responsables a redes mundiales  de conocimiento, contribuyendo a un país más solidario, equitativo, competitivo y con mejor calidad de vida.</w:t>
      </w:r>
    </w:p>
    <w:p w:rsidR="00B05C10" w:rsidRPr="00B05C10" w:rsidRDefault="00B05C10" w:rsidP="00B05C10">
      <w:pPr>
        <w:ind w:left="360"/>
        <w:jc w:val="both"/>
        <w:rPr>
          <w:rFonts w:ascii="Times New Roman" w:hAnsi="Times New Roman" w:cs="Times New Roman"/>
          <w:b/>
        </w:rPr>
      </w:pPr>
      <w:r w:rsidRPr="00B05C10">
        <w:rPr>
          <w:rFonts w:ascii="Times New Roman" w:hAnsi="Times New Roman" w:cs="Times New Roman"/>
          <w:b/>
        </w:rPr>
        <w:t xml:space="preserve">Línea 5: Personas que transforman sociedad: </w:t>
      </w:r>
    </w:p>
    <w:p w:rsidR="00B05C10" w:rsidRPr="00B05C10" w:rsidRDefault="00B05C10" w:rsidP="00B05C10">
      <w:pPr>
        <w:ind w:left="360"/>
        <w:jc w:val="both"/>
        <w:rPr>
          <w:rFonts w:ascii="Times New Roman" w:hAnsi="Times New Roman" w:cs="Times New Roman"/>
        </w:rPr>
      </w:pPr>
      <w:r w:rsidRPr="00B05C10">
        <w:rPr>
          <w:rFonts w:ascii="Times New Roman" w:hAnsi="Times New Roman" w:cs="Times New Roman"/>
        </w:rPr>
        <w:t>Dentro de los esfuerzos institucionales de la USTA es lograr tanto en los docentes como en los estudiantes una pertinencia social, reflejado en los procesos investigativos que impacten a la sociedad con aspectos inherentes al sello institucional como la ética, la creatividad y el criticismo. Aspectos que desde la visión institucional se encamina a la  generación de transformaciones sociales por medio  de la ejecución de investigaciones comprometidas con las realidades de la sociedad.</w:t>
      </w:r>
    </w:p>
    <w:p w:rsidR="00B05C10" w:rsidRPr="000E2D43" w:rsidRDefault="00B05C10" w:rsidP="000E2D43">
      <w:pPr>
        <w:ind w:left="360"/>
        <w:jc w:val="both"/>
        <w:rPr>
          <w:rFonts w:ascii="Times New Roman" w:hAnsi="Times New Roman" w:cs="Times New Roman"/>
          <w:b/>
        </w:rPr>
      </w:pPr>
      <w:r w:rsidRPr="000E2D43">
        <w:rPr>
          <w:rFonts w:ascii="Times New Roman" w:hAnsi="Times New Roman" w:cs="Times New Roman"/>
          <w:b/>
        </w:rPr>
        <w:t xml:space="preserve">Línea 6: Capacidad y gestión institucional que logran la efectividad Multicampus. </w:t>
      </w:r>
    </w:p>
    <w:p w:rsidR="00B05C10" w:rsidRPr="000E2D43" w:rsidRDefault="00B05C10" w:rsidP="000E2D43">
      <w:pPr>
        <w:ind w:left="360"/>
        <w:jc w:val="both"/>
        <w:rPr>
          <w:rFonts w:ascii="Times New Roman" w:hAnsi="Times New Roman" w:cs="Times New Roman"/>
          <w:sz w:val="24"/>
        </w:rPr>
      </w:pPr>
      <w:r w:rsidRPr="000E2D43">
        <w:rPr>
          <w:rFonts w:ascii="Times New Roman" w:hAnsi="Times New Roman" w:cs="Times New Roman"/>
          <w:sz w:val="24"/>
        </w:rPr>
        <w:lastRenderedPageBreak/>
        <w:t xml:space="preserve">Su principal meta es el ajuste académico- administrativa que permita una comunicación fluida de los diferentes procesos así como la optimización de recursos, el reconocimiento de las buenas practicas, el diseño de una metodología de medición de la efectividad y la consolidación del sistema integrado de información Multicampus. </w:t>
      </w:r>
    </w:p>
    <w:p w:rsidR="00A06555" w:rsidRDefault="00D24055" w:rsidP="00D24055">
      <w:pPr>
        <w:pStyle w:val="Ttulo4"/>
      </w:pPr>
      <w:r>
        <w:t xml:space="preserve">Tabla </w:t>
      </w:r>
      <w:fldSimple w:instr=" SEQ Tabla \* ARABIC ">
        <w:r>
          <w:rPr>
            <w:noProof/>
          </w:rPr>
          <w:t>8</w:t>
        </w:r>
      </w:fldSimple>
      <w:r w:rsidR="00A06555">
        <w:t>. Acciones del plan general de desarrollo con las cuales se articula el proyecto</w:t>
      </w:r>
    </w:p>
    <w:tbl>
      <w:tblPr>
        <w:tblStyle w:val="Tablaconcuadrcula"/>
        <w:tblW w:w="9493" w:type="dxa"/>
        <w:tblLook w:val="04A0" w:firstRow="1" w:lastRow="0" w:firstColumn="1" w:lastColumn="0" w:noHBand="0" w:noVBand="1"/>
      </w:tblPr>
      <w:tblGrid>
        <w:gridCol w:w="1686"/>
        <w:gridCol w:w="2079"/>
        <w:gridCol w:w="2727"/>
        <w:gridCol w:w="3001"/>
      </w:tblGrid>
      <w:tr w:rsidR="00B05C10" w:rsidTr="00B05C10">
        <w:tc>
          <w:tcPr>
            <w:tcW w:w="1686" w:type="dxa"/>
            <w:tcBorders>
              <w:top w:val="single" w:sz="4" w:space="0" w:color="auto"/>
              <w:left w:val="single" w:sz="4" w:space="0" w:color="auto"/>
              <w:bottom w:val="single" w:sz="4" w:space="0" w:color="auto"/>
              <w:right w:val="single" w:sz="4" w:space="0" w:color="auto"/>
            </w:tcBorders>
            <w:shd w:val="clear" w:color="auto" w:fill="4F81BD" w:themeFill="accent1"/>
          </w:tcPr>
          <w:p w:rsidR="00B05C10" w:rsidRDefault="00B05C10">
            <w:pPr>
              <w:jc w:val="center"/>
              <w:rPr>
                <w:b/>
              </w:rPr>
            </w:pPr>
            <w:r>
              <w:rPr>
                <w:b/>
              </w:rPr>
              <w:t>Línea de acción</w:t>
            </w:r>
          </w:p>
          <w:p w:rsidR="00B05C10" w:rsidRDefault="00B05C10">
            <w:pPr>
              <w:jc w:val="center"/>
              <w:rPr>
                <w:b/>
                <w:lang w:eastAsia="en-US"/>
              </w:rPr>
            </w:pPr>
          </w:p>
        </w:tc>
        <w:tc>
          <w:tcPr>
            <w:tcW w:w="2079"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B05C10" w:rsidRDefault="00B05C10">
            <w:pPr>
              <w:jc w:val="center"/>
              <w:rPr>
                <w:b/>
                <w:lang w:eastAsia="en-US"/>
              </w:rPr>
            </w:pPr>
            <w:r>
              <w:rPr>
                <w:b/>
              </w:rPr>
              <w:t>Objetivo</w:t>
            </w:r>
          </w:p>
        </w:tc>
        <w:tc>
          <w:tcPr>
            <w:tcW w:w="2727"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B05C10" w:rsidRDefault="00B05C10">
            <w:pPr>
              <w:jc w:val="center"/>
              <w:rPr>
                <w:b/>
                <w:lang w:eastAsia="en-US"/>
              </w:rPr>
            </w:pPr>
            <w:r>
              <w:rPr>
                <w:b/>
              </w:rPr>
              <w:t>Subobjetivo</w:t>
            </w:r>
          </w:p>
        </w:tc>
        <w:tc>
          <w:tcPr>
            <w:tcW w:w="300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B05C10" w:rsidRDefault="00B05C10">
            <w:pPr>
              <w:jc w:val="center"/>
              <w:rPr>
                <w:b/>
                <w:lang w:eastAsia="en-US"/>
              </w:rPr>
            </w:pPr>
            <w:r>
              <w:rPr>
                <w:b/>
              </w:rPr>
              <w:t>Acciones</w:t>
            </w:r>
          </w:p>
        </w:tc>
      </w:tr>
      <w:tr w:rsidR="00B05C10" w:rsidTr="00B05C10">
        <w:tc>
          <w:tcPr>
            <w:tcW w:w="168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05C10" w:rsidRDefault="00B05C10">
            <w:pPr>
              <w:rPr>
                <w:b/>
              </w:rPr>
            </w:pPr>
            <w:r>
              <w:rPr>
                <w:b/>
              </w:rPr>
              <w:t>Línea 1:</w:t>
            </w:r>
          </w:p>
          <w:p w:rsidR="00B05C10" w:rsidRDefault="00B05C10">
            <w:pPr>
              <w:rPr>
                <w:lang w:eastAsia="en-US"/>
              </w:rPr>
            </w:pPr>
            <w:r>
              <w:t>Proyección social e investigación pertinentes</w:t>
            </w:r>
          </w:p>
        </w:tc>
        <w:tc>
          <w:tcPr>
            <w:tcW w:w="2079" w:type="dxa"/>
            <w:vMerge w:val="restart"/>
            <w:tcBorders>
              <w:top w:val="single" w:sz="4" w:space="0" w:color="auto"/>
              <w:left w:val="single" w:sz="4" w:space="0" w:color="auto"/>
              <w:bottom w:val="single" w:sz="4" w:space="0" w:color="auto"/>
              <w:right w:val="single" w:sz="4" w:space="0" w:color="auto"/>
            </w:tcBorders>
            <w:hideMark/>
          </w:tcPr>
          <w:p w:rsidR="00B05C10" w:rsidRDefault="00B05C10">
            <w:pPr>
              <w:jc w:val="both"/>
              <w:rPr>
                <w:lang w:eastAsia="en-US"/>
              </w:rPr>
            </w:pPr>
            <w:r>
              <w:t xml:space="preserve">Direccionar a la USTA en la formulación y aplicación de acciones de las políticas institucionales y la toma de decisiones de forma sostenible, en el marco del sistema de gobierno Multicampus.  </w:t>
            </w:r>
          </w:p>
        </w:tc>
        <w:tc>
          <w:tcPr>
            <w:tcW w:w="2727" w:type="dxa"/>
            <w:vMerge w:val="restart"/>
            <w:tcBorders>
              <w:top w:val="single" w:sz="4" w:space="0" w:color="auto"/>
              <w:left w:val="single" w:sz="4" w:space="0" w:color="auto"/>
              <w:bottom w:val="single" w:sz="4" w:space="0" w:color="auto"/>
              <w:right w:val="single" w:sz="4" w:space="0" w:color="auto"/>
            </w:tcBorders>
          </w:tcPr>
          <w:p w:rsidR="00B05C10" w:rsidRDefault="00B05C10">
            <w:pPr>
              <w:jc w:val="both"/>
            </w:pPr>
            <w:r>
              <w:t>Garantizar que los programas y proyectos de proyección social se articulen con las demás funciones sustantivas, en concordancia con los campos de acción definidos:</w:t>
            </w:r>
          </w:p>
          <w:p w:rsidR="00B05C10" w:rsidRDefault="00B05C10">
            <w:pPr>
              <w:jc w:val="both"/>
              <w:rPr>
                <w:lang w:eastAsia="en-US"/>
              </w:rPr>
            </w:pPr>
          </w:p>
        </w:tc>
        <w:tc>
          <w:tcPr>
            <w:tcW w:w="3001" w:type="dxa"/>
            <w:tcBorders>
              <w:top w:val="single" w:sz="4" w:space="0" w:color="auto"/>
              <w:left w:val="single" w:sz="4" w:space="0" w:color="auto"/>
              <w:bottom w:val="single" w:sz="4" w:space="0" w:color="auto"/>
              <w:right w:val="single" w:sz="4" w:space="0" w:color="auto"/>
            </w:tcBorders>
            <w:hideMark/>
          </w:tcPr>
          <w:p w:rsidR="00B05C10" w:rsidRDefault="00B05C10">
            <w:pPr>
              <w:jc w:val="both"/>
              <w:rPr>
                <w:lang w:eastAsia="en-US"/>
              </w:rPr>
            </w:pPr>
            <w:r>
              <w:t>Definir los programas y proyectos de proyección social en los que la institución se debe concentrar, según los campos de acción.</w:t>
            </w:r>
          </w:p>
        </w:tc>
      </w:tr>
      <w:tr w:rsidR="00B05C10" w:rsidTr="00B05C10">
        <w:tc>
          <w:tcPr>
            <w:tcW w:w="0" w:type="auto"/>
            <w:vMerge/>
            <w:tcBorders>
              <w:top w:val="single" w:sz="4" w:space="0" w:color="auto"/>
              <w:left w:val="single" w:sz="4" w:space="0" w:color="auto"/>
              <w:bottom w:val="single" w:sz="4" w:space="0" w:color="auto"/>
              <w:right w:val="single" w:sz="4" w:space="0" w:color="auto"/>
            </w:tcBorders>
            <w:vAlign w:val="center"/>
            <w:hideMark/>
          </w:tcPr>
          <w:p w:rsidR="00B05C10" w:rsidRDefault="00B05C1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C10" w:rsidRDefault="00B05C1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C10" w:rsidRDefault="00B05C10">
            <w:pPr>
              <w:rPr>
                <w:lang w:eastAsia="en-US"/>
              </w:rPr>
            </w:pPr>
          </w:p>
        </w:tc>
        <w:tc>
          <w:tcPr>
            <w:tcW w:w="3001" w:type="dxa"/>
            <w:tcBorders>
              <w:top w:val="single" w:sz="4" w:space="0" w:color="auto"/>
              <w:left w:val="single" w:sz="4" w:space="0" w:color="auto"/>
              <w:bottom w:val="single" w:sz="4" w:space="0" w:color="auto"/>
              <w:right w:val="single" w:sz="4" w:space="0" w:color="auto"/>
            </w:tcBorders>
            <w:hideMark/>
          </w:tcPr>
          <w:p w:rsidR="00B05C10" w:rsidRDefault="00B05C10">
            <w:pPr>
              <w:jc w:val="both"/>
              <w:rPr>
                <w:lang w:eastAsia="en-US"/>
              </w:rPr>
            </w:pPr>
            <w:r>
              <w:t>Implementar los programas y proyectos de proyección social.</w:t>
            </w:r>
          </w:p>
        </w:tc>
      </w:tr>
      <w:tr w:rsidR="00B05C10" w:rsidTr="00B05C10">
        <w:tc>
          <w:tcPr>
            <w:tcW w:w="0" w:type="auto"/>
            <w:vMerge/>
            <w:tcBorders>
              <w:top w:val="single" w:sz="4" w:space="0" w:color="auto"/>
              <w:left w:val="single" w:sz="4" w:space="0" w:color="auto"/>
              <w:bottom w:val="single" w:sz="4" w:space="0" w:color="auto"/>
              <w:right w:val="single" w:sz="4" w:space="0" w:color="auto"/>
            </w:tcBorders>
            <w:vAlign w:val="center"/>
            <w:hideMark/>
          </w:tcPr>
          <w:p w:rsidR="00B05C10" w:rsidRDefault="00B05C1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C10" w:rsidRDefault="00B05C10">
            <w:pPr>
              <w:rPr>
                <w:lang w:eastAsia="en-US"/>
              </w:rPr>
            </w:pPr>
          </w:p>
        </w:tc>
        <w:tc>
          <w:tcPr>
            <w:tcW w:w="2727" w:type="dxa"/>
            <w:vMerge w:val="restart"/>
            <w:tcBorders>
              <w:top w:val="single" w:sz="4" w:space="0" w:color="auto"/>
              <w:left w:val="single" w:sz="4" w:space="0" w:color="auto"/>
              <w:bottom w:val="single" w:sz="4" w:space="0" w:color="auto"/>
              <w:right w:val="single" w:sz="4" w:space="0" w:color="auto"/>
            </w:tcBorders>
            <w:hideMark/>
          </w:tcPr>
          <w:p w:rsidR="00B05C10" w:rsidRDefault="00B05C10">
            <w:pPr>
              <w:jc w:val="both"/>
              <w:rPr>
                <w:lang w:eastAsia="en-US"/>
              </w:rPr>
            </w:pPr>
            <w:r>
              <w:t>Incrementar la producción investigativa con impacto regional, nacional e internacional:</w:t>
            </w:r>
          </w:p>
        </w:tc>
        <w:tc>
          <w:tcPr>
            <w:tcW w:w="3001" w:type="dxa"/>
            <w:tcBorders>
              <w:top w:val="single" w:sz="4" w:space="0" w:color="auto"/>
              <w:left w:val="single" w:sz="4" w:space="0" w:color="auto"/>
              <w:bottom w:val="single" w:sz="4" w:space="0" w:color="auto"/>
              <w:right w:val="single" w:sz="4" w:space="0" w:color="auto"/>
            </w:tcBorders>
            <w:hideMark/>
          </w:tcPr>
          <w:p w:rsidR="00B05C10" w:rsidRDefault="00B05C10">
            <w:pPr>
              <w:jc w:val="both"/>
              <w:rPr>
                <w:lang w:eastAsia="en-US"/>
              </w:rPr>
            </w:pPr>
            <w:r>
              <w:t>Establecer redes nacionales de investigación e innovación de carácter interdisciplinario que respondan a los campos de acción identificados.</w:t>
            </w:r>
          </w:p>
        </w:tc>
      </w:tr>
      <w:tr w:rsidR="00B05C10" w:rsidTr="00B05C10">
        <w:tc>
          <w:tcPr>
            <w:tcW w:w="0" w:type="auto"/>
            <w:vMerge/>
            <w:tcBorders>
              <w:top w:val="single" w:sz="4" w:space="0" w:color="auto"/>
              <w:left w:val="single" w:sz="4" w:space="0" w:color="auto"/>
              <w:bottom w:val="single" w:sz="4" w:space="0" w:color="auto"/>
              <w:right w:val="single" w:sz="4" w:space="0" w:color="auto"/>
            </w:tcBorders>
            <w:vAlign w:val="center"/>
            <w:hideMark/>
          </w:tcPr>
          <w:p w:rsidR="00B05C10" w:rsidRDefault="00B05C1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C10" w:rsidRDefault="00B05C1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C10" w:rsidRDefault="00B05C10">
            <w:pPr>
              <w:rPr>
                <w:lang w:eastAsia="en-US"/>
              </w:rPr>
            </w:pPr>
          </w:p>
        </w:tc>
        <w:tc>
          <w:tcPr>
            <w:tcW w:w="3001" w:type="dxa"/>
            <w:tcBorders>
              <w:top w:val="single" w:sz="4" w:space="0" w:color="auto"/>
              <w:left w:val="single" w:sz="4" w:space="0" w:color="auto"/>
              <w:bottom w:val="single" w:sz="4" w:space="0" w:color="auto"/>
              <w:right w:val="single" w:sz="4" w:space="0" w:color="auto"/>
            </w:tcBorders>
            <w:hideMark/>
          </w:tcPr>
          <w:p w:rsidR="00B05C10" w:rsidRDefault="00B05C10">
            <w:pPr>
              <w:jc w:val="both"/>
              <w:rPr>
                <w:lang w:eastAsia="en-US"/>
              </w:rPr>
            </w:pPr>
            <w:r>
              <w:t>Incrementar el desarrollo de proyectos de investigación Multicampus con recursos propios y con financiación externa.</w:t>
            </w:r>
          </w:p>
        </w:tc>
      </w:tr>
      <w:tr w:rsidR="00B05C10" w:rsidTr="00B05C10">
        <w:tc>
          <w:tcPr>
            <w:tcW w:w="0" w:type="auto"/>
            <w:vMerge/>
            <w:tcBorders>
              <w:top w:val="single" w:sz="4" w:space="0" w:color="auto"/>
              <w:left w:val="single" w:sz="4" w:space="0" w:color="auto"/>
              <w:bottom w:val="single" w:sz="4" w:space="0" w:color="auto"/>
              <w:right w:val="single" w:sz="4" w:space="0" w:color="auto"/>
            </w:tcBorders>
            <w:vAlign w:val="center"/>
            <w:hideMark/>
          </w:tcPr>
          <w:p w:rsidR="00B05C10" w:rsidRDefault="00B05C1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C10" w:rsidRDefault="00B05C1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C10" w:rsidRDefault="00B05C10">
            <w:pPr>
              <w:rPr>
                <w:lang w:eastAsia="en-US"/>
              </w:rPr>
            </w:pPr>
          </w:p>
        </w:tc>
        <w:tc>
          <w:tcPr>
            <w:tcW w:w="3001" w:type="dxa"/>
            <w:tcBorders>
              <w:top w:val="single" w:sz="4" w:space="0" w:color="auto"/>
              <w:left w:val="single" w:sz="4" w:space="0" w:color="auto"/>
              <w:bottom w:val="single" w:sz="4" w:space="0" w:color="auto"/>
              <w:right w:val="single" w:sz="4" w:space="0" w:color="auto"/>
            </w:tcBorders>
            <w:hideMark/>
          </w:tcPr>
          <w:p w:rsidR="00B05C10" w:rsidRDefault="00B05C10">
            <w:pPr>
              <w:jc w:val="both"/>
              <w:rPr>
                <w:lang w:eastAsia="en-US"/>
              </w:rPr>
            </w:pPr>
            <w:r>
              <w:t>Promover la participación de la comunidad universitaria en los convenios activos.</w:t>
            </w:r>
          </w:p>
        </w:tc>
      </w:tr>
      <w:tr w:rsidR="00B05C10" w:rsidTr="00B05C10">
        <w:tc>
          <w:tcPr>
            <w:tcW w:w="168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05C10" w:rsidRDefault="00B05C10">
            <w:pPr>
              <w:rPr>
                <w:b/>
              </w:rPr>
            </w:pPr>
            <w:r>
              <w:rPr>
                <w:b/>
              </w:rPr>
              <w:t>Línea 3:</w:t>
            </w:r>
          </w:p>
          <w:p w:rsidR="00B05C10" w:rsidRDefault="00B05C10">
            <w:pPr>
              <w:rPr>
                <w:lang w:eastAsia="en-US"/>
              </w:rPr>
            </w:pPr>
            <w:r>
              <w:t>Proyección social e investigación pertinentes</w:t>
            </w:r>
          </w:p>
        </w:tc>
        <w:tc>
          <w:tcPr>
            <w:tcW w:w="2079" w:type="dxa"/>
            <w:vMerge w:val="restart"/>
            <w:tcBorders>
              <w:top w:val="single" w:sz="4" w:space="0" w:color="auto"/>
              <w:left w:val="single" w:sz="4" w:space="0" w:color="auto"/>
              <w:bottom w:val="single" w:sz="4" w:space="0" w:color="auto"/>
              <w:right w:val="single" w:sz="4" w:space="0" w:color="auto"/>
            </w:tcBorders>
            <w:hideMark/>
          </w:tcPr>
          <w:p w:rsidR="00B05C10" w:rsidRDefault="00B05C10">
            <w:pPr>
              <w:jc w:val="both"/>
              <w:rPr>
                <w:lang w:eastAsia="en-US"/>
              </w:rPr>
            </w:pPr>
            <w:r>
              <w:t xml:space="preserve">Focalizar y articular la investigación y la proyección social de la USTA con visibilidad e impacto nacional y global. </w:t>
            </w:r>
          </w:p>
        </w:tc>
        <w:tc>
          <w:tcPr>
            <w:tcW w:w="2727" w:type="dxa"/>
            <w:vMerge w:val="restart"/>
            <w:tcBorders>
              <w:top w:val="single" w:sz="4" w:space="0" w:color="auto"/>
              <w:left w:val="single" w:sz="4" w:space="0" w:color="auto"/>
              <w:bottom w:val="single" w:sz="4" w:space="0" w:color="auto"/>
              <w:right w:val="single" w:sz="4" w:space="0" w:color="auto"/>
            </w:tcBorders>
            <w:hideMark/>
          </w:tcPr>
          <w:p w:rsidR="00B05C10" w:rsidRDefault="00B05C10">
            <w:pPr>
              <w:jc w:val="both"/>
              <w:rPr>
                <w:lang w:eastAsia="en-US"/>
              </w:rPr>
            </w:pPr>
            <w:r>
              <w:t>Favorecer la permanencia estudiantil, el éxito académico y graduación oportuna, en todos los niveles y modalidades de formación, contribuyendo al desarrollo humano y social.</w:t>
            </w:r>
          </w:p>
        </w:tc>
        <w:tc>
          <w:tcPr>
            <w:tcW w:w="3001" w:type="dxa"/>
            <w:tcBorders>
              <w:top w:val="single" w:sz="4" w:space="0" w:color="auto"/>
              <w:left w:val="single" w:sz="4" w:space="0" w:color="auto"/>
              <w:bottom w:val="single" w:sz="4" w:space="0" w:color="auto"/>
              <w:right w:val="single" w:sz="4" w:space="0" w:color="auto"/>
            </w:tcBorders>
            <w:hideMark/>
          </w:tcPr>
          <w:p w:rsidR="00B05C10" w:rsidRDefault="00B05C10">
            <w:pPr>
              <w:jc w:val="both"/>
              <w:rPr>
                <w:lang w:eastAsia="en-US"/>
              </w:rPr>
            </w:pPr>
            <w:r>
              <w:t>Implementar las estrategias y mecanismo para la participación de los estudiantes en el desarrollo estudiantil.</w:t>
            </w:r>
          </w:p>
        </w:tc>
      </w:tr>
      <w:tr w:rsidR="00B05C10" w:rsidTr="00B05C10">
        <w:tc>
          <w:tcPr>
            <w:tcW w:w="0" w:type="auto"/>
            <w:vMerge/>
            <w:tcBorders>
              <w:top w:val="single" w:sz="4" w:space="0" w:color="auto"/>
              <w:left w:val="single" w:sz="4" w:space="0" w:color="auto"/>
              <w:bottom w:val="single" w:sz="4" w:space="0" w:color="auto"/>
              <w:right w:val="single" w:sz="4" w:space="0" w:color="auto"/>
            </w:tcBorders>
            <w:vAlign w:val="center"/>
            <w:hideMark/>
          </w:tcPr>
          <w:p w:rsidR="00B05C10" w:rsidRDefault="00B05C1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C10" w:rsidRDefault="00B05C1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C10" w:rsidRDefault="00B05C10">
            <w:pPr>
              <w:rPr>
                <w:lang w:eastAsia="en-US"/>
              </w:rPr>
            </w:pPr>
          </w:p>
        </w:tc>
        <w:tc>
          <w:tcPr>
            <w:tcW w:w="3001" w:type="dxa"/>
            <w:tcBorders>
              <w:top w:val="single" w:sz="4" w:space="0" w:color="auto"/>
              <w:left w:val="single" w:sz="4" w:space="0" w:color="auto"/>
              <w:bottom w:val="single" w:sz="4" w:space="0" w:color="auto"/>
              <w:right w:val="single" w:sz="4" w:space="0" w:color="auto"/>
            </w:tcBorders>
            <w:hideMark/>
          </w:tcPr>
          <w:p w:rsidR="00B05C10" w:rsidRDefault="00B05C10">
            <w:pPr>
              <w:jc w:val="both"/>
              <w:rPr>
                <w:lang w:eastAsia="en-US"/>
              </w:rPr>
            </w:pPr>
            <w:r>
              <w:t>Establecer estrategias que permitan fortalecer el desarrollo de las competencias ciudadanas en las diferentes modalidades.</w:t>
            </w:r>
          </w:p>
        </w:tc>
      </w:tr>
      <w:tr w:rsidR="00B05C10" w:rsidTr="00B05C10">
        <w:tc>
          <w:tcPr>
            <w:tcW w:w="16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05C10" w:rsidRDefault="00B05C10">
            <w:pPr>
              <w:rPr>
                <w:b/>
              </w:rPr>
            </w:pPr>
            <w:r>
              <w:rPr>
                <w:b/>
              </w:rPr>
              <w:t>Línea 6:</w:t>
            </w:r>
          </w:p>
          <w:p w:rsidR="00B05C10" w:rsidRDefault="00B05C10">
            <w:pPr>
              <w:rPr>
                <w:lang w:eastAsia="en-US"/>
              </w:rPr>
            </w:pPr>
            <w:r>
              <w:t xml:space="preserve">Capacidad y gestión institucional que logran la </w:t>
            </w:r>
            <w:r>
              <w:lastRenderedPageBreak/>
              <w:t>efectividad Multicampus</w:t>
            </w:r>
          </w:p>
        </w:tc>
        <w:tc>
          <w:tcPr>
            <w:tcW w:w="2079" w:type="dxa"/>
            <w:tcBorders>
              <w:top w:val="single" w:sz="4" w:space="0" w:color="auto"/>
              <w:left w:val="single" w:sz="4" w:space="0" w:color="auto"/>
              <w:bottom w:val="single" w:sz="4" w:space="0" w:color="auto"/>
              <w:right w:val="single" w:sz="4" w:space="0" w:color="auto"/>
            </w:tcBorders>
            <w:hideMark/>
          </w:tcPr>
          <w:p w:rsidR="00B05C10" w:rsidRDefault="00B05C10">
            <w:pPr>
              <w:jc w:val="both"/>
              <w:rPr>
                <w:lang w:eastAsia="en-US"/>
              </w:rPr>
            </w:pPr>
            <w:r>
              <w:lastRenderedPageBreak/>
              <w:t xml:space="preserve">Soportar los procesos misionales y la toma de decisiones con la aplicación de </w:t>
            </w:r>
            <w:r>
              <w:lastRenderedPageBreak/>
              <w:t>acciones que logran la efectividad Multicampus.</w:t>
            </w:r>
          </w:p>
        </w:tc>
        <w:tc>
          <w:tcPr>
            <w:tcW w:w="2727" w:type="dxa"/>
            <w:tcBorders>
              <w:top w:val="single" w:sz="4" w:space="0" w:color="auto"/>
              <w:left w:val="single" w:sz="4" w:space="0" w:color="auto"/>
              <w:bottom w:val="single" w:sz="4" w:space="0" w:color="auto"/>
              <w:right w:val="single" w:sz="4" w:space="0" w:color="auto"/>
            </w:tcBorders>
            <w:hideMark/>
          </w:tcPr>
          <w:p w:rsidR="00B05C10" w:rsidRDefault="00B05C10">
            <w:pPr>
              <w:jc w:val="both"/>
              <w:rPr>
                <w:lang w:eastAsia="en-US"/>
              </w:rPr>
            </w:pPr>
            <w:r>
              <w:lastRenderedPageBreak/>
              <w:t>Consolidar la arquitectura institucional para la USTA</w:t>
            </w:r>
          </w:p>
        </w:tc>
        <w:tc>
          <w:tcPr>
            <w:tcW w:w="3001" w:type="dxa"/>
            <w:tcBorders>
              <w:top w:val="single" w:sz="4" w:space="0" w:color="auto"/>
              <w:left w:val="single" w:sz="4" w:space="0" w:color="auto"/>
              <w:bottom w:val="single" w:sz="4" w:space="0" w:color="auto"/>
              <w:right w:val="single" w:sz="4" w:space="0" w:color="auto"/>
            </w:tcBorders>
            <w:hideMark/>
          </w:tcPr>
          <w:p w:rsidR="00B05C10" w:rsidRDefault="00B05C10">
            <w:pPr>
              <w:jc w:val="both"/>
              <w:rPr>
                <w:lang w:eastAsia="en-US"/>
              </w:rPr>
            </w:pPr>
            <w:r>
              <w:t>Fortalecer las estrategias y programas nacionales dirigidos al bienestar de la comunidad universitaria.</w:t>
            </w:r>
          </w:p>
        </w:tc>
      </w:tr>
    </w:tbl>
    <w:p w:rsidR="00B05C10" w:rsidRPr="00B05C10" w:rsidRDefault="00B05C10" w:rsidP="00B05C10">
      <w:pPr>
        <w:pStyle w:val="Prrafodelista"/>
        <w:jc w:val="both"/>
        <w:rPr>
          <w:rFonts w:ascii="Times New Roman" w:hAnsi="Times New Roman" w:cs="Times New Roman"/>
          <w:sz w:val="24"/>
        </w:rPr>
      </w:pPr>
    </w:p>
    <w:p w:rsidR="005410B3" w:rsidRPr="00B05C10" w:rsidRDefault="005410B3" w:rsidP="006C3223">
      <w:pPr>
        <w:pStyle w:val="Ttulo2"/>
      </w:pPr>
      <w:r w:rsidRPr="00B05C10">
        <w:t>Presupuesto</w:t>
      </w:r>
    </w:p>
    <w:p w:rsidR="005410B3" w:rsidRPr="00B05C10" w:rsidRDefault="005410B3" w:rsidP="005410B3">
      <w:pPr>
        <w:spacing w:after="0"/>
        <w:jc w:val="center"/>
        <w:rPr>
          <w:rFonts w:ascii="Times New Roman" w:hAnsi="Times New Roman" w:cs="Times New Roman"/>
          <w:sz w:val="24"/>
        </w:rPr>
      </w:pPr>
    </w:p>
    <w:tbl>
      <w:tblPr>
        <w:tblStyle w:val="Tablaconcuadrcula"/>
        <w:tblW w:w="0" w:type="auto"/>
        <w:tblLook w:val="04A0" w:firstRow="1" w:lastRow="0" w:firstColumn="1" w:lastColumn="0" w:noHBand="0" w:noVBand="1"/>
      </w:tblPr>
      <w:tblGrid>
        <w:gridCol w:w="2745"/>
        <w:gridCol w:w="695"/>
        <w:gridCol w:w="3305"/>
        <w:gridCol w:w="272"/>
        <w:gridCol w:w="1811"/>
      </w:tblGrid>
      <w:tr w:rsidR="005410B3" w:rsidRPr="00B05C10" w:rsidTr="00C46CB1">
        <w:trPr>
          <w:trHeight w:val="108"/>
        </w:trPr>
        <w:tc>
          <w:tcPr>
            <w:tcW w:w="9024" w:type="dxa"/>
            <w:gridSpan w:val="5"/>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jc w:val="center"/>
              <w:rPr>
                <w:rFonts w:ascii="Times New Roman" w:hAnsi="Times New Roman" w:cs="Times New Roman"/>
                <w:b/>
                <w:sz w:val="24"/>
                <w:szCs w:val="24"/>
              </w:rPr>
            </w:pPr>
            <w:r w:rsidRPr="00B05C10">
              <w:rPr>
                <w:rFonts w:ascii="Times New Roman" w:hAnsi="Times New Roman" w:cs="Times New Roman"/>
                <w:b/>
                <w:sz w:val="28"/>
                <w:szCs w:val="24"/>
              </w:rPr>
              <w:t>Recurso solicitado FODEIN</w:t>
            </w:r>
          </w:p>
        </w:tc>
      </w:tr>
      <w:tr w:rsidR="005410B3" w:rsidRPr="00B05C10" w:rsidTr="005726CC">
        <w:trPr>
          <w:trHeight w:val="108"/>
        </w:trPr>
        <w:tc>
          <w:tcPr>
            <w:tcW w:w="2802" w:type="dxa"/>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jc w:val="center"/>
              <w:rPr>
                <w:rFonts w:ascii="Times New Roman" w:eastAsia="Cambria" w:hAnsi="Times New Roman" w:cs="Times New Roman"/>
                <w:sz w:val="24"/>
                <w:szCs w:val="24"/>
              </w:rPr>
            </w:pPr>
            <w:r w:rsidRPr="00B05C10">
              <w:rPr>
                <w:rFonts w:ascii="Times New Roman" w:eastAsia="Cambria" w:hAnsi="Times New Roman" w:cs="Times New Roman"/>
                <w:sz w:val="24"/>
                <w:szCs w:val="24"/>
              </w:rPr>
              <w:t>Concepto</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jc w:val="center"/>
              <w:rPr>
                <w:rFonts w:ascii="Times New Roman" w:hAnsi="Times New Roman" w:cs="Times New Roman"/>
                <w:sz w:val="24"/>
                <w:szCs w:val="24"/>
              </w:rPr>
            </w:pPr>
            <w:r w:rsidRPr="00B05C10">
              <w:rPr>
                <w:rFonts w:ascii="Times New Roman" w:hAnsi="Times New Roman" w:cs="Times New Roman"/>
                <w:sz w:val="24"/>
                <w:szCs w:val="24"/>
              </w:rPr>
              <w:t>Descripción</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jc w:val="center"/>
              <w:rPr>
                <w:rFonts w:ascii="Times New Roman" w:hAnsi="Times New Roman" w:cs="Times New Roman"/>
                <w:sz w:val="24"/>
                <w:szCs w:val="24"/>
              </w:rPr>
            </w:pPr>
            <w:r w:rsidRPr="00B05C10">
              <w:rPr>
                <w:rFonts w:ascii="Times New Roman" w:hAnsi="Times New Roman" w:cs="Times New Roman"/>
                <w:sz w:val="24"/>
                <w:szCs w:val="24"/>
              </w:rPr>
              <w:t>Monto</w:t>
            </w:r>
          </w:p>
        </w:tc>
      </w:tr>
      <w:tr w:rsidR="007A0611" w:rsidRPr="00B05C10" w:rsidTr="005726CC">
        <w:trPr>
          <w:trHeight w:val="108"/>
        </w:trPr>
        <w:tc>
          <w:tcPr>
            <w:tcW w:w="2802" w:type="dxa"/>
            <w:vMerge w:val="restart"/>
            <w:tcBorders>
              <w:top w:val="single" w:sz="4" w:space="0" w:color="auto"/>
              <w:left w:val="single" w:sz="4" w:space="0" w:color="auto"/>
              <w:right w:val="single" w:sz="4" w:space="0" w:color="auto"/>
            </w:tcBorders>
            <w:vAlign w:val="center"/>
          </w:tcPr>
          <w:p w:rsidR="007A0611" w:rsidRPr="00B05C10" w:rsidRDefault="007A0611" w:rsidP="00C46CB1">
            <w:pPr>
              <w:jc w:val="center"/>
              <w:rPr>
                <w:rFonts w:ascii="Times New Roman" w:eastAsia="Cambria" w:hAnsi="Times New Roman" w:cs="Times New Roman"/>
                <w:sz w:val="24"/>
                <w:szCs w:val="24"/>
              </w:rPr>
            </w:pPr>
            <w:r w:rsidRPr="00B05C10">
              <w:rPr>
                <w:rFonts w:ascii="Times New Roman" w:eastAsia="Cambria" w:hAnsi="Times New Roman" w:cs="Times New Roman"/>
                <w:sz w:val="24"/>
                <w:szCs w:val="24"/>
              </w:rPr>
              <w:t>Personal científico</w:t>
            </w:r>
            <w:r w:rsidR="00AB0DDD">
              <w:rPr>
                <w:rFonts w:ascii="Times New Roman" w:eastAsia="Cambria" w:hAnsi="Times New Roman" w:cs="Times New Roman"/>
                <w:sz w:val="24"/>
                <w:szCs w:val="24"/>
              </w:rPr>
              <w:t>*</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7A0611" w:rsidRPr="00B05C10" w:rsidRDefault="00AB0DDD" w:rsidP="00C46CB1">
            <w:pPr>
              <w:jc w:val="center"/>
              <w:rPr>
                <w:rFonts w:ascii="Times New Roman" w:hAnsi="Times New Roman" w:cs="Times New Roman"/>
                <w:sz w:val="24"/>
                <w:szCs w:val="24"/>
              </w:rPr>
            </w:pPr>
            <w:r>
              <w:rPr>
                <w:rFonts w:ascii="Times New Roman" w:hAnsi="Times New Roman" w:cs="Times New Roman"/>
                <w:sz w:val="24"/>
                <w:szCs w:val="24"/>
              </w:rPr>
              <w:t>Clara Mercedes Suárez  Rodríguez</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7A0611" w:rsidRPr="00B05C10" w:rsidRDefault="007A0611" w:rsidP="005726CC">
            <w:pPr>
              <w:jc w:val="center"/>
              <w:rPr>
                <w:rFonts w:ascii="Times New Roman" w:hAnsi="Times New Roman" w:cs="Times New Roman"/>
                <w:sz w:val="24"/>
                <w:szCs w:val="24"/>
              </w:rPr>
            </w:pPr>
            <w:r w:rsidRPr="00B05C10">
              <w:rPr>
                <w:rFonts w:ascii="Times New Roman" w:hAnsi="Times New Roman" w:cs="Times New Roman"/>
                <w:sz w:val="24"/>
                <w:szCs w:val="24"/>
              </w:rPr>
              <w:t>(540 horas X 34885 =18.837.900)</w:t>
            </w:r>
          </w:p>
        </w:tc>
      </w:tr>
      <w:tr w:rsidR="007A0611" w:rsidRPr="00B05C10" w:rsidTr="005726CC">
        <w:trPr>
          <w:trHeight w:val="108"/>
        </w:trPr>
        <w:tc>
          <w:tcPr>
            <w:tcW w:w="2802" w:type="dxa"/>
            <w:vMerge/>
            <w:tcBorders>
              <w:left w:val="single" w:sz="4" w:space="0" w:color="auto"/>
              <w:right w:val="single" w:sz="4" w:space="0" w:color="auto"/>
            </w:tcBorders>
            <w:vAlign w:val="center"/>
          </w:tcPr>
          <w:p w:rsidR="007A0611" w:rsidRPr="00B05C10" w:rsidRDefault="007A0611" w:rsidP="00C46CB1">
            <w:pPr>
              <w:jc w:val="center"/>
              <w:rPr>
                <w:rFonts w:ascii="Times New Roman" w:eastAsia="Cambria" w:hAnsi="Times New Roman" w:cs="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7A0611" w:rsidRPr="00B05C10" w:rsidRDefault="007A0611" w:rsidP="00C46CB1">
            <w:pPr>
              <w:jc w:val="center"/>
              <w:rPr>
                <w:rFonts w:ascii="Times New Roman" w:hAnsi="Times New Roman" w:cs="Times New Roman"/>
                <w:sz w:val="24"/>
                <w:szCs w:val="24"/>
              </w:rPr>
            </w:pPr>
            <w:r w:rsidRPr="00B05C10">
              <w:rPr>
                <w:rFonts w:ascii="Times New Roman" w:hAnsi="Times New Roman" w:cs="Times New Roman"/>
                <w:sz w:val="24"/>
                <w:szCs w:val="24"/>
              </w:rPr>
              <w:t>Deisy Jeannette Arrubla Sanchez</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7A0611" w:rsidRPr="00B05C10" w:rsidRDefault="007A0611" w:rsidP="00C46CB1">
            <w:pPr>
              <w:jc w:val="center"/>
              <w:rPr>
                <w:rFonts w:ascii="Times New Roman" w:hAnsi="Times New Roman" w:cs="Times New Roman"/>
                <w:sz w:val="24"/>
                <w:szCs w:val="24"/>
              </w:rPr>
            </w:pPr>
            <w:r w:rsidRPr="00B05C10">
              <w:rPr>
                <w:rFonts w:ascii="Times New Roman" w:hAnsi="Times New Roman" w:cs="Times New Roman"/>
                <w:sz w:val="24"/>
                <w:szCs w:val="24"/>
              </w:rPr>
              <w:t>(540 horas X 34885 =18.837.900)</w:t>
            </w:r>
          </w:p>
        </w:tc>
      </w:tr>
      <w:tr w:rsidR="007A0611" w:rsidRPr="00B05C10" w:rsidTr="005726CC">
        <w:trPr>
          <w:trHeight w:val="108"/>
        </w:trPr>
        <w:tc>
          <w:tcPr>
            <w:tcW w:w="2802" w:type="dxa"/>
            <w:vMerge/>
            <w:tcBorders>
              <w:left w:val="single" w:sz="4" w:space="0" w:color="auto"/>
              <w:right w:val="single" w:sz="4" w:space="0" w:color="auto"/>
            </w:tcBorders>
            <w:vAlign w:val="center"/>
          </w:tcPr>
          <w:p w:rsidR="007A0611" w:rsidRPr="00B05C10" w:rsidRDefault="007A0611" w:rsidP="00C46CB1">
            <w:pPr>
              <w:jc w:val="center"/>
              <w:rPr>
                <w:rFonts w:ascii="Times New Roman" w:eastAsia="Cambria" w:hAnsi="Times New Roman" w:cs="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7A0611" w:rsidRPr="00B05C10" w:rsidRDefault="007A0611" w:rsidP="00C46CB1">
            <w:pPr>
              <w:jc w:val="center"/>
              <w:rPr>
                <w:rFonts w:ascii="Times New Roman" w:hAnsi="Times New Roman" w:cs="Times New Roman"/>
                <w:sz w:val="24"/>
                <w:szCs w:val="24"/>
              </w:rPr>
            </w:pPr>
            <w:r w:rsidRPr="00B05C10">
              <w:rPr>
                <w:rFonts w:ascii="Times New Roman" w:hAnsi="Times New Roman" w:cs="Times New Roman"/>
                <w:sz w:val="24"/>
                <w:szCs w:val="24"/>
              </w:rPr>
              <w:t>Edson Jair Ospina Lozano</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7A0611" w:rsidRPr="00B05C10" w:rsidRDefault="007A0611" w:rsidP="00C46CB1">
            <w:pPr>
              <w:jc w:val="center"/>
              <w:rPr>
                <w:rFonts w:ascii="Times New Roman" w:hAnsi="Times New Roman" w:cs="Times New Roman"/>
                <w:sz w:val="24"/>
                <w:szCs w:val="24"/>
              </w:rPr>
            </w:pPr>
            <w:r w:rsidRPr="00B05C10">
              <w:rPr>
                <w:rFonts w:ascii="Times New Roman" w:hAnsi="Times New Roman" w:cs="Times New Roman"/>
                <w:sz w:val="24"/>
                <w:szCs w:val="24"/>
              </w:rPr>
              <w:t>(540 horas X 34885 =18.837.900)</w:t>
            </w:r>
          </w:p>
        </w:tc>
      </w:tr>
      <w:tr w:rsidR="007A0611" w:rsidRPr="00B05C10" w:rsidTr="005726CC">
        <w:trPr>
          <w:trHeight w:val="108"/>
        </w:trPr>
        <w:tc>
          <w:tcPr>
            <w:tcW w:w="2802" w:type="dxa"/>
            <w:vMerge/>
            <w:tcBorders>
              <w:left w:val="single" w:sz="4" w:space="0" w:color="auto"/>
              <w:right w:val="single" w:sz="4" w:space="0" w:color="auto"/>
            </w:tcBorders>
            <w:vAlign w:val="center"/>
          </w:tcPr>
          <w:p w:rsidR="007A0611" w:rsidRPr="00B05C10" w:rsidRDefault="007A0611" w:rsidP="00C46CB1">
            <w:pPr>
              <w:jc w:val="center"/>
              <w:rPr>
                <w:rFonts w:ascii="Times New Roman" w:eastAsia="Cambria" w:hAnsi="Times New Roman" w:cs="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7A0611" w:rsidRPr="00B05C10" w:rsidRDefault="007A0611" w:rsidP="00C46CB1">
            <w:pPr>
              <w:jc w:val="center"/>
              <w:rPr>
                <w:rFonts w:ascii="Times New Roman" w:hAnsi="Times New Roman" w:cs="Times New Roman"/>
                <w:sz w:val="24"/>
                <w:szCs w:val="24"/>
              </w:rPr>
            </w:pPr>
            <w:r w:rsidRPr="00B05C10">
              <w:rPr>
                <w:rFonts w:ascii="Times New Roman" w:hAnsi="Times New Roman" w:cs="Times New Roman"/>
                <w:sz w:val="24"/>
                <w:szCs w:val="24"/>
              </w:rPr>
              <w:t>Carlos Iván Melo Rodríguez</w:t>
            </w:r>
          </w:p>
          <w:p w:rsidR="007A0611" w:rsidRPr="00B05C10" w:rsidRDefault="007A0611" w:rsidP="00C46CB1">
            <w:pPr>
              <w:jc w:val="center"/>
              <w:rPr>
                <w:rFonts w:ascii="Times New Roman" w:hAnsi="Times New Roman" w:cs="Times New Roman"/>
                <w:sz w:val="24"/>
                <w:szCs w:val="24"/>
              </w:rPr>
            </w:pP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7A0611" w:rsidRPr="00B05C10" w:rsidRDefault="007A0611" w:rsidP="007A0611">
            <w:pPr>
              <w:jc w:val="center"/>
              <w:rPr>
                <w:rFonts w:ascii="Times New Roman" w:hAnsi="Times New Roman" w:cs="Times New Roman"/>
                <w:sz w:val="24"/>
                <w:szCs w:val="24"/>
              </w:rPr>
            </w:pPr>
            <w:r w:rsidRPr="00B05C10">
              <w:rPr>
                <w:rFonts w:ascii="Times New Roman" w:hAnsi="Times New Roman" w:cs="Times New Roman"/>
                <w:sz w:val="24"/>
                <w:szCs w:val="24"/>
              </w:rPr>
              <w:t>(360 horas X 34.885 =12.558.600)</w:t>
            </w:r>
          </w:p>
        </w:tc>
      </w:tr>
      <w:tr w:rsidR="007A0611" w:rsidRPr="00B05C10" w:rsidTr="009F133A">
        <w:trPr>
          <w:trHeight w:val="108"/>
        </w:trPr>
        <w:tc>
          <w:tcPr>
            <w:tcW w:w="2802" w:type="dxa"/>
            <w:vMerge/>
            <w:tcBorders>
              <w:left w:val="single" w:sz="4" w:space="0" w:color="auto"/>
              <w:right w:val="single" w:sz="4" w:space="0" w:color="auto"/>
            </w:tcBorders>
            <w:vAlign w:val="center"/>
          </w:tcPr>
          <w:p w:rsidR="007A0611" w:rsidRPr="00B05C10" w:rsidRDefault="007A0611" w:rsidP="00C46CB1">
            <w:pPr>
              <w:jc w:val="center"/>
              <w:rPr>
                <w:rFonts w:ascii="Times New Roman" w:eastAsia="Cambria" w:hAnsi="Times New Roman" w:cs="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7A0611" w:rsidRPr="00B05C10" w:rsidRDefault="007A0611" w:rsidP="00C46CB1">
            <w:pPr>
              <w:jc w:val="center"/>
              <w:rPr>
                <w:rFonts w:ascii="Times New Roman" w:hAnsi="Times New Roman" w:cs="Times New Roman"/>
                <w:sz w:val="24"/>
                <w:szCs w:val="24"/>
              </w:rPr>
            </w:pPr>
            <w:r w:rsidRPr="00B05C10">
              <w:rPr>
                <w:rFonts w:ascii="Times New Roman" w:hAnsi="Times New Roman" w:cs="Times New Roman"/>
                <w:sz w:val="24"/>
                <w:szCs w:val="24"/>
              </w:rPr>
              <w:t>Alejandra Valenzuela Cases</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7A0611" w:rsidRPr="00B05C10" w:rsidRDefault="007A0611" w:rsidP="007A0611">
            <w:pPr>
              <w:jc w:val="center"/>
              <w:rPr>
                <w:rFonts w:ascii="Times New Roman" w:hAnsi="Times New Roman" w:cs="Times New Roman"/>
                <w:sz w:val="24"/>
                <w:szCs w:val="24"/>
              </w:rPr>
            </w:pPr>
            <w:r w:rsidRPr="00B05C10">
              <w:rPr>
                <w:rFonts w:ascii="Times New Roman" w:hAnsi="Times New Roman" w:cs="Times New Roman"/>
                <w:sz w:val="24"/>
                <w:szCs w:val="24"/>
              </w:rPr>
              <w:t>(360 horas X 24.912   =8968.320)</w:t>
            </w:r>
          </w:p>
        </w:tc>
      </w:tr>
      <w:tr w:rsidR="007A0611" w:rsidRPr="00B05C10" w:rsidTr="005726CC">
        <w:trPr>
          <w:trHeight w:val="108"/>
        </w:trPr>
        <w:tc>
          <w:tcPr>
            <w:tcW w:w="2802" w:type="dxa"/>
            <w:vMerge/>
            <w:tcBorders>
              <w:left w:val="single" w:sz="4" w:space="0" w:color="auto"/>
              <w:bottom w:val="single" w:sz="4" w:space="0" w:color="auto"/>
              <w:right w:val="single" w:sz="4" w:space="0" w:color="auto"/>
            </w:tcBorders>
            <w:vAlign w:val="center"/>
          </w:tcPr>
          <w:p w:rsidR="007A0611" w:rsidRPr="00B05C10" w:rsidRDefault="007A0611" w:rsidP="00C46CB1">
            <w:pPr>
              <w:jc w:val="center"/>
              <w:rPr>
                <w:rFonts w:ascii="Times New Roman" w:eastAsia="Cambria" w:hAnsi="Times New Roman" w:cs="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7A0611" w:rsidRPr="00B05C10" w:rsidRDefault="007A0611" w:rsidP="00C46CB1">
            <w:pPr>
              <w:jc w:val="center"/>
              <w:rPr>
                <w:rFonts w:ascii="Times New Roman" w:hAnsi="Times New Roman" w:cs="Times New Roman"/>
                <w:sz w:val="24"/>
                <w:szCs w:val="24"/>
              </w:rPr>
            </w:pPr>
            <w:r w:rsidRPr="00B05C10">
              <w:rPr>
                <w:rFonts w:ascii="Times New Roman" w:hAnsi="Times New Roman" w:cs="Times New Roman"/>
                <w:sz w:val="24"/>
                <w:szCs w:val="24"/>
              </w:rPr>
              <w:t xml:space="preserve">Wilmer Javier </w:t>
            </w:r>
            <w:r w:rsidR="00E95A41" w:rsidRPr="00B05C10">
              <w:rPr>
                <w:rFonts w:ascii="Times New Roman" w:hAnsi="Times New Roman" w:cs="Times New Roman"/>
                <w:sz w:val="24"/>
                <w:szCs w:val="24"/>
              </w:rPr>
              <w:t>Ríos</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7A0611" w:rsidRPr="00B05C10" w:rsidRDefault="007A0611" w:rsidP="00C46CB1">
            <w:pPr>
              <w:jc w:val="center"/>
              <w:rPr>
                <w:rFonts w:ascii="Times New Roman" w:hAnsi="Times New Roman" w:cs="Times New Roman"/>
                <w:sz w:val="24"/>
                <w:szCs w:val="24"/>
              </w:rPr>
            </w:pPr>
            <w:r w:rsidRPr="00B05C10">
              <w:rPr>
                <w:rFonts w:ascii="Times New Roman" w:hAnsi="Times New Roman" w:cs="Times New Roman"/>
                <w:sz w:val="24"/>
                <w:szCs w:val="24"/>
              </w:rPr>
              <w:t>(360 horas X 24.912   =8968.320)</w:t>
            </w:r>
          </w:p>
        </w:tc>
      </w:tr>
      <w:tr w:rsidR="005410B3" w:rsidRPr="00B05C10" w:rsidTr="005726CC">
        <w:trPr>
          <w:trHeight w:val="108"/>
        </w:trPr>
        <w:tc>
          <w:tcPr>
            <w:tcW w:w="2802" w:type="dxa"/>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jc w:val="center"/>
              <w:rPr>
                <w:rFonts w:ascii="Times New Roman" w:hAnsi="Times New Roman" w:cs="Times New Roman"/>
                <w:sz w:val="24"/>
                <w:szCs w:val="24"/>
              </w:rPr>
            </w:pPr>
            <w:r w:rsidRPr="00B05C10">
              <w:rPr>
                <w:rFonts w:ascii="Times New Roman" w:eastAsia="Cambria" w:hAnsi="Times New Roman" w:cs="Times New Roman"/>
                <w:sz w:val="24"/>
                <w:szCs w:val="24"/>
              </w:rPr>
              <w:t>Auxilio a investigadores</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rPr>
                <w:rFonts w:ascii="Times New Roman" w:hAnsi="Times New Roman" w:cs="Times New Roman"/>
                <w:sz w:val="24"/>
                <w:szCs w:val="24"/>
              </w:rPr>
            </w:pPr>
            <w:r w:rsidRPr="00B05C10">
              <w:rPr>
                <w:rFonts w:ascii="Times New Roman" w:hAnsi="Times New Roman" w:cs="Times New Roman"/>
                <w:sz w:val="24"/>
                <w:szCs w:val="24"/>
              </w:rPr>
              <w:t>Reconocimiento económico a estudiantes de pregrado</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5410B3" w:rsidRPr="00B05C10" w:rsidRDefault="007A0611" w:rsidP="00C46CB1">
            <w:pPr>
              <w:jc w:val="center"/>
              <w:rPr>
                <w:rFonts w:ascii="Times New Roman" w:hAnsi="Times New Roman" w:cs="Times New Roman"/>
                <w:sz w:val="24"/>
                <w:szCs w:val="24"/>
              </w:rPr>
            </w:pPr>
            <w:r w:rsidRPr="00B05C10">
              <w:rPr>
                <w:rFonts w:ascii="Times New Roman" w:hAnsi="Times New Roman" w:cs="Times New Roman"/>
                <w:sz w:val="24"/>
                <w:szCs w:val="24"/>
              </w:rPr>
              <w:t>---</w:t>
            </w:r>
          </w:p>
        </w:tc>
      </w:tr>
      <w:tr w:rsidR="005410B3" w:rsidRPr="00B05C10" w:rsidTr="005726CC">
        <w:trPr>
          <w:trHeight w:val="108"/>
        </w:trPr>
        <w:tc>
          <w:tcPr>
            <w:tcW w:w="2802" w:type="dxa"/>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jc w:val="center"/>
              <w:rPr>
                <w:rFonts w:ascii="Times New Roman" w:eastAsia="Cambria" w:hAnsi="Times New Roman" w:cs="Times New Roman"/>
                <w:sz w:val="24"/>
                <w:szCs w:val="24"/>
              </w:rPr>
            </w:pPr>
            <w:r w:rsidRPr="00B05C10">
              <w:rPr>
                <w:rFonts w:ascii="Times New Roman" w:eastAsia="Cambria" w:hAnsi="Times New Roman" w:cs="Times New Roman"/>
                <w:sz w:val="24"/>
                <w:szCs w:val="24"/>
              </w:rPr>
              <w:t>Asistentes de investigación</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rPr>
                <w:rFonts w:ascii="Times New Roman" w:hAnsi="Times New Roman" w:cs="Times New Roman"/>
                <w:sz w:val="24"/>
                <w:szCs w:val="24"/>
              </w:rPr>
            </w:pPr>
            <w:r w:rsidRPr="00B05C10">
              <w:rPr>
                <w:rFonts w:ascii="Times New Roman" w:hAnsi="Times New Roman" w:cs="Times New Roman"/>
                <w:sz w:val="24"/>
                <w:szCs w:val="24"/>
              </w:rPr>
              <w:t>Reconocimiento económico a estudiantes de posgrado</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5410B3" w:rsidRPr="00B05C10" w:rsidRDefault="007A0611" w:rsidP="007A0611">
            <w:pPr>
              <w:jc w:val="center"/>
              <w:rPr>
                <w:rFonts w:ascii="Times New Roman" w:hAnsi="Times New Roman" w:cs="Times New Roman"/>
                <w:sz w:val="24"/>
                <w:szCs w:val="24"/>
              </w:rPr>
            </w:pPr>
            <w:r w:rsidRPr="00B05C10">
              <w:rPr>
                <w:rFonts w:ascii="Times New Roman" w:hAnsi="Times New Roman" w:cs="Times New Roman"/>
                <w:sz w:val="24"/>
                <w:szCs w:val="24"/>
              </w:rPr>
              <w:t xml:space="preserve">(2 estudiantes de maestría durante 9 meses) </w:t>
            </w:r>
          </w:p>
          <w:p w:rsidR="007A0611" w:rsidRPr="00B05C10" w:rsidRDefault="007A0611" w:rsidP="007A0611">
            <w:pPr>
              <w:jc w:val="center"/>
              <w:rPr>
                <w:rFonts w:ascii="Times New Roman" w:hAnsi="Times New Roman" w:cs="Times New Roman"/>
                <w:sz w:val="24"/>
                <w:szCs w:val="24"/>
              </w:rPr>
            </w:pPr>
            <w:r w:rsidRPr="00B05C10">
              <w:rPr>
                <w:rFonts w:ascii="Times New Roman" w:hAnsi="Times New Roman" w:cs="Times New Roman"/>
                <w:sz w:val="24"/>
                <w:szCs w:val="24"/>
              </w:rPr>
              <w:t>(2 estudiantes de maestría durante 6 meses)</w:t>
            </w:r>
          </w:p>
          <w:p w:rsidR="007A0611" w:rsidRPr="00B05C10" w:rsidRDefault="007A0611" w:rsidP="007A0611">
            <w:pPr>
              <w:jc w:val="center"/>
              <w:rPr>
                <w:rFonts w:ascii="Times New Roman" w:hAnsi="Times New Roman" w:cs="Times New Roman"/>
                <w:sz w:val="24"/>
                <w:szCs w:val="24"/>
              </w:rPr>
            </w:pPr>
          </w:p>
          <w:p w:rsidR="007A0611" w:rsidRPr="00B05C10" w:rsidRDefault="007A0611" w:rsidP="007A0611">
            <w:pPr>
              <w:jc w:val="center"/>
              <w:rPr>
                <w:rFonts w:ascii="Times New Roman" w:hAnsi="Times New Roman" w:cs="Times New Roman"/>
                <w:sz w:val="24"/>
                <w:szCs w:val="24"/>
              </w:rPr>
            </w:pPr>
            <w:r w:rsidRPr="00B05C10">
              <w:rPr>
                <w:rFonts w:ascii="Times New Roman" w:hAnsi="Times New Roman" w:cs="Times New Roman"/>
                <w:sz w:val="24"/>
                <w:szCs w:val="24"/>
              </w:rPr>
              <w:t>30.000.000</w:t>
            </w:r>
          </w:p>
        </w:tc>
      </w:tr>
      <w:tr w:rsidR="005410B3" w:rsidRPr="00B05C10" w:rsidTr="005726CC">
        <w:trPr>
          <w:trHeight w:val="70"/>
        </w:trPr>
        <w:tc>
          <w:tcPr>
            <w:tcW w:w="2802" w:type="dxa"/>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ind w:right="34"/>
              <w:jc w:val="center"/>
              <w:rPr>
                <w:rFonts w:ascii="Times New Roman" w:hAnsi="Times New Roman" w:cs="Times New Roman"/>
                <w:sz w:val="24"/>
                <w:szCs w:val="24"/>
              </w:rPr>
            </w:pPr>
            <w:r w:rsidRPr="00B05C10">
              <w:rPr>
                <w:rFonts w:ascii="Times New Roman" w:eastAsia="Cambria" w:hAnsi="Times New Roman" w:cs="Times New Roman"/>
                <w:sz w:val="24"/>
                <w:szCs w:val="24"/>
              </w:rPr>
              <w:t>Equipos</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ind w:right="34"/>
              <w:rPr>
                <w:rFonts w:ascii="Times New Roman" w:hAnsi="Times New Roman" w:cs="Times New Roman"/>
                <w:sz w:val="24"/>
                <w:szCs w:val="24"/>
              </w:rPr>
            </w:pPr>
            <w:r w:rsidRPr="00B05C10">
              <w:rPr>
                <w:rFonts w:ascii="Times New Roman" w:hAnsi="Times New Roman" w:cs="Times New Roman"/>
                <w:sz w:val="24"/>
                <w:szCs w:val="24"/>
              </w:rPr>
              <w:t>Consultar en adquisiciones y suministros para evitar duplicidad</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5410B3" w:rsidRPr="00B05C10" w:rsidRDefault="005410B3" w:rsidP="00C46CB1">
            <w:pPr>
              <w:jc w:val="center"/>
              <w:rPr>
                <w:rFonts w:ascii="Times New Roman" w:hAnsi="Times New Roman" w:cs="Times New Roman"/>
                <w:sz w:val="24"/>
                <w:szCs w:val="24"/>
              </w:rPr>
            </w:pPr>
          </w:p>
        </w:tc>
      </w:tr>
      <w:tr w:rsidR="005410B3" w:rsidRPr="00B05C10" w:rsidTr="005726CC">
        <w:trPr>
          <w:trHeight w:val="70"/>
        </w:trPr>
        <w:tc>
          <w:tcPr>
            <w:tcW w:w="2802" w:type="dxa"/>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ind w:right="34"/>
              <w:jc w:val="center"/>
              <w:rPr>
                <w:rFonts w:ascii="Times New Roman" w:hAnsi="Times New Roman" w:cs="Times New Roman"/>
                <w:sz w:val="24"/>
                <w:szCs w:val="24"/>
              </w:rPr>
            </w:pPr>
            <w:r w:rsidRPr="00B05C10">
              <w:rPr>
                <w:rFonts w:ascii="Times New Roman" w:eastAsia="Cambria" w:hAnsi="Times New Roman" w:cs="Times New Roman"/>
                <w:sz w:val="24"/>
                <w:szCs w:val="24"/>
              </w:rPr>
              <w:t>Software</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ind w:right="34"/>
              <w:rPr>
                <w:rFonts w:ascii="Times New Roman" w:hAnsi="Times New Roman" w:cs="Times New Roman"/>
                <w:sz w:val="24"/>
                <w:szCs w:val="24"/>
              </w:rPr>
            </w:pPr>
            <w:r w:rsidRPr="00B05C10">
              <w:rPr>
                <w:rFonts w:ascii="Times New Roman" w:hAnsi="Times New Roman" w:cs="Times New Roman"/>
                <w:sz w:val="24"/>
                <w:szCs w:val="24"/>
              </w:rPr>
              <w:t>Consultar en departamento TICS para evitar duplicidad</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5410B3" w:rsidRPr="00B05C10" w:rsidRDefault="005410B3" w:rsidP="00C46CB1">
            <w:pPr>
              <w:jc w:val="center"/>
              <w:rPr>
                <w:rFonts w:ascii="Times New Roman" w:hAnsi="Times New Roman" w:cs="Times New Roman"/>
                <w:sz w:val="24"/>
                <w:szCs w:val="24"/>
              </w:rPr>
            </w:pPr>
          </w:p>
        </w:tc>
      </w:tr>
      <w:tr w:rsidR="005410B3" w:rsidRPr="00B05C10" w:rsidTr="005726CC">
        <w:trPr>
          <w:trHeight w:val="70"/>
        </w:trPr>
        <w:tc>
          <w:tcPr>
            <w:tcW w:w="2802" w:type="dxa"/>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ind w:right="32"/>
              <w:jc w:val="center"/>
              <w:rPr>
                <w:rFonts w:ascii="Times New Roman" w:hAnsi="Times New Roman" w:cs="Times New Roman"/>
                <w:sz w:val="24"/>
                <w:szCs w:val="24"/>
              </w:rPr>
            </w:pPr>
            <w:r w:rsidRPr="00B05C10">
              <w:rPr>
                <w:rFonts w:ascii="Times New Roman" w:eastAsia="Cambria" w:hAnsi="Times New Roman" w:cs="Times New Roman"/>
                <w:sz w:val="24"/>
                <w:szCs w:val="24"/>
              </w:rPr>
              <w:t>Materiales</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5410B3" w:rsidRPr="00A06555" w:rsidRDefault="00AB0DDD" w:rsidP="00A06555">
            <w:pPr>
              <w:ind w:right="32"/>
              <w:rPr>
                <w:rFonts w:ascii="Times New Roman" w:hAnsi="Times New Roman" w:cs="Times New Roman"/>
                <w:sz w:val="24"/>
                <w:szCs w:val="24"/>
              </w:rPr>
            </w:pPr>
            <w:r>
              <w:rPr>
                <w:rFonts w:ascii="Times New Roman" w:hAnsi="Times New Roman" w:cs="Times New Roman"/>
                <w:sz w:val="24"/>
                <w:szCs w:val="24"/>
              </w:rPr>
              <w:t>-</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5410B3" w:rsidRPr="00B05C10" w:rsidRDefault="005410B3" w:rsidP="00C46CB1">
            <w:pPr>
              <w:jc w:val="center"/>
              <w:rPr>
                <w:rFonts w:ascii="Times New Roman" w:hAnsi="Times New Roman" w:cs="Times New Roman"/>
                <w:sz w:val="24"/>
                <w:szCs w:val="24"/>
              </w:rPr>
            </w:pPr>
          </w:p>
        </w:tc>
      </w:tr>
      <w:tr w:rsidR="005410B3" w:rsidRPr="00B05C10" w:rsidTr="005726CC">
        <w:trPr>
          <w:trHeight w:val="105"/>
        </w:trPr>
        <w:tc>
          <w:tcPr>
            <w:tcW w:w="2802" w:type="dxa"/>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ind w:right="34"/>
              <w:jc w:val="center"/>
              <w:rPr>
                <w:rFonts w:ascii="Times New Roman" w:hAnsi="Times New Roman" w:cs="Times New Roman"/>
                <w:sz w:val="24"/>
                <w:szCs w:val="24"/>
              </w:rPr>
            </w:pPr>
            <w:r w:rsidRPr="00B05C10">
              <w:rPr>
                <w:rFonts w:ascii="Times New Roman" w:eastAsia="Cambria" w:hAnsi="Times New Roman" w:cs="Times New Roman"/>
                <w:sz w:val="24"/>
                <w:szCs w:val="24"/>
              </w:rPr>
              <w:lastRenderedPageBreak/>
              <w:t>Papelería</w:t>
            </w:r>
            <w:r w:rsidR="00AB0DDD">
              <w:rPr>
                <w:rFonts w:ascii="Times New Roman" w:eastAsia="Cambria" w:hAnsi="Times New Roman" w:cs="Times New Roman"/>
                <w:sz w:val="24"/>
                <w:szCs w:val="24"/>
              </w:rPr>
              <w:t>*</w:t>
            </w:r>
          </w:p>
        </w:tc>
        <w:tc>
          <w:tcPr>
            <w:tcW w:w="4110" w:type="dxa"/>
            <w:gridSpan w:val="2"/>
            <w:tcBorders>
              <w:top w:val="single" w:sz="4" w:space="0" w:color="auto"/>
              <w:left w:val="single" w:sz="4" w:space="0" w:color="auto"/>
              <w:bottom w:val="single" w:sz="4" w:space="0" w:color="auto"/>
              <w:right w:val="single" w:sz="4" w:space="0" w:color="auto"/>
            </w:tcBorders>
          </w:tcPr>
          <w:p w:rsidR="005410B3" w:rsidRPr="00B05C10" w:rsidRDefault="00AB0DDD" w:rsidP="00C46CB1">
            <w:pPr>
              <w:widowControl w:val="0"/>
              <w:jc w:val="both"/>
              <w:rPr>
                <w:rFonts w:ascii="Times New Roman" w:hAnsi="Times New Roman" w:cs="Times New Roman"/>
                <w:sz w:val="24"/>
                <w:szCs w:val="24"/>
              </w:rPr>
            </w:pPr>
            <w:r>
              <w:rPr>
                <w:rFonts w:ascii="Times New Roman" w:hAnsi="Times New Roman" w:cs="Times New Roman"/>
                <w:sz w:val="24"/>
                <w:szCs w:val="24"/>
              </w:rPr>
              <w:t>Papelería de impresión</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5410B3" w:rsidRPr="00B05C10" w:rsidRDefault="00AB0DDD" w:rsidP="00C46CB1">
            <w:pPr>
              <w:jc w:val="center"/>
              <w:rPr>
                <w:rFonts w:ascii="Times New Roman" w:hAnsi="Times New Roman" w:cs="Times New Roman"/>
                <w:sz w:val="24"/>
                <w:szCs w:val="24"/>
              </w:rPr>
            </w:pPr>
            <w:r>
              <w:rPr>
                <w:rFonts w:ascii="Times New Roman" w:hAnsi="Times New Roman" w:cs="Times New Roman"/>
                <w:sz w:val="24"/>
                <w:szCs w:val="24"/>
              </w:rPr>
              <w:t>500.000</w:t>
            </w:r>
          </w:p>
        </w:tc>
      </w:tr>
      <w:tr w:rsidR="005410B3" w:rsidRPr="00B05C10" w:rsidTr="005726CC">
        <w:trPr>
          <w:trHeight w:val="286"/>
        </w:trPr>
        <w:tc>
          <w:tcPr>
            <w:tcW w:w="2802" w:type="dxa"/>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ind w:right="34"/>
              <w:jc w:val="center"/>
              <w:rPr>
                <w:rFonts w:ascii="Times New Roman" w:hAnsi="Times New Roman" w:cs="Times New Roman"/>
                <w:sz w:val="24"/>
                <w:szCs w:val="24"/>
              </w:rPr>
            </w:pPr>
            <w:r w:rsidRPr="00B05C10">
              <w:rPr>
                <w:rFonts w:ascii="Times New Roman" w:eastAsia="Cambria" w:hAnsi="Times New Roman" w:cs="Times New Roman"/>
                <w:sz w:val="24"/>
                <w:szCs w:val="24"/>
              </w:rPr>
              <w:t>Fotocopias</w:t>
            </w:r>
            <w:r w:rsidR="00AB0DDD">
              <w:rPr>
                <w:rFonts w:ascii="Times New Roman" w:eastAsia="Cambria" w:hAnsi="Times New Roman" w:cs="Times New Roman"/>
                <w:sz w:val="24"/>
                <w:szCs w:val="24"/>
              </w:rPr>
              <w:t>*</w:t>
            </w:r>
          </w:p>
        </w:tc>
        <w:tc>
          <w:tcPr>
            <w:tcW w:w="4110" w:type="dxa"/>
            <w:gridSpan w:val="2"/>
            <w:tcBorders>
              <w:top w:val="single" w:sz="4" w:space="0" w:color="auto"/>
              <w:left w:val="single" w:sz="4" w:space="0" w:color="auto"/>
              <w:bottom w:val="single" w:sz="4" w:space="0" w:color="auto"/>
              <w:right w:val="single" w:sz="4" w:space="0" w:color="auto"/>
            </w:tcBorders>
          </w:tcPr>
          <w:p w:rsidR="005410B3" w:rsidRPr="00B05C10" w:rsidRDefault="00AB0DDD" w:rsidP="00C46CB1">
            <w:pPr>
              <w:widowControl w:val="0"/>
              <w:jc w:val="both"/>
              <w:rPr>
                <w:rFonts w:ascii="Times New Roman" w:hAnsi="Times New Roman" w:cs="Times New Roman"/>
                <w:sz w:val="24"/>
                <w:szCs w:val="24"/>
              </w:rPr>
            </w:pPr>
            <w:r>
              <w:rPr>
                <w:rFonts w:ascii="Times New Roman" w:hAnsi="Times New Roman" w:cs="Times New Roman"/>
                <w:sz w:val="24"/>
                <w:szCs w:val="24"/>
              </w:rPr>
              <w:t>Copias de documentos y formularios de recolección de información</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5410B3" w:rsidRPr="00B05C10" w:rsidRDefault="00AB0DDD" w:rsidP="00C46CB1">
            <w:pPr>
              <w:jc w:val="center"/>
              <w:rPr>
                <w:rFonts w:ascii="Times New Roman" w:hAnsi="Times New Roman" w:cs="Times New Roman"/>
                <w:sz w:val="24"/>
                <w:szCs w:val="24"/>
              </w:rPr>
            </w:pPr>
            <w:r>
              <w:rPr>
                <w:rFonts w:ascii="Times New Roman" w:hAnsi="Times New Roman" w:cs="Times New Roman"/>
                <w:sz w:val="24"/>
                <w:szCs w:val="24"/>
              </w:rPr>
              <w:t>1.500.000</w:t>
            </w:r>
          </w:p>
        </w:tc>
      </w:tr>
      <w:tr w:rsidR="005410B3" w:rsidRPr="00B05C10" w:rsidTr="005726CC">
        <w:trPr>
          <w:trHeight w:val="138"/>
        </w:trPr>
        <w:tc>
          <w:tcPr>
            <w:tcW w:w="2802" w:type="dxa"/>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ind w:right="30"/>
              <w:jc w:val="center"/>
              <w:rPr>
                <w:rFonts w:ascii="Times New Roman" w:hAnsi="Times New Roman" w:cs="Times New Roman"/>
                <w:sz w:val="24"/>
                <w:szCs w:val="24"/>
              </w:rPr>
            </w:pPr>
            <w:r w:rsidRPr="00B05C10">
              <w:rPr>
                <w:rFonts w:ascii="Times New Roman" w:eastAsia="Cambria" w:hAnsi="Times New Roman" w:cs="Times New Roman"/>
                <w:sz w:val="24"/>
                <w:szCs w:val="24"/>
              </w:rPr>
              <w:t>Salidas de campo</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5410B3" w:rsidRPr="00B05C10" w:rsidRDefault="007A0611" w:rsidP="00C46CB1">
            <w:pPr>
              <w:rPr>
                <w:rFonts w:ascii="Times New Roman" w:hAnsi="Times New Roman" w:cs="Times New Roman"/>
                <w:sz w:val="24"/>
                <w:szCs w:val="24"/>
              </w:rPr>
            </w:pPr>
            <w:r w:rsidRPr="00B05C10">
              <w:rPr>
                <w:rFonts w:ascii="Times New Roman" w:hAnsi="Times New Roman" w:cs="Times New Roman"/>
                <w:sz w:val="24"/>
                <w:szCs w:val="24"/>
              </w:rPr>
              <w:t>6 Salidas cada una de una semana, determinadas por muestreo teórico</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5410B3" w:rsidRPr="00B05C10" w:rsidRDefault="007A0611" w:rsidP="00C46CB1">
            <w:pPr>
              <w:jc w:val="center"/>
              <w:rPr>
                <w:rFonts w:ascii="Times New Roman" w:hAnsi="Times New Roman" w:cs="Times New Roman"/>
                <w:sz w:val="24"/>
                <w:szCs w:val="24"/>
              </w:rPr>
            </w:pPr>
            <w:r w:rsidRPr="00B05C10">
              <w:rPr>
                <w:rFonts w:ascii="Times New Roman" w:hAnsi="Times New Roman" w:cs="Times New Roman"/>
                <w:sz w:val="24"/>
                <w:szCs w:val="24"/>
              </w:rPr>
              <w:t>10.000.000</w:t>
            </w:r>
          </w:p>
        </w:tc>
      </w:tr>
      <w:tr w:rsidR="005410B3" w:rsidRPr="00B05C10" w:rsidTr="005726CC">
        <w:trPr>
          <w:trHeight w:val="70"/>
        </w:trPr>
        <w:tc>
          <w:tcPr>
            <w:tcW w:w="2802" w:type="dxa"/>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ind w:right="34"/>
              <w:jc w:val="center"/>
              <w:rPr>
                <w:rFonts w:ascii="Times New Roman" w:hAnsi="Times New Roman" w:cs="Times New Roman"/>
                <w:sz w:val="24"/>
                <w:szCs w:val="24"/>
              </w:rPr>
            </w:pPr>
            <w:r w:rsidRPr="00B05C10">
              <w:rPr>
                <w:rFonts w:ascii="Times New Roman" w:eastAsia="Cambria" w:hAnsi="Times New Roman" w:cs="Times New Roman"/>
                <w:sz w:val="24"/>
                <w:szCs w:val="24"/>
              </w:rPr>
              <w:t>Material bibliográfico</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ind w:right="34"/>
              <w:rPr>
                <w:rFonts w:ascii="Times New Roman" w:hAnsi="Times New Roman" w:cs="Times New Roman"/>
                <w:sz w:val="24"/>
                <w:szCs w:val="24"/>
              </w:rPr>
            </w:pPr>
            <w:r w:rsidRPr="00B05C10">
              <w:rPr>
                <w:rFonts w:ascii="Times New Roman" w:hAnsi="Times New Roman" w:cs="Times New Roman"/>
                <w:sz w:val="24"/>
                <w:szCs w:val="24"/>
              </w:rPr>
              <w:t xml:space="preserve">Libros, suscripciones a revistas, </w:t>
            </w:r>
            <w:r w:rsidR="00E95A41" w:rsidRPr="00B05C10">
              <w:rPr>
                <w:rFonts w:ascii="Times New Roman" w:hAnsi="Times New Roman" w:cs="Times New Roman"/>
                <w:sz w:val="24"/>
                <w:szCs w:val="24"/>
              </w:rPr>
              <w:t>etc.</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5410B3" w:rsidRPr="00B05C10" w:rsidRDefault="005410B3" w:rsidP="00C46CB1">
            <w:pPr>
              <w:rPr>
                <w:rFonts w:ascii="Times New Roman" w:hAnsi="Times New Roman" w:cs="Times New Roman"/>
                <w:sz w:val="24"/>
                <w:szCs w:val="24"/>
              </w:rPr>
            </w:pPr>
          </w:p>
        </w:tc>
      </w:tr>
      <w:tr w:rsidR="005410B3" w:rsidRPr="00B05C10" w:rsidTr="005726CC">
        <w:trPr>
          <w:trHeight w:val="70"/>
        </w:trPr>
        <w:tc>
          <w:tcPr>
            <w:tcW w:w="2802" w:type="dxa"/>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ind w:left="46" w:right="79"/>
              <w:jc w:val="center"/>
              <w:rPr>
                <w:rFonts w:ascii="Times New Roman" w:hAnsi="Times New Roman" w:cs="Times New Roman"/>
                <w:sz w:val="24"/>
                <w:szCs w:val="24"/>
              </w:rPr>
            </w:pPr>
            <w:r w:rsidRPr="00B05C10">
              <w:rPr>
                <w:rFonts w:ascii="Times New Roman" w:eastAsia="Cambria" w:hAnsi="Times New Roman" w:cs="Times New Roman"/>
                <w:sz w:val="24"/>
                <w:szCs w:val="24"/>
              </w:rPr>
              <w:t>Publicaciones</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widowControl w:val="0"/>
              <w:jc w:val="both"/>
              <w:rPr>
                <w:rFonts w:ascii="Times New Roman" w:hAnsi="Times New Roman" w:cs="Times New Roman"/>
                <w:sz w:val="24"/>
                <w:szCs w:val="24"/>
              </w:rPr>
            </w:pPr>
            <w:r w:rsidRPr="00B05C10">
              <w:rPr>
                <w:rFonts w:ascii="Times New Roman" w:hAnsi="Times New Roman" w:cs="Times New Roman"/>
                <w:sz w:val="24"/>
                <w:szCs w:val="24"/>
              </w:rPr>
              <w:t>Libros, traducciones publicación en revistas</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5410B3" w:rsidRPr="00B05C10" w:rsidRDefault="007A0611" w:rsidP="00C46CB1">
            <w:pPr>
              <w:jc w:val="center"/>
              <w:rPr>
                <w:rFonts w:ascii="Times New Roman" w:hAnsi="Times New Roman" w:cs="Times New Roman"/>
                <w:sz w:val="24"/>
                <w:szCs w:val="24"/>
              </w:rPr>
            </w:pPr>
            <w:r w:rsidRPr="00B05C10">
              <w:rPr>
                <w:rFonts w:ascii="Times New Roman" w:hAnsi="Times New Roman" w:cs="Times New Roman"/>
                <w:sz w:val="24"/>
                <w:szCs w:val="24"/>
              </w:rPr>
              <w:t>2.500.000</w:t>
            </w:r>
          </w:p>
        </w:tc>
      </w:tr>
      <w:tr w:rsidR="00AB0DDD" w:rsidRPr="00B05C10" w:rsidTr="005726CC">
        <w:trPr>
          <w:trHeight w:val="70"/>
        </w:trPr>
        <w:tc>
          <w:tcPr>
            <w:tcW w:w="2802" w:type="dxa"/>
            <w:tcBorders>
              <w:top w:val="single" w:sz="4" w:space="0" w:color="auto"/>
              <w:left w:val="single" w:sz="4" w:space="0" w:color="auto"/>
              <w:bottom w:val="single" w:sz="4" w:space="0" w:color="auto"/>
              <w:right w:val="single" w:sz="4" w:space="0" w:color="auto"/>
            </w:tcBorders>
            <w:vAlign w:val="center"/>
          </w:tcPr>
          <w:p w:rsidR="00AB0DDD" w:rsidRPr="00B05C10" w:rsidRDefault="00AB0DDD" w:rsidP="00C46CB1">
            <w:pPr>
              <w:ind w:left="46" w:right="79"/>
              <w:jc w:val="center"/>
              <w:rPr>
                <w:rFonts w:ascii="Times New Roman" w:eastAsia="Cambria" w:hAnsi="Times New Roman" w:cs="Times New Roman"/>
                <w:sz w:val="24"/>
                <w:szCs w:val="24"/>
              </w:rPr>
            </w:pPr>
            <w:r>
              <w:rPr>
                <w:rFonts w:ascii="Times New Roman" w:eastAsia="Cambria" w:hAnsi="Times New Roman" w:cs="Times New Roman"/>
                <w:sz w:val="24"/>
                <w:szCs w:val="24"/>
              </w:rPr>
              <w:t>Publicaciones web*</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AB0DDD" w:rsidRPr="00B05C10" w:rsidRDefault="00AB0DDD" w:rsidP="00C46CB1">
            <w:pPr>
              <w:widowControl w:val="0"/>
              <w:jc w:val="both"/>
              <w:rPr>
                <w:rFonts w:ascii="Times New Roman" w:hAnsi="Times New Roman" w:cs="Times New Roman"/>
                <w:sz w:val="24"/>
                <w:szCs w:val="24"/>
              </w:rPr>
            </w:pPr>
            <w:r>
              <w:rPr>
                <w:rFonts w:ascii="Times New Roman" w:hAnsi="Times New Roman" w:cs="Times New Roman"/>
                <w:sz w:val="24"/>
                <w:szCs w:val="24"/>
              </w:rPr>
              <w:t>Uso de Host para la difusión de resultados del Observatorio</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AB0DDD" w:rsidRPr="00B05C10" w:rsidRDefault="00AB0DDD" w:rsidP="00C46CB1">
            <w:pPr>
              <w:jc w:val="center"/>
              <w:rPr>
                <w:rFonts w:ascii="Times New Roman" w:hAnsi="Times New Roman" w:cs="Times New Roman"/>
                <w:sz w:val="24"/>
                <w:szCs w:val="24"/>
              </w:rPr>
            </w:pPr>
            <w:r>
              <w:rPr>
                <w:rFonts w:ascii="Times New Roman" w:hAnsi="Times New Roman" w:cs="Times New Roman"/>
                <w:sz w:val="24"/>
                <w:szCs w:val="24"/>
              </w:rPr>
              <w:t>2.500.000</w:t>
            </w:r>
          </w:p>
        </w:tc>
      </w:tr>
      <w:tr w:rsidR="005410B3" w:rsidRPr="00B05C10" w:rsidTr="005726CC">
        <w:trPr>
          <w:trHeight w:val="150"/>
        </w:trPr>
        <w:tc>
          <w:tcPr>
            <w:tcW w:w="2802" w:type="dxa"/>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jc w:val="center"/>
              <w:rPr>
                <w:rFonts w:ascii="Times New Roman" w:hAnsi="Times New Roman" w:cs="Times New Roman"/>
                <w:sz w:val="24"/>
                <w:szCs w:val="24"/>
              </w:rPr>
            </w:pPr>
            <w:r w:rsidRPr="00B05C10">
              <w:rPr>
                <w:rFonts w:ascii="Times New Roman" w:eastAsia="Cambria" w:hAnsi="Times New Roman" w:cs="Times New Roman"/>
                <w:sz w:val="24"/>
                <w:szCs w:val="24"/>
              </w:rPr>
              <w:t>Servicios técnicos</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rPr>
                <w:rFonts w:ascii="Times New Roman" w:hAnsi="Times New Roman" w:cs="Times New Roman"/>
                <w:sz w:val="24"/>
                <w:szCs w:val="24"/>
              </w:rPr>
            </w:pPr>
            <w:r w:rsidRPr="00B05C10">
              <w:rPr>
                <w:rFonts w:ascii="Times New Roman" w:hAnsi="Times New Roman" w:cs="Times New Roman"/>
                <w:sz w:val="24"/>
                <w:szCs w:val="24"/>
              </w:rPr>
              <w:t>Laboratorios, personas naturales</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5410B3" w:rsidRPr="00B05C10" w:rsidRDefault="005410B3" w:rsidP="00C46CB1">
            <w:pPr>
              <w:jc w:val="center"/>
              <w:rPr>
                <w:rFonts w:ascii="Times New Roman" w:hAnsi="Times New Roman" w:cs="Times New Roman"/>
                <w:sz w:val="24"/>
                <w:szCs w:val="24"/>
              </w:rPr>
            </w:pPr>
          </w:p>
        </w:tc>
      </w:tr>
      <w:tr w:rsidR="005410B3" w:rsidRPr="00B05C10" w:rsidTr="005726CC">
        <w:trPr>
          <w:trHeight w:val="198"/>
        </w:trPr>
        <w:tc>
          <w:tcPr>
            <w:tcW w:w="2802" w:type="dxa"/>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ind w:left="1"/>
              <w:jc w:val="center"/>
              <w:rPr>
                <w:rFonts w:ascii="Times New Roman" w:hAnsi="Times New Roman" w:cs="Times New Roman"/>
                <w:sz w:val="24"/>
                <w:szCs w:val="24"/>
              </w:rPr>
            </w:pPr>
            <w:r w:rsidRPr="00B05C10">
              <w:rPr>
                <w:rFonts w:ascii="Times New Roman" w:eastAsia="Cambria" w:hAnsi="Times New Roman" w:cs="Times New Roman"/>
                <w:sz w:val="24"/>
                <w:szCs w:val="24"/>
              </w:rPr>
              <w:t>Movilidad académica</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7A0611">
            <w:pPr>
              <w:rPr>
                <w:rFonts w:ascii="Times New Roman" w:hAnsi="Times New Roman" w:cs="Times New Roman"/>
                <w:sz w:val="24"/>
                <w:szCs w:val="24"/>
              </w:rPr>
            </w:pPr>
            <w:r w:rsidRPr="00B05C10">
              <w:rPr>
                <w:rFonts w:ascii="Times New Roman" w:hAnsi="Times New Roman" w:cs="Times New Roman"/>
                <w:sz w:val="24"/>
                <w:szCs w:val="24"/>
              </w:rPr>
              <w:t>Eventos para socialización de avances y resultados, pasantías</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5410B3" w:rsidRPr="00B05C10" w:rsidRDefault="007A0611" w:rsidP="00C46CB1">
            <w:pPr>
              <w:jc w:val="center"/>
              <w:rPr>
                <w:rFonts w:ascii="Times New Roman" w:hAnsi="Times New Roman" w:cs="Times New Roman"/>
                <w:sz w:val="24"/>
                <w:szCs w:val="24"/>
              </w:rPr>
            </w:pPr>
            <w:r w:rsidRPr="00B05C10">
              <w:rPr>
                <w:rFonts w:ascii="Times New Roman" w:hAnsi="Times New Roman" w:cs="Times New Roman"/>
                <w:sz w:val="24"/>
                <w:szCs w:val="24"/>
              </w:rPr>
              <w:t>5.000.000</w:t>
            </w:r>
          </w:p>
        </w:tc>
      </w:tr>
      <w:tr w:rsidR="005410B3" w:rsidRPr="00B05C10" w:rsidTr="005726CC">
        <w:trPr>
          <w:trHeight w:val="70"/>
        </w:trPr>
        <w:tc>
          <w:tcPr>
            <w:tcW w:w="2802" w:type="dxa"/>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ind w:right="2"/>
              <w:jc w:val="center"/>
              <w:rPr>
                <w:rFonts w:ascii="Times New Roman" w:hAnsi="Times New Roman" w:cs="Times New Roman"/>
                <w:sz w:val="24"/>
                <w:szCs w:val="24"/>
              </w:rPr>
            </w:pPr>
            <w:r w:rsidRPr="00B05C10">
              <w:rPr>
                <w:rFonts w:ascii="Times New Roman" w:eastAsia="Cambria" w:hAnsi="Times New Roman" w:cs="Times New Roman"/>
                <w:sz w:val="24"/>
                <w:szCs w:val="24"/>
              </w:rPr>
              <w:t>Organización de eventos</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ind w:right="2"/>
              <w:rPr>
                <w:rFonts w:ascii="Times New Roman" w:hAnsi="Times New Roman" w:cs="Times New Roman"/>
                <w:sz w:val="24"/>
                <w:szCs w:val="24"/>
              </w:rPr>
            </w:pPr>
            <w:r w:rsidRPr="00B05C10">
              <w:rPr>
                <w:rFonts w:ascii="Times New Roman" w:hAnsi="Times New Roman" w:cs="Times New Roman"/>
                <w:sz w:val="24"/>
                <w:szCs w:val="24"/>
              </w:rPr>
              <w:t>Eventos para difusión de resultados</w:t>
            </w:r>
            <w:r w:rsidR="007A0611" w:rsidRPr="00B05C10">
              <w:rPr>
                <w:rFonts w:ascii="Times New Roman" w:hAnsi="Times New Roman" w:cs="Times New Roman"/>
                <w:sz w:val="24"/>
                <w:szCs w:val="24"/>
              </w:rPr>
              <w:t>: se solicita para el evento y para traer un invitado internacional</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5410B3" w:rsidRPr="00B05C10" w:rsidRDefault="007A0611" w:rsidP="00C46CB1">
            <w:pPr>
              <w:jc w:val="center"/>
              <w:rPr>
                <w:rFonts w:ascii="Times New Roman" w:hAnsi="Times New Roman" w:cs="Times New Roman"/>
                <w:sz w:val="24"/>
                <w:szCs w:val="24"/>
              </w:rPr>
            </w:pPr>
            <w:r w:rsidRPr="00B05C10">
              <w:rPr>
                <w:rFonts w:ascii="Times New Roman" w:hAnsi="Times New Roman" w:cs="Times New Roman"/>
                <w:sz w:val="24"/>
                <w:szCs w:val="24"/>
              </w:rPr>
              <w:t>9.000.000</w:t>
            </w:r>
          </w:p>
        </w:tc>
      </w:tr>
      <w:tr w:rsidR="005410B3" w:rsidRPr="00B05C10" w:rsidTr="005726CC">
        <w:trPr>
          <w:trHeight w:val="70"/>
        </w:trPr>
        <w:tc>
          <w:tcPr>
            <w:tcW w:w="2802" w:type="dxa"/>
            <w:tcBorders>
              <w:top w:val="single" w:sz="4" w:space="0" w:color="auto"/>
              <w:left w:val="single" w:sz="4" w:space="0" w:color="auto"/>
              <w:bottom w:val="single" w:sz="4" w:space="0" w:color="auto"/>
              <w:right w:val="single" w:sz="4" w:space="0" w:color="auto"/>
            </w:tcBorders>
            <w:vAlign w:val="center"/>
          </w:tcPr>
          <w:p w:rsidR="005410B3" w:rsidRPr="00B05C10" w:rsidRDefault="005410B3" w:rsidP="00C46CB1">
            <w:pPr>
              <w:ind w:right="2"/>
              <w:jc w:val="center"/>
              <w:rPr>
                <w:rFonts w:ascii="Times New Roman" w:eastAsia="Cambria" w:hAnsi="Times New Roman" w:cs="Times New Roman"/>
                <w:b/>
                <w:sz w:val="24"/>
                <w:szCs w:val="24"/>
              </w:rPr>
            </w:pP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ind w:right="2"/>
              <w:jc w:val="right"/>
              <w:rPr>
                <w:rFonts w:ascii="Times New Roman" w:hAnsi="Times New Roman" w:cs="Times New Roman"/>
                <w:sz w:val="24"/>
                <w:szCs w:val="24"/>
              </w:rPr>
            </w:pPr>
            <w:r w:rsidRPr="00B05C10">
              <w:rPr>
                <w:rFonts w:ascii="Times New Roman" w:hAnsi="Times New Roman" w:cs="Times New Roman"/>
                <w:sz w:val="24"/>
                <w:szCs w:val="24"/>
              </w:rPr>
              <w:t>Total</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5410B3" w:rsidRPr="006D6290" w:rsidRDefault="00AB0DDD" w:rsidP="00C46CB1">
            <w:pPr>
              <w:jc w:val="center"/>
              <w:rPr>
                <w:rFonts w:ascii="Times New Roman" w:hAnsi="Times New Roman" w:cs="Times New Roman"/>
                <w:b/>
                <w:sz w:val="24"/>
                <w:szCs w:val="24"/>
              </w:rPr>
            </w:pPr>
            <w:r>
              <w:rPr>
                <w:rFonts w:ascii="Times New Roman" w:hAnsi="Times New Roman" w:cs="Times New Roman"/>
                <w:b/>
                <w:sz w:val="24"/>
                <w:szCs w:val="24"/>
              </w:rPr>
              <w:t>148.008.940</w:t>
            </w:r>
          </w:p>
        </w:tc>
      </w:tr>
      <w:tr w:rsidR="00AB0DDD" w:rsidRPr="00B05C10" w:rsidTr="00C46CB1">
        <w:trPr>
          <w:trHeight w:val="70"/>
        </w:trPr>
        <w:tc>
          <w:tcPr>
            <w:tcW w:w="9024" w:type="dxa"/>
            <w:gridSpan w:val="5"/>
            <w:tcBorders>
              <w:top w:val="single" w:sz="4" w:space="0" w:color="auto"/>
              <w:left w:val="single" w:sz="4" w:space="0" w:color="auto"/>
              <w:bottom w:val="single" w:sz="4" w:space="0" w:color="auto"/>
              <w:right w:val="single" w:sz="4" w:space="0" w:color="auto"/>
            </w:tcBorders>
            <w:vAlign w:val="center"/>
          </w:tcPr>
          <w:p w:rsidR="00CF7632" w:rsidRDefault="00AB0DDD" w:rsidP="00AB0DDD">
            <w:pPr>
              <w:rPr>
                <w:rFonts w:ascii="Times New Roman" w:hAnsi="Times New Roman" w:cs="Times New Roman"/>
                <w:sz w:val="20"/>
                <w:szCs w:val="20"/>
              </w:rPr>
            </w:pPr>
            <w:r w:rsidRPr="00AB0DDD">
              <w:rPr>
                <w:rFonts w:ascii="Times New Roman" w:hAnsi="Times New Roman" w:cs="Times New Roman"/>
                <w:sz w:val="20"/>
                <w:szCs w:val="20"/>
              </w:rPr>
              <w:t>Recursos solicitados Facultad: los aspectos con asterisco son financiados por recursos propios del Programa y se solicitan por</w:t>
            </w:r>
            <w:r w:rsidR="00CF7632">
              <w:rPr>
                <w:rFonts w:ascii="Times New Roman" w:hAnsi="Times New Roman" w:cs="Times New Roman"/>
                <w:sz w:val="20"/>
                <w:szCs w:val="20"/>
              </w:rPr>
              <w:t xml:space="preserve"> Facultad $ 91.50</w:t>
            </w:r>
            <w:r>
              <w:rPr>
                <w:rFonts w:ascii="Times New Roman" w:hAnsi="Times New Roman" w:cs="Times New Roman"/>
                <w:sz w:val="20"/>
                <w:szCs w:val="20"/>
              </w:rPr>
              <w:t>8.940.</w:t>
            </w:r>
          </w:p>
          <w:p w:rsidR="00AB0DDD" w:rsidRPr="00CF7632" w:rsidRDefault="00AB0DDD" w:rsidP="00AB0DDD">
            <w:pPr>
              <w:rPr>
                <w:rFonts w:ascii="Times New Roman" w:hAnsi="Times New Roman" w:cs="Times New Roman"/>
                <w:b/>
                <w:sz w:val="20"/>
                <w:szCs w:val="20"/>
              </w:rPr>
            </w:pPr>
            <w:r w:rsidRPr="00CF7632">
              <w:rPr>
                <w:rFonts w:ascii="Times New Roman" w:hAnsi="Times New Roman" w:cs="Times New Roman"/>
                <w:b/>
                <w:sz w:val="20"/>
                <w:szCs w:val="20"/>
              </w:rPr>
              <w:t xml:space="preserve">Recursos solicitados a FODEIN: </w:t>
            </w:r>
            <w:r w:rsidR="00CF7632" w:rsidRPr="00CF7632">
              <w:rPr>
                <w:rFonts w:ascii="Times New Roman" w:hAnsi="Times New Roman" w:cs="Times New Roman"/>
                <w:b/>
                <w:sz w:val="20"/>
                <w:szCs w:val="20"/>
              </w:rPr>
              <w:t>$56.500.000</w:t>
            </w:r>
          </w:p>
          <w:p w:rsidR="00AB0DDD" w:rsidRPr="00B05C10" w:rsidRDefault="00AB0DDD" w:rsidP="00C46CB1">
            <w:pPr>
              <w:jc w:val="center"/>
              <w:rPr>
                <w:rFonts w:ascii="Times New Roman" w:hAnsi="Times New Roman" w:cs="Times New Roman"/>
                <w:b/>
                <w:sz w:val="28"/>
                <w:szCs w:val="24"/>
              </w:rPr>
            </w:pPr>
          </w:p>
        </w:tc>
      </w:tr>
      <w:tr w:rsidR="005410B3" w:rsidRPr="00B05C10" w:rsidTr="00C46CB1">
        <w:trPr>
          <w:trHeight w:val="70"/>
        </w:trPr>
        <w:tc>
          <w:tcPr>
            <w:tcW w:w="9024" w:type="dxa"/>
            <w:gridSpan w:val="5"/>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jc w:val="center"/>
              <w:rPr>
                <w:rFonts w:ascii="Times New Roman" w:hAnsi="Times New Roman" w:cs="Times New Roman"/>
                <w:b/>
                <w:sz w:val="28"/>
                <w:szCs w:val="24"/>
              </w:rPr>
            </w:pPr>
            <w:r w:rsidRPr="00B05C10">
              <w:rPr>
                <w:rFonts w:ascii="Times New Roman" w:hAnsi="Times New Roman" w:cs="Times New Roman"/>
                <w:b/>
                <w:sz w:val="28"/>
                <w:szCs w:val="24"/>
              </w:rPr>
              <w:t>Contrapartida externa</w:t>
            </w:r>
          </w:p>
          <w:p w:rsidR="005410B3" w:rsidRPr="00B05C10" w:rsidRDefault="005410B3" w:rsidP="00C46CB1">
            <w:pPr>
              <w:jc w:val="center"/>
              <w:rPr>
                <w:rFonts w:ascii="Times New Roman" w:hAnsi="Times New Roman" w:cs="Times New Roman"/>
                <w:sz w:val="24"/>
                <w:szCs w:val="24"/>
              </w:rPr>
            </w:pPr>
            <w:r w:rsidRPr="00B05C10">
              <w:rPr>
                <w:rFonts w:ascii="Times New Roman" w:hAnsi="Times New Roman" w:cs="Times New Roman"/>
                <w:szCs w:val="24"/>
              </w:rPr>
              <w:t>Para proyectos en cooperación y alianza estratégica</w:t>
            </w:r>
          </w:p>
        </w:tc>
      </w:tr>
      <w:tr w:rsidR="005410B3" w:rsidRPr="00B05C10" w:rsidTr="00C46CB1">
        <w:trPr>
          <w:trHeight w:val="70"/>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ind w:right="2"/>
              <w:jc w:val="center"/>
              <w:rPr>
                <w:rFonts w:ascii="Times New Roman" w:eastAsia="Cambria" w:hAnsi="Times New Roman" w:cs="Times New Roman"/>
                <w:b/>
                <w:sz w:val="24"/>
                <w:szCs w:val="24"/>
              </w:rPr>
            </w:pPr>
            <w:r w:rsidRPr="00B05C10">
              <w:rPr>
                <w:rFonts w:ascii="Times New Roman" w:eastAsia="Cambria" w:hAnsi="Times New Roman" w:cs="Times New Roman"/>
                <w:b/>
                <w:sz w:val="24"/>
                <w:szCs w:val="24"/>
              </w:rPr>
              <w:t>Institución</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ind w:right="2"/>
              <w:rPr>
                <w:rFonts w:ascii="Times New Roman" w:hAnsi="Times New Roman" w:cs="Times New Roman"/>
                <w:b/>
                <w:sz w:val="24"/>
                <w:szCs w:val="24"/>
              </w:rPr>
            </w:pPr>
            <w:r w:rsidRPr="00B05C10">
              <w:rPr>
                <w:rFonts w:ascii="Times New Roman" w:hAnsi="Times New Roman" w:cs="Times New Roman"/>
                <w:b/>
                <w:sz w:val="24"/>
                <w:szCs w:val="24"/>
              </w:rPr>
              <w:t>Descripción</w:t>
            </w:r>
          </w:p>
        </w:tc>
        <w:tc>
          <w:tcPr>
            <w:tcW w:w="1828" w:type="dxa"/>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jc w:val="center"/>
              <w:rPr>
                <w:rFonts w:ascii="Times New Roman" w:hAnsi="Times New Roman" w:cs="Times New Roman"/>
                <w:b/>
                <w:sz w:val="24"/>
                <w:szCs w:val="24"/>
              </w:rPr>
            </w:pPr>
            <w:r w:rsidRPr="00B05C10">
              <w:rPr>
                <w:rFonts w:ascii="Times New Roman" w:hAnsi="Times New Roman" w:cs="Times New Roman"/>
                <w:b/>
                <w:sz w:val="24"/>
                <w:szCs w:val="24"/>
              </w:rPr>
              <w:t>Monto</w:t>
            </w:r>
          </w:p>
        </w:tc>
      </w:tr>
      <w:tr w:rsidR="005410B3" w:rsidRPr="00B05C10" w:rsidTr="00C46CB1">
        <w:trPr>
          <w:trHeight w:val="70"/>
        </w:trPr>
        <w:tc>
          <w:tcPr>
            <w:tcW w:w="3510" w:type="dxa"/>
            <w:gridSpan w:val="2"/>
            <w:tcBorders>
              <w:top w:val="single" w:sz="4" w:space="0" w:color="auto"/>
              <w:left w:val="single" w:sz="4" w:space="0" w:color="auto"/>
              <w:bottom w:val="single" w:sz="4" w:space="0" w:color="auto"/>
              <w:right w:val="single" w:sz="4" w:space="0" w:color="auto"/>
            </w:tcBorders>
            <w:vAlign w:val="center"/>
          </w:tcPr>
          <w:p w:rsidR="005410B3" w:rsidRPr="00B05C10" w:rsidRDefault="007D3EC5" w:rsidP="00C46CB1">
            <w:pPr>
              <w:ind w:right="2"/>
              <w:jc w:val="center"/>
              <w:rPr>
                <w:rFonts w:ascii="Times New Roman" w:eastAsia="Cambria" w:hAnsi="Times New Roman" w:cs="Times New Roman"/>
                <w:b/>
                <w:sz w:val="24"/>
                <w:szCs w:val="24"/>
              </w:rPr>
            </w:pPr>
            <w:r w:rsidRPr="00B05C10">
              <w:rPr>
                <w:rFonts w:ascii="Times New Roman" w:eastAsia="Cambria" w:hAnsi="Times New Roman" w:cs="Times New Roman"/>
                <w:b/>
                <w:sz w:val="24"/>
                <w:szCs w:val="24"/>
              </w:rPr>
              <w:t>USTA-Bucaramanga</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5410B3" w:rsidRPr="00B05C10" w:rsidRDefault="007D3EC5" w:rsidP="00C46CB1">
            <w:pPr>
              <w:ind w:right="2"/>
              <w:rPr>
                <w:rFonts w:ascii="Times New Roman" w:hAnsi="Times New Roman" w:cs="Times New Roman"/>
                <w:sz w:val="24"/>
                <w:szCs w:val="24"/>
              </w:rPr>
            </w:pPr>
            <w:r w:rsidRPr="00B05C10">
              <w:rPr>
                <w:rFonts w:ascii="Times New Roman" w:hAnsi="Times New Roman" w:cs="Times New Roman"/>
                <w:sz w:val="24"/>
                <w:szCs w:val="24"/>
              </w:rPr>
              <w:t>Participación de docente investigadora con un total de 324 horas repartidas en 36 horas mensuales durante 9 meses</w:t>
            </w:r>
          </w:p>
        </w:tc>
        <w:tc>
          <w:tcPr>
            <w:tcW w:w="1828" w:type="dxa"/>
            <w:tcBorders>
              <w:top w:val="single" w:sz="4" w:space="0" w:color="auto"/>
              <w:left w:val="single" w:sz="4" w:space="0" w:color="auto"/>
              <w:bottom w:val="single" w:sz="4" w:space="0" w:color="auto"/>
              <w:right w:val="single" w:sz="4" w:space="0" w:color="auto"/>
            </w:tcBorders>
            <w:vAlign w:val="center"/>
          </w:tcPr>
          <w:p w:rsidR="005410B3" w:rsidRPr="00B05C10" w:rsidRDefault="007D3EC5" w:rsidP="00C46CB1">
            <w:pPr>
              <w:jc w:val="center"/>
              <w:rPr>
                <w:rFonts w:ascii="Times New Roman" w:hAnsi="Times New Roman" w:cs="Times New Roman"/>
                <w:sz w:val="24"/>
                <w:szCs w:val="24"/>
              </w:rPr>
            </w:pPr>
            <w:r w:rsidRPr="00B05C10">
              <w:rPr>
                <w:rFonts w:ascii="Times New Roman" w:hAnsi="Times New Roman" w:cs="Times New Roman"/>
                <w:sz w:val="24"/>
                <w:szCs w:val="24"/>
              </w:rPr>
              <w:t>16.688.916</w:t>
            </w:r>
          </w:p>
        </w:tc>
      </w:tr>
      <w:tr w:rsidR="005410B3" w:rsidRPr="00B05C10" w:rsidTr="00C46CB1">
        <w:trPr>
          <w:trHeight w:val="70"/>
        </w:trPr>
        <w:tc>
          <w:tcPr>
            <w:tcW w:w="3510" w:type="dxa"/>
            <w:gridSpan w:val="2"/>
            <w:tcBorders>
              <w:top w:val="single" w:sz="4" w:space="0" w:color="auto"/>
              <w:left w:val="single" w:sz="4" w:space="0" w:color="auto"/>
              <w:bottom w:val="single" w:sz="4" w:space="0" w:color="auto"/>
              <w:right w:val="single" w:sz="4" w:space="0" w:color="auto"/>
            </w:tcBorders>
            <w:vAlign w:val="center"/>
          </w:tcPr>
          <w:p w:rsidR="005410B3" w:rsidRPr="00B05C10" w:rsidRDefault="007D3EC5" w:rsidP="00C46CB1">
            <w:pPr>
              <w:ind w:right="2"/>
              <w:jc w:val="center"/>
              <w:rPr>
                <w:rFonts w:ascii="Times New Roman" w:eastAsia="Cambria" w:hAnsi="Times New Roman" w:cs="Times New Roman"/>
                <w:b/>
                <w:sz w:val="24"/>
                <w:szCs w:val="24"/>
              </w:rPr>
            </w:pPr>
            <w:r w:rsidRPr="00B05C10">
              <w:rPr>
                <w:rFonts w:ascii="Times New Roman" w:eastAsia="Cambria" w:hAnsi="Times New Roman" w:cs="Times New Roman"/>
                <w:b/>
                <w:sz w:val="24"/>
                <w:szCs w:val="24"/>
              </w:rPr>
              <w:t>Pontificia Universidad Javeriana Cali</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410B3" w:rsidRPr="00B05C10" w:rsidRDefault="007D3EC5" w:rsidP="007E0F1A">
            <w:pPr>
              <w:ind w:right="2"/>
              <w:rPr>
                <w:rFonts w:ascii="Times New Roman" w:hAnsi="Times New Roman" w:cs="Times New Roman"/>
                <w:sz w:val="24"/>
                <w:szCs w:val="24"/>
              </w:rPr>
            </w:pPr>
            <w:r w:rsidRPr="00B05C10">
              <w:rPr>
                <w:rFonts w:ascii="Times New Roman" w:hAnsi="Times New Roman" w:cs="Times New Roman"/>
                <w:sz w:val="24"/>
                <w:szCs w:val="24"/>
              </w:rPr>
              <w:t xml:space="preserve">Participación de docente investigadora con un total de  horas repartidas en </w:t>
            </w:r>
            <w:r w:rsidR="00440A99">
              <w:rPr>
                <w:rFonts w:ascii="Times New Roman" w:hAnsi="Times New Roman" w:cs="Times New Roman"/>
                <w:sz w:val="24"/>
                <w:szCs w:val="24"/>
              </w:rPr>
              <w:t>2</w:t>
            </w:r>
            <w:r w:rsidR="007E0F1A">
              <w:rPr>
                <w:rFonts w:ascii="Times New Roman" w:hAnsi="Times New Roman" w:cs="Times New Roman"/>
                <w:sz w:val="24"/>
                <w:szCs w:val="24"/>
              </w:rPr>
              <w:t>4</w:t>
            </w:r>
            <w:r w:rsidRPr="00B05C10">
              <w:rPr>
                <w:rFonts w:ascii="Times New Roman" w:hAnsi="Times New Roman" w:cs="Times New Roman"/>
                <w:sz w:val="24"/>
                <w:szCs w:val="24"/>
              </w:rPr>
              <w:t xml:space="preserve"> horas mensuales durante 9 meses</w:t>
            </w:r>
          </w:p>
        </w:tc>
        <w:tc>
          <w:tcPr>
            <w:tcW w:w="1828" w:type="dxa"/>
            <w:tcBorders>
              <w:top w:val="single" w:sz="4" w:space="0" w:color="auto"/>
              <w:left w:val="single" w:sz="4" w:space="0" w:color="auto"/>
              <w:bottom w:val="single" w:sz="4" w:space="0" w:color="auto"/>
              <w:right w:val="single" w:sz="4" w:space="0" w:color="auto"/>
            </w:tcBorders>
            <w:vAlign w:val="center"/>
          </w:tcPr>
          <w:p w:rsidR="005410B3" w:rsidRPr="00B05C10" w:rsidRDefault="007E0F1A" w:rsidP="007E0F1A">
            <w:pPr>
              <w:jc w:val="center"/>
              <w:rPr>
                <w:rFonts w:ascii="Times New Roman" w:hAnsi="Times New Roman" w:cs="Times New Roman"/>
                <w:sz w:val="24"/>
                <w:szCs w:val="24"/>
              </w:rPr>
            </w:pPr>
            <w:r>
              <w:rPr>
                <w:rFonts w:ascii="Times New Roman" w:hAnsi="Times New Roman" w:cs="Times New Roman"/>
                <w:sz w:val="24"/>
                <w:szCs w:val="24"/>
              </w:rPr>
              <w:t>12.376.800</w:t>
            </w:r>
          </w:p>
        </w:tc>
      </w:tr>
      <w:tr w:rsidR="007D3EC5" w:rsidRPr="00B05C10" w:rsidTr="00C46CB1">
        <w:trPr>
          <w:trHeight w:val="70"/>
        </w:trPr>
        <w:tc>
          <w:tcPr>
            <w:tcW w:w="3510" w:type="dxa"/>
            <w:gridSpan w:val="2"/>
            <w:tcBorders>
              <w:top w:val="single" w:sz="4" w:space="0" w:color="auto"/>
              <w:left w:val="single" w:sz="4" w:space="0" w:color="auto"/>
              <w:bottom w:val="single" w:sz="4" w:space="0" w:color="auto"/>
              <w:right w:val="single" w:sz="4" w:space="0" w:color="auto"/>
            </w:tcBorders>
            <w:vAlign w:val="center"/>
          </w:tcPr>
          <w:p w:rsidR="007D3EC5" w:rsidRPr="00B05C10" w:rsidRDefault="007D3EC5" w:rsidP="00C46CB1">
            <w:pPr>
              <w:ind w:right="2"/>
              <w:jc w:val="center"/>
              <w:rPr>
                <w:rFonts w:ascii="Times New Roman" w:eastAsia="Cambria" w:hAnsi="Times New Roman" w:cs="Times New Roman"/>
                <w:b/>
                <w:sz w:val="24"/>
                <w:szCs w:val="24"/>
              </w:rPr>
            </w:pPr>
            <w:r w:rsidRPr="00B05C10">
              <w:rPr>
                <w:rFonts w:ascii="Times New Roman" w:eastAsia="Cambria" w:hAnsi="Times New Roman" w:cs="Times New Roman"/>
                <w:b/>
                <w:sz w:val="24"/>
                <w:szCs w:val="24"/>
              </w:rPr>
              <w:t>PAHO/OMS</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7D3EC5" w:rsidRPr="00B05C10" w:rsidRDefault="007D3EC5" w:rsidP="007D3EC5">
            <w:pPr>
              <w:ind w:right="2"/>
              <w:rPr>
                <w:rFonts w:ascii="Times New Roman" w:hAnsi="Times New Roman" w:cs="Times New Roman"/>
                <w:sz w:val="24"/>
                <w:szCs w:val="24"/>
              </w:rPr>
            </w:pPr>
            <w:r w:rsidRPr="00B05C10">
              <w:rPr>
                <w:rFonts w:ascii="Times New Roman" w:hAnsi="Times New Roman" w:cs="Times New Roman"/>
                <w:sz w:val="24"/>
                <w:szCs w:val="24"/>
              </w:rPr>
              <w:t>Participación de una investigadora con un total de 270 horas distribuidas en 30 horas mensuales durante nueve meses</w:t>
            </w:r>
          </w:p>
        </w:tc>
        <w:tc>
          <w:tcPr>
            <w:tcW w:w="1828" w:type="dxa"/>
            <w:tcBorders>
              <w:top w:val="single" w:sz="4" w:space="0" w:color="auto"/>
              <w:left w:val="single" w:sz="4" w:space="0" w:color="auto"/>
              <w:bottom w:val="single" w:sz="4" w:space="0" w:color="auto"/>
              <w:right w:val="single" w:sz="4" w:space="0" w:color="auto"/>
            </w:tcBorders>
            <w:vAlign w:val="center"/>
          </w:tcPr>
          <w:p w:rsidR="007D3EC5" w:rsidRPr="00B05C10" w:rsidRDefault="007D3EC5" w:rsidP="00C46CB1">
            <w:pPr>
              <w:jc w:val="center"/>
              <w:rPr>
                <w:rFonts w:ascii="Times New Roman" w:hAnsi="Times New Roman" w:cs="Times New Roman"/>
                <w:sz w:val="24"/>
                <w:szCs w:val="24"/>
              </w:rPr>
            </w:pPr>
            <w:r w:rsidRPr="00B05C10">
              <w:rPr>
                <w:rFonts w:ascii="Times New Roman" w:hAnsi="Times New Roman" w:cs="Times New Roman"/>
                <w:sz w:val="24"/>
                <w:szCs w:val="24"/>
              </w:rPr>
              <w:t>22.408.154</w:t>
            </w:r>
          </w:p>
        </w:tc>
      </w:tr>
      <w:tr w:rsidR="005410B3" w:rsidRPr="00B05C10" w:rsidTr="00C46CB1">
        <w:trPr>
          <w:trHeight w:val="70"/>
        </w:trPr>
        <w:tc>
          <w:tcPr>
            <w:tcW w:w="3510" w:type="dxa"/>
            <w:gridSpan w:val="2"/>
            <w:tcBorders>
              <w:top w:val="single" w:sz="4" w:space="0" w:color="auto"/>
              <w:left w:val="single" w:sz="4" w:space="0" w:color="auto"/>
              <w:bottom w:val="single" w:sz="4" w:space="0" w:color="auto"/>
              <w:right w:val="single" w:sz="4" w:space="0" w:color="auto"/>
            </w:tcBorders>
            <w:vAlign w:val="center"/>
          </w:tcPr>
          <w:p w:rsidR="005410B3" w:rsidRPr="00B05C10" w:rsidRDefault="005410B3" w:rsidP="00C46CB1">
            <w:pPr>
              <w:ind w:right="2"/>
              <w:jc w:val="center"/>
              <w:rPr>
                <w:rFonts w:ascii="Times New Roman" w:eastAsia="Cambria" w:hAnsi="Times New Roman" w:cs="Times New Roman"/>
                <w:b/>
                <w:sz w:val="24"/>
                <w:szCs w:val="24"/>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5410B3" w:rsidRPr="00B05C10" w:rsidRDefault="005410B3" w:rsidP="00C46CB1">
            <w:pPr>
              <w:ind w:right="2"/>
              <w:jc w:val="right"/>
              <w:rPr>
                <w:rFonts w:ascii="Times New Roman" w:hAnsi="Times New Roman" w:cs="Times New Roman"/>
                <w:sz w:val="24"/>
                <w:szCs w:val="24"/>
              </w:rPr>
            </w:pPr>
            <w:r w:rsidRPr="00B05C10">
              <w:rPr>
                <w:rFonts w:ascii="Times New Roman" w:hAnsi="Times New Roman" w:cs="Times New Roman"/>
                <w:sz w:val="24"/>
                <w:szCs w:val="24"/>
              </w:rPr>
              <w:t>Total</w:t>
            </w:r>
          </w:p>
        </w:tc>
        <w:tc>
          <w:tcPr>
            <w:tcW w:w="1828" w:type="dxa"/>
            <w:tcBorders>
              <w:top w:val="single" w:sz="4" w:space="0" w:color="auto"/>
              <w:left w:val="single" w:sz="4" w:space="0" w:color="auto"/>
              <w:bottom w:val="single" w:sz="4" w:space="0" w:color="auto"/>
              <w:right w:val="single" w:sz="4" w:space="0" w:color="auto"/>
            </w:tcBorders>
            <w:vAlign w:val="center"/>
          </w:tcPr>
          <w:p w:rsidR="005410B3" w:rsidRPr="006D6290" w:rsidRDefault="007E0F1A" w:rsidP="00C46CB1">
            <w:pPr>
              <w:jc w:val="center"/>
              <w:rPr>
                <w:rFonts w:ascii="Times New Roman" w:hAnsi="Times New Roman" w:cs="Times New Roman"/>
                <w:b/>
                <w:sz w:val="24"/>
                <w:szCs w:val="24"/>
              </w:rPr>
            </w:pPr>
            <w:r>
              <w:rPr>
                <w:rFonts w:ascii="Times New Roman" w:hAnsi="Times New Roman" w:cs="Times New Roman"/>
                <w:b/>
                <w:sz w:val="24"/>
                <w:szCs w:val="24"/>
              </w:rPr>
              <w:t>51.473.870</w:t>
            </w:r>
          </w:p>
        </w:tc>
      </w:tr>
    </w:tbl>
    <w:p w:rsidR="005410B3" w:rsidRPr="00B05C10" w:rsidRDefault="005410B3" w:rsidP="005410B3">
      <w:pPr>
        <w:jc w:val="both"/>
        <w:rPr>
          <w:rFonts w:ascii="Times New Roman" w:hAnsi="Times New Roman" w:cs="Times New Roman"/>
          <w:sz w:val="24"/>
        </w:rPr>
      </w:pPr>
    </w:p>
    <w:p w:rsidR="00B05C10" w:rsidRPr="00B05C10" w:rsidRDefault="00A06555" w:rsidP="00753850">
      <w:pPr>
        <w:pStyle w:val="Ttulo2"/>
        <w:numPr>
          <w:ilvl w:val="0"/>
          <w:numId w:val="10"/>
        </w:numPr>
        <w:rPr>
          <w:lang w:eastAsia="en-US"/>
        </w:rPr>
      </w:pPr>
      <w:r w:rsidRPr="00B05C10">
        <w:rPr>
          <w:lang w:eastAsia="en-US"/>
        </w:rPr>
        <w:t>Bibliografía</w:t>
      </w:r>
    </w:p>
    <w:p w:rsidR="00684E40" w:rsidRPr="00E31067" w:rsidRDefault="00684E40" w:rsidP="00E31067">
      <w:pPr>
        <w:pStyle w:val="Prrafodelista"/>
        <w:widowControl w:val="0"/>
        <w:numPr>
          <w:ilvl w:val="0"/>
          <w:numId w:val="15"/>
        </w:numPr>
        <w:suppressLineNumbers/>
        <w:shd w:val="clear" w:color="auto" w:fill="FFFFFF"/>
        <w:suppressAutoHyphens/>
        <w:spacing w:before="100" w:beforeAutospacing="1" w:after="0" w:afterAutospacing="1" w:line="240" w:lineRule="auto"/>
        <w:jc w:val="both"/>
        <w:rPr>
          <w:rFonts w:ascii="Times New Roman" w:eastAsia="WenQuanYi Zen Hei" w:hAnsi="Times New Roman" w:cs="Times New Roman"/>
          <w:kern w:val="1"/>
          <w:sz w:val="24"/>
          <w:szCs w:val="24"/>
          <w:lang w:val="en-US" w:eastAsia="zh-CN" w:bidi="hi-IN"/>
        </w:rPr>
      </w:pPr>
      <w:r w:rsidRPr="00E31067">
        <w:rPr>
          <w:rFonts w:ascii="Times New Roman" w:eastAsia="WenQuanYi Zen Hei" w:hAnsi="Times New Roman" w:cs="Times New Roman"/>
          <w:kern w:val="1"/>
          <w:sz w:val="24"/>
          <w:szCs w:val="24"/>
          <w:lang w:val="en-US" w:eastAsia="zh-CN" w:bidi="hi-IN"/>
        </w:rPr>
        <w:t>Alliance for Health Policy and Systems Research, WHO (2007). Sound Choices: enhancing capacity for evidence</w:t>
      </w:r>
      <w:r w:rsidR="00E95A41">
        <w:rPr>
          <w:rFonts w:ascii="Times New Roman" w:eastAsia="WenQuanYi Zen Hei" w:hAnsi="Times New Roman" w:cs="Times New Roman"/>
          <w:kern w:val="1"/>
          <w:sz w:val="24"/>
          <w:szCs w:val="24"/>
          <w:lang w:val="en-US" w:eastAsia="zh-CN" w:bidi="hi-IN"/>
        </w:rPr>
        <w:t xml:space="preserve"> </w:t>
      </w:r>
      <w:r w:rsidRPr="00E31067">
        <w:rPr>
          <w:rFonts w:ascii="Times New Roman" w:eastAsia="WenQuanYi Zen Hei" w:hAnsi="Times New Roman" w:cs="Times New Roman"/>
          <w:kern w:val="1"/>
          <w:sz w:val="24"/>
          <w:szCs w:val="24"/>
          <w:lang w:val="en-US" w:eastAsia="zh-CN" w:bidi="hi-IN"/>
        </w:rPr>
        <w:t>informed health policy. http://www.who.int/alliance-</w:t>
      </w:r>
      <w:r w:rsidRPr="00E31067">
        <w:rPr>
          <w:rFonts w:ascii="Times New Roman" w:eastAsia="WenQuanYi Zen Hei" w:hAnsi="Times New Roman" w:cs="Times New Roman"/>
          <w:kern w:val="1"/>
          <w:sz w:val="24"/>
          <w:szCs w:val="24"/>
          <w:lang w:val="en-US" w:eastAsia="zh-CN" w:bidi="hi-IN"/>
        </w:rPr>
        <w:lastRenderedPageBreak/>
        <w:t>hpsr/resources/Alliance_BR.pdf</w:t>
      </w:r>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highlight w:val="white"/>
          <w:lang w:val="es-ES_tradnl" w:eastAsia="es-ES_tradnl"/>
        </w:rPr>
      </w:pPr>
      <w:r w:rsidRPr="00E31067">
        <w:rPr>
          <w:rFonts w:ascii="Times New Roman" w:eastAsia="Arial" w:hAnsi="Times New Roman" w:cs="Times New Roman"/>
          <w:color w:val="222222"/>
          <w:sz w:val="24"/>
          <w:szCs w:val="24"/>
          <w:highlight w:val="white"/>
          <w:lang w:val="es-ES_tradnl" w:eastAsia="es-ES_tradnl"/>
        </w:rPr>
        <w:t xml:space="preserve">Amable M, Benach J, González S. (2001). “La precariedad laboral y su repercusión sobre la salud: conceptos y resultados preliminares de un estudio multimétodos”. </w:t>
      </w:r>
      <w:r w:rsidRPr="00E31067">
        <w:rPr>
          <w:rFonts w:ascii="Times New Roman" w:eastAsia="Arial" w:hAnsi="Times New Roman" w:cs="Times New Roman"/>
          <w:i/>
          <w:color w:val="222222"/>
          <w:sz w:val="24"/>
          <w:szCs w:val="24"/>
          <w:highlight w:val="white"/>
          <w:lang w:val="es-ES_tradnl" w:eastAsia="es-ES_tradnl"/>
        </w:rPr>
        <w:t>Arch. Prev. Riesgos Labor</w:t>
      </w:r>
      <w:r w:rsidRPr="00E31067">
        <w:rPr>
          <w:rFonts w:ascii="Times New Roman" w:eastAsia="Arial" w:hAnsi="Times New Roman" w:cs="Times New Roman"/>
          <w:color w:val="222222"/>
          <w:sz w:val="24"/>
          <w:szCs w:val="24"/>
          <w:highlight w:val="white"/>
          <w:lang w:val="es-ES_tradnl" w:eastAsia="es-ES_tradnl"/>
        </w:rPr>
        <w:t>.; 4(4):169-184.</w:t>
      </w:r>
    </w:p>
    <w:p w:rsidR="00B05C10" w:rsidRPr="00E31067" w:rsidRDefault="00B05C10" w:rsidP="00E31067">
      <w:pPr>
        <w:pStyle w:val="Prrafodelista"/>
        <w:numPr>
          <w:ilvl w:val="0"/>
          <w:numId w:val="15"/>
        </w:numPr>
        <w:shd w:val="clear" w:color="auto" w:fill="FFFFFF"/>
        <w:spacing w:before="100" w:beforeAutospacing="1" w:after="100" w:afterAutospacing="1" w:line="240" w:lineRule="auto"/>
        <w:jc w:val="both"/>
        <w:rPr>
          <w:rFonts w:ascii="Times New Roman" w:eastAsia="Calibri" w:hAnsi="Times New Roman" w:cs="Times New Roman"/>
          <w:color w:val="000000"/>
          <w:sz w:val="24"/>
          <w:lang w:eastAsia="en-US"/>
        </w:rPr>
      </w:pPr>
      <w:r w:rsidRPr="00E31067">
        <w:rPr>
          <w:rFonts w:ascii="Times New Roman" w:eastAsia="Calibri" w:hAnsi="Times New Roman" w:cs="Times New Roman"/>
          <w:color w:val="000000"/>
          <w:sz w:val="24"/>
          <w:lang w:eastAsia="en-US"/>
        </w:rPr>
        <w:t>Ardila S, A. M. (2016). Neoliberalismo y trabajo médico en el Sistema General de Seguridad Social en Salud. Bogotá, Colombia.</w:t>
      </w:r>
    </w:p>
    <w:p w:rsidR="00684E40" w:rsidRPr="00E31067" w:rsidRDefault="00684E40" w:rsidP="00E31067">
      <w:pPr>
        <w:pStyle w:val="Prrafodelista"/>
        <w:numPr>
          <w:ilvl w:val="0"/>
          <w:numId w:val="15"/>
        </w:numPr>
        <w:shd w:val="clear" w:color="auto" w:fill="FFFFFF"/>
        <w:autoSpaceDE w:val="0"/>
        <w:autoSpaceDN w:val="0"/>
        <w:adjustRightInd w:val="0"/>
        <w:spacing w:before="100" w:beforeAutospacing="1" w:after="0" w:afterAutospacing="1" w:line="240" w:lineRule="auto"/>
        <w:jc w:val="both"/>
        <w:rPr>
          <w:rFonts w:ascii="Times New Roman" w:eastAsia="Calibri" w:hAnsi="Times New Roman" w:cs="Times New Roman"/>
          <w:color w:val="000000"/>
          <w:sz w:val="24"/>
          <w:szCs w:val="24"/>
          <w:lang w:eastAsia="en-US"/>
        </w:rPr>
      </w:pPr>
      <w:r w:rsidRPr="00E31067">
        <w:rPr>
          <w:rFonts w:ascii="Times New Roman" w:eastAsia="Calibri" w:hAnsi="Times New Roman" w:cs="Times New Roman"/>
          <w:color w:val="000000"/>
          <w:sz w:val="24"/>
          <w:szCs w:val="24"/>
          <w:lang w:eastAsia="en-US"/>
        </w:rPr>
        <w:t>Attias-Donfut, C (1991). Dynamique socio-historique du cours de vie. En Attias-Donfut, C Que sais-Je? Générations et âges de la vie. Presses Universitaires de France. 81-95.</w:t>
      </w:r>
    </w:p>
    <w:p w:rsidR="00684E40" w:rsidRPr="00E31067" w:rsidRDefault="00684E40" w:rsidP="00E31067">
      <w:pPr>
        <w:pStyle w:val="Prrafodelista"/>
        <w:numPr>
          <w:ilvl w:val="0"/>
          <w:numId w:val="15"/>
        </w:numPr>
        <w:shd w:val="clear" w:color="auto" w:fill="FFFFFF"/>
        <w:spacing w:before="100" w:beforeAutospacing="1" w:after="100" w:afterAutospacing="1" w:line="240" w:lineRule="auto"/>
        <w:jc w:val="both"/>
        <w:rPr>
          <w:rFonts w:ascii="Times New Roman" w:eastAsia="WenQuanYi Zen Hei" w:hAnsi="Times New Roman" w:cs="Times New Roman"/>
          <w:color w:val="000000"/>
          <w:kern w:val="1"/>
          <w:sz w:val="24"/>
          <w:szCs w:val="24"/>
          <w:lang w:eastAsia="zh-CN" w:bidi="hi-IN"/>
        </w:rPr>
      </w:pPr>
      <w:r w:rsidRPr="00E31067">
        <w:rPr>
          <w:rFonts w:ascii="Times New Roman" w:eastAsia="Times New Roman" w:hAnsi="Times New Roman" w:cs="Times New Roman"/>
          <w:color w:val="222222"/>
          <w:sz w:val="24"/>
          <w:szCs w:val="24"/>
          <w:lang w:val="en-US"/>
        </w:rPr>
        <w:t>Benach J, Muntaner C, Santana V. 2007 .</w:t>
      </w:r>
      <w:r w:rsidRPr="00E31067">
        <w:rPr>
          <w:rFonts w:ascii="Times New Roman" w:eastAsia="Calibri" w:hAnsi="Times New Roman" w:cs="Times New Roman"/>
          <w:color w:val="000000"/>
          <w:sz w:val="24"/>
          <w:szCs w:val="24"/>
          <w:lang w:val="en-US" w:eastAsia="en-US"/>
        </w:rPr>
        <w:t xml:space="preserve"> </w:t>
      </w:r>
      <w:r w:rsidRPr="00E31067">
        <w:rPr>
          <w:rFonts w:ascii="Times New Roman" w:eastAsia="WenQuanYi Zen Hei" w:hAnsi="Times New Roman" w:cs="Times New Roman"/>
          <w:color w:val="000000"/>
          <w:kern w:val="1"/>
          <w:sz w:val="24"/>
          <w:szCs w:val="24"/>
          <w:lang w:val="en-US" w:eastAsia="zh-CN" w:bidi="hi-IN"/>
        </w:rPr>
        <w:t xml:space="preserve">Employment Conditions and Health Inequalities. </w:t>
      </w:r>
      <w:r w:rsidRPr="00E31067">
        <w:rPr>
          <w:rFonts w:ascii="Times New Roman" w:eastAsia="WenQuanYi Zen Hei" w:hAnsi="Times New Roman" w:cs="Times New Roman"/>
          <w:color w:val="000000"/>
          <w:kern w:val="1"/>
          <w:sz w:val="24"/>
          <w:szCs w:val="24"/>
          <w:lang w:eastAsia="zh-CN" w:bidi="hi-IN"/>
        </w:rPr>
        <w:t>Informe final de la Comisión de Determinantes sociales en salud.</w:t>
      </w:r>
    </w:p>
    <w:p w:rsidR="00684E40" w:rsidRPr="00E31067" w:rsidRDefault="00684E40" w:rsidP="00E31067">
      <w:pPr>
        <w:pStyle w:val="Prrafodelista"/>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US"/>
        </w:rPr>
      </w:pPr>
      <w:r w:rsidRPr="00E31067">
        <w:rPr>
          <w:rFonts w:ascii="Times New Roman" w:eastAsia="Times New Roman" w:hAnsi="Times New Roman" w:cs="Times New Roman"/>
          <w:color w:val="222222"/>
          <w:sz w:val="24"/>
          <w:szCs w:val="24"/>
        </w:rPr>
        <w:t xml:space="preserve">Benach J, Vives A, Tarafa G, Delcos C, Muntaner C . </w:t>
      </w:r>
      <w:r w:rsidRPr="00E31067">
        <w:rPr>
          <w:rFonts w:ascii="Times New Roman" w:eastAsia="Times New Roman" w:hAnsi="Times New Roman" w:cs="Times New Roman"/>
          <w:color w:val="222222"/>
          <w:sz w:val="24"/>
          <w:szCs w:val="24"/>
          <w:lang w:val="en-US"/>
        </w:rPr>
        <w:t>What should we know about precarious employment and health in 2025? framing the agenda for the next decade of research. International Journal of Epidemiology, 2016, 232–238</w:t>
      </w:r>
    </w:p>
    <w:p w:rsidR="00E31067" w:rsidRPr="00E31067" w:rsidRDefault="00E31067"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highlight w:val="white"/>
          <w:lang w:val="es-ES_tradnl" w:eastAsia="es-ES_tradnl"/>
        </w:rPr>
      </w:pPr>
      <w:r w:rsidRPr="00E31067">
        <w:rPr>
          <w:rFonts w:ascii="Times New Roman" w:eastAsia="Arial" w:hAnsi="Times New Roman" w:cs="Times New Roman"/>
          <w:color w:val="222222"/>
          <w:sz w:val="24"/>
          <w:szCs w:val="24"/>
          <w:highlight w:val="white"/>
          <w:lang w:val="es-ES_tradnl" w:eastAsia="es-ES_tradnl"/>
        </w:rPr>
        <w:t xml:space="preserve">Benach, J., Muntaner, C., Solar, O., Santana, V., &amp; Quinlan, M. (2010). </w:t>
      </w:r>
      <w:r w:rsidRPr="00E31067">
        <w:rPr>
          <w:rFonts w:ascii="Times New Roman" w:eastAsia="Arial" w:hAnsi="Times New Roman" w:cs="Times New Roman"/>
          <w:i/>
          <w:color w:val="222222"/>
          <w:sz w:val="24"/>
          <w:szCs w:val="24"/>
          <w:highlight w:val="white"/>
          <w:lang w:val="es-ES_tradnl" w:eastAsia="es-ES_tradnl"/>
        </w:rPr>
        <w:t>Empleo, trabajo y desigualdades en salud: una visión global</w:t>
      </w:r>
      <w:r w:rsidRPr="00E31067">
        <w:rPr>
          <w:rFonts w:ascii="Times New Roman" w:eastAsia="Arial" w:hAnsi="Times New Roman" w:cs="Times New Roman"/>
          <w:color w:val="222222"/>
          <w:sz w:val="24"/>
          <w:szCs w:val="24"/>
          <w:highlight w:val="white"/>
          <w:lang w:val="es-ES_tradnl" w:eastAsia="es-ES_tradnl"/>
        </w:rPr>
        <w:t>. España: Icaria Editorial.</w:t>
      </w:r>
    </w:p>
    <w:p w:rsidR="00684E40" w:rsidRPr="00E31067" w:rsidRDefault="00684E4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highlight w:val="white"/>
          <w:lang w:val="es-ES_tradnl" w:eastAsia="es-ES_tradnl"/>
        </w:rPr>
      </w:pPr>
      <w:r w:rsidRPr="00E31067">
        <w:rPr>
          <w:rFonts w:ascii="Times New Roman" w:eastAsia="Arial" w:hAnsi="Times New Roman" w:cs="Times New Roman"/>
          <w:color w:val="222222"/>
          <w:sz w:val="24"/>
          <w:szCs w:val="24"/>
          <w:highlight w:val="white"/>
          <w:lang w:val="es-ES_tradnl" w:eastAsia="es-ES_tradnl"/>
        </w:rPr>
        <w:t xml:space="preserve">Berlinguer G. (2007) “Determinantes sociales de las enfermedades”. </w:t>
      </w:r>
      <w:r w:rsidRPr="00E31067">
        <w:rPr>
          <w:rFonts w:ascii="Times New Roman" w:eastAsia="Arial" w:hAnsi="Times New Roman" w:cs="Times New Roman"/>
          <w:i/>
          <w:color w:val="222222"/>
          <w:sz w:val="24"/>
          <w:szCs w:val="24"/>
          <w:highlight w:val="white"/>
          <w:lang w:val="es-ES_tradnl" w:eastAsia="es-ES_tradnl"/>
        </w:rPr>
        <w:t>Rev cub salud pública</w:t>
      </w:r>
      <w:r w:rsidRPr="00E31067">
        <w:rPr>
          <w:rFonts w:ascii="Times New Roman" w:eastAsia="Arial" w:hAnsi="Times New Roman" w:cs="Times New Roman"/>
          <w:color w:val="222222"/>
          <w:sz w:val="24"/>
          <w:szCs w:val="24"/>
          <w:highlight w:val="white"/>
          <w:lang w:val="es-ES_tradnl" w:eastAsia="es-ES_tradnl"/>
        </w:rPr>
        <w:t>. [Serie en Internet] [Citado en 2009, enero 25]; 33(1): [aprox. 16 p.].</w:t>
      </w:r>
    </w:p>
    <w:p w:rsidR="002D4DA6" w:rsidRPr="00E31067" w:rsidRDefault="002D4DA6"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highlight w:val="white"/>
          <w:lang w:val="es-ES_tradnl" w:eastAsia="es-ES_tradnl"/>
        </w:rPr>
      </w:pPr>
      <w:r w:rsidRPr="00E31067">
        <w:rPr>
          <w:rFonts w:ascii="Times New Roman" w:eastAsia="Arial" w:hAnsi="Times New Roman" w:cs="Times New Roman"/>
          <w:color w:val="222222"/>
          <w:sz w:val="24"/>
          <w:szCs w:val="24"/>
          <w:highlight w:val="white"/>
          <w:lang w:val="es-ES_tradnl" w:eastAsia="es-ES_tradnl"/>
        </w:rPr>
        <w:t xml:space="preserve">Cabanelas, J. (1997). Dirección de empresas, bases de un entorno abierto y dinámico. Ed. Ediciones </w:t>
      </w:r>
      <w:r w:rsidR="00D005E7" w:rsidRPr="00E31067">
        <w:rPr>
          <w:rFonts w:ascii="Times New Roman" w:eastAsia="Arial" w:hAnsi="Times New Roman" w:cs="Times New Roman"/>
          <w:color w:val="222222"/>
          <w:sz w:val="24"/>
          <w:szCs w:val="24"/>
          <w:highlight w:val="white"/>
          <w:lang w:val="es-ES_tradnl" w:eastAsia="es-ES_tradnl"/>
        </w:rPr>
        <w:t>pirámide. Madrid. Págs. 554</w:t>
      </w:r>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highlight w:val="white"/>
          <w:lang w:val="es-ES_tradnl" w:eastAsia="es-ES_tradnl"/>
        </w:rPr>
      </w:pPr>
      <w:r w:rsidRPr="00E31067">
        <w:rPr>
          <w:rFonts w:ascii="Times New Roman" w:eastAsia="Arial" w:hAnsi="Times New Roman" w:cs="Times New Roman"/>
          <w:color w:val="222222"/>
          <w:sz w:val="24"/>
          <w:szCs w:val="24"/>
          <w:highlight w:val="white"/>
          <w:lang w:val="es-ES_tradnl" w:eastAsia="es-ES_tradnl"/>
        </w:rPr>
        <w:t xml:space="preserve">Canales-Vergara, M., Valenzuela-Suazo, S., &amp; Paravic-Klijn, T. (2016). Condiciones de trabajo de los profesionales de enfermería en Chile. </w:t>
      </w:r>
      <w:r w:rsidRPr="00E31067">
        <w:rPr>
          <w:rFonts w:ascii="Times New Roman" w:eastAsia="Arial" w:hAnsi="Times New Roman" w:cs="Times New Roman"/>
          <w:i/>
          <w:color w:val="222222"/>
          <w:sz w:val="24"/>
          <w:szCs w:val="24"/>
          <w:highlight w:val="white"/>
          <w:lang w:val="es-ES_tradnl" w:eastAsia="es-ES_tradnl"/>
        </w:rPr>
        <w:t>Enfermería Universitaria</w:t>
      </w:r>
      <w:r w:rsidRPr="00E31067">
        <w:rPr>
          <w:rFonts w:ascii="Times New Roman" w:eastAsia="Arial" w:hAnsi="Times New Roman" w:cs="Times New Roman"/>
          <w:color w:val="222222"/>
          <w:sz w:val="24"/>
          <w:szCs w:val="24"/>
          <w:highlight w:val="white"/>
          <w:lang w:val="es-ES_tradnl" w:eastAsia="es-ES_tradnl"/>
        </w:rPr>
        <w:t>, 13(3), 178–186.</w:t>
      </w:r>
    </w:p>
    <w:p w:rsidR="00E31067" w:rsidRPr="00E31067" w:rsidRDefault="00E31067" w:rsidP="00E31067">
      <w:pPr>
        <w:pStyle w:val="Prrafodelista"/>
        <w:widowControl w:val="0"/>
        <w:numPr>
          <w:ilvl w:val="0"/>
          <w:numId w:val="15"/>
        </w:numPr>
        <w:suppressLineNumbers/>
        <w:shd w:val="clear" w:color="auto" w:fill="FFFFFF"/>
        <w:suppressAutoHyphens/>
        <w:spacing w:before="100" w:beforeAutospacing="1" w:after="0" w:afterAutospacing="1" w:line="240" w:lineRule="auto"/>
        <w:jc w:val="both"/>
        <w:rPr>
          <w:rFonts w:ascii="Times New Roman" w:eastAsia="WenQuanYi Zen Hei" w:hAnsi="Times New Roman" w:cs="Times New Roman"/>
          <w:kern w:val="1"/>
          <w:sz w:val="24"/>
          <w:szCs w:val="24"/>
          <w:lang w:val="en-US" w:eastAsia="zh-CN" w:bidi="hi-IN"/>
        </w:rPr>
      </w:pPr>
      <w:r w:rsidRPr="00E31067">
        <w:rPr>
          <w:rFonts w:ascii="Times New Roman" w:eastAsia="WenQuanYi Zen Hei" w:hAnsi="Times New Roman" w:cs="Times New Roman"/>
          <w:kern w:val="1"/>
          <w:sz w:val="24"/>
          <w:szCs w:val="24"/>
          <w:lang w:eastAsia="zh-CN" w:bidi="hi-IN"/>
        </w:rPr>
        <w:t xml:space="preserve">Casajuana C, Cofiño R, López M. Evaluación del Observatorio de Salud de Asturias: métricas de web y redes sociales, y opinión de los profesionales de la salud Gac Sanit. </w:t>
      </w:r>
      <w:r w:rsidRPr="00E31067">
        <w:rPr>
          <w:rFonts w:ascii="Times New Roman" w:eastAsia="WenQuanYi Zen Hei" w:hAnsi="Times New Roman" w:cs="Times New Roman"/>
          <w:kern w:val="1"/>
          <w:sz w:val="24"/>
          <w:szCs w:val="24"/>
          <w:lang w:val="en-US" w:eastAsia="zh-CN" w:bidi="hi-IN"/>
        </w:rPr>
        <w:t>2014;28(3):183–189</w:t>
      </w:r>
    </w:p>
    <w:p w:rsidR="00E31067" w:rsidRPr="00E31067" w:rsidRDefault="00E31067" w:rsidP="00E31067">
      <w:pPr>
        <w:pStyle w:val="Prrafodelista"/>
        <w:widowControl w:val="0"/>
        <w:numPr>
          <w:ilvl w:val="0"/>
          <w:numId w:val="15"/>
        </w:numPr>
        <w:suppressLineNumbers/>
        <w:shd w:val="clear" w:color="auto" w:fill="FFFFFF"/>
        <w:suppressAutoHyphens/>
        <w:spacing w:before="100" w:beforeAutospacing="1" w:after="0" w:afterAutospacing="1" w:line="240" w:lineRule="auto"/>
        <w:jc w:val="both"/>
        <w:rPr>
          <w:rFonts w:ascii="Times New Roman" w:eastAsia="WenQuanYi Zen Hei" w:hAnsi="Times New Roman" w:cs="Times New Roman"/>
          <w:kern w:val="1"/>
          <w:sz w:val="24"/>
          <w:szCs w:val="24"/>
          <w:lang w:val="en-US" w:eastAsia="zh-CN" w:bidi="hi-IN"/>
        </w:rPr>
      </w:pPr>
      <w:r w:rsidRPr="00E31067">
        <w:rPr>
          <w:rFonts w:ascii="Times New Roman" w:eastAsia="WenQuanYi Zen Hei" w:hAnsi="Times New Roman" w:cs="Times New Roman"/>
          <w:kern w:val="1"/>
          <w:sz w:val="24"/>
          <w:szCs w:val="24"/>
          <w:lang w:val="en-US" w:eastAsia="zh-CN" w:bidi="hi-IN"/>
        </w:rPr>
        <w:t xml:space="preserve">CEPAL, 2017. Panorama social de América Látina 2016. Santiago de Chile. Págs. 1 – 290. Disponible en: </w:t>
      </w:r>
      <w:hyperlink r:id="rId19" w:history="1">
        <w:r w:rsidRPr="00E31067">
          <w:rPr>
            <w:rStyle w:val="Hipervnculo"/>
            <w:rFonts w:ascii="Times New Roman" w:eastAsia="WenQuanYi Zen Hei" w:hAnsi="Times New Roman" w:cs="Times New Roman"/>
            <w:kern w:val="1"/>
            <w:sz w:val="24"/>
            <w:szCs w:val="24"/>
            <w:lang w:val="en-US" w:eastAsia="zh-CN" w:bidi="hi-IN"/>
          </w:rPr>
          <w:t>https://www.cepal.org/es/publicaciones/41598-panorama-social-america-latina-2016</w:t>
        </w:r>
      </w:hyperlink>
      <w:r w:rsidRPr="00E31067">
        <w:rPr>
          <w:rFonts w:ascii="Times New Roman" w:eastAsia="WenQuanYi Zen Hei" w:hAnsi="Times New Roman" w:cs="Times New Roman"/>
          <w:kern w:val="1"/>
          <w:sz w:val="24"/>
          <w:szCs w:val="24"/>
          <w:lang w:val="en-US" w:eastAsia="zh-CN" w:bidi="hi-IN"/>
        </w:rPr>
        <w:t xml:space="preserve">. Acceso Agosto de 2017 </w:t>
      </w:r>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lang w:val="es-ES_tradnl" w:eastAsia="es-ES_tradnl"/>
        </w:rPr>
      </w:pPr>
      <w:r w:rsidRPr="00E31067">
        <w:rPr>
          <w:rFonts w:ascii="Times New Roman" w:eastAsia="Arial" w:hAnsi="Times New Roman" w:cs="Times New Roman"/>
          <w:color w:val="222222"/>
          <w:sz w:val="24"/>
          <w:szCs w:val="24"/>
          <w:lang w:val="es-ES_tradnl" w:eastAsia="es-ES_tradnl"/>
        </w:rPr>
        <w:t>Código Sustantivo del Trabajo. (s.f.). Ley 2663 del 5 de agosto de 1950.</w:t>
      </w:r>
    </w:p>
    <w:p w:rsidR="00B05C10" w:rsidRPr="00E31067" w:rsidRDefault="00B05C10" w:rsidP="00E31067">
      <w:pPr>
        <w:pStyle w:val="Prrafodelista"/>
        <w:numPr>
          <w:ilvl w:val="0"/>
          <w:numId w:val="15"/>
        </w:numPr>
        <w:shd w:val="clear" w:color="auto" w:fill="FFFFFF"/>
        <w:spacing w:before="100" w:beforeAutospacing="1" w:after="100" w:afterAutospacing="1" w:line="240" w:lineRule="auto"/>
        <w:jc w:val="both"/>
        <w:rPr>
          <w:rFonts w:ascii="Times New Roman" w:eastAsia="Calibri" w:hAnsi="Times New Roman" w:cs="Times New Roman"/>
          <w:color w:val="000000"/>
          <w:sz w:val="24"/>
          <w:lang w:eastAsia="en-US"/>
        </w:rPr>
      </w:pPr>
      <w:r w:rsidRPr="00E31067">
        <w:rPr>
          <w:rFonts w:ascii="Times New Roman" w:eastAsia="Calibri" w:hAnsi="Times New Roman" w:cs="Times New Roman"/>
          <w:color w:val="000000"/>
          <w:sz w:val="24"/>
          <w:lang w:eastAsia="en-US"/>
        </w:rPr>
        <w:t>Congreso de Colombia. (2012). Ley 1562 del 2012. Colombia.</w:t>
      </w:r>
    </w:p>
    <w:p w:rsidR="00B05C10" w:rsidRPr="00E31067" w:rsidRDefault="00B05C10" w:rsidP="00E31067">
      <w:pPr>
        <w:pStyle w:val="Prrafodelista"/>
        <w:numPr>
          <w:ilvl w:val="0"/>
          <w:numId w:val="15"/>
        </w:numPr>
        <w:shd w:val="clear" w:color="auto" w:fill="FFFFFF"/>
        <w:spacing w:before="100" w:beforeAutospacing="1" w:after="100" w:afterAutospacing="1" w:line="240" w:lineRule="auto"/>
        <w:jc w:val="both"/>
        <w:rPr>
          <w:rFonts w:ascii="Times New Roman" w:eastAsia="Calibri" w:hAnsi="Times New Roman" w:cs="Times New Roman"/>
          <w:color w:val="000000"/>
          <w:sz w:val="24"/>
          <w:lang w:eastAsia="en-US"/>
        </w:rPr>
      </w:pPr>
      <w:r w:rsidRPr="00E31067">
        <w:rPr>
          <w:rFonts w:ascii="Times New Roman" w:eastAsia="Calibri" w:hAnsi="Times New Roman" w:cs="Times New Roman"/>
          <w:color w:val="000000"/>
          <w:sz w:val="24"/>
          <w:lang w:eastAsia="en-US"/>
        </w:rPr>
        <w:t>Congreso de la Colombia. (2013). Ley 1616 de 2013. Colombia.</w:t>
      </w:r>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highlight w:val="white"/>
          <w:lang w:val="es-ES_tradnl" w:eastAsia="es-ES_tradnl"/>
        </w:rPr>
      </w:pPr>
      <w:r w:rsidRPr="00E31067">
        <w:rPr>
          <w:rFonts w:ascii="Times New Roman" w:eastAsia="Arial" w:hAnsi="Times New Roman" w:cs="Times New Roman"/>
          <w:color w:val="222222"/>
          <w:sz w:val="24"/>
          <w:szCs w:val="24"/>
          <w:highlight w:val="white"/>
          <w:lang w:val="pt-BR" w:eastAsia="es-ES_tradnl"/>
        </w:rPr>
        <w:t xml:space="preserve">Cruz Robazzi, Maria Lucia do Carmo, Chaves Mauro, Maria Yvone, Barcellos Dalri, Rita de Cássia de Marchi, Almeida da Silva, Luiz, de Oliveira Secco, Iara Aparecida, &amp; Jorge Pedrão, Luiz. </w:t>
      </w:r>
      <w:r w:rsidRPr="00E31067">
        <w:rPr>
          <w:rFonts w:ascii="Times New Roman" w:eastAsia="Arial" w:hAnsi="Times New Roman" w:cs="Times New Roman"/>
          <w:color w:val="222222"/>
          <w:sz w:val="24"/>
          <w:szCs w:val="24"/>
          <w:highlight w:val="white"/>
          <w:lang w:val="es-ES_tradnl" w:eastAsia="es-ES_tradnl"/>
        </w:rPr>
        <w:t xml:space="preserve">(2010). Exceso de trabajo y agravios mentales a los trabajadores de la salud. Revista Cubana de Enfermería, 26(1), 52-64. </w:t>
      </w:r>
      <w:r w:rsidR="00C07724" w:rsidRPr="00E31067">
        <w:rPr>
          <w:rFonts w:ascii="Times New Roman" w:eastAsia="Arial" w:hAnsi="Times New Roman" w:cs="Times New Roman"/>
          <w:color w:val="222222"/>
          <w:sz w:val="24"/>
          <w:szCs w:val="24"/>
          <w:highlight w:val="white"/>
          <w:lang w:val="es-ES_tradnl" w:eastAsia="es-ES_tradnl"/>
        </w:rPr>
        <w:t xml:space="preserve"> Disponible en: </w:t>
      </w:r>
      <w:hyperlink r:id="rId20" w:history="1">
        <w:r w:rsidR="00C07724" w:rsidRPr="00E31067">
          <w:rPr>
            <w:rStyle w:val="Hipervnculo"/>
            <w:rFonts w:ascii="Times New Roman" w:eastAsia="Arial" w:hAnsi="Times New Roman" w:cs="Times New Roman"/>
            <w:sz w:val="24"/>
            <w:szCs w:val="24"/>
            <w:highlight w:val="white"/>
            <w:lang w:val="es-ES_tradnl" w:eastAsia="es-ES_tradnl"/>
          </w:rPr>
          <w:t>http://scielo.sld.cu/scielo.php?script=sci_arttext&amp;pid=S0864-</w:t>
        </w:r>
      </w:hyperlink>
      <w:r w:rsidRPr="00E31067">
        <w:rPr>
          <w:rFonts w:ascii="Times New Roman" w:eastAsia="Arial" w:hAnsi="Times New Roman" w:cs="Times New Roman"/>
          <w:color w:val="222222"/>
          <w:sz w:val="24"/>
          <w:szCs w:val="24"/>
          <w:highlight w:val="white"/>
          <w:lang w:val="es-ES_tradnl" w:eastAsia="es-ES_tradnl"/>
        </w:rPr>
        <w:t>03192010000100009&amp;lng=es&amp;tlng=es.</w:t>
      </w:r>
      <w:r w:rsidR="00C07724" w:rsidRPr="00E31067">
        <w:rPr>
          <w:rFonts w:ascii="Times New Roman" w:eastAsia="Arial" w:hAnsi="Times New Roman" w:cs="Times New Roman"/>
          <w:color w:val="222222"/>
          <w:sz w:val="24"/>
          <w:szCs w:val="24"/>
          <w:highlight w:val="white"/>
          <w:lang w:val="es-ES_tradnl" w:eastAsia="es-ES_tradnl"/>
        </w:rPr>
        <w:t xml:space="preserve"> Recuperado en 26 de agosto de 2017 </w:t>
      </w:r>
    </w:p>
    <w:p w:rsidR="00684E40" w:rsidRPr="00E31067" w:rsidRDefault="00684E40" w:rsidP="00E31067">
      <w:pPr>
        <w:pStyle w:val="Prrafodelista"/>
        <w:numPr>
          <w:ilvl w:val="0"/>
          <w:numId w:val="15"/>
        </w:numPr>
        <w:shd w:val="clear" w:color="auto" w:fill="FFFFFF"/>
        <w:autoSpaceDE w:val="0"/>
        <w:autoSpaceDN w:val="0"/>
        <w:adjustRightInd w:val="0"/>
        <w:spacing w:before="100" w:beforeAutospacing="1" w:after="0" w:afterAutospacing="1" w:line="240" w:lineRule="auto"/>
        <w:jc w:val="both"/>
        <w:rPr>
          <w:rFonts w:ascii="Times New Roman" w:eastAsia="Calibri" w:hAnsi="Times New Roman" w:cs="Times New Roman"/>
          <w:color w:val="000000"/>
          <w:sz w:val="24"/>
          <w:szCs w:val="24"/>
          <w:lang w:eastAsia="en-US"/>
        </w:rPr>
      </w:pPr>
      <w:r w:rsidRPr="00E31067">
        <w:rPr>
          <w:rFonts w:ascii="Times New Roman" w:eastAsia="Calibri" w:hAnsi="Times New Roman" w:cs="Times New Roman"/>
          <w:color w:val="000000"/>
          <w:sz w:val="24"/>
          <w:szCs w:val="24"/>
          <w:lang w:val="en-US" w:eastAsia="en-US"/>
        </w:rPr>
        <w:t>Elder G, Rudking L, Conger R.  (1995) Intergenerational continuity and Change in Rural Americ En Bengtson V, Schale W, Burton L. Adult Intergenerational.  S</w:t>
      </w:r>
      <w:r w:rsidRPr="00E31067">
        <w:rPr>
          <w:rFonts w:ascii="Times New Roman" w:eastAsia="Calibri" w:hAnsi="Times New Roman" w:cs="Times New Roman"/>
          <w:color w:val="000000"/>
          <w:sz w:val="24"/>
          <w:szCs w:val="24"/>
          <w:lang w:eastAsia="en-US"/>
        </w:rPr>
        <w:t>pringer Publishing Company. 30-60</w:t>
      </w:r>
    </w:p>
    <w:p w:rsidR="00E31067" w:rsidRDefault="00E31067" w:rsidP="00E31067">
      <w:pPr>
        <w:shd w:val="clear" w:color="auto" w:fill="FFFFFF"/>
        <w:autoSpaceDE w:val="0"/>
        <w:autoSpaceDN w:val="0"/>
        <w:adjustRightInd w:val="0"/>
        <w:spacing w:before="100" w:beforeAutospacing="1" w:after="0" w:afterAutospacing="1" w:line="240" w:lineRule="auto"/>
        <w:ind w:left="360"/>
        <w:contextualSpacing/>
        <w:jc w:val="both"/>
        <w:rPr>
          <w:rFonts w:ascii="Times New Roman" w:eastAsia="Times New Roman" w:hAnsi="Times New Roman" w:cs="Times New Roman"/>
          <w:color w:val="222222"/>
          <w:sz w:val="24"/>
          <w:szCs w:val="24"/>
        </w:rPr>
      </w:pPr>
    </w:p>
    <w:p w:rsidR="00E31067" w:rsidRPr="00E31067" w:rsidRDefault="00E31067" w:rsidP="00E31067">
      <w:pPr>
        <w:pStyle w:val="Prrafodelista"/>
        <w:numPr>
          <w:ilvl w:val="0"/>
          <w:numId w:val="15"/>
        </w:numPr>
        <w:shd w:val="clear" w:color="auto" w:fill="FFFFFF"/>
        <w:autoSpaceDE w:val="0"/>
        <w:autoSpaceDN w:val="0"/>
        <w:adjustRightInd w:val="0"/>
        <w:spacing w:before="100" w:beforeAutospacing="1" w:after="0" w:afterAutospacing="1" w:line="240" w:lineRule="auto"/>
        <w:jc w:val="both"/>
        <w:rPr>
          <w:rFonts w:ascii="Times New Roman" w:eastAsia="Times New Roman" w:hAnsi="Times New Roman" w:cs="Times New Roman"/>
          <w:color w:val="222222"/>
          <w:sz w:val="24"/>
          <w:szCs w:val="24"/>
        </w:rPr>
      </w:pPr>
      <w:r w:rsidRPr="00E31067">
        <w:rPr>
          <w:rFonts w:ascii="Times New Roman" w:eastAsia="Times New Roman" w:hAnsi="Times New Roman" w:cs="Times New Roman"/>
          <w:color w:val="222222"/>
          <w:sz w:val="24"/>
          <w:szCs w:val="24"/>
        </w:rPr>
        <w:lastRenderedPageBreak/>
        <w:t>Esping-Andersen G (1990) Los tres mundos del Estado de Bienestar.  Diputació provincial de València. .Edicions Alfons El Magnànim. Generalitat Valenciana</w:t>
      </w:r>
    </w:p>
    <w:p w:rsidR="00684E40" w:rsidRPr="00E31067" w:rsidRDefault="00684E40" w:rsidP="00E31067">
      <w:pPr>
        <w:pStyle w:val="Prrafodelista"/>
        <w:numPr>
          <w:ilvl w:val="0"/>
          <w:numId w:val="15"/>
        </w:numPr>
        <w:autoSpaceDE w:val="0"/>
        <w:autoSpaceDN w:val="0"/>
        <w:adjustRightInd w:val="0"/>
        <w:spacing w:after="0" w:line="240" w:lineRule="auto"/>
        <w:rPr>
          <w:rFonts w:ascii="Times New Roman" w:eastAsia="Arial" w:hAnsi="Times New Roman" w:cs="Times New Roman"/>
          <w:color w:val="222222"/>
          <w:sz w:val="24"/>
          <w:szCs w:val="24"/>
          <w:highlight w:val="white"/>
          <w:lang w:val="es-ES_tradnl" w:eastAsia="es-ES_tradnl"/>
        </w:rPr>
      </w:pPr>
      <w:r w:rsidRPr="00E31067">
        <w:rPr>
          <w:rFonts w:ascii="Times New Roman" w:eastAsia="Arial" w:hAnsi="Times New Roman" w:cs="Times New Roman"/>
          <w:color w:val="222222"/>
          <w:sz w:val="24"/>
          <w:szCs w:val="24"/>
          <w:highlight w:val="white"/>
          <w:lang w:val="es-ES_tradnl" w:eastAsia="es-ES_tradnl"/>
        </w:rPr>
        <w:t>Farné S, Vergara, C.(2007).Calidad del empleo: Zqué tan satisfechos estan los colombianos con su trabajo? Coyuntura Social No. 36,  pp. 51-70. Fedesarrollo, Bogota - Colombia.</w:t>
      </w:r>
    </w:p>
    <w:p w:rsidR="00684E40" w:rsidRPr="00E31067" w:rsidRDefault="00684E40" w:rsidP="00E31067">
      <w:pPr>
        <w:pStyle w:val="Prrafodelista"/>
        <w:numPr>
          <w:ilvl w:val="0"/>
          <w:numId w:val="15"/>
        </w:numPr>
        <w:shd w:val="clear" w:color="auto" w:fill="FFFFFF"/>
        <w:spacing w:before="100" w:beforeAutospacing="1" w:after="100" w:afterAutospacing="1" w:line="240" w:lineRule="auto"/>
        <w:jc w:val="both"/>
        <w:rPr>
          <w:rFonts w:ascii="Times New Roman" w:eastAsia="Calibri" w:hAnsi="Times New Roman" w:cs="Times New Roman"/>
          <w:bCs/>
          <w:color w:val="000000"/>
          <w:sz w:val="24"/>
          <w:szCs w:val="24"/>
          <w:lang w:val="en-US" w:eastAsia="en-US"/>
        </w:rPr>
      </w:pPr>
      <w:r w:rsidRPr="00E31067">
        <w:rPr>
          <w:rFonts w:ascii="Times New Roman" w:eastAsia="Calibri" w:hAnsi="Times New Roman" w:cs="Times New Roman"/>
          <w:bCs/>
          <w:color w:val="000000"/>
          <w:sz w:val="24"/>
          <w:szCs w:val="24"/>
          <w:lang w:val="en-US" w:eastAsia="en-US"/>
        </w:rPr>
        <w:t xml:space="preserve">Fischer, F. (2009). Citizens and experts in Deliberative Democracy: From Theory to Experimentation. In F. Fischer (Ed.), Democracy and Expertise. reorienting Policy Inquiry (pp. 77-102). Oxford: Oxford University Press. </w:t>
      </w:r>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highlight w:val="white"/>
          <w:lang w:val="en-US" w:eastAsia="es-ES_tradnl"/>
        </w:rPr>
      </w:pPr>
      <w:r w:rsidRPr="00E31067">
        <w:rPr>
          <w:rFonts w:ascii="Times New Roman" w:eastAsia="Arial" w:hAnsi="Times New Roman" w:cs="Times New Roman"/>
          <w:color w:val="222222"/>
          <w:sz w:val="24"/>
          <w:szCs w:val="24"/>
          <w:highlight w:val="white"/>
          <w:lang w:val="es-ES_tradnl" w:eastAsia="es-ES_tradnl"/>
        </w:rPr>
        <w:t xml:space="preserve">George, J. (2015). El mobbing como patología emergente de la relación salud-trabajo en el ámbito sanitario. </w:t>
      </w:r>
      <w:r w:rsidRPr="00E31067">
        <w:rPr>
          <w:rFonts w:ascii="Times New Roman" w:eastAsia="Arial" w:hAnsi="Times New Roman" w:cs="Times New Roman"/>
          <w:color w:val="222222"/>
          <w:sz w:val="24"/>
          <w:szCs w:val="24"/>
          <w:highlight w:val="white"/>
          <w:lang w:val="en-US" w:eastAsia="es-ES_tradnl"/>
        </w:rPr>
        <w:t>Revista Uruguaya de Enfermería, 3(1).</w:t>
      </w:r>
    </w:p>
    <w:p w:rsidR="00684E40" w:rsidRPr="00E31067" w:rsidRDefault="00684E40" w:rsidP="00E31067">
      <w:pPr>
        <w:pStyle w:val="Prrafodelista"/>
        <w:numPr>
          <w:ilvl w:val="0"/>
          <w:numId w:val="15"/>
        </w:numPr>
        <w:shd w:val="clear" w:color="auto" w:fill="FFFFFF"/>
        <w:autoSpaceDE w:val="0"/>
        <w:autoSpaceDN w:val="0"/>
        <w:adjustRightInd w:val="0"/>
        <w:spacing w:before="100" w:beforeAutospacing="1" w:after="0" w:afterAutospacing="1" w:line="240" w:lineRule="auto"/>
        <w:jc w:val="both"/>
        <w:rPr>
          <w:rFonts w:ascii="Times New Roman" w:eastAsia="Calibri" w:hAnsi="Times New Roman" w:cs="Times New Roman"/>
          <w:color w:val="000000"/>
          <w:sz w:val="24"/>
          <w:szCs w:val="24"/>
          <w:lang w:eastAsia="en-US"/>
        </w:rPr>
      </w:pPr>
      <w:r w:rsidRPr="00E31067">
        <w:rPr>
          <w:rFonts w:ascii="Times New Roman" w:eastAsia="Calibri" w:hAnsi="Times New Roman" w:cs="Times New Roman"/>
          <w:color w:val="000000"/>
          <w:sz w:val="24"/>
          <w:szCs w:val="24"/>
          <w:lang w:eastAsia="en-US"/>
        </w:rPr>
        <w:t>Guillemard AM (2008) . Un cours de vie plus flexible, de noveaux profils de risques, enjeux pour la protection sociale. En Guillemard AM. ù va la protection sociale? Le lien social 25-48</w:t>
      </w:r>
    </w:p>
    <w:p w:rsidR="00684E40" w:rsidRPr="00E31067" w:rsidRDefault="00684E40" w:rsidP="00E31067">
      <w:pPr>
        <w:pStyle w:val="Prrafodelista"/>
        <w:numPr>
          <w:ilvl w:val="0"/>
          <w:numId w:val="15"/>
        </w:numPr>
        <w:shd w:val="clear" w:color="auto" w:fill="FFFFFF"/>
        <w:spacing w:before="100" w:beforeAutospacing="1" w:after="0" w:afterAutospacing="1" w:line="240" w:lineRule="auto"/>
        <w:jc w:val="both"/>
        <w:rPr>
          <w:rFonts w:ascii="Times New Roman" w:eastAsia="Times New Roman" w:hAnsi="Times New Roman" w:cs="Times New Roman"/>
          <w:color w:val="222222"/>
          <w:sz w:val="24"/>
          <w:szCs w:val="24"/>
          <w:lang w:val="en-US"/>
        </w:rPr>
      </w:pPr>
      <w:r w:rsidRPr="00E31067">
        <w:rPr>
          <w:rFonts w:ascii="Times New Roman" w:eastAsia="Calibri" w:hAnsi="Times New Roman" w:cs="Times New Roman"/>
          <w:color w:val="000000"/>
          <w:sz w:val="24"/>
          <w:szCs w:val="24"/>
          <w:lang w:val="en-US" w:eastAsia="en-US"/>
        </w:rPr>
        <w:t>Gordon D, Fischbacher  C, Stockton D. Improving the view of Scotland’s health: The impact of a public health observatory upon health improvement policy, action and monitoring in a devolved nation. Public Health 124 (2010) 259 e264</w:t>
      </w:r>
    </w:p>
    <w:p w:rsidR="00C07724" w:rsidRPr="00E31067" w:rsidRDefault="00C07724" w:rsidP="00E31067">
      <w:pPr>
        <w:pStyle w:val="Prrafodelista"/>
        <w:numPr>
          <w:ilvl w:val="0"/>
          <w:numId w:val="15"/>
        </w:numPr>
        <w:autoSpaceDE w:val="0"/>
        <w:autoSpaceDN w:val="0"/>
        <w:adjustRightInd w:val="0"/>
        <w:spacing w:after="0" w:line="240" w:lineRule="auto"/>
        <w:rPr>
          <w:rFonts w:ascii="Times New Roman" w:eastAsia="Arial" w:hAnsi="Times New Roman" w:cs="Times New Roman"/>
          <w:color w:val="222222"/>
          <w:sz w:val="24"/>
          <w:szCs w:val="24"/>
          <w:highlight w:val="white"/>
          <w:lang w:val="en-US" w:eastAsia="es-ES_tradnl"/>
        </w:rPr>
      </w:pPr>
      <w:r w:rsidRPr="00E31067">
        <w:rPr>
          <w:rFonts w:ascii="Times New Roman" w:eastAsia="Arial" w:hAnsi="Times New Roman" w:cs="Times New Roman"/>
          <w:color w:val="222222"/>
          <w:sz w:val="24"/>
          <w:szCs w:val="24"/>
          <w:highlight w:val="white"/>
          <w:lang w:val="en-US" w:eastAsia="es-ES_tradnl"/>
        </w:rPr>
        <w:t xml:space="preserve">Gómez M. A. (2014). </w:t>
      </w:r>
      <w:r w:rsidRPr="00E31067">
        <w:rPr>
          <w:rFonts w:ascii="Times New Roman" w:eastAsia="Arial" w:hAnsi="Times New Roman" w:cs="Times New Roman"/>
          <w:color w:val="222222"/>
          <w:sz w:val="24"/>
          <w:szCs w:val="24"/>
          <w:highlight w:val="white"/>
          <w:lang w:val="es-ES_tradnl" w:eastAsia="es-ES_tradnl"/>
        </w:rPr>
        <w:t>Sobre la flexibilidad laboral en Colombia y la precarización del empleo. Divers.: Perspect. Psicol. / ISSN: 1794-9998 / Vol. 10 / No. 1 / 2014 / pp. 103-116</w:t>
      </w:r>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highlight w:val="white"/>
          <w:lang w:val="es-ES_tradnl" w:eastAsia="es-ES_tradnl"/>
        </w:rPr>
      </w:pPr>
      <w:r w:rsidRPr="00E31067">
        <w:rPr>
          <w:rFonts w:ascii="Times New Roman" w:eastAsia="Arial" w:hAnsi="Times New Roman" w:cs="Times New Roman"/>
          <w:color w:val="222222"/>
          <w:sz w:val="24"/>
          <w:szCs w:val="24"/>
          <w:highlight w:val="white"/>
          <w:lang w:eastAsia="es-ES_tradnl"/>
        </w:rPr>
        <w:t xml:space="preserve">Lopez-Ruiz, M., Benavides, F. G., Vives, A., &amp; Artazcoz, L. (2017). </w:t>
      </w:r>
      <w:r w:rsidRPr="00E31067">
        <w:rPr>
          <w:rFonts w:ascii="Times New Roman" w:eastAsia="Arial" w:hAnsi="Times New Roman" w:cs="Times New Roman"/>
          <w:color w:val="222222"/>
          <w:sz w:val="24"/>
          <w:szCs w:val="24"/>
          <w:highlight w:val="white"/>
          <w:lang w:val="en-US" w:eastAsia="es-ES_tradnl"/>
        </w:rPr>
        <w:t xml:space="preserve">Informal employment, unpaid care work, and health status in Spanish-speaking Central American countries: a gender-based approach. </w:t>
      </w:r>
      <w:r w:rsidRPr="00E31067">
        <w:rPr>
          <w:rFonts w:ascii="Times New Roman" w:eastAsia="Arial" w:hAnsi="Times New Roman" w:cs="Times New Roman"/>
          <w:color w:val="222222"/>
          <w:sz w:val="24"/>
          <w:szCs w:val="24"/>
          <w:highlight w:val="white"/>
          <w:lang w:val="es-ES_tradnl" w:eastAsia="es-ES_tradnl"/>
        </w:rPr>
        <w:t xml:space="preserve">International Journal of Public Health, 62(2), 209–218. </w:t>
      </w:r>
    </w:p>
    <w:p w:rsidR="00684E40" w:rsidRPr="00E31067" w:rsidRDefault="00684E40" w:rsidP="00E31067">
      <w:pPr>
        <w:pStyle w:val="Prrafodelista"/>
        <w:numPr>
          <w:ilvl w:val="0"/>
          <w:numId w:val="15"/>
        </w:num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val="en-US" w:eastAsia="en-US"/>
        </w:rPr>
      </w:pPr>
      <w:r w:rsidRPr="00E31067">
        <w:rPr>
          <w:rFonts w:ascii="Times New Roman" w:eastAsia="Calibri" w:hAnsi="Times New Roman" w:cs="Times New Roman"/>
          <w:color w:val="000000"/>
          <w:sz w:val="24"/>
          <w:szCs w:val="24"/>
          <w:lang w:val="en-US" w:eastAsia="en-US"/>
        </w:rPr>
        <w:t xml:space="preserve">Hemmings J, Wilkinson J. What is a public health observatory? J Epidemiol Community Health 2003;57:324–326 </w:t>
      </w:r>
      <w:hyperlink r:id="rId21" w:history="1">
        <w:r w:rsidRPr="00E31067">
          <w:rPr>
            <w:rFonts w:ascii="Times New Roman" w:eastAsia="Calibri" w:hAnsi="Times New Roman" w:cs="Times New Roman"/>
            <w:color w:val="0563C1"/>
            <w:sz w:val="24"/>
            <w:szCs w:val="24"/>
            <w:u w:val="single"/>
            <w:lang w:val="en-US" w:eastAsia="en-US"/>
          </w:rPr>
          <w:t>http://jech.bmj.com/content/jech/57/5/324.full.pdf</w:t>
        </w:r>
      </w:hyperlink>
    </w:p>
    <w:p w:rsidR="00684E40" w:rsidRPr="00E31067" w:rsidRDefault="00684E40" w:rsidP="00E31067">
      <w:pPr>
        <w:pStyle w:val="Prrafodelista"/>
        <w:numPr>
          <w:ilvl w:val="0"/>
          <w:numId w:val="15"/>
        </w:numPr>
        <w:shd w:val="clear" w:color="auto" w:fill="FFFFFF"/>
        <w:autoSpaceDE w:val="0"/>
        <w:autoSpaceDN w:val="0"/>
        <w:adjustRightInd w:val="0"/>
        <w:spacing w:before="100" w:beforeAutospacing="1" w:after="0" w:afterAutospacing="1" w:line="240" w:lineRule="auto"/>
        <w:jc w:val="both"/>
        <w:rPr>
          <w:rFonts w:ascii="Times New Roman" w:eastAsia="Calibri" w:hAnsi="Times New Roman" w:cs="Times New Roman"/>
          <w:color w:val="000000"/>
          <w:sz w:val="24"/>
          <w:szCs w:val="24"/>
          <w:lang w:val="en-US" w:eastAsia="en-US"/>
        </w:rPr>
      </w:pPr>
      <w:r w:rsidRPr="00E31067">
        <w:rPr>
          <w:rFonts w:ascii="Times New Roman" w:eastAsia="Calibri" w:hAnsi="Times New Roman" w:cs="Times New Roman"/>
          <w:color w:val="000000"/>
          <w:sz w:val="24"/>
          <w:szCs w:val="24"/>
          <w:lang w:val="en-US" w:eastAsia="en-US"/>
        </w:rPr>
        <w:t>Lynch J, Smith G.  A life course approach to Chronic Disease to Epidemiology. Annu. Rev Public Health 26 (2005) 1-35.</w:t>
      </w:r>
    </w:p>
    <w:p w:rsidR="00D005E7" w:rsidRPr="00E31067" w:rsidRDefault="00D005E7"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highlight w:val="white"/>
          <w:lang w:val="es-ES_tradnl" w:eastAsia="es-ES_tradnl"/>
        </w:rPr>
      </w:pPr>
      <w:r w:rsidRPr="00E31067">
        <w:rPr>
          <w:rFonts w:ascii="Times New Roman" w:eastAsia="Arial" w:hAnsi="Times New Roman" w:cs="Times New Roman"/>
          <w:color w:val="222222"/>
          <w:sz w:val="24"/>
          <w:szCs w:val="24"/>
          <w:highlight w:val="white"/>
          <w:lang w:val="es-ES_tradnl" w:eastAsia="es-ES_tradnl"/>
        </w:rPr>
        <w:t xml:space="preserve">Lozano, W. Desregulación laboral, estado y mercado en América Latina, Balance y retos sociopolíticos. </w:t>
      </w:r>
      <w:r w:rsidR="00C07724" w:rsidRPr="00E31067">
        <w:rPr>
          <w:rFonts w:ascii="Times New Roman" w:eastAsia="Arial" w:hAnsi="Times New Roman" w:cs="Times New Roman"/>
          <w:color w:val="222222"/>
          <w:sz w:val="24"/>
          <w:szCs w:val="24"/>
          <w:highlight w:val="white"/>
          <w:lang w:val="es-ES_tradnl" w:eastAsia="es-ES_tradnl"/>
        </w:rPr>
        <w:t>(1998) Revista Perfiles latinoamericanos.  FLACSO México. Págs 113 - 151</w:t>
      </w:r>
    </w:p>
    <w:p w:rsidR="00D005E7" w:rsidRPr="00E31067" w:rsidRDefault="00D005E7"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highlight w:val="white"/>
          <w:lang w:val="es-ES_tradnl" w:eastAsia="es-ES_tradnl"/>
        </w:rPr>
      </w:pPr>
      <w:r w:rsidRPr="00E31067">
        <w:rPr>
          <w:rFonts w:ascii="Times New Roman" w:eastAsia="Arial" w:hAnsi="Times New Roman" w:cs="Times New Roman"/>
          <w:color w:val="222222"/>
          <w:sz w:val="24"/>
          <w:szCs w:val="24"/>
          <w:lang w:val="es-ES_tradnl" w:eastAsia="es-ES_tradnl"/>
        </w:rPr>
        <w:t>Luna García, L. T. (2008). Situación en Colombia: Informe Continental sobre la Situación del Derecho a la Salud en el Trabajo.</w:t>
      </w:r>
    </w:p>
    <w:p w:rsidR="00684E40" w:rsidRPr="00E31067" w:rsidRDefault="00684E40" w:rsidP="00E31067">
      <w:pPr>
        <w:pStyle w:val="Prrafodelista"/>
        <w:numPr>
          <w:ilvl w:val="0"/>
          <w:numId w:val="15"/>
        </w:numPr>
        <w:shd w:val="clear" w:color="auto" w:fill="FFFFFF"/>
        <w:autoSpaceDE w:val="0"/>
        <w:autoSpaceDN w:val="0"/>
        <w:adjustRightInd w:val="0"/>
        <w:spacing w:before="100" w:beforeAutospacing="1" w:after="0" w:afterAutospacing="1" w:line="240" w:lineRule="auto"/>
        <w:jc w:val="both"/>
        <w:rPr>
          <w:rFonts w:ascii="Times New Roman" w:eastAsia="Calibri" w:hAnsi="Times New Roman" w:cs="Times New Roman"/>
          <w:color w:val="000000"/>
          <w:sz w:val="24"/>
          <w:szCs w:val="24"/>
          <w:lang w:val="en-US" w:eastAsia="en-US"/>
        </w:rPr>
      </w:pPr>
      <w:r w:rsidRPr="00E31067">
        <w:rPr>
          <w:rFonts w:ascii="Times New Roman" w:eastAsia="Calibri" w:hAnsi="Times New Roman" w:cs="Times New Roman"/>
          <w:color w:val="000000"/>
          <w:sz w:val="24"/>
          <w:szCs w:val="24"/>
          <w:lang w:val="en-US" w:eastAsia="en-US"/>
        </w:rPr>
        <w:t>Marmot M. 2006. Social Causes of Social Inequalities in Health. Oxford University Press</w:t>
      </w:r>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highlight w:val="white"/>
          <w:lang w:val="es-ES_tradnl" w:eastAsia="es-ES_tradnl"/>
        </w:rPr>
      </w:pPr>
      <w:r w:rsidRPr="00E31067">
        <w:rPr>
          <w:rFonts w:ascii="Times New Roman" w:eastAsia="Arial" w:hAnsi="Times New Roman" w:cs="Times New Roman"/>
          <w:color w:val="222222"/>
          <w:sz w:val="24"/>
          <w:szCs w:val="24"/>
          <w:highlight w:val="white"/>
          <w:lang w:val="es-ES_tradnl" w:eastAsia="es-ES_tradnl"/>
        </w:rPr>
        <w:t>Martínez, A. S., y Preciado, S. M. (2009). Consecuencias de las políticas neoliberales sobre el trabajo y la salud de académicos universitarios: el burnout como fenómeno emergente. Psicología Y Salud, 19(2), 197–206.</w:t>
      </w:r>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highlight w:val="white"/>
          <w:lang w:val="es-ES_tradnl" w:eastAsia="es-ES_tradnl"/>
        </w:rPr>
      </w:pPr>
      <w:r w:rsidRPr="00E31067">
        <w:rPr>
          <w:rFonts w:ascii="Times New Roman" w:eastAsia="Arial" w:hAnsi="Times New Roman" w:cs="Times New Roman"/>
          <w:color w:val="222222"/>
          <w:sz w:val="24"/>
          <w:szCs w:val="24"/>
          <w:highlight w:val="white"/>
          <w:lang w:val="es-ES_tradnl" w:eastAsia="es-ES_tradnl"/>
        </w:rPr>
        <w:t xml:space="preserve">Martínez, Jaime; Albores Gallo, L y Márquez Caraveo, M. E. (2012). La integridad mental del personal clínico de un hospital psiquiátrico, asociada a una alta exigencia emocional y a la organización nociva del trabajo. </w:t>
      </w:r>
      <w:r w:rsidRPr="00E31067">
        <w:rPr>
          <w:rFonts w:ascii="Times New Roman" w:eastAsia="Arial" w:hAnsi="Times New Roman" w:cs="Times New Roman"/>
          <w:i/>
          <w:color w:val="222222"/>
          <w:sz w:val="24"/>
          <w:szCs w:val="24"/>
          <w:highlight w:val="white"/>
          <w:lang w:val="es-ES_tradnl" w:eastAsia="es-ES_tradnl"/>
        </w:rPr>
        <w:t>Rev Salud Mental,</w:t>
      </w:r>
      <w:r w:rsidRPr="00E31067">
        <w:rPr>
          <w:rFonts w:ascii="Times New Roman" w:eastAsia="Arial" w:hAnsi="Times New Roman" w:cs="Times New Roman"/>
          <w:color w:val="222222"/>
          <w:sz w:val="24"/>
          <w:szCs w:val="24"/>
          <w:highlight w:val="white"/>
          <w:lang w:val="es-ES_tradnl" w:eastAsia="es-ES_tradnl"/>
        </w:rPr>
        <w:t xml:space="preserve"> Julio-Agosto, 297-304.</w:t>
      </w:r>
    </w:p>
    <w:p w:rsidR="00684E40" w:rsidRPr="00E31067" w:rsidRDefault="00684E4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highlight w:val="white"/>
          <w:lang w:val="es-ES_tradnl" w:eastAsia="es-ES_tradnl"/>
        </w:rPr>
      </w:pPr>
      <w:r w:rsidRPr="00E31067">
        <w:rPr>
          <w:rFonts w:ascii="Times New Roman" w:eastAsia="Arial" w:hAnsi="Times New Roman" w:cs="Times New Roman"/>
          <w:color w:val="222222"/>
          <w:sz w:val="24"/>
          <w:szCs w:val="24"/>
          <w:highlight w:val="white"/>
          <w:lang w:val="es-ES_tradnl" w:eastAsia="es-ES_tradnl"/>
        </w:rPr>
        <w:t>Matabanchoy, S. (2012). Salud en el trabajo. Universidad Y Salud, 1(15), 87–102.</w:t>
      </w:r>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highlight w:val="white"/>
          <w:lang w:val="es-ES_tradnl" w:eastAsia="es-ES_tradnl"/>
        </w:rPr>
      </w:pPr>
      <w:r w:rsidRPr="00E31067">
        <w:rPr>
          <w:rFonts w:ascii="Times New Roman" w:eastAsia="Arial" w:hAnsi="Times New Roman" w:cs="Times New Roman"/>
          <w:color w:val="222222"/>
          <w:sz w:val="24"/>
          <w:szCs w:val="24"/>
          <w:highlight w:val="white"/>
          <w:lang w:val="es-ES_tradnl" w:eastAsia="es-ES_tradnl"/>
        </w:rPr>
        <w:lastRenderedPageBreak/>
        <w:t>Mejía, L M. (2013). “Los Determinantes Sociales de la Salud: base teórica de la salud pública”</w:t>
      </w:r>
      <w:r w:rsidRPr="00E31067">
        <w:rPr>
          <w:rFonts w:ascii="Times New Roman" w:eastAsia="Arial" w:hAnsi="Times New Roman" w:cs="Times New Roman"/>
          <w:i/>
          <w:color w:val="222222"/>
          <w:sz w:val="24"/>
          <w:szCs w:val="24"/>
          <w:highlight w:val="white"/>
          <w:lang w:val="es-ES_tradnl" w:eastAsia="es-ES_tradnl"/>
        </w:rPr>
        <w:t>. Rev. Fac. Nac. Salud Pública</w:t>
      </w:r>
      <w:r w:rsidRPr="00E31067">
        <w:rPr>
          <w:rFonts w:ascii="Times New Roman" w:eastAsia="Arial" w:hAnsi="Times New Roman" w:cs="Times New Roman"/>
          <w:color w:val="222222"/>
          <w:sz w:val="24"/>
          <w:szCs w:val="24"/>
          <w:highlight w:val="white"/>
          <w:lang w:val="es-ES_tradnl" w:eastAsia="es-ES_tradnl"/>
        </w:rPr>
        <w:t>; 31(supl1): S28-S36.</w:t>
      </w:r>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highlight w:val="white"/>
          <w:lang w:val="es-ES_tradnl" w:eastAsia="es-ES_tradnl"/>
        </w:rPr>
      </w:pPr>
      <w:r w:rsidRPr="00E31067">
        <w:rPr>
          <w:rFonts w:ascii="Times New Roman" w:eastAsia="Arial" w:hAnsi="Times New Roman" w:cs="Times New Roman"/>
          <w:color w:val="222222"/>
          <w:sz w:val="24"/>
          <w:szCs w:val="24"/>
          <w:lang w:val="es-ES_tradnl" w:eastAsia="es-ES_tradnl"/>
        </w:rPr>
        <w:t>Ministerio de Salud y Protección Social. (2012 - 2021). Obtenido de https://www.minsalud.gov.co/plandecenal/Documents/dimensiones/dimension-salud-ambitolaboral.pdf</w:t>
      </w:r>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1155CC"/>
          <w:sz w:val="24"/>
          <w:szCs w:val="24"/>
          <w:highlight w:val="white"/>
          <w:u w:val="single"/>
          <w:lang w:val="es-ES_tradnl" w:eastAsia="es-ES_tradnl"/>
        </w:rPr>
      </w:pPr>
      <w:r w:rsidRPr="00E31067">
        <w:rPr>
          <w:rFonts w:ascii="Times New Roman" w:eastAsia="Arial" w:hAnsi="Times New Roman" w:cs="Times New Roman"/>
          <w:color w:val="222222"/>
          <w:sz w:val="24"/>
          <w:szCs w:val="24"/>
          <w:highlight w:val="white"/>
          <w:lang w:val="es-ES_tradnl" w:eastAsia="es-ES_tradnl"/>
        </w:rPr>
        <w:t xml:space="preserve">Organización Mundial de la Salud. (2007) Salud de los trabajadores:  plan de acción mundial. [Internet]. Disponible en: </w:t>
      </w:r>
      <w:hyperlink r:id="rId22">
        <w:r w:rsidRPr="00E31067">
          <w:rPr>
            <w:rFonts w:ascii="Times New Roman" w:eastAsia="Arial" w:hAnsi="Times New Roman" w:cs="Times New Roman"/>
            <w:color w:val="1155CC"/>
            <w:sz w:val="24"/>
            <w:szCs w:val="24"/>
            <w:highlight w:val="white"/>
            <w:u w:val="single"/>
            <w:lang w:val="es-ES_tradnl" w:eastAsia="es-ES_tradnl"/>
          </w:rPr>
          <w:t>http://www.who.int/occupational_health/WHO_health_assembly_sp_web.pdf</w:t>
        </w:r>
      </w:hyperlink>
    </w:p>
    <w:p w:rsidR="00D005E7" w:rsidRPr="00E31067" w:rsidRDefault="00D005E7"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lang w:val="es-ES_tradnl" w:eastAsia="es-ES_tradnl"/>
        </w:rPr>
      </w:pPr>
      <w:r w:rsidRPr="00E31067">
        <w:rPr>
          <w:rFonts w:ascii="Times New Roman" w:eastAsia="Arial" w:hAnsi="Times New Roman" w:cs="Times New Roman"/>
          <w:color w:val="222222"/>
          <w:sz w:val="24"/>
          <w:szCs w:val="24"/>
          <w:lang w:val="es-ES_tradnl" w:eastAsia="es-ES_tradnl"/>
        </w:rPr>
        <w:t>OMS, 2010. Entornos Laborales Saludables: Fundamentos y Modelo de la OMS. Contextualización, Prácticas y Literatura de Soporte. Disponible en: http://www.who.int/occupational_health/evelyn_hwp_spanish.pdf</w:t>
      </w:r>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0563C1"/>
          <w:sz w:val="24"/>
          <w:szCs w:val="24"/>
          <w:u w:val="single"/>
          <w:lang w:val="es-ES_tradnl" w:eastAsia="es-ES_tradnl"/>
        </w:rPr>
      </w:pPr>
      <w:r w:rsidRPr="00E31067">
        <w:rPr>
          <w:rFonts w:ascii="Times New Roman" w:eastAsia="Arial" w:hAnsi="Times New Roman" w:cs="Times New Roman"/>
          <w:color w:val="222222"/>
          <w:sz w:val="24"/>
          <w:szCs w:val="24"/>
          <w:lang w:val="es-ES_tradnl" w:eastAsia="es-ES_tradnl"/>
        </w:rPr>
        <w:t xml:space="preserve">Observatorio de Talento Humano en Salud. (2015). OTHS Colombia: Guía Metodológica. Obtenido de </w:t>
      </w:r>
      <w:hyperlink r:id="rId23">
        <w:r w:rsidRPr="00E31067">
          <w:rPr>
            <w:rFonts w:ascii="Times New Roman" w:eastAsia="Arial" w:hAnsi="Times New Roman" w:cs="Times New Roman"/>
            <w:color w:val="0563C1"/>
            <w:sz w:val="24"/>
            <w:szCs w:val="24"/>
            <w:u w:val="single"/>
            <w:lang w:val="es-ES_tradnl" w:eastAsia="es-ES_tradnl"/>
          </w:rPr>
          <w:t>https://www.minsalud.gov.co/sites/rid/Lists/BibliotecaDigital/RIDE/VS/TH/Guia-observatorio-talento-humano-Salud-oths.pdf</w:t>
        </w:r>
      </w:hyperlink>
    </w:p>
    <w:p w:rsidR="00684E40" w:rsidRPr="00684E40" w:rsidRDefault="00684E40" w:rsidP="00E31067">
      <w:pPr>
        <w:pStyle w:val="Bibliografa"/>
        <w:numPr>
          <w:ilvl w:val="0"/>
          <w:numId w:val="15"/>
        </w:numPr>
        <w:spacing w:line="240" w:lineRule="auto"/>
        <w:jc w:val="both"/>
        <w:rPr>
          <w:rFonts w:ascii="Times New Roman" w:eastAsia="Arial" w:hAnsi="Times New Roman" w:cs="Times New Roman"/>
          <w:color w:val="222222"/>
          <w:sz w:val="24"/>
          <w:szCs w:val="24"/>
          <w:lang w:val="es-ES_tradnl" w:eastAsia="es-ES_tradnl"/>
        </w:rPr>
      </w:pPr>
      <w:r w:rsidRPr="00684E40">
        <w:rPr>
          <w:rFonts w:ascii="Times New Roman" w:eastAsia="Arial" w:hAnsi="Times New Roman" w:cs="Times New Roman"/>
          <w:color w:val="222222"/>
          <w:sz w:val="24"/>
          <w:szCs w:val="24"/>
          <w:lang w:val="es-ES_tradnl" w:eastAsia="es-ES_tradnl"/>
        </w:rPr>
        <w:t>Parra, M. (2003). Conceptos básicos en salud laboral. Eje para la acción sindical. Textos de capacitación, Primera edición, 1-31. (O. -C. Chile, Ed.) Santiago, Chile.</w:t>
      </w:r>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lang w:val="es-ES_tradnl" w:eastAsia="es-ES_tradnl"/>
        </w:rPr>
      </w:pPr>
      <w:r w:rsidRPr="00E31067">
        <w:rPr>
          <w:rFonts w:ascii="Times New Roman" w:eastAsia="Arial" w:hAnsi="Times New Roman" w:cs="Times New Roman"/>
          <w:color w:val="222222"/>
          <w:sz w:val="24"/>
          <w:szCs w:val="24"/>
          <w:lang w:val="es-ES_tradnl" w:eastAsia="es-ES_tradnl"/>
        </w:rPr>
        <w:t>Periódico el Tiempo. (12 de 2016). Obtenido de http://www.eltiempo.com/colombia/otras-ciudades/sigue-paro-de-personal-de-la-salud-32642</w:t>
      </w:r>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lang w:val="es-ES_tradnl" w:eastAsia="es-ES_tradnl"/>
        </w:rPr>
      </w:pPr>
      <w:r w:rsidRPr="00E31067">
        <w:rPr>
          <w:rFonts w:ascii="Times New Roman" w:eastAsia="Arial" w:hAnsi="Times New Roman" w:cs="Times New Roman"/>
          <w:color w:val="222222"/>
          <w:sz w:val="24"/>
          <w:szCs w:val="24"/>
          <w:lang w:val="es-ES_tradnl" w:eastAsia="es-ES_tradnl"/>
        </w:rPr>
        <w:t>Periódico el Tiempo. (17 de 03 de 2016). Obtenido de http://www.eltiempo.com/archivo/documento/CMS-16539066</w:t>
      </w:r>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lang w:val="es-ES_tradnl" w:eastAsia="es-ES_tradnl"/>
        </w:rPr>
      </w:pPr>
      <w:r w:rsidRPr="00E31067">
        <w:rPr>
          <w:rFonts w:ascii="Times New Roman" w:eastAsia="Arial" w:hAnsi="Times New Roman" w:cs="Times New Roman"/>
          <w:color w:val="222222"/>
          <w:sz w:val="24"/>
          <w:szCs w:val="24"/>
          <w:lang w:val="es-ES_tradnl" w:eastAsia="es-ES_tradnl"/>
        </w:rPr>
        <w:t xml:space="preserve">Procuraduría General de la Nación. (2010). Trabajo digno y decente en Colombia. Obtenido de Seguimiento y control preventivo a las </w:t>
      </w:r>
      <w:r w:rsidR="00684E40" w:rsidRPr="00E31067">
        <w:rPr>
          <w:rFonts w:ascii="Times New Roman" w:eastAsia="Arial" w:hAnsi="Times New Roman" w:cs="Times New Roman"/>
          <w:color w:val="222222"/>
          <w:sz w:val="24"/>
          <w:szCs w:val="24"/>
          <w:lang w:val="es-ES_tradnl" w:eastAsia="es-ES_tradnl"/>
        </w:rPr>
        <w:t>políticas</w:t>
      </w:r>
      <w:r w:rsidRPr="00E31067">
        <w:rPr>
          <w:rFonts w:ascii="Times New Roman" w:eastAsia="Arial" w:hAnsi="Times New Roman" w:cs="Times New Roman"/>
          <w:color w:val="222222"/>
          <w:sz w:val="24"/>
          <w:szCs w:val="24"/>
          <w:lang w:val="es-ES_tradnl" w:eastAsia="es-ES_tradnl"/>
        </w:rPr>
        <w:t xml:space="preserve"> publicas: </w:t>
      </w:r>
      <w:hyperlink r:id="rId24">
        <w:r w:rsidRPr="00E31067">
          <w:rPr>
            <w:rFonts w:ascii="Times New Roman" w:eastAsia="Arial" w:hAnsi="Times New Roman" w:cs="Times New Roman"/>
            <w:color w:val="0563C1"/>
            <w:sz w:val="24"/>
            <w:szCs w:val="24"/>
            <w:u w:val="single"/>
            <w:lang w:val="es-ES_tradnl" w:eastAsia="es-ES_tradnl"/>
          </w:rPr>
          <w:t>https://www.procuraduria.gov.co/portal/media/file/Trabajo%20digno%20y%20decente%20en%20Colombia_%20Seguimiento%20y%20control%20preventivo%20a%20las%20pol%C3%ADticas%20p%C3%BAblicas(1).pdf</w:t>
        </w:r>
      </w:hyperlink>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highlight w:val="white"/>
          <w:lang w:val="es-ES_tradnl" w:eastAsia="es-ES_tradnl"/>
        </w:rPr>
      </w:pPr>
      <w:r w:rsidRPr="00E31067">
        <w:rPr>
          <w:rFonts w:ascii="Times New Roman" w:eastAsia="Arial" w:hAnsi="Times New Roman" w:cs="Times New Roman"/>
          <w:color w:val="222222"/>
          <w:sz w:val="24"/>
          <w:szCs w:val="24"/>
          <w:highlight w:val="white"/>
          <w:lang w:val="es-ES_tradnl" w:eastAsia="es-ES_tradnl"/>
        </w:rPr>
        <w:t>Posada Pérez, E. J. (2011). La relación trabajo-estrés laboral en los colombianos. Revista CES Salud Pública, 2(1), 66–73.</w:t>
      </w:r>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lang w:val="es-ES_tradnl" w:eastAsia="es-ES_tradnl"/>
        </w:rPr>
      </w:pPr>
      <w:r w:rsidRPr="00E31067">
        <w:rPr>
          <w:rFonts w:ascii="Times New Roman" w:eastAsia="Arial" w:hAnsi="Times New Roman" w:cs="Times New Roman"/>
          <w:color w:val="222222"/>
          <w:sz w:val="24"/>
          <w:szCs w:val="24"/>
          <w:lang w:val="es-ES_tradnl" w:eastAsia="es-ES_tradnl"/>
        </w:rPr>
        <w:t>Restrepo Miranda, D. A. ( Diciembre de 2010). Situación laboral de los profesionales en medicina y enfermería en colombiano: aproximaciones desde el Ingreso Base de Cotización al SGSSS . Boletín No. 2 .</w:t>
      </w:r>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lang w:val="es-ES_tradnl" w:eastAsia="es-ES_tradnl"/>
        </w:rPr>
      </w:pPr>
      <w:r w:rsidRPr="00E31067">
        <w:rPr>
          <w:rFonts w:ascii="Times New Roman" w:eastAsia="Arial" w:hAnsi="Times New Roman" w:cs="Times New Roman"/>
          <w:color w:val="222222"/>
          <w:sz w:val="24"/>
          <w:szCs w:val="24"/>
          <w:lang w:val="es-ES_tradnl" w:eastAsia="es-ES_tradnl"/>
        </w:rPr>
        <w:t>Riaño Casallas, M. I. (2012). Condiciones de trabajo de los profesionales de la salud. Acta Odontologica Colombiana, p. 183 - 191.</w:t>
      </w:r>
    </w:p>
    <w:p w:rsidR="00684E40" w:rsidRPr="00E31067" w:rsidRDefault="00684E40" w:rsidP="00E31067">
      <w:pPr>
        <w:pStyle w:val="Prrafodelista"/>
        <w:widowControl w:val="0"/>
        <w:numPr>
          <w:ilvl w:val="0"/>
          <w:numId w:val="15"/>
        </w:numPr>
        <w:suppressLineNumbers/>
        <w:shd w:val="clear" w:color="auto" w:fill="FFFFFF"/>
        <w:suppressAutoHyphens/>
        <w:spacing w:before="100" w:beforeAutospacing="1" w:after="0" w:afterAutospacing="1" w:line="240" w:lineRule="auto"/>
        <w:jc w:val="both"/>
        <w:rPr>
          <w:rFonts w:ascii="Times New Roman" w:eastAsia="WenQuanYi Zen Hei" w:hAnsi="Times New Roman" w:cs="Times New Roman"/>
          <w:kern w:val="1"/>
          <w:sz w:val="24"/>
          <w:szCs w:val="24"/>
          <w:lang w:eastAsia="zh-CN" w:bidi="hi-IN"/>
        </w:rPr>
      </w:pPr>
      <w:r w:rsidRPr="00E31067">
        <w:rPr>
          <w:rFonts w:ascii="Times New Roman" w:eastAsia="WenQuanYi Zen Hei" w:hAnsi="Times New Roman" w:cs="Times New Roman"/>
          <w:kern w:val="1"/>
          <w:sz w:val="24"/>
          <w:szCs w:val="24"/>
          <w:lang w:eastAsia="zh-CN" w:bidi="hi-IN"/>
        </w:rPr>
        <w:t>Rosanvallón, P. (2009). La Legitimidad democrática. Imparcialidad, reflexividad, proximidad (1ª. ed.). Buenos Aires: Manantial.</w:t>
      </w:r>
    </w:p>
    <w:p w:rsidR="00684E40" w:rsidRPr="00E31067" w:rsidRDefault="00684E40" w:rsidP="00E31067">
      <w:pPr>
        <w:pStyle w:val="Prrafodelista"/>
        <w:widowControl w:val="0"/>
        <w:numPr>
          <w:ilvl w:val="0"/>
          <w:numId w:val="15"/>
        </w:numPr>
        <w:suppressLineNumbers/>
        <w:shd w:val="clear" w:color="auto" w:fill="FFFFFF"/>
        <w:suppressAutoHyphens/>
        <w:spacing w:before="100" w:beforeAutospacing="1" w:after="0" w:afterAutospacing="1" w:line="240" w:lineRule="auto"/>
        <w:jc w:val="both"/>
        <w:rPr>
          <w:rFonts w:ascii="Times New Roman" w:eastAsia="WenQuanYi Zen Hei" w:hAnsi="Times New Roman" w:cs="Times New Roman"/>
          <w:kern w:val="1"/>
          <w:sz w:val="24"/>
          <w:szCs w:val="24"/>
          <w:lang w:eastAsia="zh-CN" w:bidi="hi-IN"/>
        </w:rPr>
      </w:pPr>
      <w:r w:rsidRPr="00E31067">
        <w:rPr>
          <w:rFonts w:ascii="Times New Roman" w:eastAsia="WenQuanYi Zen Hei" w:hAnsi="Times New Roman" w:cs="Times New Roman"/>
          <w:kern w:val="1"/>
          <w:sz w:val="24"/>
          <w:szCs w:val="24"/>
          <w:lang w:eastAsia="zh-CN" w:bidi="hi-IN"/>
        </w:rPr>
        <w:t xml:space="preserve">OPS, OMS. Una visión de Curso de Vida Primera Parte. Mayo 11 de 2016. </w:t>
      </w:r>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highlight w:val="white"/>
          <w:lang w:val="es-ES_tradnl" w:eastAsia="es-ES_tradnl"/>
        </w:rPr>
      </w:pPr>
      <w:r w:rsidRPr="00E31067">
        <w:rPr>
          <w:rFonts w:ascii="Times New Roman" w:eastAsia="Arial" w:hAnsi="Times New Roman" w:cs="Times New Roman"/>
          <w:color w:val="222222"/>
          <w:sz w:val="24"/>
          <w:szCs w:val="24"/>
          <w:lang w:val="es-ES_tradnl" w:eastAsia="es-ES_tradnl"/>
        </w:rPr>
        <w:t>Santan</w:t>
      </w:r>
      <w:r w:rsidRPr="00E31067">
        <w:rPr>
          <w:rFonts w:ascii="Times New Roman" w:eastAsia="Arial" w:hAnsi="Times New Roman" w:cs="Times New Roman"/>
          <w:color w:val="222222"/>
          <w:sz w:val="24"/>
          <w:szCs w:val="24"/>
          <w:highlight w:val="white"/>
          <w:lang w:val="es-ES_tradnl" w:eastAsia="es-ES_tradnl"/>
        </w:rPr>
        <w:t>a, V. (2012</w:t>
      </w:r>
      <w:r w:rsidRPr="00E31067">
        <w:rPr>
          <w:rFonts w:ascii="Times New Roman" w:eastAsia="Arial" w:hAnsi="Times New Roman" w:cs="Times New Roman"/>
          <w:i/>
          <w:color w:val="222222"/>
          <w:sz w:val="24"/>
          <w:szCs w:val="24"/>
          <w:highlight w:val="white"/>
          <w:lang w:val="es-ES_tradnl" w:eastAsia="es-ES_tradnl"/>
        </w:rPr>
        <w:t xml:space="preserve">). </w:t>
      </w:r>
      <w:r w:rsidRPr="00E31067">
        <w:rPr>
          <w:rFonts w:ascii="Times New Roman" w:eastAsia="Arial" w:hAnsi="Times New Roman" w:cs="Times New Roman"/>
          <w:color w:val="222222"/>
          <w:sz w:val="24"/>
          <w:szCs w:val="24"/>
          <w:highlight w:val="white"/>
          <w:lang w:val="es-ES_tradnl" w:eastAsia="es-ES_tradnl"/>
        </w:rPr>
        <w:t xml:space="preserve">Empleo, condiciones de trabajo y salud. </w:t>
      </w:r>
      <w:r w:rsidRPr="00E31067">
        <w:rPr>
          <w:rFonts w:ascii="Times New Roman" w:eastAsia="Arial" w:hAnsi="Times New Roman" w:cs="Times New Roman"/>
          <w:i/>
          <w:color w:val="222222"/>
          <w:sz w:val="24"/>
          <w:szCs w:val="24"/>
          <w:highlight w:val="white"/>
          <w:lang w:val="es-ES_tradnl" w:eastAsia="es-ES_tradnl"/>
        </w:rPr>
        <w:t>Salud Colectiva</w:t>
      </w:r>
      <w:r w:rsidRPr="00E31067">
        <w:rPr>
          <w:rFonts w:ascii="Times New Roman" w:eastAsia="Arial" w:hAnsi="Times New Roman" w:cs="Times New Roman"/>
          <w:color w:val="222222"/>
          <w:sz w:val="24"/>
          <w:szCs w:val="24"/>
          <w:highlight w:val="white"/>
          <w:lang w:val="es-ES_tradnl" w:eastAsia="es-ES_tradnl"/>
        </w:rPr>
        <w:t>, [S.l.], 8 (2), 101-106.</w:t>
      </w:r>
    </w:p>
    <w:p w:rsidR="00B05C10" w:rsidRPr="00E31067" w:rsidRDefault="00B05C10" w:rsidP="00E31067">
      <w:pPr>
        <w:pStyle w:val="Prrafodelista"/>
        <w:numPr>
          <w:ilvl w:val="0"/>
          <w:numId w:val="15"/>
        </w:numPr>
        <w:shd w:val="clear" w:color="auto" w:fill="FFFFFF"/>
        <w:spacing w:before="100" w:beforeAutospacing="1" w:after="100" w:afterAutospacing="1" w:line="240" w:lineRule="auto"/>
        <w:jc w:val="both"/>
        <w:rPr>
          <w:rFonts w:ascii="Times New Roman" w:eastAsia="Calibri" w:hAnsi="Times New Roman" w:cs="Times New Roman"/>
          <w:color w:val="000000"/>
          <w:sz w:val="24"/>
          <w:lang w:eastAsia="en-US"/>
        </w:rPr>
      </w:pPr>
      <w:r w:rsidRPr="00E31067">
        <w:rPr>
          <w:rFonts w:ascii="Times New Roman" w:eastAsia="Calibri" w:hAnsi="Times New Roman" w:cs="Times New Roman"/>
          <w:color w:val="000000"/>
          <w:sz w:val="24"/>
          <w:lang w:eastAsia="en-US"/>
        </w:rPr>
        <w:t xml:space="preserve">Segura, O. (2016). Configuración de la unidad de cuidado médicos intensivistas: una mirada desde la epidemiología social. Bogotá. </w:t>
      </w:r>
    </w:p>
    <w:p w:rsidR="00684E40" w:rsidRPr="00E31067" w:rsidRDefault="00684E40" w:rsidP="00E31067">
      <w:pPr>
        <w:pStyle w:val="Prrafodelista"/>
        <w:numPr>
          <w:ilvl w:val="0"/>
          <w:numId w:val="15"/>
        </w:numPr>
        <w:autoSpaceDE w:val="0"/>
        <w:autoSpaceDN w:val="0"/>
        <w:adjustRightInd w:val="0"/>
        <w:spacing w:after="0" w:line="240" w:lineRule="auto"/>
        <w:rPr>
          <w:lang w:val="es-ES"/>
        </w:rPr>
      </w:pPr>
      <w:r w:rsidRPr="00E31067">
        <w:rPr>
          <w:rFonts w:ascii="Times New Roman" w:eastAsia="WenQuanYi Zen Hei" w:hAnsi="Times New Roman" w:cs="Times New Roman"/>
          <w:kern w:val="1"/>
          <w:sz w:val="24"/>
          <w:szCs w:val="24"/>
          <w:lang w:eastAsia="zh-CN" w:bidi="hi-IN"/>
        </w:rPr>
        <w:t xml:space="preserve">Suarez et al. (2005) Principales características de la precarización laboral en el gran la plata. Período 2003-2004. Asociación Argentina de especialistas en estudios del </w:t>
      </w:r>
      <w:r w:rsidRPr="00E31067">
        <w:rPr>
          <w:rFonts w:ascii="Times New Roman" w:eastAsia="WenQuanYi Zen Hei" w:hAnsi="Times New Roman" w:cs="Times New Roman"/>
          <w:kern w:val="1"/>
          <w:sz w:val="24"/>
          <w:szCs w:val="24"/>
          <w:lang w:eastAsia="zh-CN" w:bidi="hi-IN"/>
        </w:rPr>
        <w:lastRenderedPageBreak/>
        <w:t xml:space="preserve">trabajo. Septimo congreso Nacional de estudios del trabajo. Buenos Aires Págs 1 – 24. Disponible en: </w:t>
      </w:r>
      <w:hyperlink r:id="rId25" w:history="1">
        <w:r w:rsidRPr="00E31067">
          <w:rPr>
            <w:rStyle w:val="Hipervnculo"/>
            <w:rFonts w:ascii="Times New Roman" w:eastAsia="WenQuanYi Zen Hei" w:hAnsi="Times New Roman" w:cs="Times New Roman"/>
            <w:kern w:val="1"/>
            <w:sz w:val="24"/>
            <w:szCs w:val="24"/>
            <w:lang w:eastAsia="zh-CN" w:bidi="hi-IN"/>
          </w:rPr>
          <w:t>http://www.aset.org.ar/congresos/7/09006.pdf</w:t>
        </w:r>
      </w:hyperlink>
      <w:r w:rsidRPr="00E31067">
        <w:rPr>
          <w:rFonts w:ascii="Times New Roman" w:eastAsia="WenQuanYi Zen Hei" w:hAnsi="Times New Roman" w:cs="Times New Roman"/>
          <w:kern w:val="1"/>
          <w:sz w:val="24"/>
          <w:szCs w:val="24"/>
          <w:lang w:eastAsia="zh-CN" w:bidi="hi-IN"/>
        </w:rPr>
        <w:t>. Acceso Agosto de 2017.</w:t>
      </w:r>
    </w:p>
    <w:p w:rsidR="00B05C10" w:rsidRPr="00E31067" w:rsidRDefault="00B05C10" w:rsidP="00E31067">
      <w:pPr>
        <w:pStyle w:val="Prrafodelista"/>
        <w:numPr>
          <w:ilvl w:val="0"/>
          <w:numId w:val="15"/>
        </w:numPr>
        <w:pBdr>
          <w:top w:val="nil"/>
          <w:left w:val="nil"/>
          <w:bottom w:val="nil"/>
          <w:right w:val="nil"/>
          <w:between w:val="nil"/>
        </w:pBdr>
        <w:shd w:val="clear" w:color="auto" w:fill="FFFFFF"/>
        <w:spacing w:before="240" w:beforeAutospacing="1" w:after="240" w:afterAutospacing="1" w:line="240" w:lineRule="auto"/>
        <w:jc w:val="both"/>
        <w:rPr>
          <w:rFonts w:ascii="Times New Roman" w:eastAsia="Arial" w:hAnsi="Times New Roman" w:cs="Times New Roman"/>
          <w:color w:val="222222"/>
          <w:sz w:val="24"/>
          <w:szCs w:val="24"/>
          <w:lang w:val="es-ES_tradnl" w:eastAsia="es-ES_tradnl"/>
        </w:rPr>
      </w:pPr>
      <w:r w:rsidRPr="00E31067">
        <w:rPr>
          <w:rFonts w:ascii="Times New Roman" w:eastAsia="Arial" w:hAnsi="Times New Roman" w:cs="Times New Roman"/>
          <w:color w:val="222222"/>
          <w:sz w:val="24"/>
          <w:szCs w:val="24"/>
          <w:lang w:val="es-ES_tradnl" w:eastAsia="es-ES_tradnl"/>
        </w:rPr>
        <w:t>Urrego Angel, P. M. (2016). Entorno laboral saludable: dirección de desarrollo y talento humano en salud. Bogotá.</w:t>
      </w:r>
    </w:p>
    <w:p w:rsidR="00B05C10" w:rsidRPr="00E31067" w:rsidRDefault="00B05C10" w:rsidP="00783A3D">
      <w:pPr>
        <w:pStyle w:val="Prrafodelista"/>
        <w:numPr>
          <w:ilvl w:val="0"/>
          <w:numId w:val="15"/>
        </w:numPr>
        <w:shd w:val="clear" w:color="auto" w:fill="FFFFFF"/>
        <w:autoSpaceDE w:val="0"/>
        <w:autoSpaceDN w:val="0"/>
        <w:adjustRightInd w:val="0"/>
        <w:spacing w:before="100" w:beforeAutospacing="1" w:after="0" w:afterAutospacing="1" w:line="240" w:lineRule="auto"/>
        <w:jc w:val="both"/>
        <w:rPr>
          <w:rFonts w:ascii="Times New Roman" w:eastAsia="Times New Roman" w:hAnsi="Times New Roman" w:cs="Times New Roman"/>
          <w:color w:val="222222"/>
          <w:sz w:val="24"/>
          <w:szCs w:val="24"/>
        </w:rPr>
      </w:pPr>
      <w:r w:rsidRPr="00E31067">
        <w:rPr>
          <w:rFonts w:ascii="Times New Roman" w:eastAsia="Calibri" w:hAnsi="Times New Roman" w:cs="Times New Roman"/>
          <w:color w:val="000000"/>
          <w:sz w:val="24"/>
          <w:lang w:val="en-US" w:eastAsia="en-US"/>
        </w:rPr>
        <w:t xml:space="preserve">Vives, A. G. (2015). Measuring precarious employment in times of crisis:the revised Employment Precariousness Scale (EPRES) in Spain. </w:t>
      </w:r>
      <w:r w:rsidRPr="00E31067">
        <w:rPr>
          <w:rFonts w:ascii="Times New Roman" w:eastAsia="Calibri" w:hAnsi="Times New Roman" w:cs="Times New Roman"/>
          <w:color w:val="000000"/>
          <w:sz w:val="24"/>
          <w:lang w:eastAsia="en-US"/>
        </w:rPr>
        <w:t>Gaceta Sanitaria, Pág. 379-382.</w:t>
      </w:r>
    </w:p>
    <w:p w:rsidR="00B05C10" w:rsidRPr="00E31067" w:rsidRDefault="00B05C10" w:rsidP="00E31067">
      <w:pPr>
        <w:pStyle w:val="Prrafodelista"/>
        <w:numPr>
          <w:ilvl w:val="0"/>
          <w:numId w:val="15"/>
        </w:num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en-US"/>
        </w:rPr>
      </w:pPr>
      <w:r w:rsidRPr="00E31067">
        <w:rPr>
          <w:rFonts w:ascii="Times New Roman" w:eastAsia="Calibri" w:hAnsi="Times New Roman" w:cs="Times New Roman"/>
          <w:color w:val="000000"/>
          <w:sz w:val="24"/>
          <w:szCs w:val="24"/>
          <w:lang w:val="en-US" w:eastAsia="en-US"/>
        </w:rPr>
        <w:t xml:space="preserve">Wilkinson J, Lam M, Fitzpatrick J. Public health observatories on the international stage. </w:t>
      </w:r>
      <w:r w:rsidRPr="00E31067">
        <w:rPr>
          <w:rFonts w:ascii="Times New Roman" w:eastAsia="Calibri" w:hAnsi="Times New Roman" w:cs="Times New Roman"/>
          <w:color w:val="000000"/>
          <w:sz w:val="24"/>
          <w:szCs w:val="24"/>
          <w:lang w:eastAsia="en-US"/>
        </w:rPr>
        <w:t>Public Health 124 (2010) 269 e273.</w:t>
      </w:r>
    </w:p>
    <w:p w:rsidR="00B05C10" w:rsidRPr="00E31067" w:rsidRDefault="00B05C10" w:rsidP="00E31067">
      <w:pPr>
        <w:pStyle w:val="Prrafodelista"/>
        <w:numPr>
          <w:ilvl w:val="0"/>
          <w:numId w:val="15"/>
        </w:numPr>
        <w:shd w:val="clear" w:color="auto" w:fill="FFFFFF"/>
        <w:autoSpaceDE w:val="0"/>
        <w:autoSpaceDN w:val="0"/>
        <w:adjustRightInd w:val="0"/>
        <w:spacing w:before="100" w:beforeAutospacing="1" w:after="0" w:afterAutospacing="1" w:line="240" w:lineRule="auto"/>
        <w:jc w:val="both"/>
        <w:rPr>
          <w:rFonts w:ascii="Times New Roman" w:eastAsia="Calibri" w:hAnsi="Times New Roman" w:cs="Times New Roman"/>
          <w:color w:val="000000"/>
          <w:sz w:val="24"/>
          <w:szCs w:val="24"/>
          <w:lang w:val="en-US" w:eastAsia="en-US"/>
        </w:rPr>
      </w:pPr>
      <w:r w:rsidRPr="00E31067">
        <w:rPr>
          <w:rFonts w:ascii="Times New Roman" w:eastAsia="Calibri" w:hAnsi="Times New Roman" w:cs="Times New Roman"/>
          <w:color w:val="000000"/>
          <w:sz w:val="24"/>
          <w:szCs w:val="24"/>
          <w:lang w:val="en-US" w:eastAsia="en-US"/>
        </w:rPr>
        <w:t>Krieger N. 2003. Epidemiology and the People´s Health. Theory and Context. New York. Oxford University Press</w:t>
      </w:r>
    </w:p>
    <w:p w:rsidR="002D4DA6" w:rsidRPr="002D4DA6" w:rsidRDefault="002D4DA6" w:rsidP="00684E40">
      <w:pPr>
        <w:rPr>
          <w:lang w:val="es-ES"/>
        </w:rPr>
      </w:pPr>
    </w:p>
    <w:p w:rsidR="005410B3" w:rsidRPr="002D4DA6" w:rsidRDefault="005410B3" w:rsidP="005B055D">
      <w:pPr>
        <w:pStyle w:val="Ttulo2"/>
        <w:numPr>
          <w:ilvl w:val="0"/>
          <w:numId w:val="10"/>
        </w:numPr>
      </w:pPr>
      <w:r w:rsidRPr="002D4DA6">
        <w:rPr>
          <w:rStyle w:val="Ttulo2Car"/>
        </w:rPr>
        <w:t>Posibles evaluadores</w:t>
      </w:r>
      <w:r w:rsidRPr="002D4DA6">
        <w:t xml:space="preserve"> (nombre, último nivel de formación, correo electrónico).</w:t>
      </w:r>
    </w:p>
    <w:p w:rsidR="00B05C10" w:rsidRPr="00A06555" w:rsidRDefault="00A06555" w:rsidP="00A06555">
      <w:pPr>
        <w:spacing w:after="0"/>
        <w:jc w:val="both"/>
        <w:rPr>
          <w:rFonts w:ascii="Times New Roman" w:hAnsi="Times New Roman" w:cs="Times New Roman"/>
          <w:sz w:val="24"/>
          <w:szCs w:val="24"/>
        </w:rPr>
      </w:pPr>
      <w:r w:rsidRPr="00A06555">
        <w:rPr>
          <w:rFonts w:ascii="Times New Roman" w:hAnsi="Times New Roman" w:cs="Times New Roman"/>
          <w:sz w:val="24"/>
          <w:szCs w:val="24"/>
        </w:rPr>
        <w:t>Nombre: Andrés Alonso Agudelo</w:t>
      </w:r>
    </w:p>
    <w:p w:rsidR="00A06555" w:rsidRDefault="00A06555" w:rsidP="00A06555">
      <w:pPr>
        <w:spacing w:after="0"/>
        <w:jc w:val="both"/>
        <w:rPr>
          <w:rFonts w:ascii="Times New Roman" w:hAnsi="Times New Roman" w:cs="Times New Roman"/>
          <w:sz w:val="24"/>
          <w:szCs w:val="24"/>
        </w:rPr>
      </w:pPr>
      <w:r w:rsidRPr="00A06555">
        <w:rPr>
          <w:rFonts w:ascii="Times New Roman" w:hAnsi="Times New Roman" w:cs="Times New Roman"/>
          <w:sz w:val="24"/>
          <w:szCs w:val="24"/>
        </w:rPr>
        <w:t>Último nivel de formación: Doctor en Salud Pública</w:t>
      </w:r>
    </w:p>
    <w:p w:rsidR="00A06555" w:rsidRDefault="00A06555" w:rsidP="00A06555">
      <w:pPr>
        <w:spacing w:after="0"/>
        <w:jc w:val="both"/>
        <w:rPr>
          <w:rFonts w:ascii="Times New Roman" w:hAnsi="Times New Roman" w:cs="Times New Roman"/>
          <w:sz w:val="24"/>
          <w:szCs w:val="24"/>
        </w:rPr>
      </w:pPr>
      <w:r>
        <w:rPr>
          <w:rFonts w:ascii="Times New Roman" w:hAnsi="Times New Roman" w:cs="Times New Roman"/>
          <w:sz w:val="24"/>
          <w:szCs w:val="24"/>
        </w:rPr>
        <w:t xml:space="preserve">Correo: </w:t>
      </w:r>
      <w:r w:rsidR="00445AC4">
        <w:rPr>
          <w:rFonts w:ascii="Times New Roman" w:hAnsi="Times New Roman" w:cs="Times New Roman"/>
          <w:sz w:val="24"/>
          <w:szCs w:val="24"/>
        </w:rPr>
        <w:t xml:space="preserve"> </w:t>
      </w:r>
      <w:hyperlink r:id="rId26" w:history="1">
        <w:r w:rsidR="00EE2C13" w:rsidRPr="00146036">
          <w:rPr>
            <w:rStyle w:val="Hipervnculo"/>
            <w:rFonts w:ascii="Times New Roman" w:hAnsi="Times New Roman" w:cs="Times New Roman"/>
            <w:sz w:val="24"/>
            <w:szCs w:val="24"/>
          </w:rPr>
          <w:t>alonso.agudelo@udea.edu.co</w:t>
        </w:r>
      </w:hyperlink>
    </w:p>
    <w:p w:rsidR="005C545D" w:rsidRDefault="005C545D" w:rsidP="00A06555">
      <w:pPr>
        <w:spacing w:after="0"/>
        <w:jc w:val="both"/>
        <w:rPr>
          <w:rFonts w:ascii="Times New Roman" w:hAnsi="Times New Roman" w:cs="Times New Roman"/>
          <w:sz w:val="24"/>
          <w:szCs w:val="24"/>
        </w:rPr>
      </w:pPr>
    </w:p>
    <w:p w:rsidR="005C545D" w:rsidRDefault="005C545D" w:rsidP="00A06555">
      <w:pPr>
        <w:spacing w:after="0"/>
        <w:jc w:val="both"/>
        <w:rPr>
          <w:rFonts w:ascii="Times New Roman" w:hAnsi="Times New Roman" w:cs="Times New Roman"/>
          <w:sz w:val="24"/>
          <w:szCs w:val="24"/>
        </w:rPr>
      </w:pPr>
      <w:r>
        <w:rPr>
          <w:rFonts w:ascii="Times New Roman" w:hAnsi="Times New Roman" w:cs="Times New Roman"/>
          <w:sz w:val="24"/>
          <w:szCs w:val="24"/>
        </w:rPr>
        <w:t>Nombre: Yadira Borrero</w:t>
      </w:r>
    </w:p>
    <w:p w:rsidR="005C545D" w:rsidRDefault="005C545D" w:rsidP="00A06555">
      <w:pPr>
        <w:spacing w:after="0"/>
        <w:jc w:val="both"/>
        <w:rPr>
          <w:rFonts w:ascii="Times New Roman" w:hAnsi="Times New Roman" w:cs="Times New Roman"/>
          <w:sz w:val="24"/>
          <w:szCs w:val="24"/>
        </w:rPr>
      </w:pPr>
      <w:r w:rsidRPr="00A06555">
        <w:rPr>
          <w:rFonts w:ascii="Times New Roman" w:hAnsi="Times New Roman" w:cs="Times New Roman"/>
          <w:sz w:val="24"/>
          <w:szCs w:val="24"/>
        </w:rPr>
        <w:t>Último nivel de formación: Doctor</w:t>
      </w:r>
      <w:r>
        <w:rPr>
          <w:rFonts w:ascii="Times New Roman" w:hAnsi="Times New Roman" w:cs="Times New Roman"/>
          <w:sz w:val="24"/>
          <w:szCs w:val="24"/>
        </w:rPr>
        <w:t>a</w:t>
      </w:r>
      <w:r w:rsidRPr="00A06555">
        <w:rPr>
          <w:rFonts w:ascii="Times New Roman" w:hAnsi="Times New Roman" w:cs="Times New Roman"/>
          <w:sz w:val="24"/>
          <w:szCs w:val="24"/>
        </w:rPr>
        <w:t xml:space="preserve"> en Salud Pública</w:t>
      </w:r>
    </w:p>
    <w:p w:rsidR="005C545D" w:rsidRDefault="005C545D" w:rsidP="005C545D">
      <w:pPr>
        <w:spacing w:after="0"/>
        <w:jc w:val="both"/>
        <w:rPr>
          <w:rFonts w:ascii="Times New Roman" w:hAnsi="Times New Roman" w:cs="Times New Roman"/>
          <w:sz w:val="24"/>
          <w:szCs w:val="24"/>
        </w:rPr>
      </w:pPr>
      <w:r>
        <w:rPr>
          <w:rFonts w:ascii="Times New Roman" w:hAnsi="Times New Roman" w:cs="Times New Roman"/>
          <w:sz w:val="24"/>
          <w:szCs w:val="24"/>
        </w:rPr>
        <w:t xml:space="preserve">Correo:  </w:t>
      </w:r>
      <w:hyperlink r:id="rId27" w:history="1">
        <w:r w:rsidRPr="00146036">
          <w:rPr>
            <w:rStyle w:val="Hipervnculo"/>
            <w:rFonts w:ascii="Times New Roman" w:hAnsi="Times New Roman" w:cs="Times New Roman"/>
            <w:sz w:val="24"/>
            <w:szCs w:val="24"/>
          </w:rPr>
          <w:t>yadira.borrero@gudea.edu.co</w:t>
        </w:r>
      </w:hyperlink>
    </w:p>
    <w:p w:rsidR="005C545D" w:rsidRDefault="005C545D" w:rsidP="005C545D">
      <w:pPr>
        <w:spacing w:after="0"/>
        <w:jc w:val="both"/>
        <w:rPr>
          <w:rFonts w:ascii="Times New Roman" w:hAnsi="Times New Roman" w:cs="Times New Roman"/>
          <w:sz w:val="24"/>
          <w:szCs w:val="24"/>
        </w:rPr>
      </w:pPr>
    </w:p>
    <w:p w:rsidR="00E31067" w:rsidRDefault="00E31067" w:rsidP="005C545D">
      <w:pPr>
        <w:spacing w:after="0"/>
        <w:jc w:val="both"/>
        <w:rPr>
          <w:rFonts w:ascii="Times New Roman" w:hAnsi="Times New Roman" w:cs="Times New Roman"/>
          <w:sz w:val="24"/>
          <w:szCs w:val="24"/>
        </w:rPr>
      </w:pPr>
    </w:p>
    <w:p w:rsidR="005C545D" w:rsidRDefault="00753850" w:rsidP="00D24055">
      <w:pPr>
        <w:pStyle w:val="Ttulo2"/>
        <w:numPr>
          <w:ilvl w:val="0"/>
          <w:numId w:val="10"/>
        </w:numPr>
      </w:pPr>
      <w:r>
        <w:t>Anexos: cartas de intención contrapartida</w:t>
      </w:r>
    </w:p>
    <w:p w:rsidR="00E31067" w:rsidRPr="00E31067" w:rsidRDefault="00E31067" w:rsidP="00E31067">
      <w:bookmarkStart w:id="3" w:name="_GoBack"/>
      <w:bookmarkEnd w:id="3"/>
    </w:p>
    <w:p w:rsidR="00753850" w:rsidRPr="00E31067" w:rsidRDefault="00753850" w:rsidP="00E31067">
      <w:pPr>
        <w:jc w:val="center"/>
        <w:rPr>
          <w:rFonts w:ascii="Times New Roman" w:hAnsi="Times New Roman" w:cs="Times New Roman"/>
        </w:rPr>
      </w:pPr>
      <w:r w:rsidRPr="00E31067">
        <w:rPr>
          <w:rFonts w:ascii="Times New Roman" w:hAnsi="Times New Roman" w:cs="Times New Roman"/>
        </w:rPr>
        <w:t>Anexo 1. Carta intención PUJ-CALI</w:t>
      </w:r>
    </w:p>
    <w:p w:rsidR="00753850" w:rsidRDefault="00753850" w:rsidP="00753850">
      <w:r>
        <w:rPr>
          <w:noProof/>
        </w:rPr>
        <w:lastRenderedPageBreak/>
        <w:drawing>
          <wp:inline distT="0" distB="0" distL="0" distR="0">
            <wp:extent cx="5753100" cy="636270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1151" cy="6371604"/>
                    </a:xfrm>
                    <a:prstGeom prst="rect">
                      <a:avLst/>
                    </a:prstGeom>
                    <a:noFill/>
                    <a:ln>
                      <a:noFill/>
                    </a:ln>
                  </pic:spPr>
                </pic:pic>
              </a:graphicData>
            </a:graphic>
          </wp:inline>
        </w:drawing>
      </w:r>
    </w:p>
    <w:p w:rsidR="005E4C48" w:rsidRDefault="005E4C48" w:rsidP="00753850"/>
    <w:p w:rsidR="00445AC4" w:rsidRPr="00A06555" w:rsidRDefault="00445AC4" w:rsidP="00A06555">
      <w:pPr>
        <w:spacing w:after="0"/>
        <w:jc w:val="both"/>
        <w:rPr>
          <w:rFonts w:ascii="Times New Roman" w:hAnsi="Times New Roman" w:cs="Times New Roman"/>
          <w:sz w:val="24"/>
          <w:szCs w:val="24"/>
        </w:rPr>
      </w:pPr>
    </w:p>
    <w:sectPr w:rsidR="00445AC4" w:rsidRPr="00A06555" w:rsidSect="00EF7515">
      <w:headerReference w:type="default" r:id="rId29"/>
      <w:footerReference w:type="default" r:id="rId30"/>
      <w:pgSz w:w="12240" w:h="15840"/>
      <w:pgMar w:top="141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9A" w:rsidRDefault="00275D9A" w:rsidP="004C44E2">
      <w:pPr>
        <w:spacing w:after="0" w:line="240" w:lineRule="auto"/>
      </w:pPr>
      <w:r>
        <w:separator/>
      </w:r>
    </w:p>
  </w:endnote>
  <w:endnote w:type="continuationSeparator" w:id="0">
    <w:p w:rsidR="00275D9A" w:rsidRDefault="00275D9A" w:rsidP="004C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nQuanYi Zen Hei">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67" w:rsidRDefault="00C01C67">
    <w:pPr>
      <w:pStyle w:val="Piedepgina"/>
    </w:pPr>
    <w:r>
      <w:rPr>
        <w:noProof/>
      </w:rPr>
      <w:drawing>
        <wp:anchor distT="0" distB="0" distL="114300" distR="114300" simplePos="0" relativeHeight="251659264" behindDoc="1" locked="0" layoutInCell="1" allowOverlap="1" wp14:anchorId="13FA7662" wp14:editId="0E2DCFE8">
          <wp:simplePos x="0" y="0"/>
          <wp:positionH relativeFrom="page">
            <wp:align>left</wp:align>
          </wp:positionH>
          <wp:positionV relativeFrom="paragraph">
            <wp:posOffset>-894080</wp:posOffset>
          </wp:positionV>
          <wp:extent cx="7780655" cy="1504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504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9A" w:rsidRDefault="00275D9A" w:rsidP="004C44E2">
      <w:pPr>
        <w:spacing w:after="0" w:line="240" w:lineRule="auto"/>
      </w:pPr>
      <w:r>
        <w:separator/>
      </w:r>
    </w:p>
  </w:footnote>
  <w:footnote w:type="continuationSeparator" w:id="0">
    <w:p w:rsidR="00275D9A" w:rsidRDefault="00275D9A" w:rsidP="004C44E2">
      <w:pPr>
        <w:spacing w:after="0" w:line="240" w:lineRule="auto"/>
      </w:pPr>
      <w:r>
        <w:continuationSeparator/>
      </w:r>
    </w:p>
  </w:footnote>
  <w:footnote w:id="1">
    <w:p w:rsidR="00C01C67" w:rsidRDefault="00C01C67" w:rsidP="003751B1">
      <w:pPr>
        <w:spacing w:line="240" w:lineRule="auto"/>
        <w:rPr>
          <w:sz w:val="20"/>
          <w:szCs w:val="20"/>
        </w:rPr>
      </w:pPr>
      <w:r>
        <w:rPr>
          <w:vertAlign w:val="superscript"/>
        </w:rPr>
        <w:footnoteRef/>
      </w:r>
      <w:r>
        <w:rPr>
          <w:rFonts w:eastAsia="Arial"/>
          <w:sz w:val="20"/>
          <w:szCs w:val="20"/>
        </w:rPr>
        <w:t xml:space="preserve"> Actualmente bajo la Ley 1562 del 2012 modifica algunas funciones de las Administradoras de Riesgos Profesionales (ARP), en la transición a Administradoras de Riesgos Laborales (ARL).</w:t>
      </w:r>
    </w:p>
  </w:footnote>
  <w:footnote w:id="2">
    <w:p w:rsidR="00C01C67" w:rsidRDefault="00C01C67" w:rsidP="003751B1">
      <w:pPr>
        <w:spacing w:line="240" w:lineRule="auto"/>
        <w:rPr>
          <w:sz w:val="20"/>
          <w:szCs w:val="20"/>
        </w:rPr>
      </w:pPr>
      <w:r>
        <w:rPr>
          <w:vertAlign w:val="superscript"/>
        </w:rPr>
        <w:footnoteRef/>
      </w:r>
      <w:r>
        <w:rPr>
          <w:rFonts w:eastAsia="Arial"/>
          <w:sz w:val="20"/>
          <w:szCs w:val="20"/>
        </w:rPr>
        <w:t xml:space="preserve"> Ley estatutaria 1751 de 2015, por medio de la cual se regula el derecho fundamental a la salud y se dictan otras disposiciones.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67" w:rsidRDefault="00C01C67">
    <w:pPr>
      <w:pStyle w:val="Encabezado"/>
    </w:pPr>
    <w:r>
      <w:rPr>
        <w:noProof/>
      </w:rPr>
      <w:drawing>
        <wp:anchor distT="0" distB="0" distL="114300" distR="114300" simplePos="0" relativeHeight="251658240" behindDoc="0" locked="0" layoutInCell="1" allowOverlap="1" wp14:editId="6E3D2517">
          <wp:simplePos x="0" y="0"/>
          <wp:positionH relativeFrom="margin">
            <wp:align>right</wp:align>
          </wp:positionH>
          <wp:positionV relativeFrom="paragraph">
            <wp:posOffset>-453390</wp:posOffset>
          </wp:positionV>
          <wp:extent cx="5667375" cy="914400"/>
          <wp:effectExtent l="0" t="0" r="9525" b="0"/>
          <wp:wrapNone/>
          <wp:docPr id="1" name="Imagen 1"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cintosh HD:Users:ComunicacionesyMarcadeo:Desktop:2015:Febrero:10. membrete acreditacion-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C2F"/>
    <w:multiLevelType w:val="hybridMultilevel"/>
    <w:tmpl w:val="C0D415C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861AF9"/>
    <w:multiLevelType w:val="hybridMultilevel"/>
    <w:tmpl w:val="D63AFEB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42D1D"/>
    <w:multiLevelType w:val="hybridMultilevel"/>
    <w:tmpl w:val="44D27F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CC5E28"/>
    <w:multiLevelType w:val="multilevel"/>
    <w:tmpl w:val="DBBA2E52"/>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14326B33"/>
    <w:multiLevelType w:val="hybridMultilevel"/>
    <w:tmpl w:val="835E1796"/>
    <w:lvl w:ilvl="0" w:tplc="99169080">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051A16"/>
    <w:multiLevelType w:val="hybridMultilevel"/>
    <w:tmpl w:val="55FAED5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820D57"/>
    <w:multiLevelType w:val="multilevel"/>
    <w:tmpl w:val="DE5E6692"/>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26D149D7"/>
    <w:multiLevelType w:val="hybridMultilevel"/>
    <w:tmpl w:val="76C875BE"/>
    <w:lvl w:ilvl="0" w:tplc="240A0019">
      <w:start w:val="1"/>
      <w:numFmt w:val="lowerLetter"/>
      <w:lvlText w:val="%1."/>
      <w:lvlJc w:val="left"/>
      <w:pPr>
        <w:ind w:left="1068" w:hanging="360"/>
      </w:pPr>
      <w:rPr>
        <w:rFonts w:hint="default"/>
      </w:rPr>
    </w:lvl>
    <w:lvl w:ilvl="1" w:tplc="240A0019">
      <w:start w:val="1"/>
      <w:numFmt w:val="lowerLetter"/>
      <w:lvlText w:val="%2."/>
      <w:lvlJc w:val="left"/>
      <w:pPr>
        <w:ind w:left="1788" w:hanging="360"/>
      </w:pPr>
      <w:rPr>
        <w:rFonts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2DB81544"/>
    <w:multiLevelType w:val="hybridMultilevel"/>
    <w:tmpl w:val="68003B9C"/>
    <w:lvl w:ilvl="0" w:tplc="48486C0A">
      <w:start w:val="2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06F496F"/>
    <w:multiLevelType w:val="hybridMultilevel"/>
    <w:tmpl w:val="CBDAF95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F123890"/>
    <w:multiLevelType w:val="hybridMultilevel"/>
    <w:tmpl w:val="3E3E54E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1C11E1F"/>
    <w:multiLevelType w:val="hybridMultilevel"/>
    <w:tmpl w:val="6C9299A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4AF642D"/>
    <w:multiLevelType w:val="hybridMultilevel"/>
    <w:tmpl w:val="DBBC5B2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63952D0"/>
    <w:multiLevelType w:val="hybridMultilevel"/>
    <w:tmpl w:val="650ACFF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BDD160E"/>
    <w:multiLevelType w:val="multilevel"/>
    <w:tmpl w:val="A7DAE552"/>
    <w:lvl w:ilvl="0">
      <w:start w:val="20"/>
      <w:numFmt w:val="decimal"/>
      <w:lvlText w:val="%1."/>
      <w:lvlJc w:val="left"/>
      <w:pPr>
        <w:ind w:left="360" w:hanging="360"/>
      </w:pPr>
      <w:rPr>
        <w:rFonts w:hint="default"/>
        <w:vertAlign w:val="baseline"/>
      </w:rPr>
    </w:lvl>
    <w:lvl w:ilvl="1">
      <w:start w:val="1"/>
      <w:numFmt w:val="bullet"/>
      <w:lvlText w:val="o"/>
      <w:lvlJc w:val="left"/>
      <w:pPr>
        <w:ind w:left="1080" w:hanging="360"/>
      </w:pPr>
      <w:rPr>
        <w:rFonts w:ascii="Arial" w:eastAsia="Arial" w:hAnsi="Arial" w:cs="Arial" w:hint="default"/>
        <w:vertAlign w:val="baseline"/>
      </w:rPr>
    </w:lvl>
    <w:lvl w:ilvl="2">
      <w:start w:val="1"/>
      <w:numFmt w:val="bullet"/>
      <w:lvlText w:val="▪"/>
      <w:lvlJc w:val="left"/>
      <w:pPr>
        <w:ind w:left="1800" w:hanging="360"/>
      </w:pPr>
      <w:rPr>
        <w:rFonts w:ascii="Arial" w:eastAsia="Arial" w:hAnsi="Arial" w:cs="Arial" w:hint="default"/>
        <w:vertAlign w:val="baseline"/>
      </w:rPr>
    </w:lvl>
    <w:lvl w:ilvl="3">
      <w:start w:val="1"/>
      <w:numFmt w:val="bullet"/>
      <w:lvlText w:val="●"/>
      <w:lvlJc w:val="left"/>
      <w:pPr>
        <w:ind w:left="2520" w:hanging="360"/>
      </w:pPr>
      <w:rPr>
        <w:rFonts w:ascii="Arial" w:eastAsia="Arial" w:hAnsi="Arial" w:cs="Arial" w:hint="default"/>
        <w:vertAlign w:val="baseline"/>
      </w:rPr>
    </w:lvl>
    <w:lvl w:ilvl="4">
      <w:start w:val="1"/>
      <w:numFmt w:val="bullet"/>
      <w:lvlText w:val="o"/>
      <w:lvlJc w:val="left"/>
      <w:pPr>
        <w:ind w:left="3240" w:hanging="360"/>
      </w:pPr>
      <w:rPr>
        <w:rFonts w:ascii="Arial" w:eastAsia="Arial" w:hAnsi="Arial" w:cs="Arial" w:hint="default"/>
        <w:vertAlign w:val="baseline"/>
      </w:rPr>
    </w:lvl>
    <w:lvl w:ilvl="5">
      <w:start w:val="1"/>
      <w:numFmt w:val="bullet"/>
      <w:lvlText w:val="▪"/>
      <w:lvlJc w:val="left"/>
      <w:pPr>
        <w:ind w:left="3960" w:hanging="360"/>
      </w:pPr>
      <w:rPr>
        <w:rFonts w:ascii="Arial" w:eastAsia="Arial" w:hAnsi="Arial" w:cs="Arial" w:hint="default"/>
        <w:vertAlign w:val="baseline"/>
      </w:rPr>
    </w:lvl>
    <w:lvl w:ilvl="6">
      <w:start w:val="1"/>
      <w:numFmt w:val="bullet"/>
      <w:lvlText w:val="●"/>
      <w:lvlJc w:val="left"/>
      <w:pPr>
        <w:ind w:left="4680" w:hanging="360"/>
      </w:pPr>
      <w:rPr>
        <w:rFonts w:ascii="Arial" w:eastAsia="Arial" w:hAnsi="Arial" w:cs="Arial" w:hint="default"/>
        <w:vertAlign w:val="baseline"/>
      </w:rPr>
    </w:lvl>
    <w:lvl w:ilvl="7">
      <w:start w:val="1"/>
      <w:numFmt w:val="bullet"/>
      <w:lvlText w:val="o"/>
      <w:lvlJc w:val="left"/>
      <w:pPr>
        <w:ind w:left="5400" w:hanging="360"/>
      </w:pPr>
      <w:rPr>
        <w:rFonts w:ascii="Arial" w:eastAsia="Arial" w:hAnsi="Arial" w:cs="Arial" w:hint="default"/>
        <w:vertAlign w:val="baseline"/>
      </w:rPr>
    </w:lvl>
    <w:lvl w:ilvl="8">
      <w:start w:val="1"/>
      <w:numFmt w:val="bullet"/>
      <w:lvlText w:val="▪"/>
      <w:lvlJc w:val="left"/>
      <w:pPr>
        <w:ind w:left="6120" w:hanging="360"/>
      </w:pPr>
      <w:rPr>
        <w:rFonts w:ascii="Arial" w:eastAsia="Arial" w:hAnsi="Arial" w:cs="Arial" w:hint="default"/>
        <w:vertAlign w:val="baseline"/>
      </w:rPr>
    </w:lvl>
  </w:abstractNum>
  <w:num w:numId="1">
    <w:abstractNumId w:val="4"/>
  </w:num>
  <w:num w:numId="2">
    <w:abstractNumId w:val="7"/>
  </w:num>
  <w:num w:numId="3">
    <w:abstractNumId w:val="11"/>
  </w:num>
  <w:num w:numId="4">
    <w:abstractNumId w:val="6"/>
  </w:num>
  <w:num w:numId="5">
    <w:abstractNumId w:val="12"/>
  </w:num>
  <w:num w:numId="6">
    <w:abstractNumId w:val="2"/>
  </w:num>
  <w:num w:numId="7">
    <w:abstractNumId w:val="5"/>
  </w:num>
  <w:num w:numId="8">
    <w:abstractNumId w:val="3"/>
  </w:num>
  <w:num w:numId="9">
    <w:abstractNumId w:val="14"/>
  </w:num>
  <w:num w:numId="10">
    <w:abstractNumId w:val="8"/>
  </w:num>
  <w:num w:numId="11">
    <w:abstractNumId w:val="9"/>
  </w:num>
  <w:num w:numId="12">
    <w:abstractNumId w:val="0"/>
  </w:num>
  <w:num w:numId="13">
    <w:abstractNumId w:val="10"/>
  </w:num>
  <w:num w:numId="14">
    <w:abstractNumId w:val="13"/>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D0"/>
    <w:rsid w:val="0000046A"/>
    <w:rsid w:val="000135C0"/>
    <w:rsid w:val="000223D9"/>
    <w:rsid w:val="00051856"/>
    <w:rsid w:val="00073630"/>
    <w:rsid w:val="00083DB3"/>
    <w:rsid w:val="000D5F70"/>
    <w:rsid w:val="000E2D43"/>
    <w:rsid w:val="00117FF0"/>
    <w:rsid w:val="00122FF1"/>
    <w:rsid w:val="001419B8"/>
    <w:rsid w:val="0014692A"/>
    <w:rsid w:val="001547DB"/>
    <w:rsid w:val="001549B8"/>
    <w:rsid w:val="001660FC"/>
    <w:rsid w:val="00166A02"/>
    <w:rsid w:val="001770D6"/>
    <w:rsid w:val="00177EE7"/>
    <w:rsid w:val="001C1E40"/>
    <w:rsid w:val="001E0BF1"/>
    <w:rsid w:val="001E4576"/>
    <w:rsid w:val="001E4C38"/>
    <w:rsid w:val="001E6F3B"/>
    <w:rsid w:val="0022119B"/>
    <w:rsid w:val="0023041B"/>
    <w:rsid w:val="00270FA9"/>
    <w:rsid w:val="00275D9A"/>
    <w:rsid w:val="00276599"/>
    <w:rsid w:val="002A4AAC"/>
    <w:rsid w:val="002B2107"/>
    <w:rsid w:val="002D4DA6"/>
    <w:rsid w:val="002F1965"/>
    <w:rsid w:val="003148DA"/>
    <w:rsid w:val="003403C4"/>
    <w:rsid w:val="00363628"/>
    <w:rsid w:val="003751B1"/>
    <w:rsid w:val="0038427E"/>
    <w:rsid w:val="00395EB1"/>
    <w:rsid w:val="003A7CF9"/>
    <w:rsid w:val="003E5F19"/>
    <w:rsid w:val="003F5DDE"/>
    <w:rsid w:val="00440A99"/>
    <w:rsid w:val="00445AC4"/>
    <w:rsid w:val="004660C7"/>
    <w:rsid w:val="00472AFE"/>
    <w:rsid w:val="004C44E2"/>
    <w:rsid w:val="004C4FD8"/>
    <w:rsid w:val="004D0B54"/>
    <w:rsid w:val="004D6CCE"/>
    <w:rsid w:val="004F1B1D"/>
    <w:rsid w:val="004F2BE6"/>
    <w:rsid w:val="005410B3"/>
    <w:rsid w:val="00553AAA"/>
    <w:rsid w:val="00555F04"/>
    <w:rsid w:val="005726CC"/>
    <w:rsid w:val="00575219"/>
    <w:rsid w:val="005845F6"/>
    <w:rsid w:val="005B055D"/>
    <w:rsid w:val="005B4202"/>
    <w:rsid w:val="005C545D"/>
    <w:rsid w:val="005E4C48"/>
    <w:rsid w:val="005E765A"/>
    <w:rsid w:val="005F220A"/>
    <w:rsid w:val="005F3C1F"/>
    <w:rsid w:val="00602169"/>
    <w:rsid w:val="006249BD"/>
    <w:rsid w:val="00665234"/>
    <w:rsid w:val="00667659"/>
    <w:rsid w:val="006707AF"/>
    <w:rsid w:val="006815FC"/>
    <w:rsid w:val="00684E40"/>
    <w:rsid w:val="006A16EF"/>
    <w:rsid w:val="006C3223"/>
    <w:rsid w:val="006D6290"/>
    <w:rsid w:val="007012F9"/>
    <w:rsid w:val="00735C74"/>
    <w:rsid w:val="00753850"/>
    <w:rsid w:val="007901C3"/>
    <w:rsid w:val="007A0611"/>
    <w:rsid w:val="007A09A0"/>
    <w:rsid w:val="007D3EC5"/>
    <w:rsid w:val="007E0F1A"/>
    <w:rsid w:val="0080054F"/>
    <w:rsid w:val="008021C1"/>
    <w:rsid w:val="0082329D"/>
    <w:rsid w:val="008832D4"/>
    <w:rsid w:val="0089558C"/>
    <w:rsid w:val="008A6DA1"/>
    <w:rsid w:val="008B25DF"/>
    <w:rsid w:val="008C0CEC"/>
    <w:rsid w:val="008F1181"/>
    <w:rsid w:val="009309A6"/>
    <w:rsid w:val="00942AF4"/>
    <w:rsid w:val="00981948"/>
    <w:rsid w:val="0098647F"/>
    <w:rsid w:val="009B7052"/>
    <w:rsid w:val="009C4FD9"/>
    <w:rsid w:val="009F133A"/>
    <w:rsid w:val="00A048A9"/>
    <w:rsid w:val="00A06555"/>
    <w:rsid w:val="00A07586"/>
    <w:rsid w:val="00A406EF"/>
    <w:rsid w:val="00A51989"/>
    <w:rsid w:val="00A65AC9"/>
    <w:rsid w:val="00A66D2B"/>
    <w:rsid w:val="00A816D1"/>
    <w:rsid w:val="00A87A2A"/>
    <w:rsid w:val="00AA68CA"/>
    <w:rsid w:val="00AB0DDD"/>
    <w:rsid w:val="00AB36AB"/>
    <w:rsid w:val="00AD6080"/>
    <w:rsid w:val="00B05C10"/>
    <w:rsid w:val="00B16DA5"/>
    <w:rsid w:val="00B24B10"/>
    <w:rsid w:val="00B27FAC"/>
    <w:rsid w:val="00B30A22"/>
    <w:rsid w:val="00B5611A"/>
    <w:rsid w:val="00B647E7"/>
    <w:rsid w:val="00B9232B"/>
    <w:rsid w:val="00BC2811"/>
    <w:rsid w:val="00BE1ECC"/>
    <w:rsid w:val="00C01C67"/>
    <w:rsid w:val="00C0221C"/>
    <w:rsid w:val="00C07724"/>
    <w:rsid w:val="00C46CB1"/>
    <w:rsid w:val="00C65DEE"/>
    <w:rsid w:val="00C6717D"/>
    <w:rsid w:val="00CB04C0"/>
    <w:rsid w:val="00CF7632"/>
    <w:rsid w:val="00D005E7"/>
    <w:rsid w:val="00D24055"/>
    <w:rsid w:val="00D24785"/>
    <w:rsid w:val="00DA7283"/>
    <w:rsid w:val="00DA78D4"/>
    <w:rsid w:val="00DC1F6E"/>
    <w:rsid w:val="00E31067"/>
    <w:rsid w:val="00E634D0"/>
    <w:rsid w:val="00E95A41"/>
    <w:rsid w:val="00EA5FAC"/>
    <w:rsid w:val="00EB095B"/>
    <w:rsid w:val="00EE0EE0"/>
    <w:rsid w:val="00EE2C13"/>
    <w:rsid w:val="00EF7515"/>
    <w:rsid w:val="00F30FCD"/>
    <w:rsid w:val="00F508B9"/>
    <w:rsid w:val="00F54856"/>
    <w:rsid w:val="00F87BD6"/>
    <w:rsid w:val="00FD004E"/>
    <w:rsid w:val="00FD23D0"/>
    <w:rsid w:val="00FE153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F81452E-AB64-41B6-9BA5-9553D17F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D6080"/>
    <w:pPr>
      <w:keepNext/>
      <w:keepLines/>
      <w:shd w:val="clear" w:color="auto" w:fill="FFFFFF"/>
      <w:spacing w:before="240" w:beforeAutospacing="1" w:after="0" w:afterAutospacing="1" w:line="360" w:lineRule="auto"/>
      <w:jc w:val="both"/>
      <w:outlineLvl w:val="0"/>
    </w:pPr>
    <w:rPr>
      <w:rFonts w:ascii="Arial" w:eastAsiaTheme="majorEastAsia" w:hAnsi="Arial" w:cs="Arial"/>
      <w:color w:val="365F91" w:themeColor="accent1" w:themeShade="BF"/>
      <w:sz w:val="32"/>
      <w:szCs w:val="32"/>
      <w:lang w:eastAsia="en-US"/>
    </w:rPr>
  </w:style>
  <w:style w:type="paragraph" w:styleId="Ttulo2">
    <w:name w:val="heading 2"/>
    <w:basedOn w:val="Prrafodelista"/>
    <w:next w:val="Normal"/>
    <w:link w:val="Ttulo2Car"/>
    <w:uiPriority w:val="9"/>
    <w:unhideWhenUsed/>
    <w:qFormat/>
    <w:rsid w:val="00B16DA5"/>
    <w:pPr>
      <w:numPr>
        <w:numId w:val="1"/>
      </w:numPr>
      <w:jc w:val="both"/>
      <w:outlineLvl w:val="1"/>
    </w:pPr>
    <w:rPr>
      <w:rFonts w:ascii="Times New Roman" w:hAnsi="Times New Roman" w:cs="Times New Roman"/>
      <w:sz w:val="24"/>
    </w:rPr>
  </w:style>
  <w:style w:type="paragraph" w:styleId="Ttulo3">
    <w:name w:val="heading 3"/>
    <w:basedOn w:val="Normal"/>
    <w:next w:val="Normal"/>
    <w:link w:val="Ttulo3Car"/>
    <w:uiPriority w:val="9"/>
    <w:unhideWhenUsed/>
    <w:qFormat/>
    <w:rsid w:val="00B16DA5"/>
    <w:pPr>
      <w:keepNext/>
      <w:keepLines/>
      <w:spacing w:before="200" w:after="0"/>
      <w:ind w:left="708"/>
      <w:outlineLvl w:val="2"/>
    </w:pPr>
    <w:rPr>
      <w:rFonts w:ascii="Times New Roman" w:eastAsiaTheme="majorEastAsia" w:hAnsi="Times New Roman" w:cs="Times New Roman"/>
      <w:b/>
      <w:bCs/>
    </w:rPr>
  </w:style>
  <w:style w:type="paragraph" w:styleId="Ttulo4">
    <w:name w:val="heading 4"/>
    <w:basedOn w:val="Normal"/>
    <w:next w:val="Normal"/>
    <w:link w:val="Ttulo4Car"/>
    <w:uiPriority w:val="9"/>
    <w:unhideWhenUsed/>
    <w:qFormat/>
    <w:rsid w:val="00D24055"/>
    <w:pPr>
      <w:keepNext/>
      <w:keepLines/>
      <w:spacing w:before="200" w:after="0"/>
      <w:outlineLvl w:val="3"/>
    </w:pPr>
    <w:rPr>
      <w:rFonts w:ascii="Times New Roman" w:eastAsiaTheme="majorEastAsia" w:hAnsi="Times New Roman" w:cs="Times New Roman"/>
      <w:bCs/>
      <w:iCs/>
      <w:color w:val="4F81BD" w:themeColor="accent1"/>
      <w:sz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FAC"/>
    <w:pPr>
      <w:ind w:left="720"/>
      <w:contextualSpacing/>
    </w:pPr>
  </w:style>
  <w:style w:type="table" w:styleId="Tablaconcuadrcula">
    <w:name w:val="Table Grid"/>
    <w:basedOn w:val="Tablanormal"/>
    <w:uiPriority w:val="39"/>
    <w:rsid w:val="00B27F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A816D1"/>
    <w:rPr>
      <w:sz w:val="16"/>
      <w:szCs w:val="16"/>
    </w:rPr>
  </w:style>
  <w:style w:type="paragraph" w:styleId="Textocomentario">
    <w:name w:val="annotation text"/>
    <w:basedOn w:val="Normal"/>
    <w:link w:val="TextocomentarioCar"/>
    <w:uiPriority w:val="99"/>
    <w:semiHidden/>
    <w:unhideWhenUsed/>
    <w:rsid w:val="00A816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16D1"/>
    <w:rPr>
      <w:sz w:val="20"/>
      <w:szCs w:val="20"/>
    </w:rPr>
  </w:style>
  <w:style w:type="paragraph" w:styleId="Asuntodelcomentario">
    <w:name w:val="annotation subject"/>
    <w:basedOn w:val="Textocomentario"/>
    <w:next w:val="Textocomentario"/>
    <w:link w:val="AsuntodelcomentarioCar"/>
    <w:uiPriority w:val="99"/>
    <w:semiHidden/>
    <w:unhideWhenUsed/>
    <w:rsid w:val="00A816D1"/>
    <w:rPr>
      <w:b/>
      <w:bCs/>
    </w:rPr>
  </w:style>
  <w:style w:type="character" w:customStyle="1" w:styleId="AsuntodelcomentarioCar">
    <w:name w:val="Asunto del comentario Car"/>
    <w:basedOn w:val="TextocomentarioCar"/>
    <w:link w:val="Asuntodelcomentario"/>
    <w:uiPriority w:val="99"/>
    <w:semiHidden/>
    <w:rsid w:val="00A816D1"/>
    <w:rPr>
      <w:b/>
      <w:bCs/>
      <w:sz w:val="20"/>
      <w:szCs w:val="20"/>
    </w:rPr>
  </w:style>
  <w:style w:type="paragraph" w:styleId="Textodeglobo">
    <w:name w:val="Balloon Text"/>
    <w:basedOn w:val="Normal"/>
    <w:link w:val="TextodegloboCar"/>
    <w:uiPriority w:val="99"/>
    <w:semiHidden/>
    <w:unhideWhenUsed/>
    <w:rsid w:val="00A816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6D1"/>
    <w:rPr>
      <w:rFonts w:ascii="Tahoma" w:hAnsi="Tahoma" w:cs="Tahoma"/>
      <w:sz w:val="16"/>
      <w:szCs w:val="16"/>
    </w:rPr>
  </w:style>
  <w:style w:type="character" w:styleId="Hipervnculo">
    <w:name w:val="Hyperlink"/>
    <w:basedOn w:val="Fuentedeprrafopredeter"/>
    <w:uiPriority w:val="99"/>
    <w:unhideWhenUsed/>
    <w:rsid w:val="00555F04"/>
    <w:rPr>
      <w:color w:val="0000FF" w:themeColor="hyperlink"/>
      <w:u w:val="single"/>
    </w:rPr>
  </w:style>
  <w:style w:type="paragraph" w:styleId="Textonotapie">
    <w:name w:val="footnote text"/>
    <w:basedOn w:val="Normal"/>
    <w:link w:val="TextonotapieCar"/>
    <w:uiPriority w:val="99"/>
    <w:unhideWhenUsed/>
    <w:rsid w:val="004C44E2"/>
    <w:pPr>
      <w:spacing w:after="0" w:line="240" w:lineRule="auto"/>
    </w:pPr>
    <w:rPr>
      <w:sz w:val="20"/>
      <w:szCs w:val="20"/>
    </w:rPr>
  </w:style>
  <w:style w:type="character" w:customStyle="1" w:styleId="TextonotapieCar">
    <w:name w:val="Texto nota pie Car"/>
    <w:basedOn w:val="Fuentedeprrafopredeter"/>
    <w:link w:val="Textonotapie"/>
    <w:uiPriority w:val="99"/>
    <w:rsid w:val="004C44E2"/>
    <w:rPr>
      <w:sz w:val="20"/>
      <w:szCs w:val="20"/>
    </w:rPr>
  </w:style>
  <w:style w:type="character" w:styleId="Refdenotaalpie">
    <w:name w:val="footnote reference"/>
    <w:basedOn w:val="Fuentedeprrafopredeter"/>
    <w:uiPriority w:val="99"/>
    <w:semiHidden/>
    <w:unhideWhenUsed/>
    <w:rsid w:val="004C44E2"/>
    <w:rPr>
      <w:vertAlign w:val="superscript"/>
    </w:rPr>
  </w:style>
  <w:style w:type="character" w:customStyle="1" w:styleId="Ttulo2Car">
    <w:name w:val="Título 2 Car"/>
    <w:basedOn w:val="Fuentedeprrafopredeter"/>
    <w:link w:val="Ttulo2"/>
    <w:uiPriority w:val="9"/>
    <w:rsid w:val="00B16DA5"/>
    <w:rPr>
      <w:rFonts w:ascii="Times New Roman" w:hAnsi="Times New Roman" w:cs="Times New Roman"/>
      <w:sz w:val="24"/>
    </w:rPr>
  </w:style>
  <w:style w:type="paragraph" w:styleId="Encabezado">
    <w:name w:val="header"/>
    <w:basedOn w:val="Normal"/>
    <w:link w:val="EncabezadoCar"/>
    <w:uiPriority w:val="99"/>
    <w:unhideWhenUsed/>
    <w:rsid w:val="00EF75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7515"/>
  </w:style>
  <w:style w:type="paragraph" w:styleId="Piedepgina">
    <w:name w:val="footer"/>
    <w:basedOn w:val="Normal"/>
    <w:link w:val="PiedepginaCar"/>
    <w:uiPriority w:val="99"/>
    <w:unhideWhenUsed/>
    <w:rsid w:val="00EF75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7515"/>
  </w:style>
  <w:style w:type="character" w:customStyle="1" w:styleId="Ttulo1Car">
    <w:name w:val="Título 1 Car"/>
    <w:basedOn w:val="Fuentedeprrafopredeter"/>
    <w:link w:val="Ttulo1"/>
    <w:uiPriority w:val="9"/>
    <w:rsid w:val="00AD6080"/>
    <w:rPr>
      <w:rFonts w:ascii="Arial" w:eastAsiaTheme="majorEastAsia" w:hAnsi="Arial" w:cs="Arial"/>
      <w:color w:val="365F91" w:themeColor="accent1" w:themeShade="BF"/>
      <w:sz w:val="32"/>
      <w:szCs w:val="32"/>
      <w:shd w:val="clear" w:color="auto" w:fill="FFFFFF"/>
      <w:lang w:eastAsia="en-US"/>
    </w:rPr>
  </w:style>
  <w:style w:type="character" w:customStyle="1" w:styleId="il">
    <w:name w:val="il"/>
    <w:basedOn w:val="Fuentedeprrafopredeter"/>
    <w:rsid w:val="008F1181"/>
  </w:style>
  <w:style w:type="character" w:customStyle="1" w:styleId="Ttulo3Car">
    <w:name w:val="Título 3 Car"/>
    <w:basedOn w:val="Fuentedeprrafopredeter"/>
    <w:link w:val="Ttulo3"/>
    <w:uiPriority w:val="9"/>
    <w:rsid w:val="00B16DA5"/>
    <w:rPr>
      <w:rFonts w:ascii="Times New Roman" w:eastAsiaTheme="majorEastAsia" w:hAnsi="Times New Roman" w:cs="Times New Roman"/>
      <w:b/>
      <w:bCs/>
    </w:rPr>
  </w:style>
  <w:style w:type="character" w:customStyle="1" w:styleId="Ttulo4Car">
    <w:name w:val="Título 4 Car"/>
    <w:basedOn w:val="Fuentedeprrafopredeter"/>
    <w:link w:val="Ttulo4"/>
    <w:uiPriority w:val="9"/>
    <w:rsid w:val="00D24055"/>
    <w:rPr>
      <w:rFonts w:ascii="Times New Roman" w:eastAsiaTheme="majorEastAsia" w:hAnsi="Times New Roman" w:cs="Times New Roman"/>
      <w:bCs/>
      <w:iCs/>
      <w:color w:val="4F81BD" w:themeColor="accent1"/>
      <w:sz w:val="20"/>
      <w:lang w:eastAsia="en-US"/>
    </w:rPr>
  </w:style>
  <w:style w:type="table" w:customStyle="1" w:styleId="Tablaconcuadrcula1">
    <w:name w:val="Tabla con cuadrícula1"/>
    <w:basedOn w:val="Tablanormal"/>
    <w:next w:val="Tablaconcuadrcula"/>
    <w:uiPriority w:val="39"/>
    <w:rsid w:val="003751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A06555"/>
    <w:pPr>
      <w:spacing w:line="240" w:lineRule="auto"/>
    </w:pPr>
    <w:rPr>
      <w:b/>
      <w:bCs/>
      <w:color w:val="4F81BD" w:themeColor="accent1"/>
      <w:sz w:val="18"/>
      <w:szCs w:val="18"/>
    </w:rPr>
  </w:style>
  <w:style w:type="paragraph" w:styleId="NormalWeb">
    <w:name w:val="Normal (Web)"/>
    <w:basedOn w:val="Normal"/>
    <w:uiPriority w:val="99"/>
    <w:semiHidden/>
    <w:unhideWhenUsed/>
    <w:rsid w:val="00C01C67"/>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1clara-nfasis5">
    <w:name w:val="Grid Table 1 Light Accent 5"/>
    <w:basedOn w:val="Tablanormal"/>
    <w:uiPriority w:val="46"/>
    <w:rsid w:val="00C01C6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abladeilustraciones">
    <w:name w:val="table of figures"/>
    <w:basedOn w:val="Normal"/>
    <w:next w:val="Normal"/>
    <w:uiPriority w:val="99"/>
    <w:unhideWhenUsed/>
    <w:rsid w:val="00C01C67"/>
    <w:pPr>
      <w:spacing w:after="0"/>
    </w:pPr>
  </w:style>
  <w:style w:type="paragraph" w:styleId="Bibliografa">
    <w:name w:val="Bibliography"/>
    <w:basedOn w:val="Normal"/>
    <w:next w:val="Normal"/>
    <w:uiPriority w:val="37"/>
    <w:unhideWhenUsed/>
    <w:rsid w:val="002D4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7504">
      <w:bodyDiv w:val="1"/>
      <w:marLeft w:val="0"/>
      <w:marRight w:val="0"/>
      <w:marTop w:val="0"/>
      <w:marBottom w:val="0"/>
      <w:divBdr>
        <w:top w:val="none" w:sz="0" w:space="0" w:color="auto"/>
        <w:left w:val="none" w:sz="0" w:space="0" w:color="auto"/>
        <w:bottom w:val="none" w:sz="0" w:space="0" w:color="auto"/>
        <w:right w:val="none" w:sz="0" w:space="0" w:color="auto"/>
      </w:divBdr>
    </w:div>
    <w:div w:id="99877520">
      <w:bodyDiv w:val="1"/>
      <w:marLeft w:val="0"/>
      <w:marRight w:val="0"/>
      <w:marTop w:val="0"/>
      <w:marBottom w:val="0"/>
      <w:divBdr>
        <w:top w:val="none" w:sz="0" w:space="0" w:color="auto"/>
        <w:left w:val="none" w:sz="0" w:space="0" w:color="auto"/>
        <w:bottom w:val="none" w:sz="0" w:space="0" w:color="auto"/>
        <w:right w:val="none" w:sz="0" w:space="0" w:color="auto"/>
      </w:divBdr>
    </w:div>
    <w:div w:id="204683367">
      <w:bodyDiv w:val="1"/>
      <w:marLeft w:val="0"/>
      <w:marRight w:val="0"/>
      <w:marTop w:val="0"/>
      <w:marBottom w:val="0"/>
      <w:divBdr>
        <w:top w:val="none" w:sz="0" w:space="0" w:color="auto"/>
        <w:left w:val="none" w:sz="0" w:space="0" w:color="auto"/>
        <w:bottom w:val="none" w:sz="0" w:space="0" w:color="auto"/>
        <w:right w:val="none" w:sz="0" w:space="0" w:color="auto"/>
      </w:divBdr>
    </w:div>
    <w:div w:id="226646714">
      <w:bodyDiv w:val="1"/>
      <w:marLeft w:val="0"/>
      <w:marRight w:val="0"/>
      <w:marTop w:val="0"/>
      <w:marBottom w:val="0"/>
      <w:divBdr>
        <w:top w:val="none" w:sz="0" w:space="0" w:color="auto"/>
        <w:left w:val="none" w:sz="0" w:space="0" w:color="auto"/>
        <w:bottom w:val="none" w:sz="0" w:space="0" w:color="auto"/>
        <w:right w:val="none" w:sz="0" w:space="0" w:color="auto"/>
      </w:divBdr>
    </w:div>
    <w:div w:id="346562693">
      <w:bodyDiv w:val="1"/>
      <w:marLeft w:val="0"/>
      <w:marRight w:val="0"/>
      <w:marTop w:val="0"/>
      <w:marBottom w:val="0"/>
      <w:divBdr>
        <w:top w:val="none" w:sz="0" w:space="0" w:color="auto"/>
        <w:left w:val="none" w:sz="0" w:space="0" w:color="auto"/>
        <w:bottom w:val="none" w:sz="0" w:space="0" w:color="auto"/>
        <w:right w:val="none" w:sz="0" w:space="0" w:color="auto"/>
      </w:divBdr>
    </w:div>
    <w:div w:id="355471271">
      <w:bodyDiv w:val="1"/>
      <w:marLeft w:val="0"/>
      <w:marRight w:val="0"/>
      <w:marTop w:val="0"/>
      <w:marBottom w:val="0"/>
      <w:divBdr>
        <w:top w:val="none" w:sz="0" w:space="0" w:color="auto"/>
        <w:left w:val="none" w:sz="0" w:space="0" w:color="auto"/>
        <w:bottom w:val="none" w:sz="0" w:space="0" w:color="auto"/>
        <w:right w:val="none" w:sz="0" w:space="0" w:color="auto"/>
      </w:divBdr>
    </w:div>
    <w:div w:id="393894438">
      <w:bodyDiv w:val="1"/>
      <w:marLeft w:val="0"/>
      <w:marRight w:val="0"/>
      <w:marTop w:val="0"/>
      <w:marBottom w:val="0"/>
      <w:divBdr>
        <w:top w:val="none" w:sz="0" w:space="0" w:color="auto"/>
        <w:left w:val="none" w:sz="0" w:space="0" w:color="auto"/>
        <w:bottom w:val="none" w:sz="0" w:space="0" w:color="auto"/>
        <w:right w:val="none" w:sz="0" w:space="0" w:color="auto"/>
      </w:divBdr>
    </w:div>
    <w:div w:id="404763826">
      <w:bodyDiv w:val="1"/>
      <w:marLeft w:val="0"/>
      <w:marRight w:val="0"/>
      <w:marTop w:val="0"/>
      <w:marBottom w:val="0"/>
      <w:divBdr>
        <w:top w:val="none" w:sz="0" w:space="0" w:color="auto"/>
        <w:left w:val="none" w:sz="0" w:space="0" w:color="auto"/>
        <w:bottom w:val="none" w:sz="0" w:space="0" w:color="auto"/>
        <w:right w:val="none" w:sz="0" w:space="0" w:color="auto"/>
      </w:divBdr>
      <w:divsChild>
        <w:div w:id="668143732">
          <w:marLeft w:val="0"/>
          <w:marRight w:val="0"/>
          <w:marTop w:val="0"/>
          <w:marBottom w:val="0"/>
          <w:divBdr>
            <w:top w:val="none" w:sz="0" w:space="0" w:color="auto"/>
            <w:left w:val="none" w:sz="0" w:space="0" w:color="auto"/>
            <w:bottom w:val="none" w:sz="0" w:space="0" w:color="auto"/>
            <w:right w:val="none" w:sz="0" w:space="0" w:color="auto"/>
          </w:divBdr>
        </w:div>
        <w:div w:id="799149724">
          <w:marLeft w:val="0"/>
          <w:marRight w:val="0"/>
          <w:marTop w:val="0"/>
          <w:marBottom w:val="0"/>
          <w:divBdr>
            <w:top w:val="none" w:sz="0" w:space="0" w:color="auto"/>
            <w:left w:val="none" w:sz="0" w:space="0" w:color="auto"/>
            <w:bottom w:val="none" w:sz="0" w:space="0" w:color="auto"/>
            <w:right w:val="none" w:sz="0" w:space="0" w:color="auto"/>
          </w:divBdr>
        </w:div>
        <w:div w:id="337773822">
          <w:marLeft w:val="0"/>
          <w:marRight w:val="0"/>
          <w:marTop w:val="0"/>
          <w:marBottom w:val="0"/>
          <w:divBdr>
            <w:top w:val="none" w:sz="0" w:space="0" w:color="auto"/>
            <w:left w:val="none" w:sz="0" w:space="0" w:color="auto"/>
            <w:bottom w:val="none" w:sz="0" w:space="0" w:color="auto"/>
            <w:right w:val="none" w:sz="0" w:space="0" w:color="auto"/>
          </w:divBdr>
        </w:div>
      </w:divsChild>
    </w:div>
    <w:div w:id="470446316">
      <w:bodyDiv w:val="1"/>
      <w:marLeft w:val="0"/>
      <w:marRight w:val="0"/>
      <w:marTop w:val="0"/>
      <w:marBottom w:val="0"/>
      <w:divBdr>
        <w:top w:val="none" w:sz="0" w:space="0" w:color="auto"/>
        <w:left w:val="none" w:sz="0" w:space="0" w:color="auto"/>
        <w:bottom w:val="none" w:sz="0" w:space="0" w:color="auto"/>
        <w:right w:val="none" w:sz="0" w:space="0" w:color="auto"/>
      </w:divBdr>
    </w:div>
    <w:div w:id="515273365">
      <w:bodyDiv w:val="1"/>
      <w:marLeft w:val="0"/>
      <w:marRight w:val="0"/>
      <w:marTop w:val="0"/>
      <w:marBottom w:val="0"/>
      <w:divBdr>
        <w:top w:val="none" w:sz="0" w:space="0" w:color="auto"/>
        <w:left w:val="none" w:sz="0" w:space="0" w:color="auto"/>
        <w:bottom w:val="none" w:sz="0" w:space="0" w:color="auto"/>
        <w:right w:val="none" w:sz="0" w:space="0" w:color="auto"/>
      </w:divBdr>
    </w:div>
    <w:div w:id="581646851">
      <w:bodyDiv w:val="1"/>
      <w:marLeft w:val="0"/>
      <w:marRight w:val="0"/>
      <w:marTop w:val="0"/>
      <w:marBottom w:val="0"/>
      <w:divBdr>
        <w:top w:val="none" w:sz="0" w:space="0" w:color="auto"/>
        <w:left w:val="none" w:sz="0" w:space="0" w:color="auto"/>
        <w:bottom w:val="none" w:sz="0" w:space="0" w:color="auto"/>
        <w:right w:val="none" w:sz="0" w:space="0" w:color="auto"/>
      </w:divBdr>
    </w:div>
    <w:div w:id="704870903">
      <w:bodyDiv w:val="1"/>
      <w:marLeft w:val="0"/>
      <w:marRight w:val="0"/>
      <w:marTop w:val="0"/>
      <w:marBottom w:val="0"/>
      <w:divBdr>
        <w:top w:val="none" w:sz="0" w:space="0" w:color="auto"/>
        <w:left w:val="none" w:sz="0" w:space="0" w:color="auto"/>
        <w:bottom w:val="none" w:sz="0" w:space="0" w:color="auto"/>
        <w:right w:val="none" w:sz="0" w:space="0" w:color="auto"/>
      </w:divBdr>
    </w:div>
    <w:div w:id="1048258063">
      <w:bodyDiv w:val="1"/>
      <w:marLeft w:val="0"/>
      <w:marRight w:val="0"/>
      <w:marTop w:val="0"/>
      <w:marBottom w:val="0"/>
      <w:divBdr>
        <w:top w:val="none" w:sz="0" w:space="0" w:color="auto"/>
        <w:left w:val="none" w:sz="0" w:space="0" w:color="auto"/>
        <w:bottom w:val="none" w:sz="0" w:space="0" w:color="auto"/>
        <w:right w:val="none" w:sz="0" w:space="0" w:color="auto"/>
      </w:divBdr>
    </w:div>
    <w:div w:id="1166432966">
      <w:bodyDiv w:val="1"/>
      <w:marLeft w:val="0"/>
      <w:marRight w:val="0"/>
      <w:marTop w:val="0"/>
      <w:marBottom w:val="0"/>
      <w:divBdr>
        <w:top w:val="none" w:sz="0" w:space="0" w:color="auto"/>
        <w:left w:val="none" w:sz="0" w:space="0" w:color="auto"/>
        <w:bottom w:val="none" w:sz="0" w:space="0" w:color="auto"/>
        <w:right w:val="none" w:sz="0" w:space="0" w:color="auto"/>
      </w:divBdr>
    </w:div>
    <w:div w:id="1574316210">
      <w:bodyDiv w:val="1"/>
      <w:marLeft w:val="0"/>
      <w:marRight w:val="0"/>
      <w:marTop w:val="0"/>
      <w:marBottom w:val="0"/>
      <w:divBdr>
        <w:top w:val="none" w:sz="0" w:space="0" w:color="auto"/>
        <w:left w:val="none" w:sz="0" w:space="0" w:color="auto"/>
        <w:bottom w:val="none" w:sz="0" w:space="0" w:color="auto"/>
        <w:right w:val="none" w:sz="0" w:space="0" w:color="auto"/>
      </w:divBdr>
    </w:div>
    <w:div w:id="1581132770">
      <w:bodyDiv w:val="1"/>
      <w:marLeft w:val="0"/>
      <w:marRight w:val="0"/>
      <w:marTop w:val="0"/>
      <w:marBottom w:val="0"/>
      <w:divBdr>
        <w:top w:val="none" w:sz="0" w:space="0" w:color="auto"/>
        <w:left w:val="none" w:sz="0" w:space="0" w:color="auto"/>
        <w:bottom w:val="none" w:sz="0" w:space="0" w:color="auto"/>
        <w:right w:val="none" w:sz="0" w:space="0" w:color="auto"/>
      </w:divBdr>
    </w:div>
    <w:div w:id="1679233683">
      <w:bodyDiv w:val="1"/>
      <w:marLeft w:val="0"/>
      <w:marRight w:val="0"/>
      <w:marTop w:val="0"/>
      <w:marBottom w:val="0"/>
      <w:divBdr>
        <w:top w:val="none" w:sz="0" w:space="0" w:color="auto"/>
        <w:left w:val="none" w:sz="0" w:space="0" w:color="auto"/>
        <w:bottom w:val="none" w:sz="0" w:space="0" w:color="auto"/>
        <w:right w:val="none" w:sz="0" w:space="0" w:color="auto"/>
      </w:divBdr>
    </w:div>
    <w:div w:id="1680766158">
      <w:bodyDiv w:val="1"/>
      <w:marLeft w:val="0"/>
      <w:marRight w:val="0"/>
      <w:marTop w:val="0"/>
      <w:marBottom w:val="0"/>
      <w:divBdr>
        <w:top w:val="none" w:sz="0" w:space="0" w:color="auto"/>
        <w:left w:val="none" w:sz="0" w:space="0" w:color="auto"/>
        <w:bottom w:val="none" w:sz="0" w:space="0" w:color="auto"/>
        <w:right w:val="none" w:sz="0" w:space="0" w:color="auto"/>
      </w:divBdr>
    </w:div>
    <w:div w:id="1814330412">
      <w:bodyDiv w:val="1"/>
      <w:marLeft w:val="0"/>
      <w:marRight w:val="0"/>
      <w:marTop w:val="0"/>
      <w:marBottom w:val="0"/>
      <w:divBdr>
        <w:top w:val="none" w:sz="0" w:space="0" w:color="auto"/>
        <w:left w:val="none" w:sz="0" w:space="0" w:color="auto"/>
        <w:bottom w:val="none" w:sz="0" w:space="0" w:color="auto"/>
        <w:right w:val="none" w:sz="0" w:space="0" w:color="auto"/>
      </w:divBdr>
    </w:div>
    <w:div w:id="18344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07/relationships/diagramDrawing" Target="diagrams/drawing1.xml"/><Relationship Id="rId26" Type="http://schemas.openxmlformats.org/officeDocument/2006/relationships/hyperlink" Target="mailto:alonso.agudelo@udea.edu.co" TargetMode="External"/><Relationship Id="rId3" Type="http://schemas.openxmlformats.org/officeDocument/2006/relationships/styles" Target="styles.xml"/><Relationship Id="rId21" Type="http://schemas.openxmlformats.org/officeDocument/2006/relationships/hyperlink" Target="http://jech.bmj.com/content/jech/57/5/324.full.pdf" TargetMode="External"/><Relationship Id="rId7" Type="http://schemas.openxmlformats.org/officeDocument/2006/relationships/endnotes" Target="endnotes.xml"/><Relationship Id="rId12" Type="http://schemas.openxmlformats.org/officeDocument/2006/relationships/hyperlink" Target="http://www.eldiplo.info/portal/index.php/1851/item/829-colapso-del-modelo-de-desarrollo-colombiano" TargetMode="External"/><Relationship Id="rId17" Type="http://schemas.openxmlformats.org/officeDocument/2006/relationships/diagramColors" Target="diagrams/colors1.xml"/><Relationship Id="rId25" Type="http://schemas.openxmlformats.org/officeDocument/2006/relationships/hyperlink" Target="http://www.aset.org.ar/congresos/7/09006.pdf"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cielo.sld.cu/scielo.php?script=sci_arttext&amp;pid=S086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procuraduria.gov.co/portal/media/file/Trabajo%20digno%20y%20decente%20en%20Colombia_%20Seguimiento%20y%20control%20preventivo%20a%20las%20pol%C3%ADticas%20p%C3%BAblicas(1).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www.minsalud.gov.co/sites/rid/Lists/BibliotecaDigital/RIDE/VS/TH/Guia-observatorio-talento-humano-Salud-oths.pdf" TargetMode="External"/><Relationship Id="rId28" Type="http://schemas.openxmlformats.org/officeDocument/2006/relationships/image" Target="media/image6.emf"/><Relationship Id="rId10" Type="http://schemas.openxmlformats.org/officeDocument/2006/relationships/image" Target="media/image3.emf"/><Relationship Id="rId19" Type="http://schemas.openxmlformats.org/officeDocument/2006/relationships/hyperlink" Target="https://www.cepal.org/es/publicaciones/41598-panorama-social-america-latina-201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Data" Target="diagrams/data1.xml"/><Relationship Id="rId22" Type="http://schemas.openxmlformats.org/officeDocument/2006/relationships/hyperlink" Target="http://www.who.int/occupational_health/WHO_health_assembly_sp_web.pdf" TargetMode="External"/><Relationship Id="rId27" Type="http://schemas.openxmlformats.org/officeDocument/2006/relationships/hyperlink" Target="mailto:yadira.borrero@gudea.edu.co"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0F5B80-E8D4-4314-8A36-977392985A45}" type="doc">
      <dgm:prSet loTypeId="urn:microsoft.com/office/officeart/2009/layout/CircleArrowProcess" loCatId="cycle" qsTypeId="urn:microsoft.com/office/officeart/2005/8/quickstyle/simple1" qsCatId="simple" csTypeId="urn:microsoft.com/office/officeart/2005/8/colors/colorful1" csCatId="colorful" phldr="1"/>
      <dgm:spPr/>
      <dgm:t>
        <a:bodyPr/>
        <a:lstStyle/>
        <a:p>
          <a:endParaRPr lang="es-CO"/>
        </a:p>
      </dgm:t>
    </dgm:pt>
    <dgm:pt modelId="{CAC69AC3-B8B8-4AF8-90C8-45F1C1ADCD7F}">
      <dgm:prSet phldrT="[Texto]" custT="1"/>
      <dgm:spPr/>
      <dgm:t>
        <a:bodyPr/>
        <a:lstStyle/>
        <a:p>
          <a:pPr algn="ctr"/>
          <a:r>
            <a:rPr lang="es-CO" sz="1050">
              <a:latin typeface="Berlin Sans FB" panose="020E0602020502020306" pitchFamily="34" charset="0"/>
            </a:rPr>
            <a:t>Dimensión general: "configuración del entorno laboral"</a:t>
          </a:r>
        </a:p>
      </dgm:t>
    </dgm:pt>
    <dgm:pt modelId="{58BA9BCF-F733-40CD-B28C-0C14734BA606}" type="parTrans" cxnId="{024B4713-2E52-4EC2-870B-8D402F30D4AA}">
      <dgm:prSet/>
      <dgm:spPr/>
      <dgm:t>
        <a:bodyPr/>
        <a:lstStyle/>
        <a:p>
          <a:pPr algn="ctr"/>
          <a:endParaRPr lang="es-CO" sz="1050">
            <a:latin typeface="Berlin Sans FB" panose="020E0602020502020306" pitchFamily="34" charset="0"/>
          </a:endParaRPr>
        </a:p>
      </dgm:t>
    </dgm:pt>
    <dgm:pt modelId="{CCC2E1E7-5A90-4482-91E4-BCB08A7E10AD}" type="sibTrans" cxnId="{024B4713-2E52-4EC2-870B-8D402F30D4AA}">
      <dgm:prSet/>
      <dgm:spPr/>
      <dgm:t>
        <a:bodyPr/>
        <a:lstStyle/>
        <a:p>
          <a:pPr algn="ctr"/>
          <a:endParaRPr lang="es-CO" sz="1050">
            <a:latin typeface="Berlin Sans FB" panose="020E0602020502020306" pitchFamily="34" charset="0"/>
          </a:endParaRPr>
        </a:p>
      </dgm:t>
    </dgm:pt>
    <dgm:pt modelId="{EB0F6C3F-3225-4B15-A3A2-E4015BE56B54}">
      <dgm:prSet phldrT="[Texto]" custT="1"/>
      <dgm:spPr/>
      <dgm:t>
        <a:bodyPr/>
        <a:lstStyle/>
        <a:p>
          <a:pPr algn="ctr"/>
          <a:r>
            <a:rPr lang="es-CO" sz="1050">
              <a:latin typeface="Berlin Sans FB" panose="020E0602020502020306" pitchFamily="34" charset="0"/>
            </a:rPr>
            <a:t>Dimensión perticular: "condiciones de salud y trabajo"</a:t>
          </a:r>
        </a:p>
      </dgm:t>
    </dgm:pt>
    <dgm:pt modelId="{D12C66D3-F870-43F3-BD82-F725841B10F9}" type="parTrans" cxnId="{5A8FF69A-0C14-42B1-A80A-FF8652CB5198}">
      <dgm:prSet/>
      <dgm:spPr/>
      <dgm:t>
        <a:bodyPr/>
        <a:lstStyle/>
        <a:p>
          <a:pPr algn="ctr"/>
          <a:endParaRPr lang="es-CO" sz="1050">
            <a:latin typeface="Berlin Sans FB" panose="020E0602020502020306" pitchFamily="34" charset="0"/>
          </a:endParaRPr>
        </a:p>
      </dgm:t>
    </dgm:pt>
    <dgm:pt modelId="{291F82B5-3BCA-4B35-9E57-AB8CB74CB24F}" type="sibTrans" cxnId="{5A8FF69A-0C14-42B1-A80A-FF8652CB5198}">
      <dgm:prSet/>
      <dgm:spPr/>
      <dgm:t>
        <a:bodyPr/>
        <a:lstStyle/>
        <a:p>
          <a:pPr algn="ctr"/>
          <a:endParaRPr lang="es-CO" sz="1050">
            <a:latin typeface="Berlin Sans FB" panose="020E0602020502020306" pitchFamily="34" charset="0"/>
          </a:endParaRPr>
        </a:p>
      </dgm:t>
    </dgm:pt>
    <dgm:pt modelId="{B390D58D-C310-452D-AC58-4E224E7F5AF0}">
      <dgm:prSet phldrT="[Texto]" custT="1"/>
      <dgm:spPr/>
      <dgm:t>
        <a:bodyPr/>
        <a:lstStyle/>
        <a:p>
          <a:pPr algn="ctr"/>
          <a:r>
            <a:rPr lang="es-CO" sz="1050">
              <a:latin typeface="Berlin Sans FB" panose="020E0602020502020306" pitchFamily="34" charset="0"/>
            </a:rPr>
            <a:t>Dimensión singular "expresiones de violencia laboral</a:t>
          </a:r>
        </a:p>
      </dgm:t>
    </dgm:pt>
    <dgm:pt modelId="{9062EF5B-7CC9-4922-AC12-D6A9226F4F96}" type="parTrans" cxnId="{54CA2852-69B3-41DC-BFA8-D9461B7702A6}">
      <dgm:prSet/>
      <dgm:spPr/>
      <dgm:t>
        <a:bodyPr/>
        <a:lstStyle/>
        <a:p>
          <a:pPr algn="ctr"/>
          <a:endParaRPr lang="es-CO" sz="1050">
            <a:latin typeface="Berlin Sans FB" panose="020E0602020502020306" pitchFamily="34" charset="0"/>
          </a:endParaRPr>
        </a:p>
      </dgm:t>
    </dgm:pt>
    <dgm:pt modelId="{958147BC-9E6E-4531-AB44-FC16468F4ED4}" type="sibTrans" cxnId="{54CA2852-69B3-41DC-BFA8-D9461B7702A6}">
      <dgm:prSet/>
      <dgm:spPr/>
      <dgm:t>
        <a:bodyPr/>
        <a:lstStyle/>
        <a:p>
          <a:pPr algn="ctr"/>
          <a:endParaRPr lang="es-CO" sz="1050">
            <a:latin typeface="Berlin Sans FB" panose="020E0602020502020306" pitchFamily="34" charset="0"/>
          </a:endParaRPr>
        </a:p>
      </dgm:t>
    </dgm:pt>
    <dgm:pt modelId="{28137719-1A35-4AA5-9B8C-2152C12E3075}" type="pres">
      <dgm:prSet presAssocID="{200F5B80-E8D4-4314-8A36-977392985A45}" presName="Name0" presStyleCnt="0">
        <dgm:presLayoutVars>
          <dgm:chMax val="7"/>
          <dgm:chPref val="7"/>
          <dgm:dir/>
          <dgm:animLvl val="lvl"/>
        </dgm:presLayoutVars>
      </dgm:prSet>
      <dgm:spPr/>
      <dgm:t>
        <a:bodyPr/>
        <a:lstStyle/>
        <a:p>
          <a:endParaRPr lang="es-CO"/>
        </a:p>
      </dgm:t>
    </dgm:pt>
    <dgm:pt modelId="{2B1CCA37-13A3-49B4-89FF-DF4ADCCB3404}" type="pres">
      <dgm:prSet presAssocID="{CAC69AC3-B8B8-4AF8-90C8-45F1C1ADCD7F}" presName="Accent1" presStyleCnt="0"/>
      <dgm:spPr/>
    </dgm:pt>
    <dgm:pt modelId="{88575B2A-E8F4-4FE9-A405-0BEAAE359531}" type="pres">
      <dgm:prSet presAssocID="{CAC69AC3-B8B8-4AF8-90C8-45F1C1ADCD7F}" presName="Accent" presStyleLbl="node1" presStyleIdx="0" presStyleCnt="3"/>
      <dgm:spPr/>
    </dgm:pt>
    <dgm:pt modelId="{3830E9C0-8176-44E5-AD00-5BA9F09CD53A}" type="pres">
      <dgm:prSet presAssocID="{CAC69AC3-B8B8-4AF8-90C8-45F1C1ADCD7F}" presName="Parent1" presStyleLbl="revTx" presStyleIdx="0" presStyleCnt="3">
        <dgm:presLayoutVars>
          <dgm:chMax val="1"/>
          <dgm:chPref val="1"/>
          <dgm:bulletEnabled val="1"/>
        </dgm:presLayoutVars>
      </dgm:prSet>
      <dgm:spPr/>
      <dgm:t>
        <a:bodyPr/>
        <a:lstStyle/>
        <a:p>
          <a:endParaRPr lang="es-CO"/>
        </a:p>
      </dgm:t>
    </dgm:pt>
    <dgm:pt modelId="{7BD09668-8B51-46F1-9B9A-6E12448E8E96}" type="pres">
      <dgm:prSet presAssocID="{EB0F6C3F-3225-4B15-A3A2-E4015BE56B54}" presName="Accent2" presStyleCnt="0"/>
      <dgm:spPr/>
    </dgm:pt>
    <dgm:pt modelId="{3565E60F-F73E-4276-A38D-27DC57B78B7A}" type="pres">
      <dgm:prSet presAssocID="{EB0F6C3F-3225-4B15-A3A2-E4015BE56B54}" presName="Accent" presStyleLbl="node1" presStyleIdx="1" presStyleCnt="3"/>
      <dgm:spPr/>
    </dgm:pt>
    <dgm:pt modelId="{F8573CBB-A736-490A-9C3D-4FED65EBCE16}" type="pres">
      <dgm:prSet presAssocID="{EB0F6C3F-3225-4B15-A3A2-E4015BE56B54}" presName="Parent2" presStyleLbl="revTx" presStyleIdx="1" presStyleCnt="3">
        <dgm:presLayoutVars>
          <dgm:chMax val="1"/>
          <dgm:chPref val="1"/>
          <dgm:bulletEnabled val="1"/>
        </dgm:presLayoutVars>
      </dgm:prSet>
      <dgm:spPr/>
      <dgm:t>
        <a:bodyPr/>
        <a:lstStyle/>
        <a:p>
          <a:endParaRPr lang="es-CO"/>
        </a:p>
      </dgm:t>
    </dgm:pt>
    <dgm:pt modelId="{F13CE102-9803-4B4F-9A80-7DD2F95A186E}" type="pres">
      <dgm:prSet presAssocID="{B390D58D-C310-452D-AC58-4E224E7F5AF0}" presName="Accent3" presStyleCnt="0"/>
      <dgm:spPr/>
    </dgm:pt>
    <dgm:pt modelId="{47DFA9BC-9E8C-4D10-98C4-D967AF447E2B}" type="pres">
      <dgm:prSet presAssocID="{B390D58D-C310-452D-AC58-4E224E7F5AF0}" presName="Accent" presStyleLbl="node1" presStyleIdx="2" presStyleCnt="3"/>
      <dgm:spPr/>
    </dgm:pt>
    <dgm:pt modelId="{4D8E8BC6-8A0A-4217-8054-2B245F706A27}" type="pres">
      <dgm:prSet presAssocID="{B390D58D-C310-452D-AC58-4E224E7F5AF0}" presName="Parent3" presStyleLbl="revTx" presStyleIdx="2" presStyleCnt="3">
        <dgm:presLayoutVars>
          <dgm:chMax val="1"/>
          <dgm:chPref val="1"/>
          <dgm:bulletEnabled val="1"/>
        </dgm:presLayoutVars>
      </dgm:prSet>
      <dgm:spPr/>
      <dgm:t>
        <a:bodyPr/>
        <a:lstStyle/>
        <a:p>
          <a:endParaRPr lang="es-CO"/>
        </a:p>
      </dgm:t>
    </dgm:pt>
  </dgm:ptLst>
  <dgm:cxnLst>
    <dgm:cxn modelId="{54CA2852-69B3-41DC-BFA8-D9461B7702A6}" srcId="{200F5B80-E8D4-4314-8A36-977392985A45}" destId="{B390D58D-C310-452D-AC58-4E224E7F5AF0}" srcOrd="2" destOrd="0" parTransId="{9062EF5B-7CC9-4922-AC12-D6A9226F4F96}" sibTransId="{958147BC-9E6E-4531-AB44-FC16468F4ED4}"/>
    <dgm:cxn modelId="{9C1C5AE8-3527-4A68-A71F-44D1971A70CC}" type="presOf" srcId="{200F5B80-E8D4-4314-8A36-977392985A45}" destId="{28137719-1A35-4AA5-9B8C-2152C12E3075}" srcOrd="0" destOrd="0" presId="urn:microsoft.com/office/officeart/2009/layout/CircleArrowProcess"/>
    <dgm:cxn modelId="{5A8FF69A-0C14-42B1-A80A-FF8652CB5198}" srcId="{200F5B80-E8D4-4314-8A36-977392985A45}" destId="{EB0F6C3F-3225-4B15-A3A2-E4015BE56B54}" srcOrd="1" destOrd="0" parTransId="{D12C66D3-F870-43F3-BD82-F725841B10F9}" sibTransId="{291F82B5-3BCA-4B35-9E57-AB8CB74CB24F}"/>
    <dgm:cxn modelId="{024B4713-2E52-4EC2-870B-8D402F30D4AA}" srcId="{200F5B80-E8D4-4314-8A36-977392985A45}" destId="{CAC69AC3-B8B8-4AF8-90C8-45F1C1ADCD7F}" srcOrd="0" destOrd="0" parTransId="{58BA9BCF-F733-40CD-B28C-0C14734BA606}" sibTransId="{CCC2E1E7-5A90-4482-91E4-BCB08A7E10AD}"/>
    <dgm:cxn modelId="{598B8D91-2C84-4BA0-9986-680490E541BB}" type="presOf" srcId="{CAC69AC3-B8B8-4AF8-90C8-45F1C1ADCD7F}" destId="{3830E9C0-8176-44E5-AD00-5BA9F09CD53A}" srcOrd="0" destOrd="0" presId="urn:microsoft.com/office/officeart/2009/layout/CircleArrowProcess"/>
    <dgm:cxn modelId="{EE392143-12A3-47E7-B593-2CBB5D0A0FCC}" type="presOf" srcId="{EB0F6C3F-3225-4B15-A3A2-E4015BE56B54}" destId="{F8573CBB-A736-490A-9C3D-4FED65EBCE16}" srcOrd="0" destOrd="0" presId="urn:microsoft.com/office/officeart/2009/layout/CircleArrowProcess"/>
    <dgm:cxn modelId="{04C2073E-3420-4D0D-A54B-60C5CEE4C9DB}" type="presOf" srcId="{B390D58D-C310-452D-AC58-4E224E7F5AF0}" destId="{4D8E8BC6-8A0A-4217-8054-2B245F706A27}" srcOrd="0" destOrd="0" presId="urn:microsoft.com/office/officeart/2009/layout/CircleArrowProcess"/>
    <dgm:cxn modelId="{556F0B28-6559-433A-9787-6548E1B98B83}" type="presParOf" srcId="{28137719-1A35-4AA5-9B8C-2152C12E3075}" destId="{2B1CCA37-13A3-49B4-89FF-DF4ADCCB3404}" srcOrd="0" destOrd="0" presId="urn:microsoft.com/office/officeart/2009/layout/CircleArrowProcess"/>
    <dgm:cxn modelId="{BC4893FB-E917-4D1F-9B62-B3694C94FD01}" type="presParOf" srcId="{2B1CCA37-13A3-49B4-89FF-DF4ADCCB3404}" destId="{88575B2A-E8F4-4FE9-A405-0BEAAE359531}" srcOrd="0" destOrd="0" presId="urn:microsoft.com/office/officeart/2009/layout/CircleArrowProcess"/>
    <dgm:cxn modelId="{114AA9D9-79D0-4132-BD26-392BB91A3F61}" type="presParOf" srcId="{28137719-1A35-4AA5-9B8C-2152C12E3075}" destId="{3830E9C0-8176-44E5-AD00-5BA9F09CD53A}" srcOrd="1" destOrd="0" presId="urn:microsoft.com/office/officeart/2009/layout/CircleArrowProcess"/>
    <dgm:cxn modelId="{9F9469A6-8AE8-454D-AEF1-371B1868AE37}" type="presParOf" srcId="{28137719-1A35-4AA5-9B8C-2152C12E3075}" destId="{7BD09668-8B51-46F1-9B9A-6E12448E8E96}" srcOrd="2" destOrd="0" presId="urn:microsoft.com/office/officeart/2009/layout/CircleArrowProcess"/>
    <dgm:cxn modelId="{72D86368-BB80-4998-BE0E-7BC6F841FCAB}" type="presParOf" srcId="{7BD09668-8B51-46F1-9B9A-6E12448E8E96}" destId="{3565E60F-F73E-4276-A38D-27DC57B78B7A}" srcOrd="0" destOrd="0" presId="urn:microsoft.com/office/officeart/2009/layout/CircleArrowProcess"/>
    <dgm:cxn modelId="{B1F66EEC-7BEE-4AC1-B352-55725D66B48E}" type="presParOf" srcId="{28137719-1A35-4AA5-9B8C-2152C12E3075}" destId="{F8573CBB-A736-490A-9C3D-4FED65EBCE16}" srcOrd="3" destOrd="0" presId="urn:microsoft.com/office/officeart/2009/layout/CircleArrowProcess"/>
    <dgm:cxn modelId="{5F074613-B7CA-4B04-8387-7AAADAEA9445}" type="presParOf" srcId="{28137719-1A35-4AA5-9B8C-2152C12E3075}" destId="{F13CE102-9803-4B4F-9A80-7DD2F95A186E}" srcOrd="4" destOrd="0" presId="urn:microsoft.com/office/officeart/2009/layout/CircleArrowProcess"/>
    <dgm:cxn modelId="{7D080478-18F1-4ED1-9BCF-1DD98E27883A}" type="presParOf" srcId="{F13CE102-9803-4B4F-9A80-7DD2F95A186E}" destId="{47DFA9BC-9E8C-4D10-98C4-D967AF447E2B}" srcOrd="0" destOrd="0" presId="urn:microsoft.com/office/officeart/2009/layout/CircleArrowProcess"/>
    <dgm:cxn modelId="{D30FD05B-9CE6-468D-B9CA-4F9C927AF20C}" type="presParOf" srcId="{28137719-1A35-4AA5-9B8C-2152C12E3075}" destId="{4D8E8BC6-8A0A-4217-8054-2B245F706A27}" srcOrd="5" destOrd="0" presId="urn:microsoft.com/office/officeart/2009/layout/CircleArrow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575B2A-E8F4-4FE9-A405-0BEAAE359531}">
      <dsp:nvSpPr>
        <dsp:cNvPr id="0" name=""/>
        <dsp:cNvSpPr/>
      </dsp:nvSpPr>
      <dsp:spPr>
        <a:xfrm>
          <a:off x="891506" y="0"/>
          <a:ext cx="1540438" cy="1540672"/>
        </a:xfrm>
        <a:prstGeom prst="circularArrow">
          <a:avLst>
            <a:gd name="adj1" fmla="val 10980"/>
            <a:gd name="adj2" fmla="val 1142322"/>
            <a:gd name="adj3" fmla="val 4500000"/>
            <a:gd name="adj4" fmla="val 10800000"/>
            <a:gd name="adj5" fmla="val 125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30E9C0-8176-44E5-AD00-5BA9F09CD53A}">
      <dsp:nvSpPr>
        <dsp:cNvPr id="0" name=""/>
        <dsp:cNvSpPr/>
      </dsp:nvSpPr>
      <dsp:spPr>
        <a:xfrm>
          <a:off x="1231994" y="556229"/>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O" sz="1050" kern="1200">
              <a:latin typeface="Berlin Sans FB" panose="020E0602020502020306" pitchFamily="34" charset="0"/>
            </a:rPr>
            <a:t>Dimensión general: "configuración del entorno laboral"</a:t>
          </a:r>
        </a:p>
      </dsp:txBody>
      <dsp:txXfrm>
        <a:off x="1231994" y="556229"/>
        <a:ext cx="855991" cy="427893"/>
      </dsp:txXfrm>
    </dsp:sp>
    <dsp:sp modelId="{3565E60F-F73E-4276-A38D-27DC57B78B7A}">
      <dsp:nvSpPr>
        <dsp:cNvPr id="0" name=""/>
        <dsp:cNvSpPr/>
      </dsp:nvSpPr>
      <dsp:spPr>
        <a:xfrm>
          <a:off x="463655" y="885230"/>
          <a:ext cx="1540438" cy="1540672"/>
        </a:xfrm>
        <a:prstGeom prst="leftCircularArrow">
          <a:avLst>
            <a:gd name="adj1" fmla="val 10980"/>
            <a:gd name="adj2" fmla="val 1142322"/>
            <a:gd name="adj3" fmla="val 6300000"/>
            <a:gd name="adj4" fmla="val 18900000"/>
            <a:gd name="adj5" fmla="val 125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573CBB-A736-490A-9C3D-4FED65EBCE16}">
      <dsp:nvSpPr>
        <dsp:cNvPr id="0" name=""/>
        <dsp:cNvSpPr/>
      </dsp:nvSpPr>
      <dsp:spPr>
        <a:xfrm>
          <a:off x="805878" y="1446580"/>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O" sz="1050" kern="1200">
              <a:latin typeface="Berlin Sans FB" panose="020E0602020502020306" pitchFamily="34" charset="0"/>
            </a:rPr>
            <a:t>Dimensión perticular: "condiciones de salud y trabajo"</a:t>
          </a:r>
        </a:p>
      </dsp:txBody>
      <dsp:txXfrm>
        <a:off x="805878" y="1446580"/>
        <a:ext cx="855991" cy="427893"/>
      </dsp:txXfrm>
    </dsp:sp>
    <dsp:sp modelId="{47DFA9BC-9E8C-4D10-98C4-D967AF447E2B}">
      <dsp:nvSpPr>
        <dsp:cNvPr id="0" name=""/>
        <dsp:cNvSpPr/>
      </dsp:nvSpPr>
      <dsp:spPr>
        <a:xfrm>
          <a:off x="1001145" y="1876394"/>
          <a:ext cx="1323475" cy="1324005"/>
        </a:xfrm>
        <a:prstGeom prst="blockArc">
          <a:avLst>
            <a:gd name="adj1" fmla="val 13500000"/>
            <a:gd name="adj2" fmla="val 10800000"/>
            <a:gd name="adj3" fmla="val 1274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D8E8BC6-8A0A-4217-8054-2B245F706A27}">
      <dsp:nvSpPr>
        <dsp:cNvPr id="0" name=""/>
        <dsp:cNvSpPr/>
      </dsp:nvSpPr>
      <dsp:spPr>
        <a:xfrm>
          <a:off x="1234019" y="2338212"/>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O" sz="1050" kern="1200">
              <a:latin typeface="Berlin Sans FB" panose="020E0602020502020306" pitchFamily="34" charset="0"/>
            </a:rPr>
            <a:t>Dimensión singular "expresiones de violencia laboral</a:t>
          </a:r>
        </a:p>
      </dsp:txBody>
      <dsp:txXfrm>
        <a:off x="1234019" y="2338212"/>
        <a:ext cx="855991" cy="42789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Par03</b:Tag>
    <b:SourceType>Misc</b:SourceType>
    <b:Guid>{16484563-14BC-4905-98FB-E181B4274AB7}</b:Guid>
    <b:Author>
      <b:Author>
        <b:NameList>
          <b:Person>
            <b:Last>Parra</b:Last>
            <b:First>Manuel</b:First>
          </b:Person>
        </b:NameList>
      </b:Author>
      <b:Editor>
        <b:NameList>
          <b:Person>
            <b:Last>Chile</b:Last>
            <b:First>OIT</b:First>
            <b:Middle>- CUT</b:Middle>
          </b:Person>
        </b:NameList>
      </b:Editor>
    </b:Author>
    <b:Title>Conceptos básicos en salud laboral. Eje para la acción sindical</b:Title>
    <b:Year>2003</b:Year>
    <b:City>Santiago</b:City>
    <b:PublicationTitle>Textos de capacitación</b:PublicationTitle>
    <b:CountryRegion>Chile</b:CountryRegion>
    <b:Pages>1-31</b:Pages>
    <b:Edition>Primera edición</b:Edition>
    <b:RefOrder>1</b:RefOrder>
  </b:Source>
  <b:Source>
    <b:Tag>Con12</b:Tag>
    <b:SourceType>Report</b:SourceType>
    <b:Guid>{F7AB8A0B-C47A-4893-866D-684CC7B96150}</b:Guid>
    <b:Author>
      <b:Author>
        <b:Corporate>Congreso de Colombia</b:Corporate>
      </b:Author>
    </b:Author>
    <b:Title>Ley 1562 </b:Title>
    <b:Year>2012</b:Year>
    <b:RefOrder>2</b:RefOrder>
  </b:Source>
  <b:Source>
    <b:Tag>Con13</b:Tag>
    <b:SourceType>Report</b:SourceType>
    <b:Guid>{1802826E-F734-41C1-BD4E-43A52788913B}</b:Guid>
    <b:Author>
      <b:Author>
        <b:Corporate>Congreso de la Colombia</b:Corporate>
      </b:Author>
    </b:Author>
    <b:Title>LEY 1616 DE 2013</b:Title>
    <b:Year>2013</b:Year>
    <b:City>Colombia</b:City>
    <b:RefOrder>3</b:RefOrder>
  </b:Source>
  <b:Source>
    <b:Tag>Ard16</b:Tag>
    <b:SourceType>Report</b:SourceType>
    <b:Guid>{D70428C4-23E1-423B-AEF5-D81715E9E714}</b:Guid>
    <b:Author>
      <b:Author>
        <b:NameList>
          <b:Person>
            <b:Last>Ardila S</b:Last>
            <b:First>Adriana</b:First>
            <b:Middle>Mercedes</b:Middle>
          </b:Person>
        </b:NameList>
      </b:Author>
    </b:Author>
    <b:Title>Neoliberalismo y trabajo médico en el Sistema General de Seguridad Social en Salud</b:Title>
    <b:Year>2016</b:Year>
    <b:City>Bogotá, Colombia.</b:City>
    <b:RefOrder>4</b:RefOrder>
  </b:Source>
  <b:Source>
    <b:Tag>Seg16</b:Tag>
    <b:SourceType>Report</b:SourceType>
    <b:Guid>{F9E504C2-E56A-45E5-AE93-B7C56D4A08B1}</b:Guid>
    <b:Title>Configuración de la unidad de cuidado médicos intensivistas: una mirada desde la epidemiología social</b:Title>
    <b:Year>2016</b:Year>
    <b:Author>
      <b:Author>
        <b:NameList>
          <b:Person>
            <b:Last>Segura</b:Last>
            <b:First>Omar.</b:First>
          </b:Person>
        </b:NameList>
      </b:Author>
    </b:Author>
    <b:City>Bogotá.</b:City>
    <b:RefOrder>5</b:RefOrder>
  </b:Source>
</b:Sources>
</file>

<file path=customXml/itemProps1.xml><?xml version="1.0" encoding="utf-8"?>
<ds:datastoreItem xmlns:ds="http://schemas.openxmlformats.org/officeDocument/2006/customXml" ds:itemID="{52395DEC-93C3-4550-99FB-22100096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40</Pages>
  <Words>10521</Words>
  <Characters>57870</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SUAREZ</dc:creator>
  <cp:lastModifiedBy>Docentes SaludPublica</cp:lastModifiedBy>
  <cp:revision>23</cp:revision>
  <cp:lastPrinted>2017-01-17T19:14:00Z</cp:lastPrinted>
  <dcterms:created xsi:type="dcterms:W3CDTF">2017-09-08T16:09:00Z</dcterms:created>
  <dcterms:modified xsi:type="dcterms:W3CDTF">2017-09-11T22:02:00Z</dcterms:modified>
</cp:coreProperties>
</file>