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5E17B6" w14:textId="03EEB301" w:rsidR="00850B9F" w:rsidRDefault="00850B9F" w:rsidP="00850B9F">
      <w:pPr>
        <w:spacing w:line="360" w:lineRule="auto"/>
        <w:jc w:val="center"/>
        <w:rPr>
          <w:rFonts w:ascii="Arial" w:hAnsi="Arial" w:cs="Arial"/>
          <w:b/>
          <w:color w:val="000000" w:themeColor="text1"/>
        </w:rPr>
      </w:pPr>
      <w:r w:rsidRPr="00850B9F">
        <w:rPr>
          <w:rFonts w:ascii="Arial" w:hAnsi="Arial" w:cs="Arial"/>
          <w:b/>
          <w:color w:val="000000" w:themeColor="text1"/>
        </w:rPr>
        <w:t>Los Derechos Humanos y el Derecho Internacional Humanitario en el contexto nacional e internacional</w:t>
      </w:r>
      <w:r w:rsidR="00731134">
        <w:rPr>
          <w:rFonts w:ascii="Arial" w:hAnsi="Arial" w:cs="Arial"/>
          <w:b/>
          <w:color w:val="000000" w:themeColor="text1"/>
        </w:rPr>
        <w:t xml:space="preserve"> </w:t>
      </w:r>
      <w:r w:rsidR="00731134">
        <w:rPr>
          <w:rStyle w:val="Refdenotaalpie"/>
          <w:rFonts w:ascii="Arial" w:hAnsi="Arial" w:cs="Arial"/>
          <w:b/>
          <w:color w:val="000000" w:themeColor="text1"/>
        </w:rPr>
        <w:footnoteReference w:id="1"/>
      </w:r>
    </w:p>
    <w:p w14:paraId="2C63E421" w14:textId="4A3E588D" w:rsidR="009F4C4C" w:rsidRPr="00436282" w:rsidRDefault="009F4C4C" w:rsidP="009F4C4C">
      <w:pPr>
        <w:ind w:left="4248"/>
        <w:jc w:val="right"/>
        <w:rPr>
          <w:rFonts w:ascii="Arial" w:hAnsi="Arial" w:cs="Arial"/>
        </w:rPr>
      </w:pPr>
      <w:r w:rsidRPr="00436282">
        <w:rPr>
          <w:rFonts w:ascii="Arial" w:hAnsi="Arial" w:cs="Arial"/>
        </w:rPr>
        <w:t xml:space="preserve">Cecilia Barraza </w:t>
      </w:r>
      <w:proofErr w:type="spellStart"/>
      <w:r w:rsidRPr="00436282">
        <w:rPr>
          <w:rFonts w:ascii="Arial" w:hAnsi="Arial" w:cs="Arial"/>
        </w:rPr>
        <w:t>M</w:t>
      </w:r>
      <w:r>
        <w:rPr>
          <w:rFonts w:ascii="Arial" w:hAnsi="Arial" w:cs="Arial"/>
        </w:rPr>
        <w:t>orelle</w:t>
      </w:r>
      <w:proofErr w:type="spellEnd"/>
      <w:r>
        <w:rPr>
          <w:rStyle w:val="Refdenotaalpie"/>
          <w:rFonts w:ascii="Arial" w:hAnsi="Arial" w:cs="Arial"/>
        </w:rPr>
        <w:footnoteReference w:id="2"/>
      </w:r>
      <w:r>
        <w:rPr>
          <w:rFonts w:ascii="Arial" w:hAnsi="Arial" w:cs="Arial"/>
        </w:rPr>
        <w:t xml:space="preserve"> </w:t>
      </w:r>
      <w:r w:rsidRPr="00436282">
        <w:rPr>
          <w:rFonts w:ascii="Arial" w:hAnsi="Arial" w:cs="Arial"/>
        </w:rPr>
        <w:t xml:space="preserve"> </w:t>
      </w:r>
    </w:p>
    <w:p w14:paraId="0F3395CA" w14:textId="6DAD1E52" w:rsidR="009F4C4C" w:rsidRPr="00436282" w:rsidRDefault="009F4C4C" w:rsidP="009F4C4C">
      <w:pPr>
        <w:ind w:left="4248"/>
        <w:jc w:val="right"/>
        <w:rPr>
          <w:rFonts w:ascii="Arial" w:hAnsi="Arial" w:cs="Arial"/>
        </w:rPr>
      </w:pPr>
      <w:r w:rsidRPr="00436282">
        <w:rPr>
          <w:rFonts w:ascii="Arial" w:hAnsi="Arial" w:cs="Arial"/>
        </w:rPr>
        <w:t xml:space="preserve">Liliana </w:t>
      </w:r>
      <w:r w:rsidR="00AF5878" w:rsidRPr="00436282">
        <w:rPr>
          <w:rFonts w:ascii="Arial" w:hAnsi="Arial" w:cs="Arial"/>
        </w:rPr>
        <w:t>Roció</w:t>
      </w:r>
      <w:r w:rsidRPr="00436282">
        <w:rPr>
          <w:rFonts w:ascii="Arial" w:hAnsi="Arial" w:cs="Arial"/>
        </w:rPr>
        <w:t xml:space="preserve"> Chaparro Moreno</w:t>
      </w:r>
      <w:r>
        <w:rPr>
          <w:rStyle w:val="Refdenotaalpie"/>
          <w:rFonts w:ascii="Arial" w:hAnsi="Arial" w:cs="Arial"/>
        </w:rPr>
        <w:footnoteReference w:id="3"/>
      </w:r>
      <w:r w:rsidRPr="00436282">
        <w:rPr>
          <w:rFonts w:ascii="Arial" w:hAnsi="Arial" w:cs="Arial"/>
        </w:rPr>
        <w:t xml:space="preserve"> </w:t>
      </w:r>
    </w:p>
    <w:p w14:paraId="49062B04" w14:textId="3899C5B9" w:rsidR="009F4C4C" w:rsidRPr="00436282" w:rsidRDefault="009F4C4C" w:rsidP="009F4C4C">
      <w:pPr>
        <w:ind w:left="4248"/>
        <w:jc w:val="right"/>
        <w:rPr>
          <w:rFonts w:ascii="Arial" w:hAnsi="Arial" w:cs="Arial"/>
        </w:rPr>
      </w:pPr>
      <w:bookmarkStart w:id="0" w:name="_GoBack"/>
      <w:r w:rsidRPr="00436282">
        <w:rPr>
          <w:rFonts w:ascii="Arial" w:hAnsi="Arial" w:cs="Arial"/>
        </w:rPr>
        <w:t xml:space="preserve">Elsa Bonilla </w:t>
      </w:r>
      <w:proofErr w:type="spellStart"/>
      <w:r w:rsidRPr="00436282">
        <w:rPr>
          <w:rFonts w:ascii="Arial" w:hAnsi="Arial" w:cs="Arial"/>
        </w:rPr>
        <w:t>Piratova</w:t>
      </w:r>
      <w:bookmarkEnd w:id="0"/>
      <w:proofErr w:type="spellEnd"/>
      <w:r>
        <w:rPr>
          <w:rStyle w:val="Refdenotaalpie"/>
          <w:rFonts w:ascii="Arial" w:hAnsi="Arial" w:cs="Arial"/>
        </w:rPr>
        <w:footnoteReference w:id="4"/>
      </w:r>
      <w:r w:rsidRPr="00436282">
        <w:rPr>
          <w:rFonts w:ascii="Arial" w:hAnsi="Arial" w:cs="Arial"/>
        </w:rPr>
        <w:t xml:space="preserve"> </w:t>
      </w:r>
    </w:p>
    <w:p w14:paraId="0CAD20FB" w14:textId="6872B579" w:rsidR="009F4C4C" w:rsidRPr="00436282" w:rsidRDefault="009F4C4C" w:rsidP="009F4C4C">
      <w:pPr>
        <w:ind w:left="4248"/>
        <w:jc w:val="right"/>
        <w:rPr>
          <w:rFonts w:ascii="Arial" w:hAnsi="Arial" w:cs="Arial"/>
        </w:rPr>
      </w:pPr>
      <w:proofErr w:type="spellStart"/>
      <w:r w:rsidRPr="00436282">
        <w:rPr>
          <w:rFonts w:ascii="Arial" w:hAnsi="Arial" w:cs="Arial"/>
        </w:rPr>
        <w:t>Helber</w:t>
      </w:r>
      <w:proofErr w:type="spellEnd"/>
      <w:r w:rsidRPr="00436282">
        <w:rPr>
          <w:rFonts w:ascii="Arial" w:hAnsi="Arial" w:cs="Arial"/>
        </w:rPr>
        <w:t xml:space="preserve"> Armando Noguera Sánchez</w:t>
      </w:r>
      <w:r>
        <w:rPr>
          <w:rStyle w:val="Refdenotaalpie"/>
          <w:rFonts w:ascii="Arial" w:hAnsi="Arial" w:cs="Arial"/>
        </w:rPr>
        <w:footnoteReference w:id="5"/>
      </w:r>
      <w:r w:rsidRPr="00436282">
        <w:rPr>
          <w:rFonts w:ascii="Arial" w:hAnsi="Arial" w:cs="Arial"/>
        </w:rPr>
        <w:t xml:space="preserve"> </w:t>
      </w:r>
    </w:p>
    <w:p w14:paraId="68D6FF91" w14:textId="0E263771" w:rsidR="009F4C4C" w:rsidRPr="00436282" w:rsidRDefault="009F4C4C" w:rsidP="009F4C4C">
      <w:pPr>
        <w:ind w:left="4248"/>
        <w:jc w:val="right"/>
        <w:rPr>
          <w:rFonts w:ascii="Arial" w:hAnsi="Arial" w:cs="Arial"/>
        </w:rPr>
      </w:pPr>
      <w:proofErr w:type="spellStart"/>
      <w:r w:rsidRPr="00436282">
        <w:rPr>
          <w:rFonts w:ascii="Arial" w:hAnsi="Arial" w:cs="Arial"/>
        </w:rPr>
        <w:t>Heyder</w:t>
      </w:r>
      <w:proofErr w:type="spellEnd"/>
      <w:r w:rsidRPr="00436282">
        <w:rPr>
          <w:rFonts w:ascii="Arial" w:hAnsi="Arial" w:cs="Arial"/>
        </w:rPr>
        <w:t xml:space="preserve"> Alfonso Camelo</w:t>
      </w:r>
      <w:r>
        <w:rPr>
          <w:rStyle w:val="Refdenotaalpie"/>
          <w:rFonts w:ascii="Arial" w:hAnsi="Arial" w:cs="Arial"/>
        </w:rPr>
        <w:footnoteReference w:id="6"/>
      </w:r>
      <w:r w:rsidRPr="00436282">
        <w:rPr>
          <w:rFonts w:ascii="Arial" w:hAnsi="Arial" w:cs="Arial"/>
        </w:rPr>
        <w:t xml:space="preserve"> </w:t>
      </w:r>
    </w:p>
    <w:p w14:paraId="1B175B55" w14:textId="6DCA7C2D" w:rsidR="009F4C4C" w:rsidRPr="00436282" w:rsidRDefault="009F4C4C" w:rsidP="009F4C4C">
      <w:pPr>
        <w:ind w:left="4248"/>
        <w:jc w:val="right"/>
        <w:rPr>
          <w:rFonts w:ascii="Arial" w:hAnsi="Arial" w:cs="Arial"/>
        </w:rPr>
      </w:pPr>
      <w:r w:rsidRPr="00436282">
        <w:rPr>
          <w:rFonts w:ascii="Arial" w:hAnsi="Arial" w:cs="Arial"/>
        </w:rPr>
        <w:t>Sandra Milena Molina</w:t>
      </w:r>
      <w:r>
        <w:rPr>
          <w:rStyle w:val="Refdenotaalpie"/>
          <w:rFonts w:ascii="Arial" w:hAnsi="Arial" w:cs="Arial"/>
        </w:rPr>
        <w:footnoteReference w:id="7"/>
      </w:r>
      <w:r w:rsidRPr="00436282">
        <w:rPr>
          <w:rFonts w:ascii="Arial" w:hAnsi="Arial" w:cs="Arial"/>
        </w:rPr>
        <w:t xml:space="preserve"> </w:t>
      </w:r>
    </w:p>
    <w:p w14:paraId="6A1796CE" w14:textId="69AB525A" w:rsidR="009F4C4C" w:rsidRPr="00436282" w:rsidRDefault="009F4C4C" w:rsidP="009F4C4C">
      <w:pPr>
        <w:ind w:left="4248"/>
        <w:jc w:val="right"/>
        <w:rPr>
          <w:rFonts w:ascii="Arial" w:hAnsi="Arial" w:cs="Arial"/>
        </w:rPr>
      </w:pPr>
      <w:r w:rsidRPr="00436282">
        <w:rPr>
          <w:rFonts w:ascii="Arial" w:hAnsi="Arial" w:cs="Arial"/>
        </w:rPr>
        <w:t xml:space="preserve">Alejandro </w:t>
      </w:r>
      <w:proofErr w:type="spellStart"/>
      <w:r w:rsidRPr="00436282">
        <w:rPr>
          <w:rFonts w:ascii="Arial" w:hAnsi="Arial" w:cs="Arial"/>
        </w:rPr>
        <w:t>Ramelli</w:t>
      </w:r>
      <w:proofErr w:type="spellEnd"/>
      <w:r w:rsidRPr="00436282">
        <w:rPr>
          <w:rFonts w:ascii="Arial" w:hAnsi="Arial" w:cs="Arial"/>
        </w:rPr>
        <w:t xml:space="preserve"> Arteaga</w:t>
      </w:r>
      <w:r>
        <w:rPr>
          <w:rStyle w:val="Refdenotaalpie"/>
          <w:rFonts w:ascii="Arial" w:hAnsi="Arial" w:cs="Arial"/>
        </w:rPr>
        <w:footnoteReference w:id="8"/>
      </w:r>
      <w:r w:rsidRPr="00436282">
        <w:rPr>
          <w:rFonts w:ascii="Arial" w:hAnsi="Arial" w:cs="Arial"/>
        </w:rPr>
        <w:t xml:space="preserve"> </w:t>
      </w:r>
    </w:p>
    <w:p w14:paraId="26014F41" w14:textId="7BCBCA4B" w:rsidR="009F4C4C" w:rsidRPr="00176D47" w:rsidRDefault="009F4C4C" w:rsidP="009F4C4C">
      <w:pPr>
        <w:ind w:left="4248"/>
        <w:jc w:val="right"/>
        <w:rPr>
          <w:rFonts w:ascii="Arial" w:hAnsi="Arial" w:cs="Arial"/>
        </w:rPr>
      </w:pPr>
      <w:r w:rsidRPr="00436282">
        <w:rPr>
          <w:rFonts w:ascii="Arial" w:hAnsi="Arial" w:cs="Arial"/>
        </w:rPr>
        <w:t>Luis Manuel Castro Novoa</w:t>
      </w:r>
      <w:r>
        <w:rPr>
          <w:rStyle w:val="Refdenotaalpie"/>
          <w:rFonts w:ascii="Arial" w:hAnsi="Arial" w:cs="Arial"/>
        </w:rPr>
        <w:footnoteReference w:id="9"/>
      </w:r>
      <w:r w:rsidRPr="00436282">
        <w:rPr>
          <w:rFonts w:ascii="Arial" w:hAnsi="Arial" w:cs="Arial"/>
        </w:rPr>
        <w:t xml:space="preserve"> </w:t>
      </w:r>
    </w:p>
    <w:p w14:paraId="444E5F3A" w14:textId="6B522338" w:rsidR="00E842F6" w:rsidRDefault="00E842F6" w:rsidP="00850B9F">
      <w:pPr>
        <w:spacing w:line="360" w:lineRule="auto"/>
        <w:jc w:val="center"/>
        <w:rPr>
          <w:rFonts w:ascii="Arial" w:hAnsi="Arial" w:cs="Arial"/>
          <w:b/>
          <w:color w:val="000000" w:themeColor="text1"/>
        </w:rPr>
      </w:pPr>
    </w:p>
    <w:p w14:paraId="4FE49631" w14:textId="77777777" w:rsidR="00731134" w:rsidRPr="00850B9F" w:rsidRDefault="00731134" w:rsidP="00850B9F">
      <w:pPr>
        <w:spacing w:line="360" w:lineRule="auto"/>
        <w:jc w:val="center"/>
        <w:rPr>
          <w:rFonts w:ascii="Arial" w:hAnsi="Arial" w:cs="Arial"/>
          <w:b/>
          <w:color w:val="000000" w:themeColor="text1"/>
        </w:rPr>
      </w:pPr>
    </w:p>
    <w:p w14:paraId="55E5A0A2" w14:textId="5455E877" w:rsidR="00AE0E0F" w:rsidRDefault="00137531" w:rsidP="00304AD9">
      <w:pPr>
        <w:spacing w:line="360" w:lineRule="auto"/>
        <w:jc w:val="both"/>
        <w:rPr>
          <w:rFonts w:ascii="Arial" w:hAnsi="Arial" w:cs="Arial"/>
          <w:color w:val="000000" w:themeColor="text1"/>
        </w:rPr>
      </w:pPr>
      <w:r w:rsidRPr="00304AD9">
        <w:rPr>
          <w:rFonts w:ascii="Arial" w:hAnsi="Arial" w:cs="Arial"/>
          <w:color w:val="000000" w:themeColor="text1"/>
        </w:rPr>
        <w:t xml:space="preserve">La </w:t>
      </w:r>
      <w:r w:rsidR="00551069" w:rsidRPr="00304AD9">
        <w:rPr>
          <w:rFonts w:ascii="Arial" w:hAnsi="Arial" w:cs="Arial"/>
          <w:color w:val="000000" w:themeColor="text1"/>
        </w:rPr>
        <w:t xml:space="preserve"> Maestría en Defensa de los Derechos Humanos y el DIH ante Organismos, Tribunales y Cortes Internacionales</w:t>
      </w:r>
      <w:r w:rsidR="00304AD9">
        <w:rPr>
          <w:rFonts w:ascii="Arial" w:hAnsi="Arial" w:cs="Arial"/>
          <w:color w:val="000000" w:themeColor="text1"/>
        </w:rPr>
        <w:t xml:space="preserve"> se encuentra en la producción de la fase 2 del libro </w:t>
      </w:r>
      <w:r w:rsidR="00551069" w:rsidRPr="00304AD9">
        <w:rPr>
          <w:rFonts w:ascii="Arial" w:hAnsi="Arial" w:cs="Arial"/>
          <w:i/>
          <w:color w:val="000000" w:themeColor="text1"/>
        </w:rPr>
        <w:t xml:space="preserve">Procesos de exigibilidad y </w:t>
      </w:r>
      <w:proofErr w:type="spellStart"/>
      <w:r w:rsidR="00551069" w:rsidRPr="00304AD9">
        <w:rPr>
          <w:rFonts w:ascii="Arial" w:hAnsi="Arial" w:cs="Arial"/>
          <w:i/>
          <w:color w:val="000000" w:themeColor="text1"/>
        </w:rPr>
        <w:t>Justiciabilidad</w:t>
      </w:r>
      <w:proofErr w:type="spellEnd"/>
      <w:r w:rsidR="00551069" w:rsidRPr="00304AD9">
        <w:rPr>
          <w:rFonts w:ascii="Arial" w:hAnsi="Arial" w:cs="Arial"/>
          <w:i/>
          <w:color w:val="000000" w:themeColor="text1"/>
        </w:rPr>
        <w:t xml:space="preserve"> de los derechos humanos y el derecho internacional humanitario en el contexto nacional e internacional</w:t>
      </w:r>
      <w:r w:rsidR="00304AD9">
        <w:rPr>
          <w:rFonts w:ascii="Arial" w:hAnsi="Arial" w:cs="Arial"/>
          <w:i/>
          <w:color w:val="000000" w:themeColor="text1"/>
        </w:rPr>
        <w:t xml:space="preserve">, </w:t>
      </w:r>
      <w:r w:rsidR="00304AD9">
        <w:rPr>
          <w:rFonts w:ascii="Arial" w:hAnsi="Arial" w:cs="Arial"/>
          <w:color w:val="000000" w:themeColor="text1"/>
        </w:rPr>
        <w:lastRenderedPageBreak/>
        <w:t>dicho documento recopila las investigaciones que adelantan 8 docente de dicha maestría durante este año.</w:t>
      </w:r>
      <w:r w:rsidR="00551069" w:rsidRPr="00304AD9">
        <w:rPr>
          <w:rFonts w:ascii="Arial" w:hAnsi="Arial" w:cs="Arial"/>
          <w:color w:val="000000" w:themeColor="text1"/>
        </w:rPr>
        <w:t xml:space="preserve"> </w:t>
      </w:r>
      <w:r w:rsidR="00731134">
        <w:rPr>
          <w:rStyle w:val="Refdenotaalpie"/>
          <w:rFonts w:ascii="Arial" w:hAnsi="Arial" w:cs="Arial"/>
          <w:color w:val="000000" w:themeColor="text1"/>
        </w:rPr>
        <w:footnoteReference w:id="10"/>
      </w:r>
    </w:p>
    <w:p w14:paraId="7D33EB0D" w14:textId="77777777" w:rsidR="00304AD9" w:rsidRDefault="00304AD9" w:rsidP="00304AD9">
      <w:pPr>
        <w:spacing w:line="360" w:lineRule="auto"/>
        <w:jc w:val="both"/>
        <w:rPr>
          <w:rFonts w:ascii="Arial" w:hAnsi="Arial" w:cs="Arial"/>
          <w:color w:val="000000" w:themeColor="text1"/>
        </w:rPr>
      </w:pPr>
    </w:p>
    <w:p w14:paraId="1D884F4C" w14:textId="61FF8574" w:rsidR="00304AD9" w:rsidRPr="00304AD9" w:rsidRDefault="00304AD9" w:rsidP="00304AD9">
      <w:pPr>
        <w:spacing w:line="360" w:lineRule="auto"/>
        <w:jc w:val="both"/>
        <w:rPr>
          <w:rFonts w:ascii="Arial" w:hAnsi="Arial" w:cs="Arial"/>
          <w:color w:val="000000" w:themeColor="text1"/>
        </w:rPr>
      </w:pPr>
      <w:r>
        <w:rPr>
          <w:rFonts w:ascii="Arial" w:hAnsi="Arial" w:cs="Arial"/>
          <w:color w:val="000000" w:themeColor="text1"/>
        </w:rPr>
        <w:t xml:space="preserve">Hablar de exigibilidad y </w:t>
      </w:r>
      <w:proofErr w:type="spellStart"/>
      <w:r>
        <w:rPr>
          <w:rFonts w:ascii="Arial" w:hAnsi="Arial" w:cs="Arial"/>
          <w:color w:val="000000" w:themeColor="text1"/>
        </w:rPr>
        <w:t>justiciabilidad</w:t>
      </w:r>
      <w:proofErr w:type="spellEnd"/>
      <w:r>
        <w:rPr>
          <w:rFonts w:ascii="Arial" w:hAnsi="Arial" w:cs="Arial"/>
          <w:color w:val="000000" w:themeColor="text1"/>
        </w:rPr>
        <w:t xml:space="preserve"> de los derechos humanos y el derecho internacional humanitario puede parecer algo poco tangible para alguien que no trabaja día a día en estos temas. No obstante, hablar de estos temas es justamente abordar problemáticas sociales que repercuten cada día en la vida de miles de personas. </w:t>
      </w:r>
      <w:r w:rsidR="00962511">
        <w:rPr>
          <w:rFonts w:ascii="Arial" w:hAnsi="Arial" w:cs="Arial"/>
          <w:color w:val="000000" w:themeColor="text1"/>
        </w:rPr>
        <w:t>Es preguntarse si los derechos que tenemos garantizados como ciudadanos y ciudadanas de un Estado, realmente en la vida diaria podemos hacer uso de ellos fácilmente o es necesario emprender acciones para conseguirlos. En otras palabras, estamos hablando por un lado de la calidad de vida a la que podemos acceder y por otro si nuestros Estados avanzan en igualdad y democracia superando o no situaciones de exclusión social.</w:t>
      </w:r>
    </w:p>
    <w:p w14:paraId="15AA17A6" w14:textId="77777777" w:rsidR="005D5E5E" w:rsidRDefault="005D5E5E" w:rsidP="00304AD9">
      <w:pPr>
        <w:spacing w:line="360" w:lineRule="auto"/>
        <w:rPr>
          <w:rFonts w:ascii="Arial" w:hAnsi="Arial" w:cs="Arial"/>
          <w:color w:val="000000" w:themeColor="text1"/>
        </w:rPr>
      </w:pPr>
    </w:p>
    <w:p w14:paraId="3959EFFB" w14:textId="5D9B1FDD" w:rsidR="005D5E5E" w:rsidRPr="00304AD9" w:rsidRDefault="00962511" w:rsidP="00962511">
      <w:pPr>
        <w:spacing w:line="360" w:lineRule="auto"/>
        <w:jc w:val="both"/>
        <w:rPr>
          <w:rFonts w:ascii="Arial" w:hAnsi="Arial" w:cs="Arial"/>
          <w:color w:val="000000" w:themeColor="text1"/>
          <w:u w:color="453CCC"/>
        </w:rPr>
      </w:pPr>
      <w:r>
        <w:rPr>
          <w:rFonts w:ascii="Arial" w:hAnsi="Arial" w:cs="Arial"/>
          <w:color w:val="000000" w:themeColor="text1"/>
        </w:rPr>
        <w:t>Desde esa mirada, esta producción busca analizar problemáticas asociadas a la justicia y la seguridad en la Colombia de los post acuerdos</w:t>
      </w:r>
      <w:r>
        <w:rPr>
          <w:rFonts w:ascii="Arial" w:hAnsi="Arial" w:cs="Arial"/>
          <w:color w:val="000000" w:themeColor="text1"/>
          <w:u w:color="453CCC"/>
        </w:rPr>
        <w:t xml:space="preserve">, que pasa por preguntarse </w:t>
      </w:r>
      <w:r w:rsidR="00731134">
        <w:rPr>
          <w:rFonts w:ascii="Arial" w:hAnsi="Arial" w:cs="Arial"/>
          <w:color w:val="000000" w:themeColor="text1"/>
          <w:u w:color="453CCC"/>
        </w:rPr>
        <w:t>qué</w:t>
      </w:r>
      <w:r w:rsidR="00D06BFA" w:rsidRPr="00304AD9">
        <w:rPr>
          <w:rFonts w:ascii="Arial" w:hAnsi="Arial" w:cs="Arial"/>
          <w:color w:val="000000" w:themeColor="text1"/>
          <w:u w:color="453CCC"/>
        </w:rPr>
        <w:t xml:space="preserve"> debe realizar el Estado colombiano para garantizar la protección de los derechos humanos de la ciudadanía en un periodo de posconflicto. La oportunidad que brinda el fin de la guerra en Colombia se traduce en un reto para el Estado, ya que implica una serie de reformas que hagan frente a las amenazas armadas que persisten del conflicto armado, y otras que emergen una vez desmovilizadas las FARC. Esta situación lleva no sólo a transformaciones en términos de seguridad y justicia, sino que también demanda la comprensión de cómo estas violencias impactan en los derechos humanos de la población.</w:t>
      </w:r>
    </w:p>
    <w:p w14:paraId="103BB260" w14:textId="3B16BB9B" w:rsidR="00551069" w:rsidRDefault="00962511" w:rsidP="001C50E7">
      <w:pPr>
        <w:pStyle w:val="m-7934036846149468350ydp1bdcce59msonormal"/>
        <w:shd w:val="clear" w:color="auto" w:fill="FFFFFF"/>
        <w:spacing w:after="120" w:afterAutospacing="0" w:line="360" w:lineRule="auto"/>
        <w:jc w:val="both"/>
        <w:rPr>
          <w:rFonts w:ascii="Arial" w:hAnsi="Arial" w:cs="Arial"/>
          <w:color w:val="000000" w:themeColor="text1"/>
        </w:rPr>
      </w:pPr>
      <w:r>
        <w:rPr>
          <w:rFonts w:ascii="Arial" w:hAnsi="Arial" w:cs="Arial"/>
          <w:color w:val="000000" w:themeColor="text1"/>
        </w:rPr>
        <w:lastRenderedPageBreak/>
        <w:t>También</w:t>
      </w:r>
      <w:r w:rsidR="001C50E7">
        <w:rPr>
          <w:rFonts w:ascii="Arial" w:hAnsi="Arial" w:cs="Arial"/>
          <w:color w:val="000000" w:themeColor="text1"/>
        </w:rPr>
        <w:t>,</w:t>
      </w:r>
      <w:r>
        <w:rPr>
          <w:rFonts w:ascii="Arial" w:hAnsi="Arial" w:cs="Arial"/>
          <w:color w:val="000000" w:themeColor="text1"/>
        </w:rPr>
        <w:t xml:space="preserve"> implica analizar l</w:t>
      </w:r>
      <w:r w:rsidR="00551069" w:rsidRPr="00304AD9">
        <w:rPr>
          <w:rFonts w:ascii="Arial" w:hAnsi="Arial" w:cs="Arial"/>
          <w:color w:val="000000" w:themeColor="text1"/>
        </w:rPr>
        <w:t xml:space="preserve">a  pertinencia de la </w:t>
      </w:r>
      <w:proofErr w:type="spellStart"/>
      <w:r w:rsidR="00551069" w:rsidRPr="00304AD9">
        <w:rPr>
          <w:rFonts w:ascii="Arial" w:hAnsi="Arial" w:cs="Arial"/>
          <w:color w:val="000000" w:themeColor="text1"/>
        </w:rPr>
        <w:t>justicialidad</w:t>
      </w:r>
      <w:proofErr w:type="spellEnd"/>
      <w:r w:rsidR="00551069" w:rsidRPr="00304AD9">
        <w:rPr>
          <w:rFonts w:ascii="Arial" w:hAnsi="Arial" w:cs="Arial"/>
          <w:color w:val="000000" w:themeColor="text1"/>
        </w:rPr>
        <w:t xml:space="preserve"> de los Derechos Econó</w:t>
      </w:r>
      <w:r w:rsidR="001C50E7">
        <w:rPr>
          <w:rFonts w:ascii="Arial" w:hAnsi="Arial" w:cs="Arial"/>
          <w:color w:val="000000" w:themeColor="text1"/>
        </w:rPr>
        <w:t>micos,  Sociales, Culturales y </w:t>
      </w:r>
      <w:r w:rsidR="00551069" w:rsidRPr="00304AD9">
        <w:rPr>
          <w:rFonts w:ascii="Arial" w:hAnsi="Arial" w:cs="Arial"/>
          <w:color w:val="000000" w:themeColor="text1"/>
        </w:rPr>
        <w:t>del Ambiente</w:t>
      </w:r>
      <w:r w:rsidR="001C50E7">
        <w:rPr>
          <w:rFonts w:ascii="Arial" w:hAnsi="Arial" w:cs="Arial"/>
          <w:color w:val="000000" w:themeColor="text1"/>
        </w:rPr>
        <w:t xml:space="preserve"> en este contexto de post acuerdo, en los cuales </w:t>
      </w:r>
      <w:r w:rsidR="00551069" w:rsidRPr="00304AD9">
        <w:rPr>
          <w:rFonts w:ascii="Arial" w:hAnsi="Arial" w:cs="Arial"/>
          <w:color w:val="000000" w:themeColor="text1"/>
        </w:rPr>
        <w:t xml:space="preserve"> la participación y al inclusión se convierten inicialmente en ideales que se plasman en la cotidianidad y que buscan la consolidación de la nación en épocas de construcción de la paz. </w:t>
      </w:r>
    </w:p>
    <w:p w14:paraId="722809F7" w14:textId="266355FB" w:rsidR="001C50E7" w:rsidRPr="00304AD9" w:rsidRDefault="001C50E7" w:rsidP="001C50E7">
      <w:pPr>
        <w:pStyle w:val="m-7934036846149468350ydp1bdcce59msonormal"/>
        <w:shd w:val="clear" w:color="auto" w:fill="FFFFFF"/>
        <w:spacing w:after="120" w:afterAutospacing="0" w:line="360" w:lineRule="auto"/>
        <w:jc w:val="both"/>
        <w:rPr>
          <w:rFonts w:ascii="Arial" w:hAnsi="Arial" w:cs="Arial"/>
          <w:color w:val="000000" w:themeColor="text1"/>
        </w:rPr>
      </w:pPr>
      <w:r>
        <w:rPr>
          <w:rFonts w:ascii="Arial" w:hAnsi="Arial" w:cs="Arial"/>
          <w:color w:val="000000" w:themeColor="text1"/>
        </w:rPr>
        <w:t>Otra temática que al hablar de derechos humanos no puede dejar de estar presente, es la relacionada con los estudios de género, que apuntan principalmente a evidenciar las desigualdades aún presentes en nuestra sociedad en la relaciones entre hombre y mujer y con respecto a grupos con géneros no hegemónicos.</w:t>
      </w:r>
    </w:p>
    <w:p w14:paraId="725028CD" w14:textId="77777777" w:rsidR="001F5B65" w:rsidRDefault="001F5B65" w:rsidP="001C50E7">
      <w:pPr>
        <w:spacing w:line="360" w:lineRule="auto"/>
        <w:jc w:val="both"/>
        <w:rPr>
          <w:rFonts w:ascii="Arial" w:eastAsia="Times New Roman" w:hAnsi="Arial" w:cs="Arial"/>
          <w:color w:val="000000" w:themeColor="text1"/>
          <w:shd w:val="clear" w:color="auto" w:fill="FFFFFF"/>
          <w:lang w:eastAsia="es-ES_tradnl"/>
        </w:rPr>
      </w:pPr>
    </w:p>
    <w:p w14:paraId="3CD5F5B8" w14:textId="5CDE893F" w:rsidR="00551069" w:rsidRPr="00304AD9" w:rsidRDefault="00551069" w:rsidP="001C50E7">
      <w:pPr>
        <w:spacing w:line="360" w:lineRule="auto"/>
        <w:jc w:val="both"/>
        <w:rPr>
          <w:rFonts w:ascii="Arial" w:eastAsia="Times New Roman" w:hAnsi="Arial" w:cs="Arial"/>
          <w:color w:val="000000" w:themeColor="text1"/>
          <w:shd w:val="clear" w:color="auto" w:fill="FFFFFF"/>
          <w:lang w:eastAsia="es-ES_tradnl"/>
        </w:rPr>
      </w:pPr>
      <w:r w:rsidRPr="00551069">
        <w:rPr>
          <w:rFonts w:ascii="Arial" w:eastAsia="Times New Roman" w:hAnsi="Arial" w:cs="Arial"/>
          <w:color w:val="000000" w:themeColor="text1"/>
          <w:shd w:val="clear" w:color="auto" w:fill="FFFFFF"/>
          <w:lang w:eastAsia="es-ES_tradnl"/>
        </w:rPr>
        <w:t>E</w:t>
      </w:r>
      <w:r w:rsidR="001C50E7">
        <w:rPr>
          <w:rFonts w:ascii="Arial" w:eastAsia="Times New Roman" w:hAnsi="Arial" w:cs="Arial"/>
          <w:color w:val="000000" w:themeColor="text1"/>
          <w:shd w:val="clear" w:color="auto" w:fill="FFFFFF"/>
          <w:lang w:eastAsia="es-ES_tradnl"/>
        </w:rPr>
        <w:t>n ese campo, e</w:t>
      </w:r>
      <w:r w:rsidRPr="00551069">
        <w:rPr>
          <w:rFonts w:ascii="Arial" w:eastAsia="Times New Roman" w:hAnsi="Arial" w:cs="Arial"/>
          <w:color w:val="000000" w:themeColor="text1"/>
          <w:shd w:val="clear" w:color="auto" w:fill="FFFFFF"/>
          <w:lang w:eastAsia="es-ES_tradnl"/>
        </w:rPr>
        <w:t xml:space="preserve">l Derecho Internacional de los Derechos Humanos ha reconocido que la violencia contra las mujeres incluye cualquier acción o conducta que le cause muerte, daño o sufrimiento a una mujer, por el hecho de ser mujer, en cualquier ámbito. Este tipo de violencia, ocasionada en profundas e históricas estructuras de discriminación, </w:t>
      </w:r>
      <w:r w:rsidR="00731134" w:rsidRPr="00551069">
        <w:rPr>
          <w:rFonts w:ascii="Arial" w:eastAsia="Times New Roman" w:hAnsi="Arial" w:cs="Arial"/>
          <w:color w:val="000000" w:themeColor="text1"/>
          <w:shd w:val="clear" w:color="auto" w:fill="FFFFFF"/>
          <w:lang w:eastAsia="es-ES_tradnl"/>
        </w:rPr>
        <w:t>exige</w:t>
      </w:r>
      <w:r w:rsidRPr="00551069">
        <w:rPr>
          <w:rFonts w:ascii="Arial" w:eastAsia="Times New Roman" w:hAnsi="Arial" w:cs="Arial"/>
          <w:color w:val="000000" w:themeColor="text1"/>
          <w:shd w:val="clear" w:color="auto" w:fill="FFFFFF"/>
          <w:lang w:eastAsia="es-ES_tradnl"/>
        </w:rPr>
        <w:t xml:space="preserve"> del Estado el desarrollo inmediato de medidas para contrarrestar la violencia, atender, proteger y garantizar verdad, justicia y reparación a las víctimas. En contravía de este deber, </w:t>
      </w:r>
      <w:r w:rsidR="001C50E7">
        <w:rPr>
          <w:rFonts w:ascii="Arial" w:eastAsia="Times New Roman" w:hAnsi="Arial" w:cs="Arial"/>
          <w:color w:val="000000" w:themeColor="text1"/>
          <w:shd w:val="clear" w:color="auto" w:fill="FFFFFF"/>
          <w:lang w:eastAsia="es-ES_tradnl"/>
        </w:rPr>
        <w:t>existen</w:t>
      </w:r>
      <w:r w:rsidRPr="00551069">
        <w:rPr>
          <w:rFonts w:ascii="Arial" w:eastAsia="Times New Roman" w:hAnsi="Arial" w:cs="Arial"/>
          <w:color w:val="000000" w:themeColor="text1"/>
          <w:shd w:val="clear" w:color="auto" w:fill="FFFFFF"/>
          <w:lang w:eastAsia="es-ES_tradnl"/>
        </w:rPr>
        <w:t xml:space="preserve"> </w:t>
      </w:r>
      <w:r w:rsidR="00731134" w:rsidRPr="00551069">
        <w:rPr>
          <w:rFonts w:ascii="Arial" w:eastAsia="Times New Roman" w:hAnsi="Arial" w:cs="Arial"/>
          <w:color w:val="000000" w:themeColor="text1"/>
          <w:shd w:val="clear" w:color="auto" w:fill="FFFFFF"/>
          <w:lang w:eastAsia="es-ES_tradnl"/>
        </w:rPr>
        <w:t>fallas</w:t>
      </w:r>
      <w:r w:rsidRPr="00551069">
        <w:rPr>
          <w:rFonts w:ascii="Arial" w:eastAsia="Times New Roman" w:hAnsi="Arial" w:cs="Arial"/>
          <w:color w:val="000000" w:themeColor="text1"/>
          <w:shd w:val="clear" w:color="auto" w:fill="FFFFFF"/>
          <w:lang w:eastAsia="es-ES_tradnl"/>
        </w:rPr>
        <w:t xml:space="preserve"> estructural</w:t>
      </w:r>
      <w:r w:rsidR="001C50E7">
        <w:rPr>
          <w:rFonts w:ascii="Arial" w:eastAsia="Times New Roman" w:hAnsi="Arial" w:cs="Arial"/>
          <w:color w:val="000000" w:themeColor="text1"/>
          <w:shd w:val="clear" w:color="auto" w:fill="FFFFFF"/>
          <w:lang w:eastAsia="es-ES_tradnl"/>
        </w:rPr>
        <w:t>es</w:t>
      </w:r>
      <w:r w:rsidRPr="00551069">
        <w:rPr>
          <w:rFonts w:ascii="Arial" w:eastAsia="Times New Roman" w:hAnsi="Arial" w:cs="Arial"/>
          <w:color w:val="000000" w:themeColor="text1"/>
          <w:shd w:val="clear" w:color="auto" w:fill="FFFFFF"/>
          <w:lang w:eastAsia="es-ES_tradnl"/>
        </w:rPr>
        <w:t xml:space="preserve"> del Estado colombiano que omite</w:t>
      </w:r>
      <w:r w:rsidR="001C50E7">
        <w:rPr>
          <w:rFonts w:ascii="Arial" w:eastAsia="Times New Roman" w:hAnsi="Arial" w:cs="Arial"/>
          <w:color w:val="000000" w:themeColor="text1"/>
          <w:shd w:val="clear" w:color="auto" w:fill="FFFFFF"/>
          <w:lang w:eastAsia="es-ES_tradnl"/>
        </w:rPr>
        <w:t>n</w:t>
      </w:r>
      <w:r w:rsidRPr="00551069">
        <w:rPr>
          <w:rFonts w:ascii="Arial" w:eastAsia="Times New Roman" w:hAnsi="Arial" w:cs="Arial"/>
          <w:color w:val="000000" w:themeColor="text1"/>
          <w:shd w:val="clear" w:color="auto" w:fill="FFFFFF"/>
          <w:lang w:eastAsia="es-ES_tradnl"/>
        </w:rPr>
        <w:t xml:space="preserve"> proteger de manera inmediata a las mujeres víctimas de violencia de género cometida por parte de sus exparejas y que atiende sus casos como si fueran delitos ordinarios y no verdaderas violaciones a los derechos humanos. </w:t>
      </w:r>
      <w:r w:rsidR="001C50E7">
        <w:rPr>
          <w:rFonts w:ascii="Arial" w:eastAsia="Times New Roman" w:hAnsi="Arial" w:cs="Arial"/>
          <w:color w:val="000000" w:themeColor="text1"/>
          <w:shd w:val="clear" w:color="auto" w:fill="FFFFFF"/>
          <w:lang w:eastAsia="es-ES_tradnl"/>
        </w:rPr>
        <w:t xml:space="preserve">Por tanto, es necesario profundizar </w:t>
      </w:r>
      <w:r w:rsidRPr="00551069">
        <w:rPr>
          <w:rFonts w:ascii="Arial" w:eastAsia="Times New Roman" w:hAnsi="Arial" w:cs="Arial"/>
          <w:color w:val="000000" w:themeColor="text1"/>
          <w:shd w:val="clear" w:color="auto" w:fill="FFFFFF"/>
          <w:lang w:eastAsia="es-ES_tradnl"/>
        </w:rPr>
        <w:t xml:space="preserve"> en las fallas actuales a la luz de los estándares internacionales de protección de los derechos humanos y apunta</w:t>
      </w:r>
      <w:r w:rsidR="001C50E7">
        <w:rPr>
          <w:rFonts w:ascii="Arial" w:eastAsia="Times New Roman" w:hAnsi="Arial" w:cs="Arial"/>
          <w:color w:val="000000" w:themeColor="text1"/>
          <w:shd w:val="clear" w:color="auto" w:fill="FFFFFF"/>
          <w:lang w:eastAsia="es-ES_tradnl"/>
        </w:rPr>
        <w:t>r</w:t>
      </w:r>
      <w:r w:rsidRPr="00551069">
        <w:rPr>
          <w:rFonts w:ascii="Arial" w:eastAsia="Times New Roman" w:hAnsi="Arial" w:cs="Arial"/>
          <w:color w:val="000000" w:themeColor="text1"/>
          <w:shd w:val="clear" w:color="auto" w:fill="FFFFFF"/>
          <w:lang w:eastAsia="es-ES_tradnl"/>
        </w:rPr>
        <w:t xml:space="preserve"> a algunas reflexiones para aportar a una hoja de ruta que permita contrarrestarlas.</w:t>
      </w:r>
    </w:p>
    <w:p w14:paraId="730F0136" w14:textId="77777777" w:rsidR="00C56F38" w:rsidRDefault="00C56F38" w:rsidP="00304AD9">
      <w:pPr>
        <w:spacing w:line="360" w:lineRule="auto"/>
        <w:rPr>
          <w:rFonts w:ascii="Arial" w:eastAsia="Times New Roman" w:hAnsi="Arial" w:cs="Arial"/>
          <w:color w:val="000000" w:themeColor="text1"/>
          <w:shd w:val="clear" w:color="auto" w:fill="FFFFFF"/>
          <w:lang w:eastAsia="es-ES_tradnl"/>
        </w:rPr>
      </w:pPr>
    </w:p>
    <w:p w14:paraId="2B7138F1" w14:textId="31C53A15" w:rsidR="00C56F38" w:rsidRPr="00304AD9" w:rsidRDefault="001C50E7" w:rsidP="001C50E7">
      <w:pPr>
        <w:spacing w:line="360" w:lineRule="auto"/>
        <w:jc w:val="both"/>
        <w:rPr>
          <w:rFonts w:ascii="Arial" w:hAnsi="Arial" w:cs="Arial"/>
          <w:color w:val="000000" w:themeColor="text1"/>
          <w:lang w:val="es-ES"/>
        </w:rPr>
      </w:pPr>
      <w:r>
        <w:rPr>
          <w:rFonts w:ascii="Arial" w:eastAsia="Times New Roman" w:hAnsi="Arial" w:cs="Arial"/>
          <w:color w:val="000000" w:themeColor="text1"/>
          <w:shd w:val="clear" w:color="auto" w:fill="FFFFFF"/>
          <w:lang w:eastAsia="es-ES_tradnl"/>
        </w:rPr>
        <w:t xml:space="preserve">También, el campo de los estudios de género se analizará </w:t>
      </w:r>
      <w:r w:rsidR="00C56F38" w:rsidRPr="00304AD9">
        <w:rPr>
          <w:rFonts w:ascii="Arial" w:hAnsi="Arial" w:cs="Arial"/>
          <w:color w:val="000000" w:themeColor="text1"/>
          <w:lang w:val="es-ES"/>
        </w:rPr>
        <w:t xml:space="preserve">el discurso de descalificación del concepto de género que utilizaron los grupos opositores </w:t>
      </w:r>
      <w:r w:rsidR="00C56F38" w:rsidRPr="00304AD9">
        <w:rPr>
          <w:rFonts w:ascii="Arial" w:hAnsi="Arial" w:cs="Arial"/>
          <w:color w:val="000000" w:themeColor="text1"/>
          <w:lang w:val="es-ES"/>
        </w:rPr>
        <w:lastRenderedPageBreak/>
        <w:t>al Acuerdo de Paz firmado entre el Gobierno de Colomb</w:t>
      </w:r>
      <w:r>
        <w:rPr>
          <w:rFonts w:ascii="Arial" w:hAnsi="Arial" w:cs="Arial"/>
          <w:color w:val="000000" w:themeColor="text1"/>
          <w:lang w:val="es-ES"/>
        </w:rPr>
        <w:t xml:space="preserve">ia y la </w:t>
      </w:r>
      <w:proofErr w:type="spellStart"/>
      <w:r>
        <w:rPr>
          <w:rFonts w:ascii="Arial" w:hAnsi="Arial" w:cs="Arial"/>
          <w:color w:val="000000" w:themeColor="text1"/>
          <w:lang w:val="es-ES"/>
        </w:rPr>
        <w:t>Farc</w:t>
      </w:r>
      <w:proofErr w:type="spellEnd"/>
      <w:r>
        <w:rPr>
          <w:rFonts w:ascii="Arial" w:hAnsi="Arial" w:cs="Arial"/>
          <w:color w:val="000000" w:themeColor="text1"/>
          <w:lang w:val="es-ES"/>
        </w:rPr>
        <w:t xml:space="preserve"> - EP en el </w:t>
      </w:r>
      <w:r w:rsidR="00731134">
        <w:rPr>
          <w:rFonts w:ascii="Arial" w:hAnsi="Arial" w:cs="Arial"/>
          <w:color w:val="000000" w:themeColor="text1"/>
          <w:lang w:val="es-ES"/>
        </w:rPr>
        <w:t>2016,</w:t>
      </w:r>
      <w:r>
        <w:rPr>
          <w:rFonts w:ascii="Arial" w:hAnsi="Arial" w:cs="Arial"/>
          <w:color w:val="000000" w:themeColor="text1"/>
          <w:lang w:val="es-ES"/>
        </w:rPr>
        <w:t xml:space="preserve"> </w:t>
      </w:r>
      <w:r w:rsidR="00C56F38" w:rsidRPr="00304AD9">
        <w:rPr>
          <w:rFonts w:ascii="Arial" w:hAnsi="Arial" w:cs="Arial"/>
          <w:color w:val="000000" w:themeColor="text1"/>
          <w:lang w:val="es-ES"/>
        </w:rPr>
        <w:t>a la luz de los avances de los derechos humanos como un elemento en disputa de las estrategias de post verdad y de enfrentamiento social.</w:t>
      </w:r>
    </w:p>
    <w:p w14:paraId="3CA1EF97" w14:textId="77777777" w:rsidR="00C56F38" w:rsidRDefault="00C56F38" w:rsidP="00304AD9">
      <w:pPr>
        <w:spacing w:line="360" w:lineRule="auto"/>
        <w:rPr>
          <w:rFonts w:ascii="Arial" w:eastAsia="Times New Roman" w:hAnsi="Arial" w:cs="Arial"/>
          <w:color w:val="000000" w:themeColor="text1"/>
          <w:lang w:eastAsia="es-ES_tradnl"/>
        </w:rPr>
      </w:pPr>
    </w:p>
    <w:p w14:paraId="3077CC36" w14:textId="5BDB378B" w:rsidR="00723EAE" w:rsidRPr="00837922" w:rsidRDefault="001C50E7" w:rsidP="00837922">
      <w:pPr>
        <w:spacing w:line="360" w:lineRule="auto"/>
        <w:jc w:val="both"/>
        <w:rPr>
          <w:rFonts w:ascii="Arial" w:eastAsia="Times New Roman" w:hAnsi="Arial" w:cs="Arial"/>
          <w:b/>
          <w:color w:val="000000" w:themeColor="text1"/>
          <w:lang w:val="es-ES"/>
        </w:rPr>
      </w:pPr>
      <w:r>
        <w:rPr>
          <w:rFonts w:ascii="Arial" w:eastAsia="Times New Roman" w:hAnsi="Arial" w:cs="Arial"/>
          <w:color w:val="000000" w:themeColor="text1"/>
          <w:lang w:eastAsia="es-ES_tradnl"/>
        </w:rPr>
        <w:t xml:space="preserve">Otra de </w:t>
      </w:r>
      <w:r w:rsidR="00731134">
        <w:rPr>
          <w:rFonts w:ascii="Arial" w:eastAsia="Times New Roman" w:hAnsi="Arial" w:cs="Arial"/>
          <w:color w:val="000000" w:themeColor="text1"/>
          <w:lang w:eastAsia="es-ES_tradnl"/>
        </w:rPr>
        <w:t>las temáticas sociales</w:t>
      </w:r>
      <w:r>
        <w:rPr>
          <w:rFonts w:ascii="Arial" w:eastAsia="Times New Roman" w:hAnsi="Arial" w:cs="Arial"/>
          <w:color w:val="000000" w:themeColor="text1"/>
          <w:lang w:eastAsia="es-ES_tradnl"/>
        </w:rPr>
        <w:t xml:space="preserve"> de gran interés para las problemáticas que vive el país es la relacionada con la tutela </w:t>
      </w:r>
      <w:r w:rsidR="00837922">
        <w:rPr>
          <w:rFonts w:ascii="Arial" w:eastAsia="Times New Roman" w:hAnsi="Arial" w:cs="Arial"/>
          <w:color w:val="000000" w:themeColor="text1"/>
          <w:lang w:eastAsia="es-ES_tradnl"/>
        </w:rPr>
        <w:t>como garantía y recurso judicial adecuado y efectivo.</w:t>
      </w:r>
      <w:r w:rsidR="00837922">
        <w:rPr>
          <w:rFonts w:ascii="Arial" w:eastAsia="Times New Roman" w:hAnsi="Arial" w:cs="Arial"/>
          <w:b/>
          <w:color w:val="000000" w:themeColor="text1"/>
          <w:lang w:val="es-ES"/>
        </w:rPr>
        <w:t xml:space="preserve"> </w:t>
      </w:r>
      <w:r w:rsidR="00723EAE" w:rsidRPr="00304AD9">
        <w:rPr>
          <w:rFonts w:ascii="Arial" w:eastAsia="Times New Roman" w:hAnsi="Arial" w:cs="Arial"/>
          <w:color w:val="000000" w:themeColor="text1"/>
          <w:lang w:val="es-ES"/>
        </w:rPr>
        <w:t xml:space="preserve">La jurisprudencia reciente de la Corte Constitucional ha delineado el </w:t>
      </w:r>
      <w:r w:rsidR="00723EAE" w:rsidRPr="00304AD9">
        <w:rPr>
          <w:rFonts w:ascii="Arial" w:eastAsia="Times New Roman" w:hAnsi="Arial" w:cs="Arial"/>
          <w:i/>
          <w:color w:val="000000" w:themeColor="text1"/>
          <w:lang w:val="es-ES"/>
        </w:rPr>
        <w:t xml:space="preserve">“test de vulnerabilidad” </w:t>
      </w:r>
      <w:r w:rsidR="00723EAE" w:rsidRPr="00304AD9">
        <w:rPr>
          <w:rFonts w:ascii="Arial" w:eastAsia="Times New Roman" w:hAnsi="Arial" w:cs="Arial"/>
          <w:color w:val="000000" w:themeColor="text1"/>
          <w:lang w:val="es-ES"/>
        </w:rPr>
        <w:t xml:space="preserve">como un nuevo elemento de análisis de procedibilidad de la acción. De acuerdo con la Corte, para que una persona pueda ser considerada </w:t>
      </w:r>
      <w:r w:rsidR="00723EAE" w:rsidRPr="00304AD9">
        <w:rPr>
          <w:rFonts w:ascii="Arial" w:eastAsia="Times New Roman" w:hAnsi="Arial" w:cs="Arial"/>
          <w:i/>
          <w:color w:val="000000" w:themeColor="text1"/>
          <w:lang w:val="es-ES"/>
        </w:rPr>
        <w:t>vulnerable</w:t>
      </w:r>
      <w:r w:rsidR="00723EAE" w:rsidRPr="00304AD9">
        <w:rPr>
          <w:rFonts w:ascii="Arial" w:eastAsia="Times New Roman" w:hAnsi="Arial" w:cs="Arial"/>
          <w:color w:val="000000" w:themeColor="text1"/>
          <w:lang w:val="es-ES"/>
        </w:rPr>
        <w:t xml:space="preserve"> y así pueda obtener el amparo por vía de tutela, se requiere acreditar tres condiciones, “</w:t>
      </w:r>
      <w:r w:rsidR="00723EAE" w:rsidRPr="00304AD9">
        <w:rPr>
          <w:rFonts w:ascii="Arial" w:eastAsia="Times New Roman" w:hAnsi="Arial" w:cs="Arial"/>
          <w:i/>
          <w:color w:val="000000" w:themeColor="text1"/>
          <w:bdr w:val="none" w:sz="0" w:space="0" w:color="auto" w:frame="1"/>
          <w:shd w:val="clear" w:color="auto" w:fill="FFFFFF"/>
          <w:lang w:val="es-ES"/>
        </w:rPr>
        <w:t xml:space="preserve">cada una de ellas necesaria, y </w:t>
      </w:r>
      <w:r w:rsidR="00723EAE" w:rsidRPr="00304AD9">
        <w:rPr>
          <w:rFonts w:ascii="Arial" w:eastAsia="Times New Roman" w:hAnsi="Arial" w:cs="Arial"/>
          <w:i/>
          <w:color w:val="000000" w:themeColor="text1"/>
          <w:u w:val="single"/>
          <w:bdr w:val="none" w:sz="0" w:space="0" w:color="auto" w:frame="1"/>
          <w:shd w:val="clear" w:color="auto" w:fill="FFFFFF"/>
          <w:lang w:val="es-ES"/>
        </w:rPr>
        <w:t>conjuntamente suficientes</w:t>
      </w:r>
      <w:r w:rsidR="00723EAE" w:rsidRPr="00304AD9">
        <w:rPr>
          <w:rFonts w:ascii="Arial" w:eastAsia="Times New Roman" w:hAnsi="Arial" w:cs="Arial"/>
          <w:i/>
          <w:color w:val="000000" w:themeColor="text1"/>
          <w:bdr w:val="none" w:sz="0" w:space="0" w:color="auto" w:frame="1"/>
          <w:shd w:val="clear" w:color="auto" w:fill="FFFFFF"/>
          <w:lang w:val="es-ES"/>
        </w:rPr>
        <w:t>, en el accionante: </w:t>
      </w:r>
      <w:r w:rsidR="00723EAE" w:rsidRPr="00304AD9">
        <w:rPr>
          <w:rFonts w:ascii="Arial" w:eastAsia="Times New Roman" w:hAnsi="Arial" w:cs="Arial"/>
          <w:b/>
          <w:bCs/>
          <w:i/>
          <w:iCs/>
          <w:color w:val="000000" w:themeColor="text1"/>
          <w:bdr w:val="none" w:sz="0" w:space="0" w:color="auto" w:frame="1"/>
          <w:lang w:val="es-ES"/>
        </w:rPr>
        <w:t>(i) </w:t>
      </w:r>
      <w:r w:rsidR="00723EAE" w:rsidRPr="00304AD9">
        <w:rPr>
          <w:rFonts w:ascii="Arial" w:eastAsia="Times New Roman" w:hAnsi="Arial" w:cs="Arial"/>
          <w:i/>
          <w:color w:val="000000" w:themeColor="text1"/>
          <w:bdr w:val="none" w:sz="0" w:space="0" w:color="auto" w:frame="1"/>
          <w:shd w:val="clear" w:color="auto" w:fill="FFFFFF"/>
          <w:lang w:val="es-ES"/>
        </w:rPr>
        <w:t>pertenecer a un grupo de especial protección constitucional, </w:t>
      </w:r>
      <w:r w:rsidR="00723EAE" w:rsidRPr="00304AD9">
        <w:rPr>
          <w:rFonts w:ascii="Arial" w:eastAsia="Times New Roman" w:hAnsi="Arial" w:cs="Arial"/>
          <w:b/>
          <w:bCs/>
          <w:i/>
          <w:iCs/>
          <w:color w:val="000000" w:themeColor="text1"/>
          <w:bdr w:val="none" w:sz="0" w:space="0" w:color="auto" w:frame="1"/>
          <w:lang w:val="es-ES"/>
        </w:rPr>
        <w:t xml:space="preserve">(ii) </w:t>
      </w:r>
      <w:r w:rsidR="00723EAE" w:rsidRPr="00304AD9">
        <w:rPr>
          <w:rFonts w:ascii="Arial" w:eastAsia="Times New Roman" w:hAnsi="Arial" w:cs="Arial"/>
          <w:i/>
          <w:color w:val="000000" w:themeColor="text1"/>
          <w:bdr w:val="none" w:sz="0" w:space="0" w:color="auto" w:frame="1"/>
          <w:shd w:val="clear" w:color="auto" w:fill="FFFFFF"/>
          <w:lang w:val="es-ES"/>
        </w:rPr>
        <w:t>hallarse en una situación de riesgo (condición subjetivo negativa) y </w:t>
      </w:r>
      <w:r w:rsidR="00723EAE" w:rsidRPr="00304AD9">
        <w:rPr>
          <w:rFonts w:ascii="Arial" w:eastAsia="Times New Roman" w:hAnsi="Arial" w:cs="Arial"/>
          <w:b/>
          <w:bCs/>
          <w:i/>
          <w:iCs/>
          <w:color w:val="000000" w:themeColor="text1"/>
          <w:bdr w:val="none" w:sz="0" w:space="0" w:color="auto" w:frame="1"/>
          <w:lang w:val="es-ES"/>
        </w:rPr>
        <w:t>(iii) </w:t>
      </w:r>
      <w:r w:rsidR="00723EAE" w:rsidRPr="00304AD9">
        <w:rPr>
          <w:rFonts w:ascii="Arial" w:eastAsia="Times New Roman" w:hAnsi="Arial" w:cs="Arial"/>
          <w:i/>
          <w:color w:val="000000" w:themeColor="text1"/>
          <w:bdr w:val="none" w:sz="0" w:space="0" w:color="auto" w:frame="1"/>
          <w:shd w:val="clear" w:color="auto" w:fill="FFFFFF"/>
          <w:lang w:val="es-ES"/>
        </w:rPr>
        <w:t>carecer de resiliencia, esto es, capacidad para asumir sus necesidades hasta tanto agota la vía judicial ordinaria (condición subjetivo positiva).”</w:t>
      </w:r>
      <w:r w:rsidR="00723EAE" w:rsidRPr="00304AD9">
        <w:rPr>
          <w:rStyle w:val="Refdenotaalpie"/>
          <w:rFonts w:ascii="Arial" w:eastAsia="Times New Roman" w:hAnsi="Arial" w:cs="Arial"/>
          <w:color w:val="000000" w:themeColor="text1"/>
          <w:bdr w:val="none" w:sz="0" w:space="0" w:color="auto" w:frame="1"/>
          <w:shd w:val="clear" w:color="auto" w:fill="FFFFFF"/>
        </w:rPr>
        <w:footnoteReference w:id="11"/>
      </w:r>
      <w:r w:rsidR="00723EAE" w:rsidRPr="00304AD9">
        <w:rPr>
          <w:rFonts w:ascii="Arial" w:eastAsia="Times New Roman" w:hAnsi="Arial" w:cs="Arial"/>
          <w:color w:val="000000" w:themeColor="text1"/>
          <w:bdr w:val="none" w:sz="0" w:space="0" w:color="auto" w:frame="1"/>
          <w:shd w:val="clear" w:color="auto" w:fill="FFFFFF"/>
          <w:lang w:val="es-ES"/>
        </w:rPr>
        <w:t xml:space="preserve"> [</w:t>
      </w:r>
      <w:r w:rsidR="00731134" w:rsidRPr="00304AD9">
        <w:rPr>
          <w:rFonts w:ascii="Arial" w:eastAsia="Times New Roman" w:hAnsi="Arial" w:cs="Arial"/>
          <w:color w:val="000000" w:themeColor="text1"/>
          <w:bdr w:val="none" w:sz="0" w:space="0" w:color="auto" w:frame="1"/>
          <w:shd w:val="clear" w:color="auto" w:fill="FFFFFF"/>
          <w:lang w:val="es-ES"/>
        </w:rPr>
        <w:t>Énfasis</w:t>
      </w:r>
      <w:r w:rsidR="00723EAE" w:rsidRPr="00304AD9">
        <w:rPr>
          <w:rFonts w:ascii="Arial" w:eastAsia="Times New Roman" w:hAnsi="Arial" w:cs="Arial"/>
          <w:color w:val="000000" w:themeColor="text1"/>
          <w:bdr w:val="none" w:sz="0" w:space="0" w:color="auto" w:frame="1"/>
          <w:shd w:val="clear" w:color="auto" w:fill="FFFFFF"/>
          <w:lang w:val="es-ES"/>
        </w:rPr>
        <w:t xml:space="preserve"> fuera de texto].</w:t>
      </w:r>
    </w:p>
    <w:p w14:paraId="7EE1EE22" w14:textId="77777777" w:rsidR="00723EAE" w:rsidRPr="00304AD9" w:rsidRDefault="00723EAE" w:rsidP="00304AD9">
      <w:pPr>
        <w:shd w:val="clear" w:color="auto" w:fill="FFFFFF"/>
        <w:spacing w:line="360" w:lineRule="auto"/>
        <w:jc w:val="both"/>
        <w:rPr>
          <w:rFonts w:ascii="Arial" w:eastAsia="Times New Roman" w:hAnsi="Arial" w:cs="Arial"/>
          <w:color w:val="000000" w:themeColor="text1"/>
          <w:lang w:val="es-ES"/>
        </w:rPr>
      </w:pPr>
    </w:p>
    <w:p w14:paraId="3C79893C" w14:textId="0710E210" w:rsidR="00723EAE" w:rsidRPr="00304AD9" w:rsidRDefault="00723EAE" w:rsidP="00304AD9">
      <w:pPr>
        <w:shd w:val="clear" w:color="auto" w:fill="FFFFFF"/>
        <w:spacing w:line="360" w:lineRule="auto"/>
        <w:jc w:val="both"/>
        <w:rPr>
          <w:rFonts w:ascii="Arial" w:eastAsia="Times New Roman" w:hAnsi="Arial" w:cs="Arial"/>
          <w:color w:val="000000" w:themeColor="text1"/>
          <w:shd w:val="clear" w:color="auto" w:fill="FFFFFF"/>
          <w:lang w:val="es-ES"/>
        </w:rPr>
      </w:pPr>
      <w:r w:rsidRPr="00304AD9">
        <w:rPr>
          <w:rFonts w:ascii="Arial" w:eastAsia="Times New Roman" w:hAnsi="Arial" w:cs="Arial"/>
          <w:color w:val="000000" w:themeColor="text1"/>
          <w:lang w:val="es-ES"/>
        </w:rPr>
        <w:t xml:space="preserve">Existen varias razones que parecen indicar que la implementación de este test de resiliencia por parte de la Corte erosiona el alcance y los logros de la acción de tutela como mecanismo judicial efectivo para la defensa de derechos fundamentales. Por este motivo, el uso de esta figura merece ser analizado seriamente. Así, en términos generales, </w:t>
      </w:r>
      <w:r w:rsidRPr="00304AD9">
        <w:rPr>
          <w:rFonts w:ascii="Arial" w:eastAsia="Times New Roman" w:hAnsi="Arial" w:cs="Arial"/>
          <w:color w:val="000000" w:themeColor="text1"/>
          <w:shd w:val="clear" w:color="auto" w:fill="FFFFFF"/>
          <w:lang w:val="es-ES"/>
        </w:rPr>
        <w:t xml:space="preserve">identificar los orígenes de la línea jurisprudencial, con sus ajustes y variaciones, en la que la Corte Constitucional ha desarrollado el contenido y el alcance de la figura del </w:t>
      </w:r>
      <w:r w:rsidRPr="00304AD9">
        <w:rPr>
          <w:rFonts w:ascii="Arial" w:eastAsia="Times New Roman" w:hAnsi="Arial" w:cs="Arial"/>
          <w:i/>
          <w:color w:val="000000" w:themeColor="text1"/>
          <w:shd w:val="clear" w:color="auto" w:fill="FFFFFF"/>
          <w:lang w:val="es-ES"/>
        </w:rPr>
        <w:t>test de vulnerabilidad</w:t>
      </w:r>
      <w:r w:rsidRPr="00304AD9">
        <w:rPr>
          <w:rFonts w:ascii="Arial" w:eastAsia="Times New Roman" w:hAnsi="Arial" w:cs="Arial"/>
          <w:color w:val="000000" w:themeColor="text1"/>
          <w:shd w:val="clear" w:color="auto" w:fill="FFFFFF"/>
          <w:lang w:val="es-ES"/>
        </w:rPr>
        <w:t xml:space="preserve">; analizar, en particular, la forma en que la incorporación del criterio de “resiliencia”, en el test de vulnerabilidad altera, en términos de regresividad, los parámetros definidos por la jurisprudencia constitucional durante dos </w:t>
      </w:r>
      <w:r w:rsidRPr="00304AD9">
        <w:rPr>
          <w:rFonts w:ascii="Arial" w:eastAsia="Times New Roman" w:hAnsi="Arial" w:cs="Arial"/>
          <w:color w:val="000000" w:themeColor="text1"/>
          <w:shd w:val="clear" w:color="auto" w:fill="FFFFFF"/>
          <w:lang w:val="es-ES"/>
        </w:rPr>
        <w:lastRenderedPageBreak/>
        <w:t>décadas en relación con el análisis de procedibilidad de la acción de tutela; y por último</w:t>
      </w:r>
      <w:r w:rsidR="00837922">
        <w:rPr>
          <w:rFonts w:ascii="Arial" w:eastAsia="Times New Roman" w:hAnsi="Arial" w:cs="Arial"/>
          <w:color w:val="000000" w:themeColor="text1"/>
          <w:shd w:val="clear" w:color="auto" w:fill="FFFFFF"/>
          <w:lang w:val="es-ES"/>
        </w:rPr>
        <w:t>,</w:t>
      </w:r>
      <w:r w:rsidRPr="00304AD9">
        <w:rPr>
          <w:rFonts w:ascii="Arial" w:eastAsia="Times New Roman" w:hAnsi="Arial" w:cs="Arial"/>
          <w:color w:val="000000" w:themeColor="text1"/>
          <w:shd w:val="clear" w:color="auto" w:fill="FFFFFF"/>
          <w:lang w:val="es-ES"/>
        </w:rPr>
        <w:t xml:space="preserve"> persigue evaluar si </w:t>
      </w:r>
      <w:r w:rsidRPr="00304AD9">
        <w:rPr>
          <w:rFonts w:ascii="Arial" w:hAnsi="Arial" w:cs="Arial"/>
          <w:color w:val="000000" w:themeColor="text1"/>
          <w:lang w:val="es-ES"/>
        </w:rPr>
        <w:t>la implementación de este test de vulnerabilidad afecta la estabilidad, la seguridad jurídica y la igualdad de quienes acuden a la acción de tutela, tanto en relación con quienes han obtenido el amparo bajo las reglas tradicionalmente utilizadas por la Corte, y frente a aquellos quienes obtienen el amparo por parte de Salas de la propia Corte que no han implementado aún este test.</w:t>
      </w:r>
    </w:p>
    <w:p w14:paraId="4FFBABC5" w14:textId="77777777" w:rsidR="00551069" w:rsidRDefault="00551069" w:rsidP="00304AD9">
      <w:pPr>
        <w:spacing w:line="360" w:lineRule="auto"/>
        <w:rPr>
          <w:rFonts w:ascii="Arial" w:hAnsi="Arial" w:cs="Arial"/>
          <w:color w:val="000000" w:themeColor="text1"/>
          <w:u w:color="453CCC"/>
        </w:rPr>
      </w:pPr>
    </w:p>
    <w:p w14:paraId="083A3703" w14:textId="1D0929D5" w:rsidR="001F5B65" w:rsidRDefault="001F5B65" w:rsidP="001F5B65">
      <w:pPr>
        <w:spacing w:line="360" w:lineRule="auto"/>
        <w:jc w:val="both"/>
        <w:rPr>
          <w:rFonts w:ascii="Arial" w:hAnsi="Arial" w:cs="Arial"/>
          <w:color w:val="000000" w:themeColor="text1"/>
          <w:u w:color="453CCC"/>
        </w:rPr>
      </w:pPr>
      <w:r>
        <w:rPr>
          <w:rFonts w:ascii="Arial" w:hAnsi="Arial" w:cs="Arial"/>
          <w:color w:val="000000" w:themeColor="text1"/>
          <w:u w:color="453CCC"/>
        </w:rPr>
        <w:t xml:space="preserve">Además de estos temas se abordarán otros en relación a derechos de las víctimas, alcances de las políticas públicas y otros estudios de casos sobre exigibilidad y </w:t>
      </w:r>
      <w:proofErr w:type="spellStart"/>
      <w:r>
        <w:rPr>
          <w:rFonts w:ascii="Arial" w:hAnsi="Arial" w:cs="Arial"/>
          <w:color w:val="000000" w:themeColor="text1"/>
          <w:u w:color="453CCC"/>
        </w:rPr>
        <w:t>justiciabilidad</w:t>
      </w:r>
      <w:proofErr w:type="spellEnd"/>
      <w:r>
        <w:rPr>
          <w:rFonts w:ascii="Arial" w:hAnsi="Arial" w:cs="Arial"/>
          <w:color w:val="000000" w:themeColor="text1"/>
          <w:u w:color="453CCC"/>
        </w:rPr>
        <w:t xml:space="preserve"> de derechos. Todos de gran vigencia para comprender las problemáticas sociales que enfrenta Colombia a la luz de los estándares de los derechos humanos y el derecho internacional humanitario que serán de interés de toda la comunidad tomasina.</w:t>
      </w:r>
    </w:p>
    <w:p w14:paraId="2E82283E" w14:textId="77777777" w:rsidR="009F7AF4" w:rsidRDefault="009F7AF4" w:rsidP="009F7AF4">
      <w:pPr>
        <w:jc w:val="both"/>
        <w:rPr>
          <w:rFonts w:ascii="Times New Roman" w:hAnsi="Times New Roman" w:cs="Times New Roman"/>
          <w:b/>
        </w:rPr>
      </w:pPr>
    </w:p>
    <w:p w14:paraId="524EA35F" w14:textId="77777777" w:rsidR="009F7AF4" w:rsidRDefault="009F7AF4" w:rsidP="009F7AF4">
      <w:pPr>
        <w:jc w:val="both"/>
        <w:rPr>
          <w:rFonts w:ascii="Times New Roman" w:hAnsi="Times New Roman" w:cs="Times New Roman"/>
          <w:b/>
        </w:rPr>
      </w:pPr>
    </w:p>
    <w:p w14:paraId="2DDE4CFA" w14:textId="77777777" w:rsidR="009F7AF4" w:rsidRDefault="009F7AF4" w:rsidP="009F7AF4">
      <w:pPr>
        <w:jc w:val="both"/>
        <w:rPr>
          <w:rFonts w:ascii="Times New Roman" w:hAnsi="Times New Roman" w:cs="Times New Roman"/>
          <w:b/>
        </w:rPr>
      </w:pPr>
    </w:p>
    <w:p w14:paraId="443BE804" w14:textId="77777777" w:rsidR="009F7AF4" w:rsidRDefault="009F7AF4" w:rsidP="009F7AF4">
      <w:pPr>
        <w:jc w:val="both"/>
        <w:rPr>
          <w:rFonts w:ascii="Times New Roman" w:hAnsi="Times New Roman" w:cs="Times New Roman"/>
          <w:b/>
        </w:rPr>
      </w:pPr>
    </w:p>
    <w:p w14:paraId="4940A916" w14:textId="77777777" w:rsidR="009F7AF4" w:rsidRDefault="009F7AF4" w:rsidP="009F7AF4">
      <w:pPr>
        <w:jc w:val="both"/>
        <w:rPr>
          <w:rFonts w:ascii="Times New Roman" w:hAnsi="Times New Roman" w:cs="Times New Roman"/>
          <w:b/>
        </w:rPr>
      </w:pPr>
    </w:p>
    <w:p w14:paraId="50A37D58" w14:textId="77777777" w:rsidR="009F7AF4" w:rsidRDefault="009F7AF4" w:rsidP="009F7AF4">
      <w:pPr>
        <w:jc w:val="both"/>
        <w:rPr>
          <w:rFonts w:ascii="Times New Roman" w:hAnsi="Times New Roman" w:cs="Times New Roman"/>
          <w:b/>
        </w:rPr>
      </w:pPr>
    </w:p>
    <w:p w14:paraId="2B0C7655" w14:textId="77777777" w:rsidR="009F7AF4" w:rsidRDefault="009F7AF4" w:rsidP="009F7AF4">
      <w:pPr>
        <w:jc w:val="both"/>
        <w:rPr>
          <w:rFonts w:ascii="Times New Roman" w:hAnsi="Times New Roman" w:cs="Times New Roman"/>
          <w:b/>
        </w:rPr>
      </w:pPr>
    </w:p>
    <w:p w14:paraId="2EAC994F" w14:textId="77777777" w:rsidR="009F7AF4" w:rsidRPr="003F0C42" w:rsidRDefault="009F7AF4" w:rsidP="009F7AF4">
      <w:pPr>
        <w:jc w:val="both"/>
        <w:rPr>
          <w:rFonts w:ascii="Times New Roman" w:hAnsi="Times New Roman" w:cs="Times New Roman"/>
          <w:b/>
        </w:rPr>
      </w:pPr>
      <w:r w:rsidRPr="003F0C42">
        <w:rPr>
          <w:rFonts w:ascii="Times New Roman" w:hAnsi="Times New Roman" w:cs="Times New Roman"/>
          <w:b/>
        </w:rPr>
        <w:t xml:space="preserve">Bibliografía </w:t>
      </w:r>
    </w:p>
    <w:p w14:paraId="7CCF3B60" w14:textId="77777777" w:rsidR="001F5B65" w:rsidRPr="00304AD9" w:rsidRDefault="001F5B65" w:rsidP="001F5B65">
      <w:pPr>
        <w:spacing w:line="360" w:lineRule="auto"/>
        <w:jc w:val="both"/>
        <w:rPr>
          <w:rFonts w:ascii="Arial" w:hAnsi="Arial" w:cs="Arial"/>
          <w:color w:val="000000" w:themeColor="text1"/>
          <w:u w:color="453CCC"/>
        </w:rPr>
      </w:pPr>
    </w:p>
    <w:p w14:paraId="6DB65373" w14:textId="77777777" w:rsidR="009F7AF4" w:rsidRPr="001E6DF2" w:rsidRDefault="009F7AF4" w:rsidP="009F7AF4">
      <w:pPr>
        <w:jc w:val="both"/>
        <w:rPr>
          <w:rFonts w:ascii="Times New Roman" w:eastAsia="Times New Roman" w:hAnsi="Times New Roman" w:cs="Times New Roman"/>
        </w:rPr>
      </w:pPr>
      <w:r w:rsidRPr="001E6DF2">
        <w:rPr>
          <w:rFonts w:ascii="Times New Roman" w:eastAsia="Times New Roman" w:hAnsi="Times New Roman" w:cs="Times New Roman"/>
          <w:lang w:val="es-ES"/>
        </w:rPr>
        <w:t>ABRAMOVICH, Víctor. Una aproximación al enfoque de derechos en las estrategias y políticas de desarrollo.</w:t>
      </w:r>
      <w:r w:rsidRPr="001E6DF2">
        <w:rPr>
          <w:rFonts w:ascii="Times New Roman" w:eastAsia="Times New Roman" w:hAnsi="Times New Roman" w:cs="Times New Roman"/>
        </w:rPr>
        <w:t xml:space="preserve"> </w:t>
      </w:r>
      <w:r w:rsidRPr="001E6DF2">
        <w:rPr>
          <w:rFonts w:ascii="Times New Roman" w:eastAsia="Times New Roman" w:hAnsi="Times New Roman" w:cs="Times New Roman"/>
          <w:lang w:val="es-ES"/>
        </w:rPr>
        <w:t>Revista de la CEPAL. N. 88. Abril  2006.</w:t>
      </w:r>
    </w:p>
    <w:p w14:paraId="04F99676" w14:textId="1ECE23F7" w:rsidR="00551069" w:rsidRDefault="009F7AF4" w:rsidP="00304AD9">
      <w:pPr>
        <w:spacing w:line="360" w:lineRule="auto"/>
        <w:rPr>
          <w:rFonts w:ascii="Times New Roman" w:eastAsia="Times New Roman" w:hAnsi="Times New Roman" w:cs="Times New Roman"/>
        </w:rPr>
      </w:pPr>
      <w:r w:rsidRPr="001E6DF2">
        <w:rPr>
          <w:rFonts w:ascii="Times New Roman" w:eastAsia="Times New Roman" w:hAnsi="Times New Roman" w:cs="Times New Roman"/>
        </w:rPr>
        <w:t>COMISIÓN DE SEGUIMIENTO A LA POLÍTICA PÚBLICA SOBRE DESPLAZAMIENTO FORZADO. El desplazamiento forzado y el goce efectivo de los derechos para las poblaciones afrocolombiana e indígena. Bogotá D. C., octubre de 2011</w:t>
      </w:r>
    </w:p>
    <w:p w14:paraId="3A13CB77" w14:textId="77777777" w:rsidR="009F7AF4" w:rsidRPr="001E6DF2" w:rsidRDefault="009F7AF4" w:rsidP="009F7AF4">
      <w:pPr>
        <w:jc w:val="both"/>
        <w:rPr>
          <w:rFonts w:ascii="Times New Roman" w:eastAsia="Times New Roman" w:hAnsi="Times New Roman" w:cs="Times New Roman"/>
        </w:rPr>
      </w:pPr>
      <w:r w:rsidRPr="001E6DF2">
        <w:rPr>
          <w:rFonts w:ascii="Times New Roman" w:eastAsia="Times New Roman" w:hAnsi="Times New Roman" w:cs="Times New Roman"/>
        </w:rPr>
        <w:t xml:space="preserve">LAHERA P, Eugenio. POLITICAS PÚBLICAS Y POLITICAS SOCIALES. Naciones Unidas, agosto de 2004. </w:t>
      </w:r>
    </w:p>
    <w:p w14:paraId="6546746C" w14:textId="77777777" w:rsidR="009F7AF4" w:rsidRPr="00BF55E8" w:rsidRDefault="009F7AF4" w:rsidP="00304AD9">
      <w:pPr>
        <w:spacing w:line="360" w:lineRule="auto"/>
        <w:rPr>
          <w:rFonts w:ascii="Times New Roman" w:eastAsia="Times New Roman" w:hAnsi="Times New Roman" w:cs="Times New Roman"/>
        </w:rPr>
      </w:pPr>
    </w:p>
    <w:p w14:paraId="3AC508E9"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lastRenderedPageBreak/>
        <w:t xml:space="preserve">Álvarez, S. (2013). ¿A qué llamamos violencia en las ciencias sociales? Hallazgos, 10(20). </w:t>
      </w:r>
      <w:hyperlink r:id="rId8" w:history="1">
        <w:r w:rsidRPr="00BF55E8">
          <w:rPr>
            <w:rFonts w:ascii="Times New Roman" w:eastAsia="Times New Roman" w:hAnsi="Times New Roman" w:cs="Times New Roman"/>
          </w:rPr>
          <w:t>https://doi.org/10.15332/s1794-3841.2013.0020.05</w:t>
        </w:r>
      </w:hyperlink>
    </w:p>
    <w:p w14:paraId="33F3A285" w14:textId="77777777" w:rsidR="00BF55E8" w:rsidRPr="00BF55E8" w:rsidRDefault="00BF55E8" w:rsidP="00BF55E8">
      <w:pPr>
        <w:rPr>
          <w:rFonts w:ascii="Times New Roman" w:eastAsia="Times New Roman" w:hAnsi="Times New Roman" w:cs="Times New Roman"/>
        </w:rPr>
      </w:pPr>
    </w:p>
    <w:p w14:paraId="24AE93EC"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Ávila, W. (2013). Hacia una reflexión histórica de las TIC. Hallazgos, 10(19). </w:t>
      </w:r>
      <w:hyperlink r:id="rId9" w:history="1">
        <w:r w:rsidRPr="00BF55E8">
          <w:rPr>
            <w:rFonts w:ascii="Times New Roman" w:eastAsia="Times New Roman" w:hAnsi="Times New Roman" w:cs="Times New Roman"/>
          </w:rPr>
          <w:t>https://doi.org/10.15332/s1794-3841.2013.0019.13</w:t>
        </w:r>
      </w:hyperlink>
    </w:p>
    <w:p w14:paraId="586D82C6" w14:textId="77777777" w:rsidR="00BF55E8" w:rsidRPr="00BF55E8" w:rsidRDefault="00BF55E8" w:rsidP="00BF55E8">
      <w:pPr>
        <w:rPr>
          <w:rFonts w:ascii="Times New Roman" w:eastAsia="Times New Roman" w:hAnsi="Times New Roman" w:cs="Times New Roman"/>
        </w:rPr>
      </w:pPr>
    </w:p>
    <w:p w14:paraId="7C3ECF0D"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Ayala, C. D., &amp; Ortega-Ruiz, L. G. (2010). La </w:t>
      </w:r>
      <w:proofErr w:type="spellStart"/>
      <w:r w:rsidRPr="00BF55E8">
        <w:rPr>
          <w:rFonts w:ascii="Times New Roman" w:eastAsia="Times New Roman" w:hAnsi="Times New Roman" w:cs="Times New Roman"/>
        </w:rPr>
        <w:t>constitutionnalite</w:t>
      </w:r>
      <w:proofErr w:type="spellEnd"/>
      <w:r w:rsidRPr="00BF55E8">
        <w:rPr>
          <w:rFonts w:ascii="Times New Roman" w:eastAsia="Times New Roman" w:hAnsi="Times New Roman" w:cs="Times New Roman"/>
        </w:rPr>
        <w:t xml:space="preserve"> des </w:t>
      </w:r>
      <w:proofErr w:type="spellStart"/>
      <w:r w:rsidRPr="00BF55E8">
        <w:rPr>
          <w:rFonts w:ascii="Times New Roman" w:eastAsia="Times New Roman" w:hAnsi="Times New Roman" w:cs="Times New Roman"/>
        </w:rPr>
        <w:t>politiques</w:t>
      </w:r>
      <w:proofErr w:type="spellEnd"/>
      <w:r w:rsidRPr="00BF55E8">
        <w:rPr>
          <w:rFonts w:ascii="Times New Roman" w:eastAsia="Times New Roman" w:hAnsi="Times New Roman" w:cs="Times New Roman"/>
        </w:rPr>
        <w:t xml:space="preserve"> du </w:t>
      </w:r>
      <w:proofErr w:type="spellStart"/>
      <w:r w:rsidRPr="00BF55E8">
        <w:rPr>
          <w:rFonts w:ascii="Times New Roman" w:eastAsia="Times New Roman" w:hAnsi="Times New Roman" w:cs="Times New Roman"/>
        </w:rPr>
        <w:t>gouvernement</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relatif</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au</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renouvellement</w:t>
      </w:r>
      <w:proofErr w:type="spellEnd"/>
      <w:r w:rsidRPr="00BF55E8">
        <w:rPr>
          <w:rFonts w:ascii="Times New Roman" w:eastAsia="Times New Roman" w:hAnsi="Times New Roman" w:cs="Times New Roman"/>
        </w:rPr>
        <w:t xml:space="preserve"> de </w:t>
      </w:r>
      <w:proofErr w:type="spellStart"/>
      <w:r w:rsidRPr="00BF55E8">
        <w:rPr>
          <w:rFonts w:ascii="Times New Roman" w:eastAsia="Times New Roman" w:hAnsi="Times New Roman" w:cs="Times New Roman"/>
        </w:rPr>
        <w:t>l’administration</w:t>
      </w:r>
      <w:proofErr w:type="spellEnd"/>
      <w:r w:rsidRPr="00BF55E8">
        <w:rPr>
          <w:rFonts w:ascii="Times New Roman" w:eastAsia="Times New Roman" w:hAnsi="Times New Roman" w:cs="Times New Roman"/>
        </w:rPr>
        <w:t xml:space="preserve"> publique et le « social </w:t>
      </w:r>
      <w:proofErr w:type="spellStart"/>
      <w:r w:rsidRPr="00BF55E8">
        <w:rPr>
          <w:rFonts w:ascii="Times New Roman" w:eastAsia="Times New Roman" w:hAnsi="Times New Roman" w:cs="Times New Roman"/>
        </w:rPr>
        <w:t>maintien</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Via</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Inveniendi</w:t>
      </w:r>
      <w:proofErr w:type="spellEnd"/>
      <w:r w:rsidRPr="00BF55E8">
        <w:rPr>
          <w:rFonts w:ascii="Times New Roman" w:eastAsia="Times New Roman" w:hAnsi="Times New Roman" w:cs="Times New Roman"/>
        </w:rPr>
        <w:t xml:space="preserve"> Et </w:t>
      </w:r>
      <w:proofErr w:type="spellStart"/>
      <w:r w:rsidRPr="00BF55E8">
        <w:rPr>
          <w:rFonts w:ascii="Times New Roman" w:eastAsia="Times New Roman" w:hAnsi="Times New Roman" w:cs="Times New Roman"/>
        </w:rPr>
        <w:t>Iudicandi</w:t>
      </w:r>
      <w:proofErr w:type="spellEnd"/>
      <w:r w:rsidRPr="00BF55E8">
        <w:rPr>
          <w:rFonts w:ascii="Times New Roman" w:eastAsia="Times New Roman" w:hAnsi="Times New Roman" w:cs="Times New Roman"/>
        </w:rPr>
        <w:t xml:space="preserve">, 5(2), 1-30. </w:t>
      </w:r>
      <w:hyperlink r:id="rId10" w:history="1">
        <w:r w:rsidRPr="00BF55E8">
          <w:rPr>
            <w:rFonts w:ascii="Times New Roman" w:eastAsia="Times New Roman" w:hAnsi="Times New Roman" w:cs="Times New Roman"/>
          </w:rPr>
          <w:t>https://doi.org/10.15332/s1909-0528.2010.0002.01</w:t>
        </w:r>
      </w:hyperlink>
      <w:r w:rsidRPr="00BF55E8">
        <w:rPr>
          <w:rFonts w:ascii="Times New Roman" w:eastAsia="Times New Roman" w:hAnsi="Times New Roman" w:cs="Times New Roman"/>
        </w:rPr>
        <w:t xml:space="preserve"> </w:t>
      </w:r>
    </w:p>
    <w:p w14:paraId="109A1FDC" w14:textId="77777777" w:rsidR="00BF55E8" w:rsidRPr="00BF55E8" w:rsidRDefault="00BF55E8" w:rsidP="00BF55E8">
      <w:pPr>
        <w:rPr>
          <w:rFonts w:ascii="Times New Roman" w:eastAsia="Times New Roman" w:hAnsi="Times New Roman" w:cs="Times New Roman"/>
        </w:rPr>
      </w:pPr>
    </w:p>
    <w:p w14:paraId="03C4F166"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Castrillón, C. T., &amp; Córdoba, M. del P. R. (2014). Categorías conceptuales para el estudio de la responsabilidad social organizacional. Hallazgos, 11(22). </w:t>
      </w:r>
      <w:hyperlink r:id="rId11" w:history="1">
        <w:r w:rsidRPr="00BF55E8">
          <w:rPr>
            <w:rFonts w:ascii="Times New Roman" w:eastAsia="Times New Roman" w:hAnsi="Times New Roman" w:cs="Times New Roman"/>
          </w:rPr>
          <w:t>https://doi.org/10.15332/s1794-3841.2014.0022.07</w:t>
        </w:r>
      </w:hyperlink>
    </w:p>
    <w:p w14:paraId="356D8B8E" w14:textId="77777777" w:rsidR="00BF55E8" w:rsidRPr="00BF55E8" w:rsidRDefault="00BF55E8" w:rsidP="00BF55E8">
      <w:pPr>
        <w:rPr>
          <w:rFonts w:ascii="Times New Roman" w:eastAsia="Times New Roman" w:hAnsi="Times New Roman" w:cs="Times New Roman"/>
        </w:rPr>
      </w:pPr>
    </w:p>
    <w:p w14:paraId="468F9496"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Corchuelo</w:t>
      </w:r>
      <w:proofErr w:type="spellEnd"/>
      <w:r w:rsidRPr="00BF55E8">
        <w:rPr>
          <w:rFonts w:ascii="Times New Roman" w:eastAsia="Times New Roman" w:hAnsi="Times New Roman" w:cs="Times New Roman"/>
        </w:rPr>
        <w:t xml:space="preserve">-Rodríguez, C.-A., Barreto Gallo, G. P., Cepeda González, J. D., Castro Marín, L. A., Segura </w:t>
      </w:r>
      <w:proofErr w:type="spellStart"/>
      <w:r w:rsidRPr="00BF55E8">
        <w:rPr>
          <w:rFonts w:ascii="Times New Roman" w:eastAsia="Times New Roman" w:hAnsi="Times New Roman" w:cs="Times New Roman"/>
        </w:rPr>
        <w:t>Deaza</w:t>
      </w:r>
      <w:proofErr w:type="spellEnd"/>
      <w:r w:rsidRPr="00BF55E8">
        <w:rPr>
          <w:rFonts w:ascii="Times New Roman" w:eastAsia="Times New Roman" w:hAnsi="Times New Roman" w:cs="Times New Roman"/>
        </w:rPr>
        <w:t>, E. S., Rodríguez Gutiérrez, D. F.</w:t>
      </w:r>
      <w:proofErr w:type="gramStart"/>
      <w:r w:rsidRPr="00BF55E8">
        <w:rPr>
          <w:rFonts w:ascii="Times New Roman" w:eastAsia="Times New Roman" w:hAnsi="Times New Roman" w:cs="Times New Roman"/>
        </w:rPr>
        <w:t>, …</w:t>
      </w:r>
      <w:proofErr w:type="gramEnd"/>
      <w:r w:rsidRPr="00BF55E8">
        <w:rPr>
          <w:rFonts w:ascii="Times New Roman" w:eastAsia="Times New Roman" w:hAnsi="Times New Roman" w:cs="Times New Roman"/>
        </w:rPr>
        <w:t xml:space="preserve"> Valderrama Campos, K. A. (2018, junio). Propuesta de organización del conocimiento científico de la Universidad de La Salle en el Marco del SCTI. Recuperado de </w:t>
      </w:r>
      <w:hyperlink r:id="rId12" w:history="1">
        <w:r w:rsidRPr="00BF55E8">
          <w:rPr>
            <w:rFonts w:ascii="Times New Roman" w:eastAsia="Times New Roman" w:hAnsi="Times New Roman" w:cs="Times New Roman"/>
          </w:rPr>
          <w:t>http://eprints.rclis.org/33395/</w:t>
        </w:r>
      </w:hyperlink>
    </w:p>
    <w:p w14:paraId="0D441BB5" w14:textId="77777777" w:rsidR="00BF55E8" w:rsidRPr="00BF55E8" w:rsidRDefault="00BF55E8" w:rsidP="00BF55E8">
      <w:pPr>
        <w:rPr>
          <w:rFonts w:ascii="Times New Roman" w:eastAsia="Times New Roman" w:hAnsi="Times New Roman" w:cs="Times New Roman"/>
        </w:rPr>
      </w:pPr>
    </w:p>
    <w:p w14:paraId="08E7A0BC"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Corchuelo-Rodriguez</w:t>
      </w:r>
      <w:proofErr w:type="spellEnd"/>
      <w:r w:rsidRPr="00BF55E8">
        <w:rPr>
          <w:rFonts w:ascii="Times New Roman" w:eastAsia="Times New Roman" w:hAnsi="Times New Roman" w:cs="Times New Roman"/>
        </w:rPr>
        <w:t xml:space="preserve">, C. A., (2018). Repositorio como estrategia de visibilidad - Modelo Nacional de CTI. Recuperado de </w:t>
      </w:r>
      <w:hyperlink r:id="rId13" w:history="1">
        <w:r w:rsidRPr="00BF55E8">
          <w:rPr>
            <w:rFonts w:ascii="Times New Roman" w:eastAsia="Times New Roman" w:hAnsi="Times New Roman" w:cs="Times New Roman"/>
          </w:rPr>
          <w:t>http://repository.usta.edu.co/handle/11634/10358</w:t>
        </w:r>
      </w:hyperlink>
    </w:p>
    <w:p w14:paraId="390E05B1" w14:textId="77777777" w:rsidR="00BF55E8" w:rsidRPr="00BF55E8" w:rsidRDefault="00BF55E8" w:rsidP="00BF55E8">
      <w:pPr>
        <w:rPr>
          <w:rFonts w:ascii="Times New Roman" w:eastAsia="Times New Roman" w:hAnsi="Times New Roman" w:cs="Times New Roman"/>
        </w:rPr>
      </w:pPr>
    </w:p>
    <w:p w14:paraId="69FD3662"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Corchuelo</w:t>
      </w:r>
      <w:proofErr w:type="spellEnd"/>
      <w:r w:rsidRPr="00BF55E8">
        <w:rPr>
          <w:rFonts w:ascii="Times New Roman" w:eastAsia="Times New Roman" w:hAnsi="Times New Roman" w:cs="Times New Roman"/>
        </w:rPr>
        <w:t xml:space="preserve"> Rodríguez, C., Montenegro-Riaño, D., Pinzón-Rodríguez, J., &amp; Cantor-Gómez, C. (2016). Desarrollo de la competencia digital en estudiantes de pregrado de la Universidad de La Sabana. Universidad de la Sabana. Recuperado de </w:t>
      </w:r>
      <w:hyperlink r:id="rId14" w:history="1">
        <w:r w:rsidRPr="00BF55E8">
          <w:rPr>
            <w:rFonts w:ascii="Times New Roman" w:eastAsia="Times New Roman" w:hAnsi="Times New Roman" w:cs="Times New Roman"/>
          </w:rPr>
          <w:t>http://intellectum.unisabana.edu.co/handle/10818/26080</w:t>
        </w:r>
      </w:hyperlink>
    </w:p>
    <w:p w14:paraId="321C3AB3" w14:textId="77777777" w:rsidR="00BF55E8" w:rsidRPr="00BF55E8" w:rsidRDefault="00BF55E8" w:rsidP="00BF55E8">
      <w:pPr>
        <w:rPr>
          <w:rFonts w:ascii="Times New Roman" w:eastAsia="Times New Roman" w:hAnsi="Times New Roman" w:cs="Times New Roman"/>
        </w:rPr>
      </w:pPr>
    </w:p>
    <w:p w14:paraId="0004AA7D"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Cruz, N. M. (2013). Literatura, historia y memoria. Hallazgos, 10(20). </w:t>
      </w:r>
      <w:hyperlink r:id="rId15" w:history="1">
        <w:r w:rsidRPr="00BF55E8">
          <w:rPr>
            <w:rFonts w:ascii="Times New Roman" w:eastAsia="Times New Roman" w:hAnsi="Times New Roman" w:cs="Times New Roman"/>
          </w:rPr>
          <w:t>https://doi.org/10.15332/s1794-3841.2013.0020.03</w:t>
        </w:r>
      </w:hyperlink>
    </w:p>
    <w:p w14:paraId="4E0D3F7F" w14:textId="77777777" w:rsidR="00BF55E8" w:rsidRPr="00BF55E8" w:rsidRDefault="00BF55E8" w:rsidP="00BF55E8">
      <w:pPr>
        <w:rPr>
          <w:rFonts w:ascii="Times New Roman" w:eastAsia="Times New Roman" w:hAnsi="Times New Roman" w:cs="Times New Roman"/>
        </w:rPr>
      </w:pPr>
    </w:p>
    <w:p w14:paraId="6D49CCEB"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Echeverry, L. M., Estay-</w:t>
      </w:r>
      <w:proofErr w:type="spellStart"/>
      <w:r w:rsidRPr="00BF55E8">
        <w:rPr>
          <w:rFonts w:ascii="Times New Roman" w:eastAsia="Times New Roman" w:hAnsi="Times New Roman" w:cs="Times New Roman"/>
        </w:rPr>
        <w:t>Niculcar</w:t>
      </w:r>
      <w:proofErr w:type="spellEnd"/>
      <w:r w:rsidRPr="00BF55E8">
        <w:rPr>
          <w:rFonts w:ascii="Times New Roman" w:eastAsia="Times New Roman" w:hAnsi="Times New Roman" w:cs="Times New Roman"/>
        </w:rPr>
        <w:t xml:space="preserve">, C., &amp; Parra, J. H. (2014). Imagen país de Colombia desde la perspectiva estadounidense. Hallazgos, 11(22). </w:t>
      </w:r>
      <w:hyperlink r:id="rId16" w:history="1">
        <w:r w:rsidRPr="00BF55E8">
          <w:rPr>
            <w:rFonts w:ascii="Times New Roman" w:eastAsia="Times New Roman" w:hAnsi="Times New Roman" w:cs="Times New Roman"/>
          </w:rPr>
          <w:t>https://doi.org/10.15332/s1794-3841.2014.0022.12</w:t>
        </w:r>
      </w:hyperlink>
    </w:p>
    <w:p w14:paraId="43473CA5" w14:textId="77777777" w:rsidR="00BF55E8" w:rsidRPr="00BF55E8" w:rsidRDefault="00BF55E8" w:rsidP="00BF55E8">
      <w:pPr>
        <w:rPr>
          <w:rFonts w:ascii="Times New Roman" w:eastAsia="Times New Roman" w:hAnsi="Times New Roman" w:cs="Times New Roman"/>
        </w:rPr>
      </w:pPr>
    </w:p>
    <w:p w14:paraId="1EEE67BA"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Ervis</w:t>
      </w:r>
      <w:proofErr w:type="spellEnd"/>
      <w:r w:rsidRPr="00BF55E8">
        <w:rPr>
          <w:rFonts w:ascii="Times New Roman" w:eastAsia="Times New Roman" w:hAnsi="Times New Roman" w:cs="Times New Roman"/>
        </w:rPr>
        <w:t xml:space="preserve">, E. E. (2016). El proyecto cultural liberador de José Martí para su tiempo y para el siglo xxi. Hallazgos, 13(25), 65-87. </w:t>
      </w:r>
      <w:hyperlink r:id="rId17" w:history="1">
        <w:r w:rsidRPr="00BF55E8">
          <w:rPr>
            <w:rFonts w:ascii="Times New Roman" w:eastAsia="Times New Roman" w:hAnsi="Times New Roman" w:cs="Times New Roman"/>
          </w:rPr>
          <w:t>https://doi.org/10.15332/s1794-3841.2016.0025.03</w:t>
        </w:r>
      </w:hyperlink>
    </w:p>
    <w:p w14:paraId="3B0DFF9F" w14:textId="77777777" w:rsidR="00BF55E8" w:rsidRPr="00BF55E8" w:rsidRDefault="00BF55E8" w:rsidP="00BF55E8">
      <w:pPr>
        <w:rPr>
          <w:rFonts w:ascii="Times New Roman" w:eastAsia="Times New Roman" w:hAnsi="Times New Roman" w:cs="Times New Roman"/>
        </w:rPr>
      </w:pPr>
    </w:p>
    <w:p w14:paraId="23144151"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lastRenderedPageBreak/>
        <w:t xml:space="preserve">Fonseca, J. C., Riberos, A. M. R., &amp; Romero, J. A. (2013). Construcción narrativa de relatos </w:t>
      </w:r>
      <w:proofErr w:type="spellStart"/>
      <w:r w:rsidRPr="00BF55E8">
        <w:rPr>
          <w:rFonts w:ascii="Times New Roman" w:eastAsia="Times New Roman" w:hAnsi="Times New Roman" w:cs="Times New Roman"/>
        </w:rPr>
        <w:t>identitarios</w:t>
      </w:r>
      <w:proofErr w:type="spellEnd"/>
      <w:r w:rsidRPr="00BF55E8">
        <w:rPr>
          <w:rFonts w:ascii="Times New Roman" w:eastAsia="Times New Roman" w:hAnsi="Times New Roman" w:cs="Times New Roman"/>
        </w:rPr>
        <w:t xml:space="preserve"> que favorecen la resiliencia en jóvenes con orientación homosexual. Hallazgos, 10(19). </w:t>
      </w:r>
      <w:hyperlink r:id="rId18" w:history="1">
        <w:r w:rsidRPr="00BF55E8">
          <w:rPr>
            <w:rFonts w:ascii="Times New Roman" w:eastAsia="Times New Roman" w:hAnsi="Times New Roman" w:cs="Times New Roman"/>
          </w:rPr>
          <w:t>https://doi.org/10.15332/s1794-3841.2013.0019.08</w:t>
        </w:r>
      </w:hyperlink>
    </w:p>
    <w:p w14:paraId="5B1A9000" w14:textId="77777777" w:rsidR="00BF55E8" w:rsidRPr="00BF55E8" w:rsidRDefault="00BF55E8" w:rsidP="00BF55E8">
      <w:pPr>
        <w:rPr>
          <w:rFonts w:ascii="Times New Roman" w:eastAsia="Times New Roman" w:hAnsi="Times New Roman" w:cs="Times New Roman"/>
        </w:rPr>
      </w:pPr>
    </w:p>
    <w:p w14:paraId="25132618"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Gómez Jaramillo, A., Carvajal Martínez, J. E., Romero Sánchez, A., Pérez Salazar, B., Beltrán Hernández, D., Romero </w:t>
      </w:r>
      <w:proofErr w:type="spellStart"/>
      <w:r w:rsidRPr="00BF55E8">
        <w:rPr>
          <w:rFonts w:ascii="Times New Roman" w:eastAsia="Times New Roman" w:hAnsi="Times New Roman" w:cs="Times New Roman"/>
        </w:rPr>
        <w:t>Romero</w:t>
      </w:r>
      <w:proofErr w:type="spellEnd"/>
      <w:r w:rsidRPr="00BF55E8">
        <w:rPr>
          <w:rFonts w:ascii="Times New Roman" w:eastAsia="Times New Roman" w:hAnsi="Times New Roman" w:cs="Times New Roman"/>
        </w:rPr>
        <w:t>, C. &amp; Sierra Zamora, P. (2015). El entramado penal, las políticas públicas y la seguridad. Bogotá: Universidad Católica de Colombia</w:t>
      </w:r>
    </w:p>
    <w:p w14:paraId="6AA9353E" w14:textId="77777777" w:rsidR="00BF55E8" w:rsidRPr="00BF55E8" w:rsidRDefault="00BF55E8" w:rsidP="00BF55E8">
      <w:pPr>
        <w:rPr>
          <w:rFonts w:ascii="Times New Roman" w:eastAsia="Times New Roman" w:hAnsi="Times New Roman" w:cs="Times New Roman"/>
        </w:rPr>
      </w:pPr>
    </w:p>
    <w:p w14:paraId="786C7325"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Gomez</w:t>
      </w:r>
      <w:proofErr w:type="spellEnd"/>
      <w:r w:rsidRPr="00BF55E8">
        <w:rPr>
          <w:rFonts w:ascii="Times New Roman" w:eastAsia="Times New Roman" w:hAnsi="Times New Roman" w:cs="Times New Roman"/>
        </w:rPr>
        <w:t xml:space="preserve"> Jaramillo, A., &amp; Valencia Villamizar, D. (2014). Del derecho al cine (2a ed.). Bogotá: Ediciones Doctrina y Ley. Recuperado de http://repository.usta.edu.co/handle/11634/13472</w:t>
      </w:r>
    </w:p>
    <w:p w14:paraId="738A5AA9" w14:textId="77777777" w:rsidR="00BF55E8" w:rsidRPr="00BF55E8" w:rsidRDefault="00BF55E8" w:rsidP="00BF55E8">
      <w:pPr>
        <w:rPr>
          <w:rFonts w:ascii="Times New Roman" w:eastAsia="Times New Roman" w:hAnsi="Times New Roman" w:cs="Times New Roman"/>
        </w:rPr>
      </w:pPr>
    </w:p>
    <w:p w14:paraId="1DC4E7ED"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Navarro, M. M. O. (2013). Atención integral de la embarazada en la comunidad. Hallazgos, 10(20). https://doi.org/10.15332/s1794-3841.2013.0020.09</w:t>
      </w:r>
    </w:p>
    <w:p w14:paraId="2602438B" w14:textId="77777777" w:rsidR="00BF55E8" w:rsidRPr="00BF55E8" w:rsidRDefault="00BF55E8" w:rsidP="00BF55E8">
      <w:pPr>
        <w:rPr>
          <w:rFonts w:ascii="Times New Roman" w:eastAsia="Times New Roman" w:hAnsi="Times New Roman" w:cs="Times New Roman"/>
        </w:rPr>
      </w:pPr>
    </w:p>
    <w:p w14:paraId="3FE5FA2C"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Ortíz</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faber</w:t>
      </w:r>
      <w:proofErr w:type="spellEnd"/>
      <w:r w:rsidRPr="00BF55E8">
        <w:rPr>
          <w:rFonts w:ascii="Times New Roman" w:eastAsia="Times New Roman" w:hAnsi="Times New Roman" w:cs="Times New Roman"/>
        </w:rPr>
        <w:t xml:space="preserve"> A. A. (2014). La </w:t>
      </w:r>
      <w:proofErr w:type="spellStart"/>
      <w:r w:rsidRPr="00BF55E8">
        <w:rPr>
          <w:rFonts w:ascii="Times New Roman" w:eastAsia="Times New Roman" w:hAnsi="Times New Roman" w:cs="Times New Roman"/>
        </w:rPr>
        <w:t>neopedagogía</w:t>
      </w:r>
      <w:proofErr w:type="spellEnd"/>
      <w:r w:rsidRPr="00BF55E8">
        <w:rPr>
          <w:rFonts w:ascii="Times New Roman" w:eastAsia="Times New Roman" w:hAnsi="Times New Roman" w:cs="Times New Roman"/>
        </w:rPr>
        <w:t>: contextos y emergencias. Hallazgos, 11(21). https://doi.org/10.15332/s1794-3841.2014.0021.12</w:t>
      </w:r>
    </w:p>
    <w:p w14:paraId="74BB392E" w14:textId="77777777" w:rsidR="00BF55E8" w:rsidRPr="00BF55E8" w:rsidRDefault="00BF55E8" w:rsidP="00BF55E8">
      <w:pPr>
        <w:rPr>
          <w:rFonts w:ascii="Times New Roman" w:eastAsia="Times New Roman" w:hAnsi="Times New Roman" w:cs="Times New Roman"/>
        </w:rPr>
      </w:pPr>
    </w:p>
    <w:p w14:paraId="4D8D99B0"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Ortiz, A. P., Pérez, V. R. D., &amp; Salazar, O. C. (2014). Una aproximación conceptual a la retención estudiantil en Latinoamérica. Revista Interamericana de Investigación, Educación y Pedagogía, RIIEP, 7(2). https://doi.org/10.15332/s1657-107X.2014.0002.05</w:t>
      </w:r>
    </w:p>
    <w:p w14:paraId="4C4DD811" w14:textId="77777777" w:rsidR="00BF55E8" w:rsidRPr="00BF55E8" w:rsidRDefault="00BF55E8" w:rsidP="00BF55E8">
      <w:pPr>
        <w:rPr>
          <w:rFonts w:ascii="Times New Roman" w:eastAsia="Times New Roman" w:hAnsi="Times New Roman" w:cs="Times New Roman"/>
        </w:rPr>
      </w:pPr>
    </w:p>
    <w:p w14:paraId="6166E9ED"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Rodríguez, N. J. R., Torres, M. R. M., &amp; Ferrer, L. G. (2014). Influencia de las Tecnologías de Información y Comunicación en los roles e interrelaciones entre estudiantes y docentes en programas presenciales de educación superior. Hallazgos, 11(22). </w:t>
      </w:r>
      <w:hyperlink r:id="rId19" w:history="1">
        <w:r w:rsidRPr="00BF55E8">
          <w:rPr>
            <w:rFonts w:ascii="Times New Roman" w:eastAsia="Times New Roman" w:hAnsi="Times New Roman" w:cs="Times New Roman"/>
          </w:rPr>
          <w:t>https://doi.org/10.15332/s1794-3841.2014.0022.22</w:t>
        </w:r>
      </w:hyperlink>
    </w:p>
    <w:p w14:paraId="44291C90" w14:textId="77777777" w:rsidR="00BF55E8" w:rsidRPr="00BF55E8" w:rsidRDefault="00BF55E8" w:rsidP="00BF55E8">
      <w:pPr>
        <w:rPr>
          <w:rFonts w:ascii="Times New Roman" w:eastAsia="Times New Roman" w:hAnsi="Times New Roman" w:cs="Times New Roman"/>
        </w:rPr>
      </w:pPr>
    </w:p>
    <w:p w14:paraId="783996A0" w14:textId="527F354F" w:rsid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Ortega-Ruiz, L. G. (2017). El principio del in dubio pro reo en las sentencias proferidas por jueces penales colegiados frente a la responsabilidad del Estado. Revista Derecho Público, 38(enero-junio), 24. </w:t>
      </w:r>
      <w:hyperlink r:id="rId20" w:history="1">
        <w:r w:rsidR="000F5122" w:rsidRPr="00FD1330">
          <w:rPr>
            <w:rStyle w:val="Hipervnculo"/>
            <w:rFonts w:ascii="Times New Roman" w:eastAsia="Times New Roman" w:hAnsi="Times New Roman" w:cs="Times New Roman"/>
          </w:rPr>
          <w:t>http://dx.doi.org/10.15425/redepub.38.2017.05</w:t>
        </w:r>
      </w:hyperlink>
    </w:p>
    <w:p w14:paraId="3F9A6B8C" w14:textId="77777777" w:rsidR="000F5122" w:rsidRPr="00BF55E8" w:rsidRDefault="000F5122" w:rsidP="00BF55E8">
      <w:pPr>
        <w:rPr>
          <w:rFonts w:ascii="Times New Roman" w:eastAsia="Times New Roman" w:hAnsi="Times New Roman" w:cs="Times New Roman"/>
        </w:rPr>
      </w:pPr>
    </w:p>
    <w:p w14:paraId="545481EB" w14:textId="77777777" w:rsid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Ortega-Ruiz, L. G. (2018a). Cuestiones dialécticas entorno a los derechos humanos. Instituto </w:t>
      </w:r>
      <w:proofErr w:type="spellStart"/>
      <w:r w:rsidRPr="00BF55E8">
        <w:rPr>
          <w:rFonts w:ascii="Times New Roman" w:eastAsia="Times New Roman" w:hAnsi="Times New Roman" w:cs="Times New Roman"/>
        </w:rPr>
        <w:t>Memór</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ia</w:t>
      </w:r>
      <w:proofErr w:type="spellEnd"/>
      <w:r w:rsidRPr="00BF55E8">
        <w:rPr>
          <w:rFonts w:ascii="Times New Roman" w:eastAsia="Times New Roman" w:hAnsi="Times New Roman" w:cs="Times New Roman"/>
        </w:rPr>
        <w:t xml:space="preserve"> Editora &amp; </w:t>
      </w:r>
      <w:proofErr w:type="spellStart"/>
      <w:r w:rsidRPr="00BF55E8">
        <w:rPr>
          <w:rFonts w:ascii="Times New Roman" w:eastAsia="Times New Roman" w:hAnsi="Times New Roman" w:cs="Times New Roman"/>
        </w:rPr>
        <w:t>Projetos</w:t>
      </w:r>
      <w:proofErr w:type="spellEnd"/>
      <w:r w:rsidRPr="00BF55E8">
        <w:rPr>
          <w:rFonts w:ascii="Times New Roman" w:eastAsia="Times New Roman" w:hAnsi="Times New Roman" w:cs="Times New Roman"/>
        </w:rPr>
        <w:t xml:space="preserve"> </w:t>
      </w:r>
      <w:proofErr w:type="spellStart"/>
      <w:r w:rsidRPr="00BF55E8">
        <w:rPr>
          <w:rFonts w:ascii="Times New Roman" w:eastAsia="Times New Roman" w:hAnsi="Times New Roman" w:cs="Times New Roman"/>
        </w:rPr>
        <w:t>Culturais</w:t>
      </w:r>
      <w:proofErr w:type="spellEnd"/>
      <w:r w:rsidRPr="00BF55E8">
        <w:rPr>
          <w:rFonts w:ascii="Times New Roman" w:eastAsia="Times New Roman" w:hAnsi="Times New Roman" w:cs="Times New Roman"/>
        </w:rPr>
        <w:t>.</w:t>
      </w:r>
    </w:p>
    <w:p w14:paraId="5B968623" w14:textId="77777777" w:rsidR="000F5122" w:rsidRPr="00BF55E8" w:rsidRDefault="000F5122" w:rsidP="00BF55E8">
      <w:pPr>
        <w:rPr>
          <w:rFonts w:ascii="Times New Roman" w:eastAsia="Times New Roman" w:hAnsi="Times New Roman" w:cs="Times New Roman"/>
        </w:rPr>
      </w:pPr>
    </w:p>
    <w:p w14:paraId="4908EFB5"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Ortega-Ruiz, L. G. (2018). El acto administrativo en los procesos y procedimientos. Bogotá: U. Católica de Colombia. Recuperado de </w:t>
      </w:r>
      <w:hyperlink r:id="rId21" w:history="1">
        <w:r w:rsidRPr="00BF55E8">
          <w:rPr>
            <w:rFonts w:ascii="Times New Roman" w:eastAsia="Times New Roman" w:hAnsi="Times New Roman" w:cs="Times New Roman"/>
          </w:rPr>
          <w:t>https://publicaciones.ucatolica.edu.co/pdf/el-acto-administrativo-en-los-procesos-y-procedimiento.pdf</w:t>
        </w:r>
      </w:hyperlink>
    </w:p>
    <w:p w14:paraId="76E0DCB3" w14:textId="77777777" w:rsidR="00BF55E8" w:rsidRPr="00BF55E8" w:rsidRDefault="00BF55E8" w:rsidP="00BF55E8">
      <w:pPr>
        <w:rPr>
          <w:rFonts w:ascii="Times New Roman" w:eastAsia="Times New Roman" w:hAnsi="Times New Roman" w:cs="Times New Roman"/>
        </w:rPr>
      </w:pPr>
    </w:p>
    <w:p w14:paraId="2B7FB916"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lastRenderedPageBreak/>
        <w:t xml:space="preserve">Ruiz-Ortega, L. G. Demanda de inconstitucionalidad en contra del artículo 12 de la Ley 790 de 2002 “Por la cual se expiden disposiciones para adelantar el programa de renovación de la administración pública y se otorgan facultades al Presidente de la República”, C 1039-03 (Corte Constitucional 2003). Recuperado de </w:t>
      </w:r>
      <w:hyperlink r:id="rId22" w:history="1">
        <w:r w:rsidRPr="00BF55E8">
          <w:rPr>
            <w:rFonts w:ascii="Times New Roman" w:eastAsia="Times New Roman" w:hAnsi="Times New Roman" w:cs="Times New Roman"/>
          </w:rPr>
          <w:t>http://www.corteconstitucional.gov.co/relatoria/2003/C-1039-03.htm</w:t>
        </w:r>
      </w:hyperlink>
    </w:p>
    <w:p w14:paraId="5DEC56C9" w14:textId="77777777" w:rsidR="00BF55E8" w:rsidRPr="00BF55E8" w:rsidRDefault="00BF55E8" w:rsidP="00BF55E8">
      <w:pPr>
        <w:rPr>
          <w:rFonts w:ascii="Times New Roman" w:eastAsia="Times New Roman" w:hAnsi="Times New Roman" w:cs="Times New Roman"/>
        </w:rPr>
      </w:pPr>
    </w:p>
    <w:p w14:paraId="4ECA3609"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VACACIONES-Compensación en dinero según el Convenio 132 de la OIT, C 669/06 (Corte Constitucional 2006). Recuperado de </w:t>
      </w:r>
      <w:hyperlink r:id="rId23" w:history="1">
        <w:r w:rsidRPr="00BF55E8">
          <w:rPr>
            <w:rFonts w:ascii="Times New Roman" w:eastAsia="Times New Roman" w:hAnsi="Times New Roman" w:cs="Times New Roman"/>
          </w:rPr>
          <w:t>http://www.corteconstitucional.gov.co/relatoria/2006/C-669-06.htm</w:t>
        </w:r>
      </w:hyperlink>
    </w:p>
    <w:p w14:paraId="3E87C904" w14:textId="77777777" w:rsidR="00BF55E8" w:rsidRPr="00BF55E8" w:rsidRDefault="00BF55E8" w:rsidP="00BF55E8">
      <w:pPr>
        <w:rPr>
          <w:rFonts w:ascii="Times New Roman" w:eastAsia="Times New Roman" w:hAnsi="Times New Roman" w:cs="Times New Roman"/>
        </w:rPr>
      </w:pPr>
    </w:p>
    <w:p w14:paraId="7A377ECF"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PRESUNCION DE PATERNIDAD-Posibilidad de utilizar otros medios probatorios diferentes de la prueba de ADN, C 122/08 (Corte Constitucional 2008). Recuperado de </w:t>
      </w:r>
      <w:hyperlink r:id="rId24" w:history="1">
        <w:r w:rsidRPr="00BF55E8">
          <w:rPr>
            <w:rFonts w:ascii="Times New Roman" w:eastAsia="Times New Roman" w:hAnsi="Times New Roman" w:cs="Times New Roman"/>
          </w:rPr>
          <w:t>http://www.corteconstitucional.gov.co/relatoria/2008/C-122-08.htm</w:t>
        </w:r>
      </w:hyperlink>
    </w:p>
    <w:p w14:paraId="3E08BBAB" w14:textId="77777777" w:rsidR="00BF55E8" w:rsidRPr="00BF55E8" w:rsidRDefault="00BF55E8" w:rsidP="00BF55E8">
      <w:pPr>
        <w:rPr>
          <w:rFonts w:ascii="Times New Roman" w:eastAsia="Times New Roman" w:hAnsi="Times New Roman" w:cs="Times New Roman"/>
        </w:rPr>
      </w:pPr>
    </w:p>
    <w:p w14:paraId="70145B52"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INCIDENTE DE IMPACTO FISCAL-En virtud de la reserva de ley estatutaria en relación con los mecanismos de protección de los derechos fundamentales, las disposiciones resultan inaplicables en la acción de tutela/INCIDENTE DE IMPACTO FISCAL-Improcedencia respecto de las providencias proferidas en el marco de la acción de tutela, C 870-14 (Corte Constitucional 2014). Recuperado de </w:t>
      </w:r>
      <w:hyperlink r:id="rId25" w:history="1">
        <w:r w:rsidRPr="00BF55E8">
          <w:rPr>
            <w:rFonts w:ascii="Times New Roman" w:eastAsia="Times New Roman" w:hAnsi="Times New Roman" w:cs="Times New Roman"/>
          </w:rPr>
          <w:t>http://www.corteconstitucional.gov.co/relatoria/2014/C-870-14.htm</w:t>
        </w:r>
      </w:hyperlink>
    </w:p>
    <w:p w14:paraId="58004E93" w14:textId="77777777" w:rsidR="00BF55E8" w:rsidRPr="00BF55E8" w:rsidRDefault="00BF55E8" w:rsidP="00BF55E8">
      <w:pPr>
        <w:rPr>
          <w:rFonts w:ascii="Times New Roman" w:eastAsia="Times New Roman" w:hAnsi="Times New Roman" w:cs="Times New Roman"/>
        </w:rPr>
      </w:pPr>
    </w:p>
    <w:p w14:paraId="1ED34BED"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CESION DE DERECHOS DE PROPIEDAD INTELECTUAL EN CABEZA DEL ESTADO EN PLAN NACIONAL DE DESARROLLO 2014-2018, C-027/16 (Corte Constitucional 2016). Recuperado de </w:t>
      </w:r>
      <w:hyperlink r:id="rId26" w:history="1">
        <w:r w:rsidRPr="00BF55E8">
          <w:rPr>
            <w:rFonts w:ascii="Times New Roman" w:eastAsia="Times New Roman" w:hAnsi="Times New Roman" w:cs="Times New Roman"/>
          </w:rPr>
          <w:t>http://www.corteconstitucional.gov.co/RELATORIA/2016/C-027-16.htm</w:t>
        </w:r>
      </w:hyperlink>
    </w:p>
    <w:p w14:paraId="2B147381" w14:textId="77777777" w:rsidR="00BF55E8" w:rsidRPr="00BF55E8" w:rsidRDefault="00BF55E8" w:rsidP="00BF55E8">
      <w:pPr>
        <w:rPr>
          <w:rFonts w:ascii="Times New Roman" w:eastAsia="Times New Roman" w:hAnsi="Times New Roman" w:cs="Times New Roman"/>
        </w:rPr>
      </w:pPr>
    </w:p>
    <w:p w14:paraId="4A9FDC60"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(2016). La cuadratura del círculo del derecho. Geometría del derecho | Criterios. Criterios, 9(2). </w:t>
      </w:r>
      <w:hyperlink r:id="rId27" w:history="1">
        <w:r w:rsidRPr="00BF55E8">
          <w:rPr>
            <w:rFonts w:ascii="Times New Roman" w:eastAsia="Times New Roman" w:hAnsi="Times New Roman" w:cs="Times New Roman"/>
          </w:rPr>
          <w:t>https://doi.org/10.21500/20115733.3084</w:t>
        </w:r>
      </w:hyperlink>
    </w:p>
    <w:p w14:paraId="71D637C6" w14:textId="77777777" w:rsidR="00BF55E8" w:rsidRPr="00BF55E8" w:rsidRDefault="00BF55E8" w:rsidP="00BF55E8">
      <w:pPr>
        <w:rPr>
          <w:rFonts w:ascii="Times New Roman" w:eastAsia="Times New Roman" w:hAnsi="Times New Roman" w:cs="Times New Roman"/>
        </w:rPr>
      </w:pPr>
    </w:p>
    <w:p w14:paraId="42268C28"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Ruiz-Ortega, L. G. (2018). La Corte Interamericana de Derechos Humanos. Bogotá: Corporación Instituto Latinoamericano de Altos Estudios.</w:t>
      </w:r>
    </w:p>
    <w:p w14:paraId="5BDBC3A7" w14:textId="77777777" w:rsidR="00BF55E8" w:rsidRPr="00BF55E8" w:rsidRDefault="00BF55E8" w:rsidP="00BF55E8">
      <w:pPr>
        <w:rPr>
          <w:rFonts w:ascii="Times New Roman" w:eastAsia="Times New Roman" w:hAnsi="Times New Roman" w:cs="Times New Roman"/>
        </w:rPr>
      </w:pPr>
    </w:p>
    <w:p w14:paraId="18EDD7CE"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(2018). Reflexiones constitucionales, legislativas y políticas: El poder de reforma constitucional en las cláusulas pétreas. Bogotá: Corporación Instituto Latinoamericano de Altos Estudios. Recuperado de </w:t>
      </w:r>
      <w:hyperlink r:id="rId28" w:history="1">
        <w:r w:rsidRPr="00BF55E8">
          <w:rPr>
            <w:rFonts w:ascii="Times New Roman" w:eastAsia="Times New Roman" w:hAnsi="Times New Roman" w:cs="Times New Roman"/>
          </w:rPr>
          <w:t>https://isbn.camlibro.com.co/catalogo.php?mode=detalle&amp;nt=305330</w:t>
        </w:r>
      </w:hyperlink>
    </w:p>
    <w:p w14:paraId="777CB028" w14:textId="77777777" w:rsidR="00BF55E8" w:rsidRPr="00BF55E8" w:rsidRDefault="00BF55E8" w:rsidP="00BF55E8">
      <w:pPr>
        <w:rPr>
          <w:rFonts w:ascii="Times New Roman" w:eastAsia="Times New Roman" w:hAnsi="Times New Roman" w:cs="Times New Roman"/>
        </w:rPr>
      </w:pPr>
    </w:p>
    <w:p w14:paraId="057EE2D3"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Ruiz-Ortega, L. G., &amp; Forero, A. F. (2018). El Derecho de Rectificación en las Redes Sociales. Verba </w:t>
      </w:r>
      <w:proofErr w:type="spellStart"/>
      <w:r w:rsidRPr="00BF55E8">
        <w:rPr>
          <w:rFonts w:ascii="Times New Roman" w:eastAsia="Times New Roman" w:hAnsi="Times New Roman" w:cs="Times New Roman"/>
        </w:rPr>
        <w:t>luris</w:t>
      </w:r>
      <w:proofErr w:type="spellEnd"/>
      <w:r w:rsidRPr="00BF55E8">
        <w:rPr>
          <w:rFonts w:ascii="Times New Roman" w:eastAsia="Times New Roman" w:hAnsi="Times New Roman" w:cs="Times New Roman"/>
        </w:rPr>
        <w:t>, (40), 129-147. https://doi.org/10.18041/0121-3474/verbaiuris.40.1572</w:t>
      </w:r>
    </w:p>
    <w:p w14:paraId="6FD06887"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lastRenderedPageBreak/>
        <w:t>Ruiz-Ortega, L. G., &amp; Miranda, J. P. G. (2019). La verdad en la justicia transicional. IUSTA, 1(50), 39-63. https://doi.org/10.15332/s1900-0448.2019.0050.02</w:t>
      </w:r>
    </w:p>
    <w:p w14:paraId="294705DF" w14:textId="77777777" w:rsidR="00BF55E8" w:rsidRPr="00BF55E8" w:rsidRDefault="00BF55E8" w:rsidP="00BF55E8">
      <w:pPr>
        <w:rPr>
          <w:rFonts w:ascii="Times New Roman" w:eastAsia="Times New Roman" w:hAnsi="Times New Roman" w:cs="Times New Roman"/>
        </w:rPr>
      </w:pPr>
    </w:p>
    <w:p w14:paraId="24B8F52F"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 xml:space="preserve">Tarazona, A. H., &amp; Martínez, J. A. P. (2013). Estrategias para mejorar el impacto de las publicaciones indexadas en </w:t>
      </w:r>
      <w:proofErr w:type="spellStart"/>
      <w:r w:rsidRPr="00BF55E8">
        <w:rPr>
          <w:rFonts w:ascii="Times New Roman" w:eastAsia="Times New Roman" w:hAnsi="Times New Roman" w:cs="Times New Roman"/>
        </w:rPr>
        <w:t>Publindex</w:t>
      </w:r>
      <w:proofErr w:type="spellEnd"/>
      <w:r w:rsidRPr="00BF55E8">
        <w:rPr>
          <w:rFonts w:ascii="Times New Roman" w:eastAsia="Times New Roman" w:hAnsi="Times New Roman" w:cs="Times New Roman"/>
        </w:rPr>
        <w:t xml:space="preserve">, ISI, </w:t>
      </w:r>
      <w:proofErr w:type="spellStart"/>
      <w:r w:rsidRPr="00BF55E8">
        <w:rPr>
          <w:rFonts w:ascii="Times New Roman" w:eastAsia="Times New Roman" w:hAnsi="Times New Roman" w:cs="Times New Roman"/>
        </w:rPr>
        <w:t>Scopus</w:t>
      </w:r>
      <w:proofErr w:type="spellEnd"/>
      <w:r w:rsidRPr="00BF55E8">
        <w:rPr>
          <w:rFonts w:ascii="Times New Roman" w:eastAsia="Times New Roman" w:hAnsi="Times New Roman" w:cs="Times New Roman"/>
        </w:rPr>
        <w:t xml:space="preserve"> y </w:t>
      </w:r>
      <w:proofErr w:type="spellStart"/>
      <w:r w:rsidRPr="00BF55E8">
        <w:rPr>
          <w:rFonts w:ascii="Times New Roman" w:eastAsia="Times New Roman" w:hAnsi="Times New Roman" w:cs="Times New Roman"/>
        </w:rPr>
        <w:t>SciELO</w:t>
      </w:r>
      <w:proofErr w:type="spellEnd"/>
      <w:r w:rsidRPr="00BF55E8">
        <w:rPr>
          <w:rFonts w:ascii="Times New Roman" w:eastAsia="Times New Roman" w:hAnsi="Times New Roman" w:cs="Times New Roman"/>
        </w:rPr>
        <w:t xml:space="preserve">: el caso de la Universidad Santo Tomás, Colombia. Hallazgos, 10(19). </w:t>
      </w:r>
      <w:hyperlink r:id="rId29" w:history="1">
        <w:r w:rsidRPr="00BF55E8">
          <w:rPr>
            <w:rFonts w:ascii="Times New Roman" w:eastAsia="Times New Roman" w:hAnsi="Times New Roman" w:cs="Times New Roman"/>
          </w:rPr>
          <w:t>https://doi.org/10.15332/s1794-3841.2013.0019.11</w:t>
        </w:r>
      </w:hyperlink>
    </w:p>
    <w:p w14:paraId="66A2D640" w14:textId="77777777" w:rsidR="00BF55E8" w:rsidRPr="00BF55E8" w:rsidRDefault="00BF55E8" w:rsidP="00BF55E8">
      <w:pPr>
        <w:rPr>
          <w:rFonts w:ascii="Times New Roman" w:eastAsia="Times New Roman" w:hAnsi="Times New Roman" w:cs="Times New Roman"/>
        </w:rPr>
      </w:pPr>
    </w:p>
    <w:p w14:paraId="10024EB6" w14:textId="77777777" w:rsidR="00BF55E8" w:rsidRPr="00BF55E8" w:rsidRDefault="00BF55E8" w:rsidP="00BF55E8">
      <w:pPr>
        <w:rPr>
          <w:rFonts w:ascii="Times New Roman" w:eastAsia="Times New Roman" w:hAnsi="Times New Roman" w:cs="Times New Roman"/>
        </w:rPr>
      </w:pPr>
      <w:r w:rsidRPr="00BF55E8">
        <w:rPr>
          <w:rFonts w:ascii="Times New Roman" w:eastAsia="Times New Roman" w:hAnsi="Times New Roman" w:cs="Times New Roman"/>
        </w:rPr>
        <w:t>Valdivieso, E. J. S. (2013). ¿Igualdad de oportunidades en la Universidad Mayor de San Simón?: Una mirada desde el género. Revista Interamericana de Investigación, Educación y Pedagogía, RIIEP, 6(2). https://doi.org/10.15332/s1657-107X.2013.0002.05</w:t>
      </w:r>
    </w:p>
    <w:p w14:paraId="43926074" w14:textId="77777777" w:rsidR="00BF55E8" w:rsidRPr="00BF55E8" w:rsidRDefault="00BF55E8" w:rsidP="00BF55E8">
      <w:pPr>
        <w:rPr>
          <w:rFonts w:ascii="Times New Roman" w:eastAsia="Times New Roman" w:hAnsi="Times New Roman" w:cs="Times New Roman"/>
        </w:rPr>
      </w:pPr>
    </w:p>
    <w:p w14:paraId="618B0ECA" w14:textId="77777777" w:rsidR="00BF55E8" w:rsidRPr="00BF55E8" w:rsidRDefault="00BF55E8" w:rsidP="00BF55E8">
      <w:pPr>
        <w:rPr>
          <w:rFonts w:ascii="Times New Roman" w:eastAsia="Times New Roman" w:hAnsi="Times New Roman" w:cs="Times New Roman"/>
        </w:rPr>
      </w:pPr>
      <w:proofErr w:type="spellStart"/>
      <w:r w:rsidRPr="00BF55E8">
        <w:rPr>
          <w:rFonts w:ascii="Times New Roman" w:eastAsia="Times New Roman" w:hAnsi="Times New Roman" w:cs="Times New Roman"/>
        </w:rPr>
        <w:t>Vitale</w:t>
      </w:r>
      <w:proofErr w:type="spellEnd"/>
      <w:r w:rsidRPr="00BF55E8">
        <w:rPr>
          <w:rFonts w:ascii="Times New Roman" w:eastAsia="Times New Roman" w:hAnsi="Times New Roman" w:cs="Times New Roman"/>
        </w:rPr>
        <w:t xml:space="preserve">, M. A., &amp; </w:t>
      </w:r>
      <w:proofErr w:type="spellStart"/>
      <w:r w:rsidRPr="00BF55E8">
        <w:rPr>
          <w:rFonts w:ascii="Times New Roman" w:eastAsia="Times New Roman" w:hAnsi="Times New Roman" w:cs="Times New Roman"/>
        </w:rPr>
        <w:t>Dagatti</w:t>
      </w:r>
      <w:proofErr w:type="spellEnd"/>
      <w:r w:rsidRPr="00BF55E8">
        <w:rPr>
          <w:rFonts w:ascii="Times New Roman" w:eastAsia="Times New Roman" w:hAnsi="Times New Roman" w:cs="Times New Roman"/>
        </w:rPr>
        <w:t>, M. (2016). La constitución de la Argentina democrática en el discurso de asunción presidencial de Raúl Alfonsín. Hallazgos, 13(26), 65-91. https://doi.org/10.15332/s1794-3841.2016.0026.03</w:t>
      </w:r>
    </w:p>
    <w:p w14:paraId="024C4577" w14:textId="77777777" w:rsidR="00BF55E8" w:rsidRPr="00BF55E8" w:rsidRDefault="00BF55E8" w:rsidP="00304AD9">
      <w:pPr>
        <w:spacing w:line="360" w:lineRule="auto"/>
        <w:rPr>
          <w:rFonts w:ascii="Times New Roman" w:eastAsia="Times New Roman" w:hAnsi="Times New Roman" w:cs="Times New Roman"/>
        </w:rPr>
      </w:pPr>
    </w:p>
    <w:sectPr w:rsidR="00BF55E8" w:rsidRPr="00BF55E8" w:rsidSect="00144A7A">
      <w:pgSz w:w="12240" w:h="15840"/>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97F453" w14:textId="77777777" w:rsidR="008209DC" w:rsidRDefault="008209DC" w:rsidP="00723EAE">
      <w:r>
        <w:separator/>
      </w:r>
    </w:p>
  </w:endnote>
  <w:endnote w:type="continuationSeparator" w:id="0">
    <w:p w14:paraId="5C238A01" w14:textId="77777777" w:rsidR="008209DC" w:rsidRDefault="008209DC" w:rsidP="00723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FE1DF7" w14:textId="77777777" w:rsidR="008209DC" w:rsidRDefault="008209DC" w:rsidP="00723EAE">
      <w:r>
        <w:separator/>
      </w:r>
    </w:p>
  </w:footnote>
  <w:footnote w:type="continuationSeparator" w:id="0">
    <w:p w14:paraId="6D4C1194" w14:textId="77777777" w:rsidR="008209DC" w:rsidRDefault="008209DC" w:rsidP="00723EAE">
      <w:r>
        <w:continuationSeparator/>
      </w:r>
    </w:p>
  </w:footnote>
  <w:footnote w:id="1">
    <w:p w14:paraId="7755E93A" w14:textId="2CD07644" w:rsidR="00731134" w:rsidRPr="00AF5878" w:rsidRDefault="00731134" w:rsidP="00AF5878">
      <w:pPr>
        <w:pStyle w:val="Textonotapie"/>
        <w:jc w:val="both"/>
        <w:rPr>
          <w:rFonts w:ascii="Arial" w:hAnsi="Arial" w:cs="Arial"/>
          <w:sz w:val="16"/>
          <w:szCs w:val="16"/>
          <w:lang w:val="es-MX"/>
        </w:rPr>
      </w:pPr>
      <w:r>
        <w:rPr>
          <w:rStyle w:val="Refdenotaalpie"/>
        </w:rPr>
        <w:footnoteRef/>
      </w:r>
      <w:r>
        <w:t xml:space="preserve"> </w:t>
      </w:r>
      <w:r w:rsidRPr="00AF5878">
        <w:rPr>
          <w:rFonts w:ascii="Arial" w:hAnsi="Arial" w:cs="Arial"/>
          <w:sz w:val="16"/>
          <w:szCs w:val="16"/>
          <w:lang w:val="es-MX"/>
        </w:rPr>
        <w:t>El presente artículo pertenece al proyecto denominado Procesos de exigibilidad y justiciabilidad  de los derechos humanos y el derecho internacional humanitario, en el contexto nacional e internacional (fase II). Código 1818023 financiado por Fodein.</w:t>
      </w:r>
    </w:p>
  </w:footnote>
  <w:footnote w:id="2">
    <w:p w14:paraId="54D801AC" w14:textId="51FCF87F" w:rsidR="009F4C4C" w:rsidRPr="00AF5878" w:rsidRDefault="009F4C4C" w:rsidP="00AF5878">
      <w:pPr>
        <w:pStyle w:val="Textonotapie"/>
        <w:jc w:val="both"/>
        <w:rPr>
          <w:rFonts w:ascii="Arial" w:hAnsi="Arial" w:cs="Arial"/>
          <w:sz w:val="16"/>
          <w:szCs w:val="16"/>
          <w:lang w:val="es-MX"/>
        </w:rPr>
      </w:pPr>
      <w:r w:rsidRPr="00AF5878">
        <w:rPr>
          <w:rStyle w:val="Refdenotaalpie"/>
          <w:rFonts w:ascii="Arial" w:hAnsi="Arial" w:cs="Arial"/>
          <w:sz w:val="16"/>
          <w:szCs w:val="16"/>
        </w:rPr>
        <w:footnoteRef/>
      </w:r>
      <w:r w:rsidRPr="00AF5878">
        <w:rPr>
          <w:rFonts w:ascii="Arial" w:hAnsi="Arial" w:cs="Arial"/>
          <w:sz w:val="16"/>
          <w:szCs w:val="16"/>
        </w:rPr>
        <w:t xml:space="preserve"> </w:t>
      </w:r>
      <w:r w:rsidR="00DC225C" w:rsidRPr="00AF5878">
        <w:rPr>
          <w:rFonts w:ascii="Arial" w:hAnsi="Arial" w:cs="Arial"/>
          <w:sz w:val="16"/>
          <w:szCs w:val="16"/>
        </w:rPr>
        <w:t xml:space="preserve">Magister en  ciencias políticas </w:t>
      </w:r>
      <w:r w:rsidR="00DC225C" w:rsidRPr="00AF5878">
        <w:rPr>
          <w:rFonts w:ascii="Arial" w:hAnsi="Arial" w:cs="Arial"/>
          <w:sz w:val="16"/>
          <w:szCs w:val="16"/>
          <w:lang w:val="es-MX"/>
        </w:rPr>
        <w:t>Docentes de la Maestría en defensa de los Derecho Humanos y el derecho internacional humanitario de la Faculta de Derecho de la Universidad Santo Tomás.</w:t>
      </w:r>
    </w:p>
  </w:footnote>
  <w:footnote w:id="3">
    <w:p w14:paraId="3DF13BB7" w14:textId="70D5FDDF" w:rsidR="009F4C4C" w:rsidRPr="00AF5878" w:rsidRDefault="009F4C4C" w:rsidP="00AF5878">
      <w:pPr>
        <w:pStyle w:val="Textonotapie"/>
        <w:jc w:val="both"/>
        <w:rPr>
          <w:rFonts w:ascii="Arial" w:hAnsi="Arial" w:cs="Arial"/>
          <w:sz w:val="16"/>
          <w:szCs w:val="16"/>
          <w:lang w:val="es-MX"/>
        </w:rPr>
      </w:pPr>
      <w:r w:rsidRPr="00AF5878">
        <w:rPr>
          <w:rStyle w:val="Refdenotaalpie"/>
          <w:rFonts w:ascii="Arial" w:hAnsi="Arial" w:cs="Arial"/>
          <w:sz w:val="16"/>
          <w:szCs w:val="16"/>
        </w:rPr>
        <w:footnoteRef/>
      </w:r>
      <w:r w:rsidR="00DC225C" w:rsidRPr="00AF5878">
        <w:rPr>
          <w:rFonts w:ascii="Arial" w:hAnsi="Arial" w:cs="Arial"/>
          <w:sz w:val="16"/>
          <w:szCs w:val="16"/>
          <w:shd w:val="clear" w:color="auto" w:fill="FFFFFF"/>
        </w:rPr>
        <w:t>Maestría en defensa de los derechos humanos y el derecho internacional humanitario ante organismos, tribunales y cortes internacionales Universidad Santo Tomás, Máster en Derecho Público Universidad Complutense De Madrid, Especialista  en Derecho del Medio Ambiente Universidad Externado De Colombia</w:t>
      </w:r>
      <w:r w:rsidR="00DC225C" w:rsidRPr="00AF5878">
        <w:rPr>
          <w:rFonts w:ascii="Arial" w:hAnsi="Arial" w:cs="Arial"/>
          <w:sz w:val="16"/>
          <w:szCs w:val="16"/>
          <w:lang w:val="es-MX"/>
        </w:rPr>
        <w:t xml:space="preserve"> Docentes de la Maestría en defensa de los Derecho Humanos y el derecho internacional humanitario de la Faculta de Derecho de la Universidad Santo Tomás.</w:t>
      </w:r>
    </w:p>
  </w:footnote>
  <w:footnote w:id="4">
    <w:p w14:paraId="7E432C0F" w14:textId="740870DC" w:rsidR="009F4C4C" w:rsidRPr="00AF5878" w:rsidRDefault="009F4C4C" w:rsidP="00AF5878">
      <w:pPr>
        <w:pStyle w:val="Textonotapie"/>
        <w:jc w:val="both"/>
        <w:rPr>
          <w:rFonts w:ascii="Arial" w:hAnsi="Arial" w:cs="Arial"/>
          <w:sz w:val="16"/>
          <w:szCs w:val="16"/>
        </w:rPr>
      </w:pPr>
      <w:r w:rsidRPr="00AF5878">
        <w:rPr>
          <w:rStyle w:val="Refdenotaalpie"/>
          <w:rFonts w:ascii="Arial" w:hAnsi="Arial" w:cs="Arial"/>
          <w:sz w:val="16"/>
          <w:szCs w:val="16"/>
        </w:rPr>
        <w:footnoteRef/>
      </w:r>
      <w:r w:rsidRPr="00AF5878">
        <w:rPr>
          <w:rFonts w:ascii="Arial" w:hAnsi="Arial" w:cs="Arial"/>
          <w:sz w:val="16"/>
          <w:szCs w:val="16"/>
        </w:rPr>
        <w:t xml:space="preserve"> </w:t>
      </w:r>
      <w:r w:rsidR="00DC225C" w:rsidRPr="00AF5878">
        <w:rPr>
          <w:rFonts w:ascii="Arial" w:hAnsi="Arial" w:cs="Arial"/>
          <w:sz w:val="16"/>
          <w:szCs w:val="16"/>
          <w:shd w:val="clear" w:color="auto" w:fill="FFFFFF"/>
        </w:rPr>
        <w:t xml:space="preserve">Doctora en Educación de la Universidad Santo Tomás, </w:t>
      </w:r>
      <w:r w:rsidR="00DC225C" w:rsidRPr="00AF5878">
        <w:rPr>
          <w:rStyle w:val="Textoennegrita"/>
          <w:rFonts w:ascii="Arial" w:hAnsi="Arial" w:cs="Arial"/>
          <w:b w:val="0"/>
          <w:sz w:val="16"/>
          <w:szCs w:val="16"/>
          <w:shd w:val="clear" w:color="auto" w:fill="FFFFFF"/>
        </w:rPr>
        <w:t>Magister</w:t>
      </w:r>
      <w:r w:rsidR="00DC225C" w:rsidRPr="00AF5878">
        <w:rPr>
          <w:rFonts w:ascii="Arial" w:hAnsi="Arial" w:cs="Arial"/>
          <w:sz w:val="16"/>
          <w:szCs w:val="16"/>
          <w:shd w:val="clear" w:color="auto" w:fill="FFFFFF"/>
        </w:rPr>
        <w:t> En Historia Universidad Externado De Colombia</w:t>
      </w:r>
      <w:r w:rsidR="00DC225C" w:rsidRPr="00AF5878">
        <w:rPr>
          <w:rFonts w:ascii="Arial" w:hAnsi="Arial" w:cs="Arial"/>
          <w:sz w:val="16"/>
          <w:szCs w:val="16"/>
        </w:rPr>
        <w:t xml:space="preserve"> </w:t>
      </w:r>
      <w:r w:rsidR="00DC225C" w:rsidRPr="00AF5878">
        <w:rPr>
          <w:rFonts w:ascii="Arial" w:hAnsi="Arial" w:cs="Arial"/>
          <w:sz w:val="16"/>
          <w:szCs w:val="16"/>
          <w:shd w:val="clear" w:color="auto" w:fill="FFFFFF"/>
        </w:rPr>
        <w:t xml:space="preserve"> </w:t>
      </w:r>
      <w:r w:rsidR="00DC225C" w:rsidRPr="00AF5878">
        <w:rPr>
          <w:rStyle w:val="Textoennegrita"/>
          <w:rFonts w:ascii="Arial" w:hAnsi="Arial" w:cs="Arial"/>
          <w:b w:val="0"/>
          <w:sz w:val="16"/>
          <w:szCs w:val="16"/>
          <w:shd w:val="clear" w:color="auto" w:fill="FFFFFF"/>
        </w:rPr>
        <w:t>Especialización</w:t>
      </w:r>
      <w:r w:rsidR="00DC225C" w:rsidRPr="00AF5878">
        <w:rPr>
          <w:rStyle w:val="Textoennegrita"/>
          <w:rFonts w:ascii="Arial" w:hAnsi="Arial" w:cs="Arial"/>
          <w:sz w:val="16"/>
          <w:szCs w:val="16"/>
          <w:shd w:val="clear" w:color="auto" w:fill="FFFFFF"/>
        </w:rPr>
        <w:t xml:space="preserve"> </w:t>
      </w:r>
      <w:r w:rsidR="00DC225C" w:rsidRPr="00AF5878">
        <w:rPr>
          <w:rFonts w:ascii="Arial" w:hAnsi="Arial" w:cs="Arial"/>
          <w:sz w:val="16"/>
          <w:szCs w:val="16"/>
          <w:shd w:val="clear" w:color="auto" w:fill="FFFFFF"/>
        </w:rPr>
        <w:t> Gestión Publica  Universidad Del Tolima</w:t>
      </w:r>
      <w:r w:rsidR="00F171DD" w:rsidRPr="00AF5878">
        <w:rPr>
          <w:rFonts w:ascii="Arial" w:hAnsi="Arial" w:cs="Arial"/>
          <w:sz w:val="16"/>
          <w:szCs w:val="16"/>
        </w:rPr>
        <w:t>.</w:t>
      </w:r>
      <w:r w:rsidR="006906CF" w:rsidRPr="00AF5878">
        <w:rPr>
          <w:rFonts w:ascii="Arial" w:hAnsi="Arial" w:cs="Arial"/>
          <w:sz w:val="16"/>
          <w:szCs w:val="16"/>
          <w:shd w:val="clear" w:color="auto" w:fill="FFFFFF"/>
        </w:rPr>
        <w:t xml:space="preserve"> Colombia</w:t>
      </w:r>
      <w:r w:rsidR="006906CF" w:rsidRPr="00AF5878">
        <w:rPr>
          <w:rFonts w:ascii="Arial" w:hAnsi="Arial" w:cs="Arial"/>
          <w:sz w:val="16"/>
          <w:szCs w:val="16"/>
          <w:lang w:val="es-MX"/>
        </w:rPr>
        <w:t xml:space="preserve"> Docentes de la Maestría en defensa de los Derecho Humanos y el derecho internacional humanitario de la Faculta de Derecho de la Universidad Santo Tomás.</w:t>
      </w:r>
    </w:p>
  </w:footnote>
  <w:footnote w:id="5">
    <w:p w14:paraId="13A8DEBE" w14:textId="6413D38F" w:rsidR="009F4C4C" w:rsidRPr="00AF5878" w:rsidRDefault="009F4C4C" w:rsidP="00AF5878">
      <w:pPr>
        <w:pStyle w:val="Textonotapie"/>
        <w:jc w:val="both"/>
        <w:rPr>
          <w:rFonts w:ascii="Arial" w:hAnsi="Arial" w:cs="Arial"/>
          <w:sz w:val="16"/>
          <w:szCs w:val="16"/>
          <w:lang w:val="es-MX"/>
        </w:rPr>
      </w:pPr>
      <w:r w:rsidRPr="00AF5878">
        <w:rPr>
          <w:rStyle w:val="Refdenotaalpie"/>
          <w:rFonts w:ascii="Arial" w:hAnsi="Arial" w:cs="Arial"/>
          <w:sz w:val="16"/>
          <w:szCs w:val="16"/>
        </w:rPr>
        <w:footnoteRef/>
      </w:r>
      <w:r w:rsidRPr="00AF5878">
        <w:rPr>
          <w:rFonts w:ascii="Arial" w:hAnsi="Arial" w:cs="Arial"/>
          <w:sz w:val="16"/>
          <w:szCs w:val="16"/>
        </w:rPr>
        <w:t xml:space="preserve"> </w:t>
      </w:r>
      <w:r w:rsidR="00801C1F" w:rsidRPr="00AF5878">
        <w:rPr>
          <w:rFonts w:ascii="Arial" w:hAnsi="Arial" w:cs="Arial"/>
          <w:sz w:val="16"/>
          <w:szCs w:val="16"/>
        </w:rPr>
        <w:t>Magister En Defensa De Los Derechos Humanos Y El Derecho Internacional Humanitario Ante Tribunales, Cortes Y Organismos Internacionales Universidad Santo Tomás.</w:t>
      </w:r>
      <w:r w:rsidR="00801C1F" w:rsidRPr="00AF5878">
        <w:rPr>
          <w:rFonts w:ascii="Arial" w:hAnsi="Arial" w:cs="Arial"/>
          <w:sz w:val="16"/>
          <w:szCs w:val="16"/>
          <w:shd w:val="clear" w:color="auto" w:fill="FFFFFF"/>
        </w:rPr>
        <w:t xml:space="preserve"> Colombia</w:t>
      </w:r>
      <w:r w:rsidR="00801C1F" w:rsidRPr="00AF5878">
        <w:rPr>
          <w:rFonts w:ascii="Arial" w:hAnsi="Arial" w:cs="Arial"/>
          <w:sz w:val="16"/>
          <w:szCs w:val="16"/>
          <w:lang w:val="es-MX"/>
        </w:rPr>
        <w:t xml:space="preserve"> Docentes de la Maestría en defensa de los Derecho Humanos y el derecho internacional humanitario de la Faculta de Derecho de la Universidad Santo Tomás.</w:t>
      </w:r>
    </w:p>
  </w:footnote>
  <w:footnote w:id="6">
    <w:p w14:paraId="6B299F66" w14:textId="630B2DA2" w:rsidR="009F4C4C" w:rsidRPr="00AF5878" w:rsidRDefault="009F4C4C" w:rsidP="00AF5878">
      <w:pPr>
        <w:pStyle w:val="Textonotapie"/>
        <w:jc w:val="both"/>
        <w:rPr>
          <w:rFonts w:ascii="Arial" w:hAnsi="Arial" w:cs="Arial"/>
          <w:sz w:val="16"/>
          <w:szCs w:val="16"/>
          <w:lang w:val="es-MX"/>
        </w:rPr>
      </w:pPr>
      <w:r w:rsidRPr="00AF5878">
        <w:rPr>
          <w:rStyle w:val="Refdenotaalpie"/>
          <w:rFonts w:ascii="Arial" w:hAnsi="Arial" w:cs="Arial"/>
          <w:b/>
          <w:sz w:val="16"/>
          <w:szCs w:val="16"/>
        </w:rPr>
        <w:footnoteRef/>
      </w:r>
      <w:r w:rsidRPr="00AF5878">
        <w:rPr>
          <w:rFonts w:ascii="Arial" w:hAnsi="Arial" w:cs="Arial"/>
          <w:b/>
          <w:sz w:val="16"/>
          <w:szCs w:val="16"/>
        </w:rPr>
        <w:t xml:space="preserve"> </w:t>
      </w:r>
      <w:r w:rsidR="00801C1F" w:rsidRPr="00AF5878">
        <w:rPr>
          <w:rStyle w:val="Textoennegrita"/>
          <w:rFonts w:ascii="Arial" w:hAnsi="Arial" w:cs="Arial"/>
          <w:b w:val="0"/>
          <w:sz w:val="16"/>
          <w:szCs w:val="16"/>
          <w:shd w:val="clear" w:color="auto" w:fill="FFFFFF"/>
        </w:rPr>
        <w:t>Magister</w:t>
      </w:r>
      <w:r w:rsidR="00801C1F" w:rsidRPr="00AF5878">
        <w:rPr>
          <w:rFonts w:ascii="Arial" w:hAnsi="Arial" w:cs="Arial"/>
          <w:sz w:val="16"/>
          <w:szCs w:val="16"/>
          <w:shd w:val="clear" w:color="auto" w:fill="FFFFFF"/>
        </w:rPr>
        <w:t> </w:t>
      </w:r>
      <w:r w:rsidR="00801C1F" w:rsidRPr="00AF5878">
        <w:rPr>
          <w:rFonts w:ascii="Arial" w:hAnsi="Arial" w:cs="Arial"/>
          <w:sz w:val="16"/>
          <w:szCs w:val="16"/>
        </w:rPr>
        <w:t xml:space="preserve"> en </w:t>
      </w:r>
      <w:r w:rsidR="00801C1F" w:rsidRPr="00AF5878">
        <w:rPr>
          <w:rFonts w:ascii="Arial" w:hAnsi="Arial" w:cs="Arial"/>
          <w:sz w:val="16"/>
          <w:szCs w:val="16"/>
          <w:shd w:val="clear" w:color="auto" w:fill="FFFFFF"/>
        </w:rPr>
        <w:t xml:space="preserve">Defensa de los Derechos Humanos y el Derecho Internacional Humanitario ante Organismos, Tribunales y Cortes Internacionales Universidad Santo Tomás, </w:t>
      </w:r>
      <w:r w:rsidR="00801C1F" w:rsidRPr="00AF5878">
        <w:rPr>
          <w:rStyle w:val="Textoennegrita"/>
          <w:rFonts w:ascii="Arial" w:hAnsi="Arial" w:cs="Arial"/>
          <w:b w:val="0"/>
          <w:sz w:val="16"/>
          <w:szCs w:val="16"/>
          <w:shd w:val="clear" w:color="auto" w:fill="FFFFFF"/>
        </w:rPr>
        <w:t>Especialista en</w:t>
      </w:r>
      <w:r w:rsidR="00801C1F" w:rsidRPr="00AF5878">
        <w:rPr>
          <w:rStyle w:val="Textoennegrita"/>
          <w:rFonts w:ascii="Arial" w:hAnsi="Arial" w:cs="Arial"/>
          <w:sz w:val="16"/>
          <w:szCs w:val="16"/>
          <w:shd w:val="clear" w:color="auto" w:fill="FFFFFF"/>
        </w:rPr>
        <w:t xml:space="preserve"> </w:t>
      </w:r>
      <w:r w:rsidR="00801C1F" w:rsidRPr="00AF5878">
        <w:rPr>
          <w:rFonts w:ascii="Arial" w:hAnsi="Arial" w:cs="Arial"/>
          <w:sz w:val="16"/>
          <w:szCs w:val="16"/>
        </w:rPr>
        <w:br/>
      </w:r>
      <w:r w:rsidR="00801C1F" w:rsidRPr="00AF5878">
        <w:rPr>
          <w:rFonts w:ascii="Arial" w:hAnsi="Arial" w:cs="Arial"/>
          <w:sz w:val="16"/>
          <w:szCs w:val="16"/>
          <w:shd w:val="clear" w:color="auto" w:fill="FFFFFF"/>
        </w:rPr>
        <w:t>Resolución de Conflictos de la Universidad Javeriana Colombia</w:t>
      </w:r>
      <w:r w:rsidR="00801C1F" w:rsidRPr="00AF5878">
        <w:rPr>
          <w:rFonts w:ascii="Arial" w:hAnsi="Arial" w:cs="Arial"/>
          <w:sz w:val="16"/>
          <w:szCs w:val="16"/>
          <w:lang w:val="es-MX"/>
        </w:rPr>
        <w:t xml:space="preserve"> Docentes de la Maestría en defensa de los Derecho Humanos y el derecho internacional humanitario de la Faculta de Derecho de la Universidad Santo Tomás.</w:t>
      </w:r>
    </w:p>
  </w:footnote>
  <w:footnote w:id="7">
    <w:p w14:paraId="0C0AAD08" w14:textId="20366D48" w:rsidR="009F4C4C" w:rsidRPr="00AF5878" w:rsidRDefault="009F4C4C" w:rsidP="00AF5878">
      <w:pPr>
        <w:pStyle w:val="Textonotapie"/>
        <w:jc w:val="both"/>
        <w:rPr>
          <w:rFonts w:ascii="Arial" w:hAnsi="Arial" w:cs="Arial"/>
          <w:sz w:val="16"/>
          <w:szCs w:val="16"/>
          <w:shd w:val="clear" w:color="auto" w:fill="FFFFFF"/>
          <w:lang w:val="es-MX"/>
        </w:rPr>
      </w:pPr>
      <w:r w:rsidRPr="00AF5878">
        <w:rPr>
          <w:rStyle w:val="Refdenotaalpie"/>
          <w:rFonts w:ascii="Arial" w:hAnsi="Arial" w:cs="Arial"/>
          <w:sz w:val="16"/>
          <w:szCs w:val="16"/>
        </w:rPr>
        <w:footnoteRef/>
      </w:r>
      <w:r w:rsidRPr="00AF5878">
        <w:rPr>
          <w:rFonts w:ascii="Arial" w:hAnsi="Arial" w:cs="Arial"/>
          <w:sz w:val="16"/>
          <w:szCs w:val="16"/>
        </w:rPr>
        <w:t xml:space="preserve"> </w:t>
      </w:r>
      <w:r w:rsidR="006906CF" w:rsidRPr="00AF5878">
        <w:rPr>
          <w:rStyle w:val="Textoennegrita"/>
          <w:rFonts w:ascii="Arial" w:hAnsi="Arial" w:cs="Arial"/>
          <w:b w:val="0"/>
          <w:sz w:val="16"/>
          <w:szCs w:val="16"/>
          <w:shd w:val="clear" w:color="auto" w:fill="FFFFFF"/>
        </w:rPr>
        <w:t>Magister</w:t>
      </w:r>
      <w:r w:rsidR="006906CF" w:rsidRPr="00AF5878">
        <w:rPr>
          <w:rFonts w:ascii="Arial" w:hAnsi="Arial" w:cs="Arial"/>
          <w:b/>
          <w:sz w:val="16"/>
          <w:szCs w:val="16"/>
          <w:shd w:val="clear" w:color="auto" w:fill="FFFFFF"/>
        </w:rPr>
        <w:t> </w:t>
      </w:r>
      <w:r w:rsidR="006906CF" w:rsidRPr="00AF5878">
        <w:rPr>
          <w:rFonts w:ascii="Arial" w:hAnsi="Arial" w:cs="Arial"/>
          <w:sz w:val="16"/>
          <w:szCs w:val="16"/>
          <w:shd w:val="clear" w:color="auto" w:fill="FFFFFF"/>
        </w:rPr>
        <w:t xml:space="preserve"> En Gobierno Y Políticas Publicas Universidad Externado De Colombia,</w:t>
      </w:r>
      <w:r w:rsidR="006906CF" w:rsidRPr="00AF5878">
        <w:rPr>
          <w:rFonts w:ascii="Arial" w:hAnsi="Arial" w:cs="Arial"/>
          <w:sz w:val="16"/>
          <w:szCs w:val="16"/>
        </w:rPr>
        <w:t xml:space="preserve"> </w:t>
      </w:r>
      <w:r w:rsidR="006906CF" w:rsidRPr="00AF5878">
        <w:rPr>
          <w:rFonts w:ascii="Arial" w:hAnsi="Arial" w:cs="Arial"/>
          <w:sz w:val="16"/>
          <w:szCs w:val="16"/>
          <w:shd w:val="clear" w:color="auto" w:fill="FFFFFF"/>
        </w:rPr>
        <w:t xml:space="preserve">Especialista En Derecho  Universidad Paris </w:t>
      </w:r>
      <w:proofErr w:type="spellStart"/>
      <w:r w:rsidR="006906CF" w:rsidRPr="00AF5878">
        <w:rPr>
          <w:rFonts w:ascii="Arial" w:hAnsi="Arial" w:cs="Arial"/>
          <w:sz w:val="16"/>
          <w:szCs w:val="16"/>
          <w:shd w:val="clear" w:color="auto" w:fill="FFFFFF"/>
        </w:rPr>
        <w:t>Ii</w:t>
      </w:r>
      <w:proofErr w:type="spellEnd"/>
      <w:r w:rsidR="006906CF" w:rsidRPr="00AF5878">
        <w:rPr>
          <w:rFonts w:ascii="Arial" w:hAnsi="Arial" w:cs="Arial"/>
          <w:sz w:val="16"/>
          <w:szCs w:val="16"/>
          <w:shd w:val="clear" w:color="auto" w:fill="FFFFFF"/>
        </w:rPr>
        <w:t xml:space="preserve"> </w:t>
      </w:r>
      <w:proofErr w:type="spellStart"/>
      <w:r w:rsidR="006906CF" w:rsidRPr="00AF5878">
        <w:rPr>
          <w:rFonts w:ascii="Arial" w:hAnsi="Arial" w:cs="Arial"/>
          <w:sz w:val="16"/>
          <w:szCs w:val="16"/>
          <w:shd w:val="clear" w:color="auto" w:fill="FFFFFF"/>
        </w:rPr>
        <w:t>Pantheon</w:t>
      </w:r>
      <w:proofErr w:type="spellEnd"/>
      <w:r w:rsidR="006906CF" w:rsidRPr="00AF5878">
        <w:rPr>
          <w:rFonts w:ascii="Arial" w:hAnsi="Arial" w:cs="Arial"/>
          <w:sz w:val="16"/>
          <w:szCs w:val="16"/>
          <w:shd w:val="clear" w:color="auto" w:fill="FFFFFF"/>
        </w:rPr>
        <w:t xml:space="preserve"> </w:t>
      </w:r>
      <w:proofErr w:type="spellStart"/>
      <w:r w:rsidR="006906CF" w:rsidRPr="00AF5878">
        <w:rPr>
          <w:rFonts w:ascii="Arial" w:hAnsi="Arial" w:cs="Arial"/>
          <w:sz w:val="16"/>
          <w:szCs w:val="16"/>
          <w:shd w:val="clear" w:color="auto" w:fill="FFFFFF"/>
        </w:rPr>
        <w:t>Assas</w:t>
      </w:r>
      <w:proofErr w:type="spellEnd"/>
      <w:r w:rsidR="006906CF" w:rsidRPr="00AF5878">
        <w:rPr>
          <w:rFonts w:ascii="Arial" w:hAnsi="Arial" w:cs="Arial"/>
          <w:sz w:val="16"/>
          <w:szCs w:val="16"/>
          <w:shd w:val="clear" w:color="auto" w:fill="FFFFFF"/>
        </w:rPr>
        <w:t>, Colombia</w:t>
      </w:r>
      <w:r w:rsidR="006906CF" w:rsidRPr="00AF5878">
        <w:rPr>
          <w:rFonts w:ascii="Arial" w:hAnsi="Arial" w:cs="Arial"/>
          <w:sz w:val="16"/>
          <w:szCs w:val="16"/>
          <w:lang w:val="es-MX"/>
        </w:rPr>
        <w:t xml:space="preserve"> Docentes de la Maestría en defensa de los Derecho Humanos y el derecho internacional humanitario de la Faculta de Derecho de la Universidad Santo Tomás.</w:t>
      </w:r>
    </w:p>
  </w:footnote>
  <w:footnote w:id="8">
    <w:p w14:paraId="6C833FA1" w14:textId="3FB9B284" w:rsidR="009F4C4C" w:rsidRPr="00AF5878" w:rsidRDefault="009F4C4C" w:rsidP="00AF5878">
      <w:pPr>
        <w:pStyle w:val="Textonotapie"/>
        <w:jc w:val="both"/>
        <w:rPr>
          <w:rFonts w:ascii="Arial" w:hAnsi="Arial" w:cs="Arial"/>
          <w:sz w:val="16"/>
          <w:szCs w:val="16"/>
        </w:rPr>
      </w:pPr>
      <w:r w:rsidRPr="00AF5878">
        <w:rPr>
          <w:rStyle w:val="Refdenotaalpie"/>
          <w:rFonts w:ascii="Arial" w:hAnsi="Arial" w:cs="Arial"/>
          <w:sz w:val="16"/>
          <w:szCs w:val="16"/>
        </w:rPr>
        <w:footnoteRef/>
      </w:r>
      <w:r w:rsidRPr="00AF5878">
        <w:rPr>
          <w:rFonts w:ascii="Arial" w:hAnsi="Arial" w:cs="Arial"/>
          <w:sz w:val="16"/>
          <w:szCs w:val="16"/>
        </w:rPr>
        <w:t xml:space="preserve"> </w:t>
      </w:r>
      <w:r w:rsidR="00AF5878" w:rsidRPr="00AF5878">
        <w:rPr>
          <w:rFonts w:ascii="Arial" w:hAnsi="Arial" w:cs="Arial"/>
          <w:sz w:val="16"/>
          <w:szCs w:val="16"/>
        </w:rPr>
        <w:t>Doctor</w:t>
      </w:r>
      <w:r w:rsidR="006906CF" w:rsidRPr="00AF5878">
        <w:rPr>
          <w:rFonts w:ascii="Arial" w:hAnsi="Arial" w:cs="Arial"/>
          <w:sz w:val="16"/>
          <w:szCs w:val="16"/>
        </w:rPr>
        <w:t xml:space="preserve"> En Derecho</w:t>
      </w:r>
      <w:r w:rsidR="00AF5878" w:rsidRPr="00AF5878">
        <w:rPr>
          <w:rFonts w:ascii="Arial" w:hAnsi="Arial" w:cs="Arial"/>
          <w:sz w:val="16"/>
          <w:szCs w:val="16"/>
        </w:rPr>
        <w:t xml:space="preserve"> Universidad De Salamanca, Magister en derechos humanos y libertades publicas </w:t>
      </w:r>
      <w:r w:rsidR="00AF5878" w:rsidRPr="00AF5878">
        <w:rPr>
          <w:rFonts w:ascii="Arial" w:hAnsi="Arial" w:cs="Arial"/>
          <w:sz w:val="16"/>
          <w:szCs w:val="16"/>
          <w:lang w:val="es-MX"/>
        </w:rPr>
        <w:t>Docentes de la Maestría en defensa de los Derecho Humanos y el derecho internacional humanitario de la Faculta de Derecho de la Universidad Santo Tomás.</w:t>
      </w:r>
    </w:p>
  </w:footnote>
  <w:footnote w:id="9">
    <w:p w14:paraId="0A11D887" w14:textId="69AC6804" w:rsidR="00AF5878" w:rsidRPr="00AF5878" w:rsidRDefault="009F4C4C" w:rsidP="00AF5878">
      <w:pPr>
        <w:pStyle w:val="Textonotapie"/>
        <w:jc w:val="both"/>
        <w:rPr>
          <w:rFonts w:ascii="Arial" w:hAnsi="Arial" w:cs="Arial"/>
          <w:sz w:val="16"/>
          <w:szCs w:val="16"/>
        </w:rPr>
      </w:pPr>
      <w:r w:rsidRPr="00AF5878">
        <w:rPr>
          <w:rStyle w:val="Refdenotaalpie"/>
          <w:rFonts w:ascii="Arial" w:hAnsi="Arial" w:cs="Arial"/>
          <w:sz w:val="16"/>
          <w:szCs w:val="16"/>
        </w:rPr>
        <w:footnoteRef/>
      </w:r>
      <w:r w:rsidRPr="00AF5878">
        <w:rPr>
          <w:rFonts w:ascii="Arial" w:hAnsi="Arial" w:cs="Arial"/>
          <w:sz w:val="16"/>
          <w:szCs w:val="16"/>
        </w:rPr>
        <w:t xml:space="preserve"> </w:t>
      </w:r>
      <w:r w:rsidR="00AF5878" w:rsidRPr="00AF5878">
        <w:rPr>
          <w:rStyle w:val="Textoennegrita"/>
          <w:rFonts w:ascii="Arial" w:hAnsi="Arial" w:cs="Arial"/>
          <w:b w:val="0"/>
          <w:sz w:val="16"/>
          <w:szCs w:val="16"/>
          <w:shd w:val="clear" w:color="auto" w:fill="FFFFFF"/>
        </w:rPr>
        <w:t>Magister</w:t>
      </w:r>
      <w:r w:rsidR="00AF5878" w:rsidRPr="00AF5878">
        <w:rPr>
          <w:rFonts w:ascii="Arial" w:hAnsi="Arial" w:cs="Arial"/>
          <w:b/>
          <w:sz w:val="16"/>
          <w:szCs w:val="16"/>
          <w:shd w:val="clear" w:color="auto" w:fill="FFFFFF"/>
        </w:rPr>
        <w:t> </w:t>
      </w:r>
      <w:r w:rsidR="00AF5878" w:rsidRPr="00AF5878">
        <w:rPr>
          <w:rFonts w:ascii="Arial" w:hAnsi="Arial" w:cs="Arial"/>
          <w:sz w:val="16"/>
          <w:szCs w:val="16"/>
          <w:shd w:val="clear" w:color="auto" w:fill="FFFFFF"/>
        </w:rPr>
        <w:t>en</w:t>
      </w:r>
      <w:r w:rsidR="00AF5878" w:rsidRPr="00AF5878">
        <w:rPr>
          <w:rFonts w:ascii="Arial" w:hAnsi="Arial" w:cs="Arial"/>
          <w:sz w:val="16"/>
          <w:szCs w:val="16"/>
        </w:rPr>
        <w:t xml:space="preserve"> </w:t>
      </w:r>
      <w:r w:rsidR="00AF5878" w:rsidRPr="00AF5878">
        <w:rPr>
          <w:rFonts w:ascii="Arial" w:hAnsi="Arial" w:cs="Arial"/>
          <w:sz w:val="16"/>
          <w:szCs w:val="16"/>
          <w:shd w:val="clear" w:color="auto" w:fill="FFFFFF"/>
        </w:rPr>
        <w:t>Derecho Universidad Nacional, Especialización en Derecho Constitucional Universidad Nacional</w:t>
      </w:r>
      <w:r w:rsidR="00AF5878" w:rsidRPr="00AF5878">
        <w:rPr>
          <w:rFonts w:ascii="Arial" w:hAnsi="Arial" w:cs="Arial"/>
          <w:sz w:val="16"/>
          <w:szCs w:val="16"/>
          <w:lang w:val="es-MX"/>
        </w:rPr>
        <w:t xml:space="preserve"> Docentes de la Maestría en defensa de los Derecho Humanos y el derecho internacional humanitario de la Faculta de Derecho de la Universidad Santo Tomás.</w:t>
      </w:r>
    </w:p>
    <w:p w14:paraId="541CA092" w14:textId="0F9D10F0" w:rsidR="009F4C4C" w:rsidRPr="00AF5878" w:rsidRDefault="009F4C4C" w:rsidP="00AF5878">
      <w:pPr>
        <w:pStyle w:val="Textonotapie"/>
        <w:jc w:val="both"/>
        <w:rPr>
          <w:rFonts w:ascii="Arial" w:hAnsi="Arial" w:cs="Arial"/>
          <w:sz w:val="16"/>
          <w:szCs w:val="16"/>
        </w:rPr>
      </w:pPr>
    </w:p>
  </w:footnote>
  <w:footnote w:id="10">
    <w:p w14:paraId="7EC40E4B" w14:textId="7158BBE1" w:rsidR="00731134" w:rsidRPr="00731134" w:rsidRDefault="00731134">
      <w:pPr>
        <w:pStyle w:val="Textonotapie"/>
        <w:rPr>
          <w:rFonts w:ascii="Arial" w:hAnsi="Arial" w:cs="Arial"/>
          <w:sz w:val="16"/>
          <w:szCs w:val="16"/>
          <w:lang w:val="es-MX"/>
        </w:rPr>
      </w:pPr>
    </w:p>
  </w:footnote>
  <w:footnote w:id="11">
    <w:p w14:paraId="1D929871" w14:textId="77777777" w:rsidR="00723EAE" w:rsidRPr="006D668A" w:rsidRDefault="00723EAE" w:rsidP="00723EAE">
      <w:pPr>
        <w:pStyle w:val="Textonotapie"/>
        <w:rPr>
          <w:rFonts w:ascii="Times New Roman" w:hAnsi="Times New Roman" w:cs="Times New Roman"/>
          <w:sz w:val="20"/>
          <w:szCs w:val="20"/>
        </w:rPr>
      </w:pPr>
      <w:r w:rsidRPr="006D668A">
        <w:rPr>
          <w:rStyle w:val="Refdenotaalpie"/>
          <w:rFonts w:ascii="Times New Roman" w:hAnsi="Times New Roman" w:cs="Times New Roman"/>
          <w:sz w:val="20"/>
          <w:szCs w:val="20"/>
        </w:rPr>
        <w:footnoteRef/>
      </w:r>
      <w:r w:rsidRPr="006D668A">
        <w:rPr>
          <w:rFonts w:ascii="Times New Roman" w:hAnsi="Times New Roman" w:cs="Times New Roman"/>
          <w:sz w:val="20"/>
          <w:szCs w:val="20"/>
        </w:rPr>
        <w:t xml:space="preserve"> Cfr. T-672 de 2017 (MP. Carlos Bernal Pulido)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6D398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5AE23E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6F1518C"/>
    <w:multiLevelType w:val="hybridMultilevel"/>
    <w:tmpl w:val="B96E279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531"/>
    <w:rsid w:val="000F5122"/>
    <w:rsid w:val="00137531"/>
    <w:rsid w:val="00144A7A"/>
    <w:rsid w:val="001C50E7"/>
    <w:rsid w:val="001F5B65"/>
    <w:rsid w:val="00283F0E"/>
    <w:rsid w:val="002E0548"/>
    <w:rsid w:val="00304AD9"/>
    <w:rsid w:val="004E282B"/>
    <w:rsid w:val="00551069"/>
    <w:rsid w:val="005D5E5E"/>
    <w:rsid w:val="00612BA2"/>
    <w:rsid w:val="006906CF"/>
    <w:rsid w:val="00723EAE"/>
    <w:rsid w:val="00731134"/>
    <w:rsid w:val="00775934"/>
    <w:rsid w:val="00801C1F"/>
    <w:rsid w:val="008209DC"/>
    <w:rsid w:val="00837922"/>
    <w:rsid w:val="00850B9F"/>
    <w:rsid w:val="00962511"/>
    <w:rsid w:val="009C3047"/>
    <w:rsid w:val="009F4C4C"/>
    <w:rsid w:val="009F7AF4"/>
    <w:rsid w:val="00AE0E0F"/>
    <w:rsid w:val="00AF5878"/>
    <w:rsid w:val="00B611CA"/>
    <w:rsid w:val="00BA4866"/>
    <w:rsid w:val="00BF55E8"/>
    <w:rsid w:val="00C56F38"/>
    <w:rsid w:val="00CA7F2F"/>
    <w:rsid w:val="00D06BFA"/>
    <w:rsid w:val="00DC225C"/>
    <w:rsid w:val="00DC7503"/>
    <w:rsid w:val="00E842F6"/>
    <w:rsid w:val="00EE7301"/>
    <w:rsid w:val="00F171DD"/>
    <w:rsid w:val="00FD1161"/>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C27B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7934036846149468350ydp1bdcce59msonormal">
    <w:name w:val="m_-7934036846149468350ydp1bdcce59msonormal"/>
    <w:basedOn w:val="Normal"/>
    <w:rsid w:val="00551069"/>
    <w:pPr>
      <w:spacing w:before="100" w:beforeAutospacing="1" w:after="100" w:afterAutospacing="1"/>
    </w:pPr>
    <w:rPr>
      <w:rFonts w:ascii="Times New Roman" w:hAnsi="Times New Roman" w:cs="Times New Roman"/>
      <w:lang w:eastAsia="es-ES_tradnl"/>
    </w:rPr>
  </w:style>
  <w:style w:type="paragraph" w:styleId="Textonotapie">
    <w:name w:val="footnote text"/>
    <w:basedOn w:val="Normal"/>
    <w:link w:val="TextonotapieCar"/>
    <w:uiPriority w:val="99"/>
    <w:unhideWhenUsed/>
    <w:rsid w:val="00723EAE"/>
    <w:rPr>
      <w:lang w:val="es-ES"/>
    </w:rPr>
  </w:style>
  <w:style w:type="character" w:customStyle="1" w:styleId="TextonotapieCar">
    <w:name w:val="Texto nota pie Car"/>
    <w:basedOn w:val="Fuentedeprrafopredeter"/>
    <w:link w:val="Textonotapie"/>
    <w:uiPriority w:val="99"/>
    <w:rsid w:val="00723EAE"/>
    <w:rPr>
      <w:lang w:val="es-ES"/>
    </w:rPr>
  </w:style>
  <w:style w:type="character" w:styleId="Refdenotaalpie">
    <w:name w:val="footnote reference"/>
    <w:basedOn w:val="Fuentedeprrafopredeter"/>
    <w:uiPriority w:val="99"/>
    <w:unhideWhenUsed/>
    <w:rsid w:val="00723EAE"/>
    <w:rPr>
      <w:vertAlign w:val="superscript"/>
    </w:rPr>
  </w:style>
  <w:style w:type="paragraph" w:styleId="Prrafodelista">
    <w:name w:val="List Paragraph"/>
    <w:basedOn w:val="Normal"/>
    <w:uiPriority w:val="34"/>
    <w:qFormat/>
    <w:rsid w:val="00850B9F"/>
    <w:pPr>
      <w:spacing w:after="160" w:line="259" w:lineRule="auto"/>
      <w:ind w:left="720"/>
      <w:contextualSpacing/>
    </w:pPr>
    <w:rPr>
      <w:sz w:val="22"/>
      <w:szCs w:val="22"/>
      <w:lang w:val="es-CO"/>
    </w:rPr>
  </w:style>
  <w:style w:type="character" w:styleId="Textoennegrita">
    <w:name w:val="Strong"/>
    <w:basedOn w:val="Fuentedeprrafopredeter"/>
    <w:uiPriority w:val="22"/>
    <w:qFormat/>
    <w:rsid w:val="00DC225C"/>
    <w:rPr>
      <w:b/>
      <w:bCs/>
    </w:rPr>
  </w:style>
  <w:style w:type="character" w:styleId="Hipervnculo">
    <w:name w:val="Hyperlink"/>
    <w:basedOn w:val="Fuentedeprrafopredeter"/>
    <w:uiPriority w:val="99"/>
    <w:unhideWhenUsed/>
    <w:rsid w:val="00BF55E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874388">
      <w:bodyDiv w:val="1"/>
      <w:marLeft w:val="0"/>
      <w:marRight w:val="0"/>
      <w:marTop w:val="0"/>
      <w:marBottom w:val="0"/>
      <w:divBdr>
        <w:top w:val="none" w:sz="0" w:space="0" w:color="auto"/>
        <w:left w:val="none" w:sz="0" w:space="0" w:color="auto"/>
        <w:bottom w:val="none" w:sz="0" w:space="0" w:color="auto"/>
        <w:right w:val="none" w:sz="0" w:space="0" w:color="auto"/>
      </w:divBdr>
    </w:div>
    <w:div w:id="873007479">
      <w:bodyDiv w:val="1"/>
      <w:marLeft w:val="0"/>
      <w:marRight w:val="0"/>
      <w:marTop w:val="0"/>
      <w:marBottom w:val="0"/>
      <w:divBdr>
        <w:top w:val="none" w:sz="0" w:space="0" w:color="auto"/>
        <w:left w:val="none" w:sz="0" w:space="0" w:color="auto"/>
        <w:bottom w:val="none" w:sz="0" w:space="0" w:color="auto"/>
        <w:right w:val="none" w:sz="0" w:space="0" w:color="auto"/>
      </w:divBdr>
    </w:div>
    <w:div w:id="11005684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332/s1794-3841.2013.0020.05" TargetMode="External"/><Relationship Id="rId13" Type="http://schemas.openxmlformats.org/officeDocument/2006/relationships/hyperlink" Target="http://repository.usta.edu.co/handle/11634/10358" TargetMode="External"/><Relationship Id="rId18" Type="http://schemas.openxmlformats.org/officeDocument/2006/relationships/hyperlink" Target="https://doi.org/10.15332/s1794-3841.2013.0019.08" TargetMode="External"/><Relationship Id="rId26" Type="http://schemas.openxmlformats.org/officeDocument/2006/relationships/hyperlink" Target="http://www.corteconstitucional.gov.co/RELATORIA/2016/C-027-16.htm" TargetMode="External"/><Relationship Id="rId3" Type="http://schemas.openxmlformats.org/officeDocument/2006/relationships/styles" Target="styles.xml"/><Relationship Id="rId21" Type="http://schemas.openxmlformats.org/officeDocument/2006/relationships/hyperlink" Target="https://publicaciones.ucatolica.edu.co/pdf/el-acto-administrativo-en-los-procesos-y-procedimiento.pdf" TargetMode="External"/><Relationship Id="rId7" Type="http://schemas.openxmlformats.org/officeDocument/2006/relationships/endnotes" Target="endnotes.xml"/><Relationship Id="rId12" Type="http://schemas.openxmlformats.org/officeDocument/2006/relationships/hyperlink" Target="http://eprints.rclis.org/33395/" TargetMode="External"/><Relationship Id="rId17" Type="http://schemas.openxmlformats.org/officeDocument/2006/relationships/hyperlink" Target="https://doi.org/10.15332/s1794-3841.2016.0025.03" TargetMode="External"/><Relationship Id="rId25" Type="http://schemas.openxmlformats.org/officeDocument/2006/relationships/hyperlink" Target="http://www.corteconstitucional.gov.co/relatoria/2014/C-870-14.htm" TargetMode="External"/><Relationship Id="rId2" Type="http://schemas.openxmlformats.org/officeDocument/2006/relationships/numbering" Target="numbering.xml"/><Relationship Id="rId16" Type="http://schemas.openxmlformats.org/officeDocument/2006/relationships/hyperlink" Target="https://doi.org/10.15332/s1794-3841.2014.0022.12" TargetMode="External"/><Relationship Id="rId20" Type="http://schemas.openxmlformats.org/officeDocument/2006/relationships/hyperlink" Target="http://dx.doi.org/10.15425/redepub.38.2017.05" TargetMode="External"/><Relationship Id="rId29" Type="http://schemas.openxmlformats.org/officeDocument/2006/relationships/hyperlink" Target="https://doi.org/10.15332/s1794-3841.2013.0019.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5332/s1794-3841.2014.0022.07" TargetMode="External"/><Relationship Id="rId24" Type="http://schemas.openxmlformats.org/officeDocument/2006/relationships/hyperlink" Target="http://www.corteconstitucional.gov.co/relatoria/2008/C-122-08.htm" TargetMode="External"/><Relationship Id="rId5" Type="http://schemas.openxmlformats.org/officeDocument/2006/relationships/webSettings" Target="webSettings.xml"/><Relationship Id="rId15" Type="http://schemas.openxmlformats.org/officeDocument/2006/relationships/hyperlink" Target="https://doi.org/10.15332/s1794-3841.2013.0020.03" TargetMode="External"/><Relationship Id="rId23" Type="http://schemas.openxmlformats.org/officeDocument/2006/relationships/hyperlink" Target="http://www.corteconstitucional.gov.co/relatoria/2006/C-669-06.htm" TargetMode="External"/><Relationship Id="rId28" Type="http://schemas.openxmlformats.org/officeDocument/2006/relationships/hyperlink" Target="https://isbn.camlibro.com.co/catalogo.php?mode=detalle&amp;nt=305330" TargetMode="External"/><Relationship Id="rId10" Type="http://schemas.openxmlformats.org/officeDocument/2006/relationships/hyperlink" Target="https://doi.org/10.15332/s1909-0528.2010.0002.01" TargetMode="External"/><Relationship Id="rId19" Type="http://schemas.openxmlformats.org/officeDocument/2006/relationships/hyperlink" Target="https://doi.org/10.15332/s1794-3841.2014.0022.22"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5332/s1794-3841.2013.0019.13" TargetMode="External"/><Relationship Id="rId14" Type="http://schemas.openxmlformats.org/officeDocument/2006/relationships/hyperlink" Target="http://intellectum.unisabana.edu.co/handle/10818/26080" TargetMode="External"/><Relationship Id="rId22" Type="http://schemas.openxmlformats.org/officeDocument/2006/relationships/hyperlink" Target="http://www.corteconstitucional.gov.co/relatoria/2003/C-1039-03.htm" TargetMode="External"/><Relationship Id="rId27" Type="http://schemas.openxmlformats.org/officeDocument/2006/relationships/hyperlink" Target="https://doi.org/10.21500/20115733.3084"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4B1275-123B-4752-BB0D-4CC80D5AE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9</Pages>
  <Words>2517</Words>
  <Characters>13845</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Docentes Unidad de Investigación</cp:lastModifiedBy>
  <cp:revision>5</cp:revision>
  <cp:lastPrinted>2019-01-29T16:26:00Z</cp:lastPrinted>
  <dcterms:created xsi:type="dcterms:W3CDTF">2018-07-23T22:55:00Z</dcterms:created>
  <dcterms:modified xsi:type="dcterms:W3CDTF">2019-01-29T18:26:00Z</dcterms:modified>
</cp:coreProperties>
</file>