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1CDC0D35" w14:textId="6806A0AA" w:rsidR="001A06BD" w:rsidRPr="001A06BD" w:rsidRDefault="001A06BD" w:rsidP="001A06BD">
      <w:pPr>
        <w:jc w:val="both"/>
        <w:rPr>
          <w:lang w:val="es-CO"/>
        </w:rPr>
      </w:pPr>
      <w:r w:rsidRPr="00AC6918">
        <w:rPr>
          <w:b/>
          <w:sz w:val="28"/>
          <w:lang w:val="es-CO"/>
        </w:rPr>
        <w:t xml:space="preserve">Tipo de trabajo: </w:t>
      </w:r>
      <w:r>
        <w:rPr>
          <w:lang w:val="es-CO"/>
        </w:rPr>
        <w:t>Ponencia</w:t>
      </w:r>
    </w:p>
    <w:p w14:paraId="13517ECA" w14:textId="77777777" w:rsidR="001A06BD" w:rsidRDefault="001A06BD" w:rsidP="001A06BD">
      <w:pPr>
        <w:jc w:val="center"/>
        <w:rPr>
          <w:lang w:val="es-CO"/>
        </w:rPr>
      </w:pPr>
      <w:r w:rsidRPr="001A06BD">
        <w:rPr>
          <w:lang w:val="es-CO"/>
        </w:rPr>
        <w:t>DESARROLLO DE UN MODELO EMPÍRICO PARA EL PROCESO DE CO-DIGESTIÓN ANAEROBIA DE ESTIÉRCOL DE CERDO, LODOS DE DEPURADORA, RESIDUOS SÓLIDOS ORGÁNICOS, RESIDUOS DE LA INDUSTRIA DE BEBIDAS EMBOTELLADAS DE FRUTA Y RESIDUOS DE LA INDUSTRIA DEL CACAO</w:t>
      </w:r>
    </w:p>
    <w:p w14:paraId="55CF3689" w14:textId="780D9169" w:rsidR="001A06BD" w:rsidRPr="001A06BD" w:rsidRDefault="001A06BD" w:rsidP="001A06BD">
      <w:pPr>
        <w:jc w:val="both"/>
        <w:rPr>
          <w:vertAlign w:val="superscript"/>
          <w:lang w:val="es-CO"/>
        </w:rPr>
      </w:pPr>
      <w:r w:rsidRPr="00AC6918">
        <w:rPr>
          <w:b/>
          <w:sz w:val="28"/>
          <w:lang w:val="es-CO"/>
        </w:rPr>
        <w:t>Autores</w:t>
      </w:r>
      <w:proofErr w:type="gramStart"/>
      <w:r w:rsidRPr="00AC6918">
        <w:rPr>
          <w:b/>
          <w:sz w:val="28"/>
          <w:lang w:val="es-CO"/>
        </w:rPr>
        <w:t xml:space="preserve">:  </w:t>
      </w:r>
      <w:proofErr w:type="spellStart"/>
      <w:r w:rsidRPr="001A06BD">
        <w:rPr>
          <w:lang w:val="es-CO"/>
        </w:rPr>
        <w:t>Jhessica</w:t>
      </w:r>
      <w:proofErr w:type="spellEnd"/>
      <w:proofErr w:type="gramEnd"/>
      <w:r w:rsidRPr="001A06BD">
        <w:rPr>
          <w:lang w:val="es-CO"/>
        </w:rPr>
        <w:t xml:space="preserve"> Daniela Mosquera</w:t>
      </w:r>
      <w:r>
        <w:rPr>
          <w:vertAlign w:val="superscript"/>
          <w:lang w:val="es-CO"/>
        </w:rPr>
        <w:t>1</w:t>
      </w:r>
      <w:r>
        <w:rPr>
          <w:lang w:val="es-CO"/>
        </w:rPr>
        <w:t xml:space="preserve">; Linda </w:t>
      </w:r>
      <w:proofErr w:type="spellStart"/>
      <w:r>
        <w:rPr>
          <w:lang w:val="es-CO"/>
        </w:rPr>
        <w:t>Jineth</w:t>
      </w:r>
      <w:proofErr w:type="spellEnd"/>
      <w:r>
        <w:rPr>
          <w:lang w:val="es-CO"/>
        </w:rPr>
        <w:t xml:space="preserve"> V</w:t>
      </w:r>
      <w:r w:rsidR="00160ED3">
        <w:rPr>
          <w:lang w:val="es-CO"/>
        </w:rPr>
        <w:t>ill</w:t>
      </w:r>
      <w:r>
        <w:rPr>
          <w:lang w:val="es-CO"/>
        </w:rPr>
        <w:t>areal Lizarralde</w:t>
      </w:r>
      <w:r>
        <w:rPr>
          <w:vertAlign w:val="superscript"/>
          <w:lang w:val="es-CO"/>
        </w:rPr>
        <w:t>1</w:t>
      </w:r>
      <w:r>
        <w:rPr>
          <w:lang w:val="es-CO"/>
        </w:rPr>
        <w:t xml:space="preserve">; </w:t>
      </w:r>
      <w:proofErr w:type="spellStart"/>
      <w:r w:rsidRPr="001A06BD">
        <w:rPr>
          <w:lang w:val="es-CO"/>
        </w:rPr>
        <w:t>Ivan</w:t>
      </w:r>
      <w:proofErr w:type="spellEnd"/>
      <w:r w:rsidRPr="001A06BD">
        <w:rPr>
          <w:lang w:val="es-CO"/>
        </w:rPr>
        <w:t xml:space="preserve"> Orlando Cabeza Rojas</w:t>
      </w:r>
      <w:r>
        <w:rPr>
          <w:vertAlign w:val="superscript"/>
          <w:lang w:val="es-CO"/>
        </w:rPr>
        <w:t>1</w:t>
      </w:r>
      <w:r>
        <w:rPr>
          <w:lang w:val="es-CO"/>
        </w:rPr>
        <w:t xml:space="preserve">; </w:t>
      </w:r>
      <w:proofErr w:type="spellStart"/>
      <w:r w:rsidRPr="001A06BD">
        <w:rPr>
          <w:lang w:val="es-CO"/>
        </w:rPr>
        <w:t>Angelica</w:t>
      </w:r>
      <w:proofErr w:type="spellEnd"/>
      <w:r w:rsidRPr="001A06BD">
        <w:rPr>
          <w:lang w:val="es-CO"/>
        </w:rPr>
        <w:t xml:space="preserve"> </w:t>
      </w:r>
      <w:proofErr w:type="spellStart"/>
      <w:r w:rsidRPr="001A06BD">
        <w:rPr>
          <w:lang w:val="es-CO"/>
        </w:rPr>
        <w:t>Maria</w:t>
      </w:r>
      <w:proofErr w:type="spellEnd"/>
      <w:r w:rsidRPr="001A06BD">
        <w:rPr>
          <w:lang w:val="es-CO"/>
        </w:rPr>
        <w:t xml:space="preserve"> Santis Navarro</w:t>
      </w:r>
      <w:r>
        <w:rPr>
          <w:vertAlign w:val="superscript"/>
          <w:lang w:val="es-CO"/>
        </w:rPr>
        <w:t>1</w:t>
      </w:r>
      <w:r>
        <w:rPr>
          <w:lang w:val="es-CO"/>
        </w:rPr>
        <w:t xml:space="preserve">; </w:t>
      </w:r>
      <w:r w:rsidRPr="001A06BD">
        <w:rPr>
          <w:lang w:val="es-CO"/>
        </w:rPr>
        <w:t>Paola Andrea Acevedo Pabón</w:t>
      </w:r>
      <w:r>
        <w:rPr>
          <w:vertAlign w:val="superscript"/>
          <w:lang w:val="es-CO"/>
        </w:rPr>
        <w:t>2</w:t>
      </w:r>
    </w:p>
    <w:p w14:paraId="096C0562" w14:textId="181A8F4D" w:rsidR="001A06BD" w:rsidRPr="001A06BD" w:rsidRDefault="001A06BD" w:rsidP="001A06BD">
      <w:pPr>
        <w:jc w:val="both"/>
        <w:rPr>
          <w:lang w:val="es-CO"/>
        </w:rPr>
      </w:pPr>
      <w:r w:rsidRPr="00AC6918">
        <w:rPr>
          <w:b/>
          <w:sz w:val="28"/>
          <w:lang w:val="es-CO"/>
        </w:rPr>
        <w:t>Afiliación institucional</w:t>
      </w:r>
      <w:proofErr w:type="gramStart"/>
      <w:r w:rsidRPr="00AC6918">
        <w:rPr>
          <w:b/>
          <w:sz w:val="28"/>
          <w:lang w:val="es-CO"/>
        </w:rPr>
        <w:t>:</w:t>
      </w:r>
      <w:r w:rsidRPr="00AC6918">
        <w:rPr>
          <w:sz w:val="28"/>
          <w:lang w:val="es-CO"/>
        </w:rPr>
        <w:t xml:space="preserve">  </w:t>
      </w:r>
      <w:r w:rsidRPr="001A06BD">
        <w:rPr>
          <w:vertAlign w:val="superscript"/>
          <w:lang w:val="es-CO"/>
        </w:rPr>
        <w:t>1</w:t>
      </w:r>
      <w:r w:rsidRPr="001A06BD">
        <w:rPr>
          <w:lang w:val="es-CO"/>
        </w:rPr>
        <w:t>Universidad</w:t>
      </w:r>
      <w:proofErr w:type="gramEnd"/>
      <w:r w:rsidRPr="001A06BD">
        <w:rPr>
          <w:lang w:val="es-CO"/>
        </w:rPr>
        <w:t xml:space="preserve"> Santo Tomas; </w:t>
      </w:r>
      <w:r w:rsidRPr="001A06BD">
        <w:rPr>
          <w:vertAlign w:val="superscript"/>
          <w:lang w:val="es-CO"/>
        </w:rPr>
        <w:t>2</w:t>
      </w:r>
      <w:r w:rsidRPr="001A06BD">
        <w:rPr>
          <w:lang w:val="es-CO"/>
        </w:rPr>
        <w:t>Universidad Cooperativa de Colombia</w:t>
      </w:r>
    </w:p>
    <w:p w14:paraId="10172B64" w14:textId="0D712642" w:rsidR="001A06BD" w:rsidRPr="001A06BD" w:rsidRDefault="001A06BD" w:rsidP="001A06BD">
      <w:pPr>
        <w:jc w:val="both"/>
        <w:rPr>
          <w:lang w:val="es-CO"/>
        </w:rPr>
      </w:pPr>
      <w:r w:rsidRPr="00AC6918">
        <w:rPr>
          <w:b/>
          <w:sz w:val="28"/>
          <w:lang w:val="es-CO"/>
        </w:rPr>
        <w:t>Dirección de correo de electrónico de contacto:</w:t>
      </w:r>
      <w:r>
        <w:rPr>
          <w:b/>
          <w:sz w:val="28"/>
          <w:lang w:val="es-CO"/>
        </w:rPr>
        <w:t xml:space="preserve"> </w:t>
      </w:r>
      <w:r w:rsidRPr="001A06BD">
        <w:rPr>
          <w:lang w:val="es-CO"/>
        </w:rPr>
        <w:t>jhessica.mosquera@usantotomas.edu.co</w:t>
      </w:r>
      <w:r w:rsidRPr="001A06BD">
        <w:rPr>
          <w:lang w:val="es-CO"/>
        </w:rPr>
        <w:t xml:space="preserve"> </w:t>
      </w:r>
    </w:p>
    <w:p w14:paraId="63E843F0" w14:textId="77777777" w:rsidR="001A06BD" w:rsidRPr="00AC6918" w:rsidRDefault="001A06BD" w:rsidP="001A06BD">
      <w:pPr>
        <w:jc w:val="both"/>
        <w:rPr>
          <w:sz w:val="28"/>
          <w:lang w:val="es-CO"/>
        </w:rPr>
      </w:pPr>
      <w:r w:rsidRPr="00AC6918">
        <w:rPr>
          <w:b/>
          <w:sz w:val="28"/>
          <w:lang w:val="es-CO"/>
        </w:rPr>
        <w:t>RESUMEN</w:t>
      </w:r>
      <w:r w:rsidRPr="00AC6918">
        <w:rPr>
          <w:sz w:val="28"/>
          <w:lang w:val="es-CO"/>
        </w:rPr>
        <w:t xml:space="preserve">: </w:t>
      </w:r>
    </w:p>
    <w:p w14:paraId="25388879" w14:textId="1DFA609E" w:rsidR="001A06BD" w:rsidRPr="004762A2" w:rsidRDefault="001A06BD" w:rsidP="001A06BD">
      <w:pPr>
        <w:jc w:val="both"/>
        <w:rPr>
          <w:lang w:val="es-CO"/>
        </w:rPr>
      </w:pPr>
      <w:r w:rsidRPr="001A06BD">
        <w:rPr>
          <w:lang w:val="es-CO"/>
        </w:rPr>
        <w:t xml:space="preserve">El crecimiento relacionado con la implementación de energías renovables ha sido liderado la implementación de estudios en </w:t>
      </w:r>
      <w:proofErr w:type="spellStart"/>
      <w:r w:rsidRPr="001A06BD">
        <w:rPr>
          <w:lang w:val="es-CO"/>
        </w:rPr>
        <w:t>co</w:t>
      </w:r>
      <w:proofErr w:type="spellEnd"/>
      <w:r w:rsidRPr="001A06BD">
        <w:rPr>
          <w:lang w:val="es-CO"/>
        </w:rPr>
        <w:t>-digestión anaeróbica en busca de los residuos que favorezcan el proceso. Estos estudios se han llevado a cabo en países de Europa y Occidentales, pero no se han i</w:t>
      </w:r>
      <w:bookmarkStart w:id="0" w:name="_GoBack"/>
      <w:bookmarkEnd w:id="0"/>
      <w:r w:rsidRPr="001A06BD">
        <w:rPr>
          <w:lang w:val="es-CO"/>
        </w:rPr>
        <w:t xml:space="preserve">mplementado en Colombia.  Por esta razón, el objetivo de esta investigación es conocer la influencia de algunos de los parámetros en el proceso de </w:t>
      </w:r>
      <w:proofErr w:type="spellStart"/>
      <w:r w:rsidRPr="001A06BD">
        <w:rPr>
          <w:lang w:val="es-CO"/>
        </w:rPr>
        <w:t>co</w:t>
      </w:r>
      <w:proofErr w:type="spellEnd"/>
      <w:r w:rsidRPr="001A06BD">
        <w:rPr>
          <w:lang w:val="es-CO"/>
        </w:rPr>
        <w:t>-digestión anaerobia de residuos orgánicos en Colombia. Específicamente, la influencia en la calidad y cantidad de la producción de metano. Los parámetros estudiados fueron relación carbono/nitrógeno, donde se tomaron los niveles 25, 35 y 45; solidos volátiles de las mezclas (</w:t>
      </w:r>
      <w:proofErr w:type="spellStart"/>
      <w:r w:rsidRPr="001A06BD">
        <w:rPr>
          <w:lang w:val="es-CO"/>
        </w:rPr>
        <w:t>gSV</w:t>
      </w:r>
      <w:proofErr w:type="spellEnd"/>
      <w:r w:rsidRPr="001A06BD">
        <w:rPr>
          <w:lang w:val="es-CO"/>
        </w:rPr>
        <w:t xml:space="preserve">), donde también se tomaron tres niveles: 0.5, 1.25 y 2; y el porcentaje de fuente de nitrógeno Lodo de </w:t>
      </w:r>
      <w:proofErr w:type="spellStart"/>
      <w:r w:rsidRPr="001A06BD">
        <w:rPr>
          <w:lang w:val="es-CO"/>
        </w:rPr>
        <w:t>depuradora:Estiercol</w:t>
      </w:r>
      <w:proofErr w:type="spellEnd"/>
      <w:r w:rsidRPr="001A06BD">
        <w:rPr>
          <w:lang w:val="es-CO"/>
        </w:rPr>
        <w:t xml:space="preserve"> de Cerdo niveles entre 0:100%, para generar un total de 13 combinaciones; cada una maneja tres posibles combinaciones de sustratos ,  residuos orgánicos de alta producción en Colombia como residuos de la industria de bebidas embotelladas, la fracción orgánica de residuos </w:t>
      </w:r>
      <w:proofErr w:type="spellStart"/>
      <w:r w:rsidRPr="001A06BD">
        <w:rPr>
          <w:lang w:val="es-CO"/>
        </w:rPr>
        <w:t>solidos</w:t>
      </w:r>
      <w:proofErr w:type="spellEnd"/>
      <w:r w:rsidRPr="001A06BD">
        <w:rPr>
          <w:lang w:val="es-CO"/>
        </w:rPr>
        <w:t xml:space="preserve"> urbanos y residuos de la industria cacaotera.</w:t>
      </w:r>
    </w:p>
    <w:p w14:paraId="78578A5F" w14:textId="07E5DBDD" w:rsidR="001A06BD" w:rsidRPr="001A06BD" w:rsidRDefault="001A06BD" w:rsidP="001A06BD">
      <w:pPr>
        <w:jc w:val="both"/>
        <w:rPr>
          <w:sz w:val="28"/>
          <w:lang w:val="es-CO"/>
        </w:rPr>
      </w:pPr>
      <w:r w:rsidRPr="00AC6918">
        <w:rPr>
          <w:b/>
          <w:sz w:val="28"/>
          <w:lang w:val="es-CO"/>
        </w:rPr>
        <w:t>Palabras clave</w:t>
      </w:r>
      <w:proofErr w:type="gramStart"/>
      <w:r w:rsidRPr="00AC6918">
        <w:rPr>
          <w:b/>
          <w:sz w:val="28"/>
          <w:lang w:val="es-CO"/>
        </w:rPr>
        <w:t xml:space="preserve">:  </w:t>
      </w:r>
      <w:r w:rsidRPr="00AC6918">
        <w:rPr>
          <w:sz w:val="28"/>
          <w:lang w:val="es-CO"/>
        </w:rPr>
        <w:t>.</w:t>
      </w:r>
      <w:proofErr w:type="gramEnd"/>
      <w:r w:rsidRPr="001A06BD">
        <w:rPr>
          <w:lang w:val="es-CO"/>
        </w:rPr>
        <w:t xml:space="preserve">Co-digestión Anaerobia, Residuos orgánicos, Potencial de </w:t>
      </w:r>
      <w:proofErr w:type="spellStart"/>
      <w:r w:rsidRPr="001A06BD">
        <w:rPr>
          <w:lang w:val="es-CO"/>
        </w:rPr>
        <w:t>biometanización</w:t>
      </w:r>
      <w:proofErr w:type="spellEnd"/>
      <w:r w:rsidRPr="001A06BD">
        <w:rPr>
          <w:lang w:val="es-CO"/>
        </w:rPr>
        <w:t>,  Box-</w:t>
      </w:r>
      <w:proofErr w:type="spellStart"/>
      <w:r w:rsidRPr="001A06BD">
        <w:rPr>
          <w:lang w:val="es-CO"/>
        </w:rPr>
        <w:t>behnken</w:t>
      </w:r>
      <w:proofErr w:type="spellEnd"/>
      <w:r w:rsidRPr="001A06BD">
        <w:rPr>
          <w:lang w:val="es-CO"/>
        </w:rPr>
        <w:t>, Residuos industria Colombiana</w:t>
      </w:r>
    </w:p>
    <w:p w14:paraId="51644C48" w14:textId="77777777" w:rsidR="001A06BD" w:rsidRDefault="001A06BD" w:rsidP="001A06BD">
      <w:pPr>
        <w:jc w:val="both"/>
        <w:rPr>
          <w:b/>
          <w:sz w:val="28"/>
          <w:lang w:val="es-CO"/>
        </w:rPr>
      </w:pPr>
      <w:r w:rsidRPr="00E60C55">
        <w:rPr>
          <w:b/>
          <w:sz w:val="28"/>
          <w:lang w:val="es-CO"/>
        </w:rPr>
        <w:t xml:space="preserve">ABSTRACT: </w:t>
      </w:r>
    </w:p>
    <w:p w14:paraId="1F9E187C" w14:textId="65CCB233" w:rsidR="001A06BD" w:rsidRPr="001A06BD" w:rsidRDefault="001A06BD" w:rsidP="001A06BD">
      <w:pPr>
        <w:jc w:val="both"/>
        <w:rPr>
          <w:lang w:val="en-US"/>
        </w:rPr>
      </w:pPr>
      <w:r>
        <w:rPr>
          <w:lang w:val="en-US"/>
        </w:rPr>
        <w:t>T</w:t>
      </w:r>
      <w:r w:rsidRPr="001A06BD">
        <w:rPr>
          <w:lang w:val="en-US"/>
        </w:rPr>
        <w:t>he  growth  related  to  the  implementation  of  renewable  energies  has  led  to  the  implementation  of  anaerobic  co-digestion  studies  in  search  of  favorable  waste  for  this  process.  These  studies  have  been  carried  out  in  several  European  and  Western  countries,  but  have  not  been  implemented  in  Colombia.  Therefore,  the  aim  of  this  research  is  to  know  the  influence  of  some  parameters  in  the  processes  of  anaerobic  co-digestion  of  organic  waste  available  in  Colombia.  Specifically,  the  influence  in  the  quality  and  quantity  of  methane  production.  The  parameters  studied  were  Carbon/Nitrogen  ratio  (C/N),  where  three  levels  were  taken:  25,  35  and  45;  volatile  solids  in  the  mixtures  (</w:t>
      </w:r>
      <w:proofErr w:type="spellStart"/>
      <w:r w:rsidRPr="001A06BD">
        <w:rPr>
          <w:lang w:val="en-US"/>
        </w:rPr>
        <w:t>gVs</w:t>
      </w:r>
      <w:proofErr w:type="spellEnd"/>
      <w:r w:rsidRPr="001A06BD">
        <w:rPr>
          <w:lang w:val="en-US"/>
        </w:rPr>
        <w:t xml:space="preserve">),  where  three  levels  were  also  taken:  0.5,  1.25  and  2;  and  the  percentage  of </w:t>
      </w:r>
      <w:proofErr w:type="spellStart"/>
      <w:r w:rsidRPr="001A06BD">
        <w:rPr>
          <w:lang w:val="en-US"/>
        </w:rPr>
        <w:t>th</w:t>
      </w:r>
      <w:proofErr w:type="spellEnd"/>
      <w:r w:rsidRPr="001A06BD">
        <w:rPr>
          <w:lang w:val="en-US"/>
        </w:rPr>
        <w:t xml:space="preserve"> source of nitrogen sewage  sludge: pig  manure between 0:100% to  generate  a  total  of  13  combinations,  each  one  manage  three  possible  mixtures,  in  this  research  were  used  the  organic  waste  with  greater  production  volume  in  Colombia  such  as,  organic  fraction  of  municipal  solid  waste,  residues  from  the  bottled  fruit  drinks  industry  and  cocoa  industry  residue.</w:t>
      </w:r>
    </w:p>
    <w:p w14:paraId="0FCF440B" w14:textId="21BB0AE8" w:rsidR="001A06BD" w:rsidRPr="001A06BD" w:rsidRDefault="001A06BD" w:rsidP="001A06BD">
      <w:pPr>
        <w:jc w:val="both"/>
        <w:rPr>
          <w:lang w:val="en-US"/>
        </w:rPr>
      </w:pPr>
      <w:r w:rsidRPr="001A06BD">
        <w:rPr>
          <w:b/>
          <w:sz w:val="28"/>
          <w:lang w:val="en-US"/>
        </w:rPr>
        <w:t>Keywords:</w:t>
      </w:r>
      <w:r w:rsidRPr="001A06BD">
        <w:rPr>
          <w:b/>
          <w:sz w:val="28"/>
          <w:lang w:val="en-US"/>
        </w:rPr>
        <w:t xml:space="preserve"> </w:t>
      </w:r>
      <w:r w:rsidRPr="001A06BD">
        <w:rPr>
          <w:lang w:val="en-US"/>
        </w:rPr>
        <w:t>Anaerobic Co-digestion, Organic residues, BMP, Box-</w:t>
      </w:r>
      <w:proofErr w:type="spellStart"/>
      <w:r w:rsidRPr="001A06BD">
        <w:rPr>
          <w:lang w:val="en-US"/>
        </w:rPr>
        <w:t>behnken</w:t>
      </w:r>
      <w:proofErr w:type="spellEnd"/>
      <w:r w:rsidRPr="001A06BD">
        <w:rPr>
          <w:lang w:val="en-US"/>
        </w:rPr>
        <w:t>, Colombian industry residues</w:t>
      </w:r>
    </w:p>
    <w:p w14:paraId="1D722454" w14:textId="77777777" w:rsidR="001A06BD" w:rsidRPr="00AC6918" w:rsidRDefault="001A06BD" w:rsidP="001A06BD">
      <w:pPr>
        <w:jc w:val="both"/>
        <w:rPr>
          <w:sz w:val="28"/>
          <w:lang w:val="es-CO"/>
        </w:rPr>
      </w:pPr>
      <w:r w:rsidRPr="00AC6918">
        <w:rPr>
          <w:b/>
          <w:sz w:val="28"/>
          <w:lang w:val="es-CO"/>
        </w:rPr>
        <w:t>INTRODUCCION</w:t>
      </w:r>
      <w:r w:rsidRPr="00AC6918">
        <w:rPr>
          <w:sz w:val="28"/>
          <w:lang w:val="es-CO"/>
        </w:rPr>
        <w:t xml:space="preserve">: </w:t>
      </w:r>
    </w:p>
    <w:p w14:paraId="3EE8652F" w14:textId="63545F7E" w:rsidR="001A06BD" w:rsidRPr="004762A2" w:rsidRDefault="001A06BD" w:rsidP="001A06BD">
      <w:pPr>
        <w:jc w:val="both"/>
        <w:rPr>
          <w:lang w:val="es-CO"/>
        </w:rPr>
      </w:pPr>
      <w:r w:rsidRPr="001A06BD">
        <w:rPr>
          <w:lang w:val="es-CO"/>
        </w:rPr>
        <w:t>Los procesos de valorización de residuos sólidos han sido ampliamente estudiados durante las últimas décadas (Godoy &amp; Sandoval, 2014), uno de ellos es la digestión anaerobia de residuos putrescibles, proceso mediante el cual el carbono orgánico es reducido para convertirse en metano CH4 y oxidado en dióxido de carbono CO2, moléculas que junto a otros gases traza conforman el biogás (</w:t>
      </w:r>
      <w:proofErr w:type="spellStart"/>
      <w:r w:rsidRPr="001A06BD">
        <w:rPr>
          <w:lang w:val="es-CO"/>
        </w:rPr>
        <w:t>Karellas</w:t>
      </w:r>
      <w:proofErr w:type="spellEnd"/>
      <w:r w:rsidRPr="001A06BD">
        <w:rPr>
          <w:lang w:val="es-CO"/>
        </w:rPr>
        <w:t xml:space="preserve">, </w:t>
      </w:r>
      <w:proofErr w:type="spellStart"/>
      <w:r w:rsidRPr="001A06BD">
        <w:rPr>
          <w:lang w:val="es-CO"/>
        </w:rPr>
        <w:t>Boukis</w:t>
      </w:r>
      <w:proofErr w:type="spellEnd"/>
      <w:r w:rsidRPr="001A06BD">
        <w:rPr>
          <w:lang w:val="es-CO"/>
        </w:rPr>
        <w:t xml:space="preserve">, &amp; </w:t>
      </w:r>
      <w:proofErr w:type="spellStart"/>
      <w:r w:rsidRPr="001A06BD">
        <w:rPr>
          <w:lang w:val="es-CO"/>
        </w:rPr>
        <w:t>Kontopoulos</w:t>
      </w:r>
      <w:proofErr w:type="spellEnd"/>
      <w:r w:rsidRPr="001A06BD">
        <w:rPr>
          <w:lang w:val="es-CO"/>
        </w:rPr>
        <w:t xml:space="preserve">, 2010). Una de las variantes en las prácticas de digestión anaerobia es la </w:t>
      </w:r>
      <w:proofErr w:type="spellStart"/>
      <w:r w:rsidRPr="001A06BD">
        <w:rPr>
          <w:lang w:val="es-CO"/>
        </w:rPr>
        <w:t>co</w:t>
      </w:r>
      <w:proofErr w:type="spellEnd"/>
      <w:r w:rsidRPr="001A06BD">
        <w:rPr>
          <w:lang w:val="es-CO"/>
        </w:rPr>
        <w:t xml:space="preserve">-digestión, la cual consiste en el uso de dos o más sustratos en el proceso (IDAE, 2007); bajo la cual se obtienen rendimientos mayores en lo que concierne a la producción de Biogás (Alatriste-Mondragón, Samar, Cox, </w:t>
      </w:r>
      <w:proofErr w:type="spellStart"/>
      <w:r w:rsidRPr="001A06BD">
        <w:rPr>
          <w:lang w:val="es-CO"/>
        </w:rPr>
        <w:t>Ahring</w:t>
      </w:r>
      <w:proofErr w:type="spellEnd"/>
      <w:r w:rsidRPr="001A06BD">
        <w:rPr>
          <w:lang w:val="es-CO"/>
        </w:rPr>
        <w:t xml:space="preserve">, &amp; </w:t>
      </w:r>
      <w:proofErr w:type="spellStart"/>
      <w:r w:rsidRPr="001A06BD">
        <w:rPr>
          <w:lang w:val="es-CO"/>
        </w:rPr>
        <w:t>Iranpour</w:t>
      </w:r>
      <w:proofErr w:type="spellEnd"/>
      <w:r w:rsidRPr="001A06BD">
        <w:rPr>
          <w:lang w:val="es-CO"/>
        </w:rPr>
        <w:t xml:space="preserve">, 2006). La </w:t>
      </w:r>
      <w:proofErr w:type="spellStart"/>
      <w:r w:rsidRPr="001A06BD">
        <w:rPr>
          <w:lang w:val="es-CO"/>
        </w:rPr>
        <w:t>co</w:t>
      </w:r>
      <w:proofErr w:type="spellEnd"/>
      <w:r w:rsidRPr="001A06BD">
        <w:rPr>
          <w:lang w:val="es-CO"/>
        </w:rPr>
        <w:t>-digestión anaeróbica es uno de los procesos biológicos con mayor potencial para la valorización y el tratamiento de residuos putrescibles (Gómez, Cuetos, Cara, Morán, &amp; García, 2006) (Mata-</w:t>
      </w:r>
      <w:proofErr w:type="spellStart"/>
      <w:r w:rsidRPr="001A06BD">
        <w:rPr>
          <w:lang w:val="es-CO"/>
        </w:rPr>
        <w:t>Alvarez</w:t>
      </w:r>
      <w:proofErr w:type="spellEnd"/>
      <w:r w:rsidRPr="001A06BD">
        <w:rPr>
          <w:lang w:val="es-CO"/>
        </w:rPr>
        <w:t xml:space="preserve">, y otros, 2014). Es considerado un proceso de gestión y valorización de residuos, con el cual se logra la dilución de compuestos tóxicos potenciales, se mejora el equilibrio de nutrientes y se obtienen efectos sinérgicos de microorganismos (Gómez, Cuetos, Cara, Morán, &amp; García, 2006). Este trabajo, se enfoca en la influencia de diferentes parámetros de operación sobre la producción de biogás, durante la </w:t>
      </w:r>
      <w:proofErr w:type="spellStart"/>
      <w:r w:rsidRPr="001A06BD">
        <w:rPr>
          <w:lang w:val="es-CO"/>
        </w:rPr>
        <w:t>co</w:t>
      </w:r>
      <w:proofErr w:type="spellEnd"/>
      <w:r w:rsidRPr="001A06BD">
        <w:rPr>
          <w:lang w:val="es-CO"/>
        </w:rPr>
        <w:t xml:space="preserve">-digestión anaeróbica de diferentes sustratos disponibles en Colombia. En este sentido, el objetivo de este trabajo es evaluar los parámetros de relación C/N, gramos de solidos volátiles </w:t>
      </w:r>
      <w:proofErr w:type="spellStart"/>
      <w:r w:rsidRPr="001A06BD">
        <w:rPr>
          <w:lang w:val="es-CO"/>
        </w:rPr>
        <w:t>gSV</w:t>
      </w:r>
      <w:proofErr w:type="spellEnd"/>
      <w:r w:rsidRPr="001A06BD">
        <w:rPr>
          <w:lang w:val="es-CO"/>
        </w:rPr>
        <w:t>, y el porcentaje de fuente de nitrógeno en el proceso de digestión anaerobia de residuos orgánicos disponibles en Colombia, creando un diseño de experimentos box-</w:t>
      </w:r>
      <w:proofErr w:type="spellStart"/>
      <w:r w:rsidRPr="001A06BD">
        <w:rPr>
          <w:lang w:val="es-CO"/>
        </w:rPr>
        <w:t>behnken</w:t>
      </w:r>
      <w:proofErr w:type="spellEnd"/>
      <w:r w:rsidRPr="001A06BD">
        <w:rPr>
          <w:lang w:val="es-CO"/>
        </w:rPr>
        <w:t xml:space="preserve"> basados en una caracterización fisicoquímica de los mismos.</w:t>
      </w:r>
    </w:p>
    <w:p w14:paraId="747E9E87" w14:textId="77777777" w:rsidR="001A06BD" w:rsidRPr="00AC6918" w:rsidRDefault="001A06BD" w:rsidP="001A06BD">
      <w:pPr>
        <w:jc w:val="both"/>
        <w:rPr>
          <w:sz w:val="28"/>
          <w:lang w:val="es-CO"/>
        </w:rPr>
      </w:pPr>
      <w:r w:rsidRPr="00AC6918">
        <w:rPr>
          <w:b/>
          <w:sz w:val="28"/>
          <w:lang w:val="es-CO"/>
        </w:rPr>
        <w:t>METODOLOGIA</w:t>
      </w:r>
      <w:r w:rsidRPr="00AC6918">
        <w:rPr>
          <w:sz w:val="28"/>
          <w:lang w:val="es-CO"/>
        </w:rPr>
        <w:t xml:space="preserve">: </w:t>
      </w:r>
    </w:p>
    <w:p w14:paraId="2A980749" w14:textId="77777777" w:rsidR="001A06BD" w:rsidRPr="001A06BD" w:rsidRDefault="001A06BD" w:rsidP="001A06BD">
      <w:pPr>
        <w:jc w:val="both"/>
        <w:rPr>
          <w:lang w:val="es-CO"/>
        </w:rPr>
      </w:pPr>
      <w:r w:rsidRPr="001A06BD">
        <w:rPr>
          <w:lang w:val="es-CO"/>
        </w:rPr>
        <w:t>Sustratos</w:t>
      </w:r>
    </w:p>
    <w:p w14:paraId="255C4EB1" w14:textId="77777777" w:rsidR="001A06BD" w:rsidRPr="001A06BD" w:rsidRDefault="001A06BD" w:rsidP="001A06BD">
      <w:pPr>
        <w:jc w:val="both"/>
        <w:rPr>
          <w:lang w:val="es-CO"/>
        </w:rPr>
      </w:pPr>
      <w:r w:rsidRPr="001A06BD">
        <w:rPr>
          <w:lang w:val="es-CO"/>
        </w:rPr>
        <w:t xml:space="preserve">Las materias primas utilizadas en el desarrollo de la investigación fueron: Estiércol de cerdo (EC) de la Universidad Nacional de Colombia ubicada en Mosquera – Cundinamarca; residuos de la industria de bebidas embotelladas de fruta (RIBEF), los residuos fueron simulados en la Universidad Cooperativa de Colombia basados en referencias relacionadas a los residuos de este sector; Lodos de depuradora (LD) obtenido la planta de tratamiento de aguas residuales de Madrid – Cundinamarca; residuos de la industria cacaotera (RIC), los residuos fueron simulados en la Universidad Cooperativa de Colombia basados en referencias de la industria; fracción orgánica de los residuos sólidos urbanos (FORSU), fueron obtenidos de un hogar típico en Bogotá – Colombia compuesto por 4 personas. </w:t>
      </w:r>
    </w:p>
    <w:p w14:paraId="6143A79A" w14:textId="77777777" w:rsidR="001A06BD" w:rsidRPr="001A06BD" w:rsidRDefault="001A06BD" w:rsidP="001A06BD">
      <w:pPr>
        <w:jc w:val="both"/>
        <w:rPr>
          <w:lang w:val="es-CO"/>
        </w:rPr>
      </w:pPr>
      <w:r w:rsidRPr="001A06BD">
        <w:rPr>
          <w:lang w:val="es-CO"/>
        </w:rPr>
        <w:t>El inóculo fue obtenido de un digestor anaerobio de la empresa Alpina en Sopó – Cundinamarca, su sistema opera utilizando los residuos o devoluciones de la industria.</w:t>
      </w:r>
    </w:p>
    <w:p w14:paraId="7B81ADD6" w14:textId="77777777" w:rsidR="001A06BD" w:rsidRPr="001A06BD" w:rsidRDefault="001A06BD" w:rsidP="001A06BD">
      <w:pPr>
        <w:jc w:val="both"/>
        <w:rPr>
          <w:lang w:val="es-CO"/>
        </w:rPr>
      </w:pPr>
      <w:r w:rsidRPr="001A06BD">
        <w:rPr>
          <w:lang w:val="es-CO"/>
        </w:rPr>
        <w:t xml:space="preserve">Los ensayos a realizar se planificaron utilizando un diseño experimental central compuesto (Box - </w:t>
      </w:r>
      <w:proofErr w:type="spellStart"/>
      <w:r w:rsidRPr="001A06BD">
        <w:rPr>
          <w:lang w:val="es-CO"/>
        </w:rPr>
        <w:t>Behnken</w:t>
      </w:r>
      <w:proofErr w:type="spellEnd"/>
      <w:r w:rsidRPr="001A06BD">
        <w:rPr>
          <w:lang w:val="es-CO"/>
        </w:rPr>
        <w:t>). Se manejaron como variables independientes la relación C/N, los gramos de solidos volátiles (</w:t>
      </w:r>
      <w:proofErr w:type="spellStart"/>
      <w:r w:rsidRPr="001A06BD">
        <w:rPr>
          <w:lang w:val="es-CO"/>
        </w:rPr>
        <w:t>gSV</w:t>
      </w:r>
      <w:proofErr w:type="spellEnd"/>
      <w:r w:rsidRPr="001A06BD">
        <w:rPr>
          <w:lang w:val="es-CO"/>
        </w:rPr>
        <w:t xml:space="preserve">) y el porcentaje de la fuente de nitrógeno que a su vez manejaron tres niveles: para la relación C/N 25, 35 y 45; para los </w:t>
      </w:r>
      <w:proofErr w:type="spellStart"/>
      <w:r w:rsidRPr="001A06BD">
        <w:rPr>
          <w:lang w:val="es-CO"/>
        </w:rPr>
        <w:t>gSV</w:t>
      </w:r>
      <w:proofErr w:type="spellEnd"/>
      <w:r w:rsidRPr="001A06BD">
        <w:rPr>
          <w:lang w:val="es-CO"/>
        </w:rPr>
        <w:t xml:space="preserve"> 0,5 1,25 y 2; algunos contienen solo estiércol de cerdo o solo lodos de depuradora, otros tendrán ambos sustratos. Se manejó una relación S/X=3. Para este caso, la relación C/N se ajusta de acuerdo a las características de cada residuo, los </w:t>
      </w:r>
      <w:proofErr w:type="spellStart"/>
      <w:r w:rsidRPr="001A06BD">
        <w:rPr>
          <w:lang w:val="es-CO"/>
        </w:rPr>
        <w:t>gSV</w:t>
      </w:r>
      <w:proofErr w:type="spellEnd"/>
      <w:r w:rsidRPr="001A06BD">
        <w:rPr>
          <w:lang w:val="es-CO"/>
        </w:rPr>
        <w:t xml:space="preserve"> corresponden al inoculo y porcentaje de nitrógeno son aportados por los LD y el EC. De tal manera, se garantizaron condiciones diferentes en cada reactor, para la cuantificación adecuada de la variable de respuesta. </w:t>
      </w:r>
    </w:p>
    <w:p w14:paraId="389494CF" w14:textId="38F6E45A" w:rsidR="001A06BD" w:rsidRPr="004762A2" w:rsidRDefault="001A06BD" w:rsidP="001A06BD">
      <w:pPr>
        <w:jc w:val="both"/>
        <w:rPr>
          <w:lang w:val="es-CO"/>
        </w:rPr>
      </w:pPr>
      <w:r w:rsidRPr="001A06BD">
        <w:rPr>
          <w:lang w:val="es-CO"/>
        </w:rPr>
        <w:t xml:space="preserve">Los ensayos se realizaron en frascos ámbar de 250 ml, que se llenaron una vez con una cantidad de sustrato fresco, inóculo y agua destilada para completar un volumen de 200 ml; y sellado con silicona, para evaluar su degradación total Figura 1. El pH se ajustó en un rango de 6,5 a 7,5. Los sistemas de reactores se colocaron en un baño </w:t>
      </w:r>
      <w:proofErr w:type="spellStart"/>
      <w:r w:rsidRPr="001A06BD">
        <w:rPr>
          <w:lang w:val="es-CO"/>
        </w:rPr>
        <w:t>termostatizado</w:t>
      </w:r>
      <w:proofErr w:type="spellEnd"/>
      <w:r w:rsidRPr="001A06BD">
        <w:rPr>
          <w:lang w:val="es-CO"/>
        </w:rPr>
        <w:t xml:space="preserve"> para garantizar las condiciones </w:t>
      </w:r>
      <w:proofErr w:type="spellStart"/>
      <w:r w:rsidRPr="001A06BD">
        <w:rPr>
          <w:lang w:val="es-CO"/>
        </w:rPr>
        <w:t>mesofílicas</w:t>
      </w:r>
      <w:proofErr w:type="spellEnd"/>
      <w:r w:rsidRPr="001A06BD">
        <w:rPr>
          <w:lang w:val="es-CO"/>
        </w:rPr>
        <w:t xml:space="preserve"> (35 ± 1 ° C) durante 21 días consecutivos. En este caso, el volumen de biogás se midió por el desplazamiento de una solución de </w:t>
      </w:r>
      <w:proofErr w:type="spellStart"/>
      <w:r w:rsidRPr="001A06BD">
        <w:rPr>
          <w:lang w:val="es-CO"/>
        </w:rPr>
        <w:t>NaOH</w:t>
      </w:r>
      <w:proofErr w:type="spellEnd"/>
      <w:r w:rsidRPr="001A06BD">
        <w:rPr>
          <w:lang w:val="es-CO"/>
        </w:rPr>
        <w:t xml:space="preserve"> (pH&gt; 9), indicadores de la trampa de CO2 conectados a cada uno de los reactores (ver gráfico 1).</w:t>
      </w:r>
    </w:p>
    <w:p w14:paraId="371D951A" w14:textId="77777777" w:rsidR="001A06BD" w:rsidRPr="00AC6918" w:rsidRDefault="001A06BD" w:rsidP="001A06BD">
      <w:pPr>
        <w:jc w:val="both"/>
        <w:rPr>
          <w:sz w:val="28"/>
          <w:lang w:val="es-CO"/>
        </w:rPr>
      </w:pPr>
      <w:r w:rsidRPr="00AC6918">
        <w:rPr>
          <w:b/>
          <w:sz w:val="28"/>
          <w:lang w:val="es-CO"/>
        </w:rPr>
        <w:t>RESULTADOS Y DISCUSIÓN</w:t>
      </w:r>
      <w:r w:rsidRPr="00AC6918">
        <w:rPr>
          <w:sz w:val="28"/>
          <w:lang w:val="es-CO"/>
        </w:rPr>
        <w:t xml:space="preserve">: </w:t>
      </w:r>
    </w:p>
    <w:p w14:paraId="11DE2F7C" w14:textId="77777777" w:rsidR="001A06BD" w:rsidRPr="001A06BD" w:rsidRDefault="001A06BD" w:rsidP="001A06BD">
      <w:pPr>
        <w:jc w:val="both"/>
        <w:rPr>
          <w:lang w:val="es-CO"/>
        </w:rPr>
      </w:pPr>
      <w:r w:rsidRPr="001A06BD">
        <w:rPr>
          <w:lang w:val="es-CO"/>
        </w:rPr>
        <w:t xml:space="preserve">Los resultados de la caracterización se resumieron en la Tabla 1, todos los valores informados se obtuvieron de acuerdo con los procesos de caracterización definidos en la literatura. Los sólidos volátiles (SV) y los sólidos totales (ST) están representados en la materia orgánica (MO), la mayoría de los sustratos tienen un alto contenido de materia orgánica y humedad, lo que indica su potencial de </w:t>
      </w:r>
      <w:proofErr w:type="spellStart"/>
      <w:r w:rsidRPr="001A06BD">
        <w:rPr>
          <w:lang w:val="es-CO"/>
        </w:rPr>
        <w:t>biodegradabilidad</w:t>
      </w:r>
      <w:proofErr w:type="spellEnd"/>
      <w:r w:rsidRPr="001A06BD">
        <w:rPr>
          <w:lang w:val="es-CO"/>
        </w:rPr>
        <w:t>.</w:t>
      </w:r>
    </w:p>
    <w:p w14:paraId="13D06471" w14:textId="77777777" w:rsidR="001A06BD" w:rsidRPr="001A06BD" w:rsidRDefault="001A06BD" w:rsidP="001A06BD">
      <w:pPr>
        <w:jc w:val="both"/>
        <w:rPr>
          <w:lang w:val="es-CO"/>
        </w:rPr>
      </w:pPr>
      <w:r w:rsidRPr="001A06BD">
        <w:rPr>
          <w:lang w:val="es-CO"/>
        </w:rPr>
        <w:t>Tabla 1. Características relevantes de los residuos usados en este estudio.</w:t>
      </w:r>
    </w:p>
    <w:p w14:paraId="3CAA05F6" w14:textId="77777777" w:rsidR="001A06BD" w:rsidRPr="001A06BD" w:rsidRDefault="001A06BD" w:rsidP="001A06BD">
      <w:pPr>
        <w:jc w:val="both"/>
        <w:rPr>
          <w:lang w:val="en-US"/>
        </w:rPr>
      </w:pPr>
      <w:r w:rsidRPr="001A06BD">
        <w:rPr>
          <w:lang w:val="es-CO"/>
        </w:rPr>
        <w:tab/>
        <w:t xml:space="preserve">                                            </w:t>
      </w:r>
      <w:r w:rsidRPr="001A06BD">
        <w:rPr>
          <w:lang w:val="en-US"/>
        </w:rPr>
        <w:t>FORSU</w:t>
      </w:r>
      <w:r w:rsidRPr="001A06BD">
        <w:rPr>
          <w:lang w:val="en-US"/>
        </w:rPr>
        <w:tab/>
        <w:t>RIC</w:t>
      </w:r>
      <w:r w:rsidRPr="001A06BD">
        <w:rPr>
          <w:lang w:val="en-US"/>
        </w:rPr>
        <w:tab/>
        <w:t xml:space="preserve">                   LD</w:t>
      </w:r>
      <w:r w:rsidRPr="001A06BD">
        <w:rPr>
          <w:lang w:val="en-US"/>
        </w:rPr>
        <w:tab/>
        <w:t xml:space="preserve">                 EC</w:t>
      </w:r>
      <w:r w:rsidRPr="001A06BD">
        <w:rPr>
          <w:lang w:val="en-US"/>
        </w:rPr>
        <w:tab/>
        <w:t xml:space="preserve">                   RIBEF</w:t>
      </w:r>
      <w:r w:rsidRPr="001A06BD">
        <w:rPr>
          <w:lang w:val="en-US"/>
        </w:rPr>
        <w:tab/>
      </w:r>
      <w:proofErr w:type="spellStart"/>
      <w:r w:rsidRPr="001A06BD">
        <w:rPr>
          <w:lang w:val="en-US"/>
        </w:rPr>
        <w:t>Inóculo</w:t>
      </w:r>
      <w:proofErr w:type="spellEnd"/>
    </w:p>
    <w:p w14:paraId="61B39012" w14:textId="77777777" w:rsidR="001A06BD" w:rsidRPr="001A06BD" w:rsidRDefault="001A06BD" w:rsidP="001A06BD">
      <w:pPr>
        <w:jc w:val="both"/>
        <w:rPr>
          <w:lang w:val="es-CO"/>
        </w:rPr>
      </w:pPr>
      <w:proofErr w:type="gramStart"/>
      <w:r w:rsidRPr="001A06BD">
        <w:rPr>
          <w:lang w:val="es-CO"/>
        </w:rPr>
        <w:t>pH</w:t>
      </w:r>
      <w:proofErr w:type="gramEnd"/>
      <w:r w:rsidRPr="001A06BD">
        <w:rPr>
          <w:lang w:val="es-CO"/>
        </w:rPr>
        <w:t xml:space="preserve"> (extracto 1:5 )b</w:t>
      </w:r>
      <w:r w:rsidRPr="001A06BD">
        <w:rPr>
          <w:lang w:val="es-CO"/>
        </w:rPr>
        <w:tab/>
      </w:r>
      <w:r w:rsidRPr="001A06BD">
        <w:rPr>
          <w:lang w:val="es-CO"/>
        </w:rPr>
        <w:tab/>
        <w:t xml:space="preserve">                                          7,5 ± 4,0</w:t>
      </w:r>
      <w:r w:rsidRPr="001A06BD">
        <w:rPr>
          <w:lang w:val="es-CO"/>
        </w:rPr>
        <w:tab/>
        <w:t xml:space="preserve">   9,4 ± 5,9</w:t>
      </w:r>
      <w:r w:rsidRPr="001A06BD">
        <w:rPr>
          <w:lang w:val="es-CO"/>
        </w:rPr>
        <w:tab/>
        <w:t>9,9 ± 6,4</w:t>
      </w:r>
      <w:r w:rsidRPr="001A06BD">
        <w:rPr>
          <w:lang w:val="es-CO"/>
        </w:rPr>
        <w:tab/>
        <w:t>5,9 ± 2,3</w:t>
      </w:r>
      <w:r w:rsidRPr="001A06BD">
        <w:rPr>
          <w:lang w:val="es-CO"/>
        </w:rPr>
        <w:tab/>
      </w:r>
    </w:p>
    <w:p w14:paraId="40AAFD59" w14:textId="77777777" w:rsidR="001A06BD" w:rsidRPr="001A06BD" w:rsidRDefault="001A06BD" w:rsidP="001A06BD">
      <w:pPr>
        <w:jc w:val="both"/>
        <w:rPr>
          <w:lang w:val="es-CO"/>
        </w:rPr>
      </w:pPr>
      <w:proofErr w:type="spellStart"/>
      <w:r w:rsidRPr="001A06BD">
        <w:rPr>
          <w:lang w:val="es-CO"/>
        </w:rPr>
        <w:t>Humedadb</w:t>
      </w:r>
      <w:proofErr w:type="spellEnd"/>
      <w:r w:rsidRPr="001A06BD">
        <w:rPr>
          <w:lang w:val="es-CO"/>
        </w:rPr>
        <w:tab/>
        <w:t xml:space="preserve">  %</w:t>
      </w:r>
      <w:r w:rsidRPr="001A06BD">
        <w:rPr>
          <w:lang w:val="es-CO"/>
        </w:rPr>
        <w:tab/>
        <w:t xml:space="preserve">           87,16 ± 86,27      89,85 ± 88,28</w:t>
      </w:r>
      <w:r w:rsidRPr="001A06BD">
        <w:rPr>
          <w:lang w:val="es-CO"/>
        </w:rPr>
        <w:tab/>
        <w:t>53,35 ± 47,97</w:t>
      </w:r>
      <w:r w:rsidRPr="001A06BD">
        <w:rPr>
          <w:lang w:val="es-CO"/>
        </w:rPr>
        <w:tab/>
        <w:t>75,04 ± 73,81</w:t>
      </w:r>
      <w:r w:rsidRPr="001A06BD">
        <w:rPr>
          <w:lang w:val="es-CO"/>
        </w:rPr>
        <w:tab/>
        <w:t>86,53 ± 84,48</w:t>
      </w:r>
      <w:r w:rsidRPr="001A06BD">
        <w:rPr>
          <w:lang w:val="es-CO"/>
        </w:rPr>
        <w:tab/>
      </w:r>
    </w:p>
    <w:p w14:paraId="7AC60E01" w14:textId="77777777" w:rsidR="001A06BD" w:rsidRPr="001A06BD" w:rsidRDefault="001A06BD" w:rsidP="001A06BD">
      <w:pPr>
        <w:jc w:val="both"/>
        <w:rPr>
          <w:lang w:val="es-CO"/>
        </w:rPr>
      </w:pPr>
      <w:r w:rsidRPr="001A06BD">
        <w:rPr>
          <w:lang w:val="es-CO"/>
        </w:rPr>
        <w:t>95, ± 9,03</w:t>
      </w:r>
    </w:p>
    <w:p w14:paraId="1B1431EE" w14:textId="77777777" w:rsidR="001A06BD" w:rsidRPr="001A06BD" w:rsidRDefault="001A06BD" w:rsidP="001A06BD">
      <w:pPr>
        <w:jc w:val="both"/>
        <w:rPr>
          <w:lang w:val="es-CO"/>
        </w:rPr>
      </w:pPr>
      <w:proofErr w:type="spellStart"/>
      <w:r w:rsidRPr="001A06BD">
        <w:rPr>
          <w:lang w:val="es-CO"/>
        </w:rPr>
        <w:t>NTKc</w:t>
      </w:r>
      <w:proofErr w:type="spellEnd"/>
      <w:r w:rsidRPr="001A06BD">
        <w:rPr>
          <w:lang w:val="es-CO"/>
        </w:rPr>
        <w:tab/>
        <w:t xml:space="preserve">                 %</w:t>
      </w:r>
      <w:r w:rsidRPr="001A06BD">
        <w:rPr>
          <w:lang w:val="es-CO"/>
        </w:rPr>
        <w:tab/>
        <w:t xml:space="preserve">             1,44 ± 1,68</w:t>
      </w:r>
      <w:r w:rsidRPr="001A06BD">
        <w:rPr>
          <w:lang w:val="es-CO"/>
        </w:rPr>
        <w:tab/>
        <w:t>1,11 ± 0,87</w:t>
      </w:r>
      <w:r w:rsidRPr="001A06BD">
        <w:rPr>
          <w:lang w:val="es-CO"/>
        </w:rPr>
        <w:tab/>
        <w:t>1,91 ±1,74</w:t>
      </w:r>
      <w:r w:rsidRPr="001A06BD">
        <w:rPr>
          <w:lang w:val="es-CO"/>
        </w:rPr>
        <w:tab/>
        <w:t>2,65 ± 2,27</w:t>
      </w:r>
      <w:r w:rsidRPr="001A06BD">
        <w:rPr>
          <w:lang w:val="es-CO"/>
        </w:rPr>
        <w:tab/>
        <w:t>1,11 ± 1,10</w:t>
      </w:r>
      <w:r w:rsidRPr="001A06BD">
        <w:rPr>
          <w:lang w:val="es-CO"/>
        </w:rPr>
        <w:tab/>
      </w:r>
    </w:p>
    <w:p w14:paraId="70CC2AC9" w14:textId="77777777" w:rsidR="001A06BD" w:rsidRPr="001A06BD" w:rsidRDefault="001A06BD" w:rsidP="001A06BD">
      <w:pPr>
        <w:jc w:val="both"/>
        <w:rPr>
          <w:lang w:val="es-CO"/>
        </w:rPr>
      </w:pPr>
      <w:r w:rsidRPr="001A06BD">
        <w:rPr>
          <w:lang w:val="es-CO"/>
        </w:rPr>
        <w:t>0,31 ± 0,19</w:t>
      </w:r>
    </w:p>
    <w:p w14:paraId="63924B1E" w14:textId="77777777" w:rsidR="001A06BD" w:rsidRPr="001A06BD" w:rsidRDefault="001A06BD" w:rsidP="001A06BD">
      <w:pPr>
        <w:jc w:val="both"/>
        <w:rPr>
          <w:lang w:val="es-CO"/>
        </w:rPr>
      </w:pPr>
      <w:r w:rsidRPr="001A06BD">
        <w:rPr>
          <w:lang w:val="es-CO"/>
        </w:rPr>
        <w:t xml:space="preserve">Materia </w:t>
      </w:r>
      <w:proofErr w:type="spellStart"/>
      <w:r w:rsidRPr="001A06BD">
        <w:rPr>
          <w:lang w:val="es-CO"/>
        </w:rPr>
        <w:t>Organica</w:t>
      </w:r>
      <w:proofErr w:type="spellEnd"/>
      <w:r w:rsidRPr="001A06BD">
        <w:rPr>
          <w:lang w:val="es-CO"/>
        </w:rPr>
        <w:t>%</w:t>
      </w:r>
      <w:r w:rsidRPr="001A06BD">
        <w:rPr>
          <w:lang w:val="es-CO"/>
        </w:rPr>
        <w:tab/>
        <w:t xml:space="preserve">                     93,32</w:t>
      </w:r>
      <w:r w:rsidRPr="001A06BD">
        <w:rPr>
          <w:lang w:val="es-CO"/>
        </w:rPr>
        <w:tab/>
        <w:t xml:space="preserve">       93,85</w:t>
      </w:r>
      <w:r w:rsidRPr="001A06BD">
        <w:rPr>
          <w:lang w:val="es-CO"/>
        </w:rPr>
        <w:tab/>
        <w:t xml:space="preserve">       22,05</w:t>
      </w:r>
      <w:r w:rsidRPr="001A06BD">
        <w:rPr>
          <w:lang w:val="es-CO"/>
        </w:rPr>
        <w:tab/>
        <w:t xml:space="preserve">     77,25</w:t>
      </w:r>
      <w:r w:rsidRPr="001A06BD">
        <w:rPr>
          <w:lang w:val="es-CO"/>
        </w:rPr>
        <w:tab/>
        <w:t xml:space="preserve">    95,02</w:t>
      </w:r>
      <w:r w:rsidRPr="001A06BD">
        <w:rPr>
          <w:lang w:val="es-CO"/>
        </w:rPr>
        <w:tab/>
      </w:r>
    </w:p>
    <w:p w14:paraId="7E589F87" w14:textId="77777777" w:rsidR="001A06BD" w:rsidRPr="001A06BD" w:rsidRDefault="001A06BD" w:rsidP="001A06BD">
      <w:pPr>
        <w:jc w:val="both"/>
        <w:rPr>
          <w:lang w:val="es-CO"/>
        </w:rPr>
      </w:pPr>
      <w:r w:rsidRPr="001A06BD">
        <w:rPr>
          <w:lang w:val="es-CO"/>
        </w:rPr>
        <w:t>2,09</w:t>
      </w:r>
    </w:p>
    <w:p w14:paraId="28ECF1E2" w14:textId="77777777" w:rsidR="001A06BD" w:rsidRPr="001A06BD" w:rsidRDefault="001A06BD" w:rsidP="001A06BD">
      <w:pPr>
        <w:jc w:val="both"/>
        <w:rPr>
          <w:lang w:val="es-CO"/>
        </w:rPr>
      </w:pPr>
      <w:r w:rsidRPr="001A06BD">
        <w:rPr>
          <w:lang w:val="es-CO"/>
        </w:rPr>
        <w:t>C/N</w:t>
      </w:r>
      <w:r w:rsidRPr="001A06BD">
        <w:rPr>
          <w:lang w:val="es-CO"/>
        </w:rPr>
        <w:tab/>
      </w:r>
      <w:r w:rsidRPr="001A06BD">
        <w:rPr>
          <w:lang w:val="es-CO"/>
        </w:rPr>
        <w:tab/>
        <w:t xml:space="preserve">                                     34,7</w:t>
      </w:r>
      <w:r w:rsidRPr="001A06BD">
        <w:rPr>
          <w:lang w:val="es-CO"/>
        </w:rPr>
        <w:tab/>
        <w:t xml:space="preserve">        54,98</w:t>
      </w:r>
      <w:r w:rsidRPr="001A06BD">
        <w:rPr>
          <w:lang w:val="es-CO"/>
        </w:rPr>
        <w:tab/>
        <w:t xml:space="preserve">         6,99</w:t>
      </w:r>
      <w:r w:rsidRPr="001A06BD">
        <w:rPr>
          <w:lang w:val="es-CO"/>
        </w:rPr>
        <w:tab/>
        <w:t xml:space="preserve">       23,83</w:t>
      </w:r>
      <w:r w:rsidRPr="001A06BD">
        <w:rPr>
          <w:lang w:val="es-CO"/>
        </w:rPr>
        <w:tab/>
        <w:t>49,65</w:t>
      </w:r>
      <w:r w:rsidRPr="001A06BD">
        <w:rPr>
          <w:lang w:val="es-CO"/>
        </w:rPr>
        <w:tab/>
      </w:r>
    </w:p>
    <w:p w14:paraId="25083E0D" w14:textId="77777777" w:rsidR="001A06BD" w:rsidRPr="001A06BD" w:rsidRDefault="001A06BD" w:rsidP="001A06BD">
      <w:pPr>
        <w:jc w:val="both"/>
        <w:rPr>
          <w:lang w:val="es-CO"/>
        </w:rPr>
      </w:pPr>
      <w:proofErr w:type="spellStart"/>
      <w:r w:rsidRPr="001A06BD">
        <w:rPr>
          <w:lang w:val="es-CO"/>
        </w:rPr>
        <w:t>DQOb</w:t>
      </w:r>
      <w:proofErr w:type="spellEnd"/>
      <w:r w:rsidRPr="001A06BD">
        <w:rPr>
          <w:lang w:val="es-CO"/>
        </w:rPr>
        <w:tab/>
        <w:t xml:space="preserve">       g/L</w:t>
      </w:r>
      <w:r w:rsidRPr="001A06BD">
        <w:rPr>
          <w:lang w:val="es-CO"/>
        </w:rPr>
        <w:tab/>
        <w:t xml:space="preserve">                                      13,73</w:t>
      </w:r>
      <w:r w:rsidRPr="001A06BD">
        <w:rPr>
          <w:lang w:val="es-CO"/>
        </w:rPr>
        <w:tab/>
        <w:t xml:space="preserve">         10,46</w:t>
      </w:r>
      <w:r w:rsidRPr="001A06BD">
        <w:rPr>
          <w:lang w:val="es-CO"/>
        </w:rPr>
        <w:tab/>
        <w:t xml:space="preserve">      12,47           </w:t>
      </w:r>
      <w:r w:rsidRPr="001A06BD">
        <w:rPr>
          <w:lang w:val="es-CO"/>
        </w:rPr>
        <w:tab/>
        <w:t>25,71</w:t>
      </w:r>
      <w:r w:rsidRPr="001A06BD">
        <w:rPr>
          <w:lang w:val="es-CO"/>
        </w:rPr>
        <w:tab/>
        <w:t xml:space="preserve">             15,25</w:t>
      </w:r>
      <w:r w:rsidRPr="001A06BD">
        <w:rPr>
          <w:lang w:val="es-CO"/>
        </w:rPr>
        <w:tab/>
      </w:r>
    </w:p>
    <w:p w14:paraId="48412F1F" w14:textId="77777777" w:rsidR="001A06BD" w:rsidRPr="001A06BD" w:rsidRDefault="001A06BD" w:rsidP="001A06BD">
      <w:pPr>
        <w:jc w:val="both"/>
        <w:rPr>
          <w:lang w:val="es-CO"/>
        </w:rPr>
      </w:pPr>
      <w:r w:rsidRPr="001A06BD">
        <w:rPr>
          <w:lang w:val="es-CO"/>
        </w:rPr>
        <w:t>10,82</w:t>
      </w:r>
    </w:p>
    <w:p w14:paraId="07B98D29" w14:textId="77777777" w:rsidR="001A06BD" w:rsidRPr="001A06BD" w:rsidRDefault="001A06BD" w:rsidP="001A06BD">
      <w:pPr>
        <w:jc w:val="both"/>
        <w:rPr>
          <w:lang w:val="es-CO"/>
        </w:rPr>
      </w:pPr>
      <w:proofErr w:type="gramStart"/>
      <w:r w:rsidRPr="001A06BD">
        <w:rPr>
          <w:lang w:val="es-CO"/>
        </w:rPr>
        <w:t>a</w:t>
      </w:r>
      <w:proofErr w:type="gramEnd"/>
      <w:r w:rsidRPr="001A06BD">
        <w:rPr>
          <w:lang w:val="es-CO"/>
        </w:rPr>
        <w:t xml:space="preserve"> Promedio ± desviación estándar, b Muestra base húmeda, c Muestra base seca.</w:t>
      </w:r>
    </w:p>
    <w:p w14:paraId="04EDE05D" w14:textId="746909A6" w:rsidR="001A06BD" w:rsidRDefault="001A06BD" w:rsidP="001A06BD">
      <w:pPr>
        <w:jc w:val="both"/>
        <w:rPr>
          <w:lang w:val="es-CO"/>
        </w:rPr>
      </w:pPr>
      <w:r w:rsidRPr="001A06BD">
        <w:rPr>
          <w:lang w:val="es-CO"/>
        </w:rPr>
        <w:t xml:space="preserve">La producción de biogás obtenida con la </w:t>
      </w:r>
      <w:proofErr w:type="spellStart"/>
      <w:r w:rsidRPr="001A06BD">
        <w:rPr>
          <w:lang w:val="es-CO"/>
        </w:rPr>
        <w:t>codigestión</w:t>
      </w:r>
      <w:proofErr w:type="spellEnd"/>
      <w:r w:rsidRPr="001A06BD">
        <w:rPr>
          <w:lang w:val="es-CO"/>
        </w:rPr>
        <w:t xml:space="preserve"> anaeróbica de los residuos seleccionados mostró que las combinaciones 2, 3, 8 y 12 para las 3 mezclas lograron una mayor producción debido a su contenido de sólidos volátiles que corresponde a 0,5 </w:t>
      </w:r>
      <w:proofErr w:type="spellStart"/>
      <w:r w:rsidRPr="001A06BD">
        <w:rPr>
          <w:lang w:val="es-CO"/>
        </w:rPr>
        <w:t>gVS</w:t>
      </w:r>
      <w:proofErr w:type="spellEnd"/>
      <w:r w:rsidRPr="001A06BD">
        <w:rPr>
          <w:lang w:val="es-CO"/>
        </w:rPr>
        <w:t xml:space="preserve">. Por otro lado, se observó que la relación C/N tiene menos relación con el proceso de producción de metano debido a que las combinaciones mencionadas reportaron valores similares. Sin embargo, la combinación 12 fue la que produjo la mayor parte del biogás, correspondiente a la mezcla 1 con una relación C/N de 25, lo que sugiere que la </w:t>
      </w:r>
      <w:proofErr w:type="spellStart"/>
      <w:r w:rsidRPr="001A06BD">
        <w:rPr>
          <w:lang w:val="es-CO"/>
        </w:rPr>
        <w:t>co</w:t>
      </w:r>
      <w:proofErr w:type="spellEnd"/>
      <w:r w:rsidRPr="001A06BD">
        <w:rPr>
          <w:lang w:val="es-CO"/>
        </w:rPr>
        <w:t>-digestión de lodos de depuración y estiércol de cerdo (contenido de 50/50) junto con otros desechos orgánicos mejorar la producción de biogás y la degradación de la materia orgánica debido a los compuestos inhibidores diluidos y una relación más equilibrada de carbono a nitrógeno (</w:t>
      </w:r>
      <w:proofErr w:type="spellStart"/>
      <w:r w:rsidRPr="001A06BD">
        <w:rPr>
          <w:lang w:val="es-CO"/>
        </w:rPr>
        <w:t>Luostarinen</w:t>
      </w:r>
      <w:proofErr w:type="spellEnd"/>
      <w:r w:rsidRPr="001A06BD">
        <w:rPr>
          <w:lang w:val="es-CO"/>
        </w:rPr>
        <w:t>, 2009). Además, los resultados sugieren que hay una mejor interacción entre la mezcla de los sustratos de Residuos de la Industria de Bebidas de Frutas Envasadas (RBFDI), estiércol de cerdo y la Fracción Orgánica de los Residuos Sólidos Municipales (OFMSW). Podría explicarse debido al alto contenido de azúcar de la RBFDI y los macro y micronutrientes del estiércol de cerdo y OFMSW, que respaldan el proceso incluso en el sistema de amortiguación (Cabeza, et al., 2016) (ver Gráfico 2).</w:t>
      </w:r>
    </w:p>
    <w:p w14:paraId="175796E0" w14:textId="44B5E768" w:rsidR="001A06BD" w:rsidRDefault="001A06BD" w:rsidP="001A06BD">
      <w:pPr>
        <w:jc w:val="both"/>
        <w:rPr>
          <w:lang w:val="es-CO"/>
        </w:rPr>
      </w:pPr>
      <w:r w:rsidRPr="003036E9">
        <w:rPr>
          <w:noProof/>
          <w:lang w:val="es-CO" w:eastAsia="es-CO"/>
        </w:rPr>
        <w:drawing>
          <wp:inline distT="0" distB="0" distL="0" distR="0" wp14:anchorId="117B49EA" wp14:editId="41CF5446">
            <wp:extent cx="3405179" cy="3352626"/>
            <wp:effectExtent l="0" t="0" r="5080" b="635"/>
            <wp:docPr id="1" name="Shape 219"/>
            <wp:cNvGraphicFramePr/>
            <a:graphic xmlns:a="http://schemas.openxmlformats.org/drawingml/2006/main">
              <a:graphicData uri="http://schemas.openxmlformats.org/drawingml/2006/picture">
                <pic:pic xmlns:pic="http://schemas.openxmlformats.org/drawingml/2006/picture">
                  <pic:nvPicPr>
                    <pic:cNvPr id="219" name="Shape 219"/>
                    <pic:cNvPicPr preferRelativeResize="0"/>
                  </pic:nvPicPr>
                  <pic:blipFill>
                    <a:blip r:embed="rId7">
                      <a:alphaModFix/>
                    </a:blip>
                    <a:stretch>
                      <a:fillRect/>
                    </a:stretch>
                  </pic:blipFill>
                  <pic:spPr>
                    <a:xfrm>
                      <a:off x="0" y="0"/>
                      <a:ext cx="3405179" cy="3352626"/>
                    </a:xfrm>
                    <a:prstGeom prst="rect">
                      <a:avLst/>
                    </a:prstGeom>
                    <a:noFill/>
                    <a:ln>
                      <a:noFill/>
                    </a:ln>
                  </pic:spPr>
                </pic:pic>
              </a:graphicData>
            </a:graphic>
          </wp:inline>
        </w:drawing>
      </w:r>
    </w:p>
    <w:p w14:paraId="0D73436D" w14:textId="77777777" w:rsidR="001A06BD" w:rsidRPr="001A06BD" w:rsidRDefault="001A06BD" w:rsidP="001A06BD">
      <w:pPr>
        <w:jc w:val="both"/>
        <w:rPr>
          <w:lang w:val="es-CO"/>
        </w:rPr>
      </w:pPr>
      <w:proofErr w:type="spellStart"/>
      <w:r w:rsidRPr="001A06BD">
        <w:rPr>
          <w:b/>
          <w:lang w:val="es-CO"/>
        </w:rPr>
        <w:t>Fig</w:t>
      </w:r>
      <w:proofErr w:type="spellEnd"/>
      <w:r w:rsidRPr="001A06BD">
        <w:rPr>
          <w:b/>
          <w:lang w:val="es-CO"/>
        </w:rPr>
        <w:t xml:space="preserve"> 1.</w:t>
      </w:r>
      <w:r w:rsidRPr="001A06BD">
        <w:rPr>
          <w:lang w:val="es-CO"/>
        </w:rPr>
        <w:t xml:space="preserve"> Montaje experimental. (a) frascos de solución de </w:t>
      </w:r>
      <w:proofErr w:type="spellStart"/>
      <w:r w:rsidRPr="001A06BD">
        <w:rPr>
          <w:lang w:val="es-CO"/>
        </w:rPr>
        <w:t>NaOH</w:t>
      </w:r>
      <w:proofErr w:type="spellEnd"/>
      <w:r w:rsidRPr="001A06BD">
        <w:rPr>
          <w:lang w:val="es-CO"/>
        </w:rPr>
        <w:t xml:space="preserve"> (pH=9), (b) válvula, (c) tubería, (d) frascos de recolección, (e) reactores, (f) bomba de agua, (g) calentador termostático, (h) baño de agua.</w:t>
      </w:r>
    </w:p>
    <w:p w14:paraId="1643DE5A" w14:textId="687B4F7D" w:rsidR="001A06BD" w:rsidRPr="001A06BD" w:rsidRDefault="001A06BD" w:rsidP="001A06BD">
      <w:pPr>
        <w:jc w:val="both"/>
        <w:rPr>
          <w:lang w:val="en-US"/>
        </w:rPr>
      </w:pPr>
      <w:r w:rsidRPr="001A06BD">
        <w:rPr>
          <w:b/>
          <w:lang w:val="en-US"/>
        </w:rPr>
        <w:t>Fig 1.</w:t>
      </w:r>
      <w:r w:rsidRPr="001A06BD">
        <w:rPr>
          <w:lang w:val="en-US"/>
        </w:rPr>
        <w:t xml:space="preserve"> Experimental set up. (</w:t>
      </w:r>
      <w:proofErr w:type="gramStart"/>
      <w:r w:rsidRPr="001A06BD">
        <w:rPr>
          <w:lang w:val="en-US"/>
        </w:rPr>
        <w:t>a</w:t>
      </w:r>
      <w:proofErr w:type="gramEnd"/>
      <w:r w:rsidRPr="001A06BD">
        <w:rPr>
          <w:lang w:val="en-US"/>
        </w:rPr>
        <w:t xml:space="preserve">) </w:t>
      </w:r>
      <w:proofErr w:type="spellStart"/>
      <w:r w:rsidRPr="001A06BD">
        <w:rPr>
          <w:lang w:val="en-US"/>
        </w:rPr>
        <w:t>NaOH</w:t>
      </w:r>
      <w:proofErr w:type="spellEnd"/>
      <w:r w:rsidRPr="001A06BD">
        <w:rPr>
          <w:lang w:val="en-US"/>
        </w:rPr>
        <w:t xml:space="preserve"> solution jars, (b) valve, (c) tubing, (d) compiler jars, (e) reactors, (f) water pump, (g) thermostatic heater, (h) water bath.</w:t>
      </w:r>
    </w:p>
    <w:p w14:paraId="0A6FBD82" w14:textId="7BC5DE4B" w:rsidR="001A06BD" w:rsidRPr="004762A2" w:rsidRDefault="001A06BD" w:rsidP="001A06BD">
      <w:pPr>
        <w:jc w:val="both"/>
        <w:rPr>
          <w:lang w:val="es-CO"/>
        </w:rPr>
      </w:pPr>
      <w:r w:rsidRPr="003036E9">
        <w:rPr>
          <w:noProof/>
          <w:lang w:val="es-CO" w:eastAsia="es-CO"/>
        </w:rPr>
        <w:drawing>
          <wp:inline distT="0" distB="0" distL="0" distR="0" wp14:anchorId="70EDDAAE" wp14:editId="6FEB33BA">
            <wp:extent cx="4572000" cy="2743200"/>
            <wp:effectExtent l="0" t="0" r="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0673912" w14:textId="51534ED5" w:rsidR="001A06BD" w:rsidRPr="001A06BD" w:rsidRDefault="001A06BD" w:rsidP="001A06BD">
      <w:pPr>
        <w:jc w:val="both"/>
        <w:rPr>
          <w:lang w:val="es-CO"/>
        </w:rPr>
      </w:pPr>
      <w:r w:rsidRPr="001A06BD">
        <w:rPr>
          <w:b/>
          <w:lang w:val="es-CO"/>
        </w:rPr>
        <w:t>G</w:t>
      </w:r>
      <w:r w:rsidRPr="001A06BD">
        <w:rPr>
          <w:b/>
          <w:lang w:val="es-CO"/>
        </w:rPr>
        <w:t>ráfico 2</w:t>
      </w:r>
      <w:r w:rsidRPr="001A06BD">
        <w:rPr>
          <w:b/>
          <w:lang w:val="es-CO"/>
        </w:rPr>
        <w:t>:</w:t>
      </w:r>
      <w:r>
        <w:rPr>
          <w:lang w:val="es-CO"/>
        </w:rPr>
        <w:t xml:space="preserve"> </w:t>
      </w:r>
      <w:r w:rsidRPr="001A06BD">
        <w:rPr>
          <w:lang w:val="es-CO"/>
        </w:rPr>
        <w:t xml:space="preserve">Producción de metano de cada mezcla y combinación, según el diseño experimental del box </w:t>
      </w:r>
      <w:proofErr w:type="spellStart"/>
      <w:r w:rsidRPr="001A06BD">
        <w:rPr>
          <w:lang w:val="es-CO"/>
        </w:rPr>
        <w:t>behnken</w:t>
      </w:r>
      <w:proofErr w:type="spellEnd"/>
      <w:r w:rsidRPr="001A06BD">
        <w:rPr>
          <w:lang w:val="es-CO"/>
        </w:rPr>
        <w:t>. C: Combinaciones. MEZCLA 1: RIBEF y FORSU; MEZCLA 2: RIBEF y RIC; M3: FORSU y RIC.</w:t>
      </w:r>
    </w:p>
    <w:p w14:paraId="13466558" w14:textId="1DB01CC6" w:rsidR="001A06BD" w:rsidRPr="001A06BD" w:rsidRDefault="001A06BD" w:rsidP="001A06BD">
      <w:pPr>
        <w:jc w:val="both"/>
        <w:rPr>
          <w:lang w:val="en-US"/>
        </w:rPr>
      </w:pPr>
      <w:r w:rsidRPr="001A06BD">
        <w:rPr>
          <w:b/>
          <w:lang w:val="en-US"/>
        </w:rPr>
        <w:t>Graph 2</w:t>
      </w:r>
      <w:r w:rsidRPr="001A06BD">
        <w:rPr>
          <w:b/>
          <w:lang w:val="en-US"/>
        </w:rPr>
        <w:t xml:space="preserve">. </w:t>
      </w:r>
      <w:r w:rsidRPr="001A06BD">
        <w:rPr>
          <w:lang w:val="en-US"/>
        </w:rPr>
        <w:t xml:space="preserve">Methane production of each mixture and combination, according to the box </w:t>
      </w:r>
      <w:proofErr w:type="spellStart"/>
      <w:r w:rsidRPr="001A06BD">
        <w:rPr>
          <w:lang w:val="en-US"/>
        </w:rPr>
        <w:t>behnken</w:t>
      </w:r>
      <w:proofErr w:type="spellEnd"/>
      <w:r w:rsidRPr="001A06BD">
        <w:rPr>
          <w:lang w:val="en-US"/>
        </w:rPr>
        <w:t xml:space="preserve"> experimental design, with C/N ratios of 25, 35 and 45. C: Combination of treatments performed. MIXTURE 1: RBFDI and OFMSW; MIXTURE 2: RBFDI and CIR; M3: OFMSW and CIR.</w:t>
      </w:r>
    </w:p>
    <w:p w14:paraId="34C50210" w14:textId="77777777" w:rsidR="001A06BD" w:rsidRPr="00AC6918" w:rsidRDefault="001A06BD" w:rsidP="001A06BD">
      <w:pPr>
        <w:jc w:val="both"/>
        <w:rPr>
          <w:sz w:val="28"/>
          <w:lang w:val="es-CO"/>
        </w:rPr>
      </w:pPr>
      <w:r w:rsidRPr="00AC6918">
        <w:rPr>
          <w:b/>
          <w:sz w:val="28"/>
          <w:lang w:val="es-CO"/>
        </w:rPr>
        <w:t>CONCLUSIONES</w:t>
      </w:r>
      <w:r w:rsidRPr="00AC6918">
        <w:rPr>
          <w:sz w:val="28"/>
          <w:lang w:val="es-CO"/>
        </w:rPr>
        <w:t xml:space="preserve">: </w:t>
      </w:r>
    </w:p>
    <w:p w14:paraId="04ECF516" w14:textId="7BFD9AB6" w:rsidR="001A06BD" w:rsidRPr="004762A2" w:rsidRDefault="001A06BD" w:rsidP="001A06BD">
      <w:pPr>
        <w:jc w:val="both"/>
        <w:rPr>
          <w:lang w:val="es-CO"/>
        </w:rPr>
      </w:pPr>
      <w:r w:rsidRPr="001A06BD">
        <w:rPr>
          <w:lang w:val="es-CO"/>
        </w:rPr>
        <w:t>Todos los sustratos evaluados en este estudio tienen la capacidad de producir metano debido a la generación de relaciones sinérgicas que permiten la valoración de los mismos. A su vez, este estudio muestra que el contenido de gramos de sólidos volátiles (</w:t>
      </w:r>
      <w:proofErr w:type="spellStart"/>
      <w:r w:rsidRPr="001A06BD">
        <w:rPr>
          <w:lang w:val="es-CO"/>
        </w:rPr>
        <w:t>gVS</w:t>
      </w:r>
      <w:proofErr w:type="spellEnd"/>
      <w:r w:rsidRPr="001A06BD">
        <w:rPr>
          <w:lang w:val="es-CO"/>
        </w:rPr>
        <w:t xml:space="preserve">) es una variable fuerte en la producción de metano, la relación C/N se encuentra en tasas medias y es necesaria una fuente fuerte de nitrógeno, esto sugiere que en el diseño de planta de producción de biogás y las mezclas de digestión se deben tener estos parámetros en cuenta. Además, se </w:t>
      </w:r>
      <w:proofErr w:type="spellStart"/>
      <w:r w:rsidRPr="001A06BD">
        <w:rPr>
          <w:lang w:val="es-CO"/>
        </w:rPr>
        <w:t>encontro</w:t>
      </w:r>
      <w:proofErr w:type="spellEnd"/>
      <w:r w:rsidRPr="001A06BD">
        <w:rPr>
          <w:lang w:val="es-CO"/>
        </w:rPr>
        <w:t xml:space="preserve"> que la mejor mezcla  para la producción de biogás está compuesta por residuos de la industria de bebidas de frutas embotelladas (RBFDI), la fracción orgánica de los residuos sólidos municipales (OFMSW), estiércol de porcino y lodos de aguas residuales, con una producción acumulada de 291 ml de CH4 / </w:t>
      </w:r>
      <w:proofErr w:type="spellStart"/>
      <w:r w:rsidRPr="001A06BD">
        <w:rPr>
          <w:lang w:val="es-CO"/>
        </w:rPr>
        <w:t>gVS</w:t>
      </w:r>
      <w:proofErr w:type="spellEnd"/>
      <w:r w:rsidRPr="001A06BD">
        <w:rPr>
          <w:lang w:val="es-CO"/>
        </w:rPr>
        <w:t>.</w:t>
      </w:r>
    </w:p>
    <w:p w14:paraId="1182F53B" w14:textId="77777777" w:rsidR="001A06BD" w:rsidRPr="00AC6918" w:rsidRDefault="001A06BD" w:rsidP="001A06BD">
      <w:pPr>
        <w:jc w:val="both"/>
        <w:rPr>
          <w:sz w:val="28"/>
          <w:lang w:val="es-CO"/>
        </w:rPr>
      </w:pPr>
      <w:r w:rsidRPr="00AC6918">
        <w:rPr>
          <w:b/>
          <w:sz w:val="28"/>
          <w:lang w:val="es-CO"/>
        </w:rPr>
        <w:t>LITERATURA CITADA</w:t>
      </w:r>
      <w:r w:rsidRPr="00AC6918">
        <w:rPr>
          <w:sz w:val="28"/>
          <w:lang w:val="es-CO"/>
        </w:rPr>
        <w:t xml:space="preserve">: </w:t>
      </w:r>
    </w:p>
    <w:p w14:paraId="39782827" w14:textId="77777777" w:rsidR="001A06BD" w:rsidRPr="001A06BD" w:rsidRDefault="001A06BD" w:rsidP="001A06BD">
      <w:pPr>
        <w:jc w:val="both"/>
        <w:rPr>
          <w:lang w:val="en-US"/>
        </w:rPr>
      </w:pPr>
      <w:proofErr w:type="spellStart"/>
      <w:r w:rsidRPr="001A06BD">
        <w:t>Alatriste-Mindragon</w:t>
      </w:r>
      <w:proofErr w:type="spellEnd"/>
      <w:r w:rsidRPr="001A06BD">
        <w:t xml:space="preserve">, F., Samar, P., Cox, H., </w:t>
      </w:r>
      <w:proofErr w:type="spellStart"/>
      <w:r w:rsidRPr="001A06BD">
        <w:t>Ahring</w:t>
      </w:r>
      <w:proofErr w:type="spellEnd"/>
      <w:r w:rsidRPr="001A06BD">
        <w:t xml:space="preserve">, B., &amp; </w:t>
      </w:r>
      <w:proofErr w:type="spellStart"/>
      <w:r w:rsidRPr="001A06BD">
        <w:t>Iranpour</w:t>
      </w:r>
      <w:proofErr w:type="spellEnd"/>
      <w:r w:rsidRPr="001A06BD">
        <w:t xml:space="preserve">, R. (2006). </w:t>
      </w:r>
      <w:r w:rsidRPr="001A06BD">
        <w:rPr>
          <w:lang w:val="en-US"/>
        </w:rPr>
        <w:t xml:space="preserve">Anaerobic </w:t>
      </w:r>
      <w:proofErr w:type="spellStart"/>
      <w:r w:rsidRPr="001A06BD">
        <w:rPr>
          <w:lang w:val="en-US"/>
        </w:rPr>
        <w:t>codigestion</w:t>
      </w:r>
      <w:proofErr w:type="spellEnd"/>
      <w:r w:rsidRPr="001A06BD">
        <w:rPr>
          <w:lang w:val="en-US"/>
        </w:rPr>
        <w:t xml:space="preserve"> of municipal, farm and industrial organic wastes: A survey of recent literature. Water Environment Research, 78(6), 607-636.</w:t>
      </w:r>
    </w:p>
    <w:p w14:paraId="51A93E47" w14:textId="77777777" w:rsidR="001A06BD" w:rsidRPr="001A06BD" w:rsidRDefault="001A06BD" w:rsidP="001A06BD">
      <w:pPr>
        <w:jc w:val="both"/>
        <w:rPr>
          <w:lang w:val="es-CO"/>
        </w:rPr>
      </w:pPr>
      <w:proofErr w:type="spellStart"/>
      <w:r w:rsidRPr="001A06BD">
        <w:rPr>
          <w:lang w:val="en-US"/>
        </w:rPr>
        <w:t>Cabeza</w:t>
      </w:r>
      <w:proofErr w:type="spellEnd"/>
      <w:r w:rsidRPr="001A06BD">
        <w:rPr>
          <w:lang w:val="en-US"/>
        </w:rPr>
        <w:t xml:space="preserve">, I., Thomas, M., Vasquez, A., Acevedo, P., &amp; Hernandez, M. (2016). Anaerobic co-digestion of organic residues from different productive sectors in Colombia: </w:t>
      </w:r>
      <w:proofErr w:type="spellStart"/>
      <w:r w:rsidRPr="001A06BD">
        <w:rPr>
          <w:lang w:val="en-US"/>
        </w:rPr>
        <w:t>biomethanation</w:t>
      </w:r>
      <w:proofErr w:type="spellEnd"/>
      <w:r w:rsidRPr="001A06BD">
        <w:rPr>
          <w:lang w:val="en-US"/>
        </w:rPr>
        <w:t xml:space="preserve"> potential assessment. </w:t>
      </w:r>
      <w:proofErr w:type="spellStart"/>
      <w:r w:rsidRPr="001A06BD">
        <w:rPr>
          <w:lang w:val="es-CO"/>
        </w:rPr>
        <w:t>Chemical</w:t>
      </w:r>
      <w:proofErr w:type="spellEnd"/>
      <w:r w:rsidRPr="001A06BD">
        <w:rPr>
          <w:lang w:val="es-CO"/>
        </w:rPr>
        <w:t xml:space="preserve"> </w:t>
      </w:r>
      <w:proofErr w:type="spellStart"/>
      <w:r w:rsidRPr="001A06BD">
        <w:rPr>
          <w:lang w:val="es-CO"/>
        </w:rPr>
        <w:t>Engineering</w:t>
      </w:r>
      <w:proofErr w:type="spellEnd"/>
      <w:r w:rsidRPr="001A06BD">
        <w:rPr>
          <w:lang w:val="es-CO"/>
        </w:rPr>
        <w:t xml:space="preserve"> </w:t>
      </w:r>
      <w:proofErr w:type="spellStart"/>
      <w:r w:rsidRPr="001A06BD">
        <w:rPr>
          <w:lang w:val="es-CO"/>
        </w:rPr>
        <w:t>Transactions</w:t>
      </w:r>
      <w:proofErr w:type="spellEnd"/>
      <w:r w:rsidRPr="001A06BD">
        <w:rPr>
          <w:lang w:val="es-CO"/>
        </w:rPr>
        <w:t>, 49, 385-390.</w:t>
      </w:r>
    </w:p>
    <w:p w14:paraId="64C70906" w14:textId="77777777" w:rsidR="001A06BD" w:rsidRPr="001A06BD" w:rsidRDefault="001A06BD" w:rsidP="001A06BD">
      <w:pPr>
        <w:jc w:val="both"/>
        <w:rPr>
          <w:lang w:val="es-CO"/>
        </w:rPr>
      </w:pPr>
      <w:r w:rsidRPr="001A06BD">
        <w:rPr>
          <w:lang w:val="es-CO"/>
        </w:rPr>
        <w:t xml:space="preserve">Godoy, L., &amp; Sandoval, G. (2014). </w:t>
      </w:r>
      <w:proofErr w:type="spellStart"/>
      <w:r w:rsidRPr="001A06BD">
        <w:rPr>
          <w:lang w:val="es-CO"/>
        </w:rPr>
        <w:t>Enziman</w:t>
      </w:r>
      <w:proofErr w:type="spellEnd"/>
      <w:r w:rsidRPr="001A06BD">
        <w:rPr>
          <w:lang w:val="es-CO"/>
        </w:rPr>
        <w:t xml:space="preserve"> en la </w:t>
      </w:r>
      <w:proofErr w:type="spellStart"/>
      <w:r w:rsidRPr="001A06BD">
        <w:rPr>
          <w:lang w:val="es-CO"/>
        </w:rPr>
        <w:t>valorizacion</w:t>
      </w:r>
      <w:proofErr w:type="spellEnd"/>
      <w:r w:rsidRPr="001A06BD">
        <w:rPr>
          <w:lang w:val="es-CO"/>
        </w:rPr>
        <w:t xml:space="preserve"> de residuos </w:t>
      </w:r>
      <w:proofErr w:type="spellStart"/>
      <w:r w:rsidRPr="001A06BD">
        <w:rPr>
          <w:lang w:val="es-CO"/>
        </w:rPr>
        <w:t>agroidustriales</w:t>
      </w:r>
      <w:proofErr w:type="spellEnd"/>
      <w:r w:rsidRPr="001A06BD">
        <w:rPr>
          <w:lang w:val="es-CO"/>
        </w:rPr>
        <w:t>. Revista Digital Universitaria, 1-15.</w:t>
      </w:r>
    </w:p>
    <w:p w14:paraId="42B22636" w14:textId="77777777" w:rsidR="001A06BD" w:rsidRPr="001A06BD" w:rsidRDefault="001A06BD" w:rsidP="001A06BD">
      <w:pPr>
        <w:jc w:val="both"/>
        <w:rPr>
          <w:lang w:val="es-CO"/>
        </w:rPr>
      </w:pPr>
      <w:proofErr w:type="spellStart"/>
      <w:r w:rsidRPr="001A06BD">
        <w:rPr>
          <w:lang w:val="es-CO"/>
        </w:rPr>
        <w:t>Gomez</w:t>
      </w:r>
      <w:proofErr w:type="spellEnd"/>
      <w:r w:rsidRPr="001A06BD">
        <w:rPr>
          <w:lang w:val="es-CO"/>
        </w:rPr>
        <w:t xml:space="preserve">, X., Cuetos, M., Cara, J., Moran, A., &amp; </w:t>
      </w:r>
      <w:proofErr w:type="spellStart"/>
      <w:r w:rsidRPr="001A06BD">
        <w:rPr>
          <w:lang w:val="es-CO"/>
        </w:rPr>
        <w:t>Garcia</w:t>
      </w:r>
      <w:proofErr w:type="spellEnd"/>
      <w:r w:rsidRPr="001A06BD">
        <w:rPr>
          <w:lang w:val="es-CO"/>
        </w:rPr>
        <w:t xml:space="preserve">, A. (2006). </w:t>
      </w:r>
      <w:r w:rsidRPr="001A06BD">
        <w:rPr>
          <w:lang w:val="en-US"/>
        </w:rPr>
        <w:t xml:space="preserve">Anaerobic co-digestion of primary sludge and the fruit and vegetable fraction of the municipal solid wastes: conditions for mixing and evaluation of organic loading rate. </w:t>
      </w:r>
      <w:proofErr w:type="spellStart"/>
      <w:r w:rsidRPr="001A06BD">
        <w:rPr>
          <w:lang w:val="es-CO"/>
        </w:rPr>
        <w:t>Renewable</w:t>
      </w:r>
      <w:proofErr w:type="spellEnd"/>
      <w:r w:rsidRPr="001A06BD">
        <w:rPr>
          <w:lang w:val="es-CO"/>
        </w:rPr>
        <w:t xml:space="preserve"> </w:t>
      </w:r>
      <w:proofErr w:type="spellStart"/>
      <w:r w:rsidRPr="001A06BD">
        <w:rPr>
          <w:lang w:val="es-CO"/>
        </w:rPr>
        <w:t>Energy</w:t>
      </w:r>
      <w:proofErr w:type="spellEnd"/>
      <w:r w:rsidRPr="001A06BD">
        <w:rPr>
          <w:lang w:val="es-CO"/>
        </w:rPr>
        <w:t>, 31(12), 2017-2024.</w:t>
      </w:r>
    </w:p>
    <w:p w14:paraId="4770C932" w14:textId="77777777" w:rsidR="001A06BD" w:rsidRPr="001A06BD" w:rsidRDefault="001A06BD" w:rsidP="001A06BD">
      <w:pPr>
        <w:jc w:val="both"/>
        <w:rPr>
          <w:lang w:val="es-CO"/>
        </w:rPr>
      </w:pPr>
      <w:r w:rsidRPr="001A06BD">
        <w:rPr>
          <w:lang w:val="es-CO"/>
        </w:rPr>
        <w:t>IDAE. (2007). Biomasa: digestores anaerobios. Madrid.</w:t>
      </w:r>
    </w:p>
    <w:p w14:paraId="4CE36C5D" w14:textId="77777777" w:rsidR="001A06BD" w:rsidRPr="001A06BD" w:rsidRDefault="001A06BD" w:rsidP="001A06BD">
      <w:pPr>
        <w:jc w:val="both"/>
        <w:rPr>
          <w:lang w:val="en-US"/>
        </w:rPr>
      </w:pPr>
      <w:proofErr w:type="spellStart"/>
      <w:r w:rsidRPr="001A06BD">
        <w:rPr>
          <w:lang w:val="en-US"/>
        </w:rPr>
        <w:t>Karellas</w:t>
      </w:r>
      <w:proofErr w:type="spellEnd"/>
      <w:r w:rsidRPr="001A06BD">
        <w:rPr>
          <w:lang w:val="en-US"/>
        </w:rPr>
        <w:t xml:space="preserve">, S., </w:t>
      </w:r>
      <w:proofErr w:type="spellStart"/>
      <w:r w:rsidRPr="001A06BD">
        <w:rPr>
          <w:lang w:val="en-US"/>
        </w:rPr>
        <w:t>Boukis</w:t>
      </w:r>
      <w:proofErr w:type="spellEnd"/>
      <w:r w:rsidRPr="001A06BD">
        <w:rPr>
          <w:lang w:val="en-US"/>
        </w:rPr>
        <w:t xml:space="preserve">, I., &amp; </w:t>
      </w:r>
      <w:proofErr w:type="spellStart"/>
      <w:r w:rsidRPr="001A06BD">
        <w:rPr>
          <w:lang w:val="en-US"/>
        </w:rPr>
        <w:t>Kontopoulos</w:t>
      </w:r>
      <w:proofErr w:type="spellEnd"/>
      <w:r w:rsidRPr="001A06BD">
        <w:rPr>
          <w:lang w:val="en-US"/>
        </w:rPr>
        <w:t xml:space="preserve">, G. (2010). Development of an </w:t>
      </w:r>
      <w:proofErr w:type="spellStart"/>
      <w:r w:rsidRPr="001A06BD">
        <w:rPr>
          <w:lang w:val="en-US"/>
        </w:rPr>
        <w:t>invesment</w:t>
      </w:r>
      <w:proofErr w:type="spellEnd"/>
      <w:r w:rsidRPr="001A06BD">
        <w:rPr>
          <w:lang w:val="en-US"/>
        </w:rPr>
        <w:t xml:space="preserve"> decision tool for biogas production from agricultural waste. Renewable and Sustainable </w:t>
      </w:r>
      <w:proofErr w:type="spellStart"/>
      <w:r w:rsidRPr="001A06BD">
        <w:rPr>
          <w:lang w:val="en-US"/>
        </w:rPr>
        <w:t>Energu</w:t>
      </w:r>
      <w:proofErr w:type="spellEnd"/>
      <w:r w:rsidRPr="001A06BD">
        <w:rPr>
          <w:lang w:val="en-US"/>
        </w:rPr>
        <w:t xml:space="preserve"> Reviews, 1273-1282.</w:t>
      </w:r>
    </w:p>
    <w:p w14:paraId="4BC10686" w14:textId="77777777" w:rsidR="001A06BD" w:rsidRPr="001A06BD" w:rsidRDefault="001A06BD" w:rsidP="001A06BD">
      <w:pPr>
        <w:jc w:val="both"/>
        <w:rPr>
          <w:lang w:val="es-CO"/>
        </w:rPr>
      </w:pPr>
      <w:proofErr w:type="spellStart"/>
      <w:r w:rsidRPr="001A06BD">
        <w:rPr>
          <w:lang w:val="en-US"/>
        </w:rPr>
        <w:t>Lisboa</w:t>
      </w:r>
      <w:proofErr w:type="spellEnd"/>
      <w:r w:rsidRPr="001A06BD">
        <w:rPr>
          <w:lang w:val="en-US"/>
        </w:rPr>
        <w:t xml:space="preserve">, M., &amp; Lansing, S. (2013). Characterizing food waste substrates for co-digestion through biochemical methane potential (BMP) experiments. </w:t>
      </w:r>
      <w:proofErr w:type="spellStart"/>
      <w:r w:rsidRPr="001A06BD">
        <w:rPr>
          <w:lang w:val="es-CO"/>
        </w:rPr>
        <w:t>Waste</w:t>
      </w:r>
      <w:proofErr w:type="spellEnd"/>
      <w:r w:rsidRPr="001A06BD">
        <w:rPr>
          <w:lang w:val="es-CO"/>
        </w:rPr>
        <w:t xml:space="preserve"> Management, 33(12), 2664-2669.</w:t>
      </w:r>
    </w:p>
    <w:p w14:paraId="02A802BA" w14:textId="47241B3F" w:rsidR="001A06BD" w:rsidRPr="001A06BD" w:rsidRDefault="001A06BD" w:rsidP="001A06BD">
      <w:pPr>
        <w:jc w:val="both"/>
        <w:rPr>
          <w:lang w:val="es-CO"/>
        </w:rPr>
      </w:pPr>
      <w:r w:rsidRPr="001A06BD">
        <w:rPr>
          <w:lang w:val="es-CO"/>
        </w:rPr>
        <w:t>Mata-</w:t>
      </w:r>
      <w:proofErr w:type="spellStart"/>
      <w:r w:rsidRPr="001A06BD">
        <w:rPr>
          <w:lang w:val="es-CO"/>
        </w:rPr>
        <w:t>Alvarez</w:t>
      </w:r>
      <w:proofErr w:type="spellEnd"/>
      <w:r w:rsidRPr="001A06BD">
        <w:rPr>
          <w:lang w:val="es-CO"/>
        </w:rPr>
        <w:t xml:space="preserve">, J., </w:t>
      </w:r>
      <w:proofErr w:type="spellStart"/>
      <w:r w:rsidRPr="001A06BD">
        <w:rPr>
          <w:lang w:val="es-CO"/>
        </w:rPr>
        <w:t>Dosta</w:t>
      </w:r>
      <w:proofErr w:type="spellEnd"/>
      <w:r w:rsidRPr="001A06BD">
        <w:rPr>
          <w:lang w:val="es-CO"/>
        </w:rPr>
        <w:t xml:space="preserve">, J., Romero-Guiza, M., </w:t>
      </w:r>
      <w:proofErr w:type="spellStart"/>
      <w:r w:rsidRPr="001A06BD">
        <w:rPr>
          <w:lang w:val="es-CO"/>
        </w:rPr>
        <w:t>Fonoll</w:t>
      </w:r>
      <w:proofErr w:type="spellEnd"/>
      <w:r w:rsidRPr="001A06BD">
        <w:rPr>
          <w:lang w:val="es-CO"/>
        </w:rPr>
        <w:t xml:space="preserve">, X., Peces, M., &amp; </w:t>
      </w:r>
      <w:proofErr w:type="spellStart"/>
      <w:r w:rsidRPr="001A06BD">
        <w:rPr>
          <w:lang w:val="es-CO"/>
        </w:rPr>
        <w:t>Astals</w:t>
      </w:r>
      <w:proofErr w:type="spellEnd"/>
      <w:r w:rsidRPr="001A06BD">
        <w:rPr>
          <w:lang w:val="es-CO"/>
        </w:rPr>
        <w:t xml:space="preserve">, S. (2014). </w:t>
      </w:r>
      <w:r w:rsidRPr="001A06BD">
        <w:rPr>
          <w:lang w:val="en-US"/>
        </w:rPr>
        <w:t xml:space="preserve">A critical review on anaerobic co-digestion achievements between 2010 and 2013. </w:t>
      </w:r>
      <w:proofErr w:type="spellStart"/>
      <w:r w:rsidRPr="001A06BD">
        <w:rPr>
          <w:lang w:val="es-CO"/>
        </w:rPr>
        <w:t>Renewable</w:t>
      </w:r>
      <w:proofErr w:type="spellEnd"/>
      <w:r w:rsidRPr="001A06BD">
        <w:rPr>
          <w:lang w:val="es-CO"/>
        </w:rPr>
        <w:t xml:space="preserve"> and </w:t>
      </w:r>
      <w:proofErr w:type="spellStart"/>
      <w:r w:rsidRPr="001A06BD">
        <w:rPr>
          <w:lang w:val="es-CO"/>
        </w:rPr>
        <w:t>Sustainable</w:t>
      </w:r>
      <w:proofErr w:type="spellEnd"/>
      <w:r w:rsidRPr="001A06BD">
        <w:rPr>
          <w:lang w:val="es-CO"/>
        </w:rPr>
        <w:t xml:space="preserve"> </w:t>
      </w:r>
      <w:proofErr w:type="spellStart"/>
      <w:r w:rsidRPr="001A06BD">
        <w:rPr>
          <w:lang w:val="es-CO"/>
        </w:rPr>
        <w:t>Energy</w:t>
      </w:r>
      <w:proofErr w:type="spellEnd"/>
      <w:r w:rsidRPr="001A06BD">
        <w:rPr>
          <w:lang w:val="es-CO"/>
        </w:rPr>
        <w:t xml:space="preserve"> </w:t>
      </w:r>
      <w:proofErr w:type="spellStart"/>
      <w:r w:rsidRPr="001A06BD">
        <w:rPr>
          <w:lang w:val="es-CO"/>
        </w:rPr>
        <w:t>Reviews</w:t>
      </w:r>
      <w:proofErr w:type="spellEnd"/>
      <w:r w:rsidRPr="001A06BD">
        <w:rPr>
          <w:lang w:val="es-CO"/>
        </w:rPr>
        <w:t>, 36, 412-427.</w:t>
      </w:r>
    </w:p>
    <w:sectPr w:rsidR="001A06BD" w:rsidRPr="001A06BD" w:rsidSect="00A531D0">
      <w:headerReference w:type="default" r:id="rId9"/>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45A414" w14:textId="77777777" w:rsidR="00151254" w:rsidRDefault="00151254" w:rsidP="00242B72">
      <w:pPr>
        <w:spacing w:after="0" w:line="240" w:lineRule="auto"/>
      </w:pPr>
      <w:r>
        <w:separator/>
      </w:r>
    </w:p>
  </w:endnote>
  <w:endnote w:type="continuationSeparator" w:id="0">
    <w:p w14:paraId="636863DB" w14:textId="77777777" w:rsidR="00151254" w:rsidRDefault="00151254"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7EAA3C" w14:textId="77777777" w:rsidR="00151254" w:rsidRDefault="00151254" w:rsidP="00242B72">
      <w:pPr>
        <w:spacing w:after="0" w:line="240" w:lineRule="auto"/>
      </w:pPr>
      <w:r>
        <w:separator/>
      </w:r>
    </w:p>
  </w:footnote>
  <w:footnote w:type="continuationSeparator" w:id="0">
    <w:p w14:paraId="3F6620AD" w14:textId="77777777" w:rsidR="00151254" w:rsidRDefault="00151254"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3875D9"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3875D9"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isplayBackgroundShape/>
  <w:proofState w:spelling="clean" w:grammar="clean"/>
  <w:documentProtection w:edit="forms" w:formatting="1"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73478"/>
    <w:rsid w:val="00086CA5"/>
    <w:rsid w:val="00113DDF"/>
    <w:rsid w:val="00151254"/>
    <w:rsid w:val="00160ED3"/>
    <w:rsid w:val="001814CA"/>
    <w:rsid w:val="001857FB"/>
    <w:rsid w:val="001A06BD"/>
    <w:rsid w:val="001A0E1B"/>
    <w:rsid w:val="001D0D5E"/>
    <w:rsid w:val="00205ECE"/>
    <w:rsid w:val="00232B71"/>
    <w:rsid w:val="00242B72"/>
    <w:rsid w:val="00284768"/>
    <w:rsid w:val="002C1272"/>
    <w:rsid w:val="002D3EAC"/>
    <w:rsid w:val="003036E9"/>
    <w:rsid w:val="00305EC7"/>
    <w:rsid w:val="00333AB8"/>
    <w:rsid w:val="00345CAC"/>
    <w:rsid w:val="003474F6"/>
    <w:rsid w:val="003606AA"/>
    <w:rsid w:val="003875D9"/>
    <w:rsid w:val="003933C5"/>
    <w:rsid w:val="003C5E2C"/>
    <w:rsid w:val="00413950"/>
    <w:rsid w:val="004759C2"/>
    <w:rsid w:val="004C4625"/>
    <w:rsid w:val="00566CF0"/>
    <w:rsid w:val="005B0608"/>
    <w:rsid w:val="005D1899"/>
    <w:rsid w:val="00613B64"/>
    <w:rsid w:val="00691E65"/>
    <w:rsid w:val="006960BB"/>
    <w:rsid w:val="0070217F"/>
    <w:rsid w:val="00780379"/>
    <w:rsid w:val="00781119"/>
    <w:rsid w:val="007C6797"/>
    <w:rsid w:val="008A3628"/>
    <w:rsid w:val="008F3FCF"/>
    <w:rsid w:val="00903629"/>
    <w:rsid w:val="009048D1"/>
    <w:rsid w:val="00911739"/>
    <w:rsid w:val="009120ED"/>
    <w:rsid w:val="00926F03"/>
    <w:rsid w:val="0094746A"/>
    <w:rsid w:val="00A3223A"/>
    <w:rsid w:val="00A43738"/>
    <w:rsid w:val="00A531D0"/>
    <w:rsid w:val="00A75DE5"/>
    <w:rsid w:val="00AC5292"/>
    <w:rsid w:val="00BB6351"/>
    <w:rsid w:val="00BC5316"/>
    <w:rsid w:val="00BD21BA"/>
    <w:rsid w:val="00C441BE"/>
    <w:rsid w:val="00CE26D0"/>
    <w:rsid w:val="00D146C8"/>
    <w:rsid w:val="00DB6C93"/>
    <w:rsid w:val="00F11E0A"/>
    <w:rsid w:val="00F66D31"/>
    <w:rsid w:val="00F92D65"/>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489F6F"/>
  <w15:docId w15:val="{839311F3-C3CE-40D5-9B36-590DF5799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 w:type="paragraph" w:styleId="Textodeglobo">
    <w:name w:val="Balloon Text"/>
    <w:basedOn w:val="Normal"/>
    <w:link w:val="TextodegloboCar"/>
    <w:uiPriority w:val="99"/>
    <w:semiHidden/>
    <w:unhideWhenUsed/>
    <w:rsid w:val="002C127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C1272"/>
    <w:rPr>
      <w:rFonts w:ascii="Tahoma" w:hAnsi="Tahoma" w:cs="Tahoma"/>
      <w:sz w:val="16"/>
      <w:szCs w:val="16"/>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v>C1</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errBars>
            <c:errBarType val="both"/>
            <c:errValType val="stdErr"/>
            <c:noEndCap val="0"/>
            <c:spPr>
              <a:noFill/>
              <a:ln w="9525">
                <a:solidFill>
                  <a:schemeClr val="tx1">
                    <a:lumMod val="50000"/>
                    <a:lumOff val="50000"/>
                  </a:schemeClr>
                </a:solidFill>
                <a:round/>
              </a:ln>
              <a:effectLst/>
            </c:spPr>
          </c:errBars>
          <c:cat>
            <c:strRef>
              <c:f>Mezclas!$B$3:$B$5</c:f>
              <c:strCache>
                <c:ptCount val="3"/>
                <c:pt idx="0">
                  <c:v>MEZCLA 1 </c:v>
                </c:pt>
                <c:pt idx="1">
                  <c:v>MEZCLA 2</c:v>
                </c:pt>
                <c:pt idx="2">
                  <c:v>MEZCLA 3</c:v>
                </c:pt>
              </c:strCache>
            </c:strRef>
          </c:cat>
          <c:val>
            <c:numRef>
              <c:f>Mezclas!$C$3:$C$5</c:f>
              <c:numCache>
                <c:formatCode>General</c:formatCode>
                <c:ptCount val="3"/>
                <c:pt idx="0">
                  <c:v>98.3333333333333</c:v>
                </c:pt>
                <c:pt idx="1">
                  <c:v>99.8333333333333</c:v>
                </c:pt>
                <c:pt idx="2">
                  <c:v>90.8333333333333</c:v>
                </c:pt>
              </c:numCache>
            </c:numRef>
          </c:val>
          <c:extLst xmlns:c16r2="http://schemas.microsoft.com/office/drawing/2015/06/chart">
            <c:ext xmlns:c16="http://schemas.microsoft.com/office/drawing/2014/chart" uri="{C3380CC4-5D6E-409C-BE32-E72D297353CC}">
              <c16:uniqueId val="{00000000-9174-4DF7-86C3-9BA0CDAE6118}"/>
            </c:ext>
          </c:extLst>
        </c:ser>
        <c:ser>
          <c:idx val="1"/>
          <c:order val="1"/>
          <c:tx>
            <c:v>C2</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errBars>
            <c:errBarType val="both"/>
            <c:errValType val="stdErr"/>
            <c:noEndCap val="0"/>
            <c:spPr>
              <a:noFill/>
              <a:ln w="9525">
                <a:solidFill>
                  <a:schemeClr val="tx1">
                    <a:lumMod val="50000"/>
                    <a:lumOff val="50000"/>
                  </a:schemeClr>
                </a:solidFill>
                <a:round/>
              </a:ln>
              <a:effectLst/>
            </c:spPr>
          </c:errBars>
          <c:cat>
            <c:strRef>
              <c:f>Mezclas!$B$3:$B$5</c:f>
              <c:strCache>
                <c:ptCount val="3"/>
                <c:pt idx="0">
                  <c:v>MEZCLA 1 </c:v>
                </c:pt>
                <c:pt idx="1">
                  <c:v>MEZCLA 2</c:v>
                </c:pt>
                <c:pt idx="2">
                  <c:v>MEZCLA 3</c:v>
                </c:pt>
              </c:strCache>
            </c:strRef>
          </c:cat>
          <c:val>
            <c:numRef>
              <c:f>Mezclas!$D$3:$D$5</c:f>
              <c:numCache>
                <c:formatCode>General</c:formatCode>
                <c:ptCount val="3"/>
                <c:pt idx="0">
                  <c:v>254.6666666666666</c:v>
                </c:pt>
                <c:pt idx="1">
                  <c:v>270.6666666666668</c:v>
                </c:pt>
                <c:pt idx="2">
                  <c:v>277.9999999999996</c:v>
                </c:pt>
              </c:numCache>
            </c:numRef>
          </c:val>
          <c:extLst xmlns:c16r2="http://schemas.microsoft.com/office/drawing/2015/06/chart">
            <c:ext xmlns:c16="http://schemas.microsoft.com/office/drawing/2014/chart" uri="{C3380CC4-5D6E-409C-BE32-E72D297353CC}">
              <c16:uniqueId val="{00000001-9174-4DF7-86C3-9BA0CDAE6118}"/>
            </c:ext>
          </c:extLst>
        </c:ser>
        <c:ser>
          <c:idx val="2"/>
          <c:order val="2"/>
          <c:tx>
            <c:v>C3</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errBars>
            <c:errBarType val="both"/>
            <c:errValType val="stdErr"/>
            <c:noEndCap val="0"/>
            <c:spPr>
              <a:noFill/>
              <a:ln w="9525">
                <a:solidFill>
                  <a:schemeClr val="tx1">
                    <a:lumMod val="50000"/>
                    <a:lumOff val="50000"/>
                  </a:schemeClr>
                </a:solidFill>
                <a:round/>
              </a:ln>
              <a:effectLst/>
            </c:spPr>
          </c:errBars>
          <c:cat>
            <c:strRef>
              <c:f>Mezclas!$B$3:$B$5</c:f>
              <c:strCache>
                <c:ptCount val="3"/>
                <c:pt idx="0">
                  <c:v>MEZCLA 1 </c:v>
                </c:pt>
                <c:pt idx="1">
                  <c:v>MEZCLA 2</c:v>
                </c:pt>
                <c:pt idx="2">
                  <c:v>MEZCLA 3</c:v>
                </c:pt>
              </c:strCache>
            </c:strRef>
          </c:cat>
          <c:val>
            <c:numRef>
              <c:f>Mezclas!$E$3:$E$5</c:f>
              <c:numCache>
                <c:formatCode>0.00</c:formatCode>
                <c:ptCount val="3"/>
                <c:pt idx="0" formatCode="General">
                  <c:v>240.3333333333334</c:v>
                </c:pt>
                <c:pt idx="1">
                  <c:v>240.6666666666666</c:v>
                </c:pt>
                <c:pt idx="2" formatCode="General">
                  <c:v>275.33333333333331</c:v>
                </c:pt>
              </c:numCache>
            </c:numRef>
          </c:val>
          <c:extLst xmlns:c16r2="http://schemas.microsoft.com/office/drawing/2015/06/chart">
            <c:ext xmlns:c16="http://schemas.microsoft.com/office/drawing/2014/chart" uri="{C3380CC4-5D6E-409C-BE32-E72D297353CC}">
              <c16:uniqueId val="{00000002-9174-4DF7-86C3-9BA0CDAE6118}"/>
            </c:ext>
          </c:extLst>
        </c:ser>
        <c:ser>
          <c:idx val="3"/>
          <c:order val="3"/>
          <c:tx>
            <c:v>C4</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errBars>
            <c:errBarType val="both"/>
            <c:errValType val="stdErr"/>
            <c:noEndCap val="0"/>
            <c:spPr>
              <a:noFill/>
              <a:ln w="9525">
                <a:solidFill>
                  <a:schemeClr val="tx1">
                    <a:lumMod val="50000"/>
                    <a:lumOff val="50000"/>
                  </a:schemeClr>
                </a:solidFill>
                <a:round/>
              </a:ln>
              <a:effectLst/>
            </c:spPr>
          </c:errBars>
          <c:cat>
            <c:strRef>
              <c:f>Mezclas!$B$3:$B$5</c:f>
              <c:strCache>
                <c:ptCount val="3"/>
                <c:pt idx="0">
                  <c:v>MEZCLA 1 </c:v>
                </c:pt>
                <c:pt idx="1">
                  <c:v>MEZCLA 2</c:v>
                </c:pt>
                <c:pt idx="2">
                  <c:v>MEZCLA 3</c:v>
                </c:pt>
              </c:strCache>
            </c:strRef>
          </c:cat>
          <c:val>
            <c:numRef>
              <c:f>Mezclas!$F$3:$F$5</c:f>
              <c:numCache>
                <c:formatCode>General</c:formatCode>
                <c:ptCount val="3"/>
                <c:pt idx="0">
                  <c:v>105.5</c:v>
                </c:pt>
                <c:pt idx="1">
                  <c:v>102.8333333333333</c:v>
                </c:pt>
                <c:pt idx="2">
                  <c:v>94.166666666666671</c:v>
                </c:pt>
              </c:numCache>
            </c:numRef>
          </c:val>
          <c:extLst xmlns:c16r2="http://schemas.microsoft.com/office/drawing/2015/06/chart">
            <c:ext xmlns:c16="http://schemas.microsoft.com/office/drawing/2014/chart" uri="{C3380CC4-5D6E-409C-BE32-E72D297353CC}">
              <c16:uniqueId val="{00000003-9174-4DF7-86C3-9BA0CDAE6118}"/>
            </c:ext>
          </c:extLst>
        </c:ser>
        <c:ser>
          <c:idx val="4"/>
          <c:order val="4"/>
          <c:tx>
            <c:v>C5</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errBars>
            <c:errBarType val="both"/>
            <c:errValType val="stdErr"/>
            <c:noEndCap val="0"/>
            <c:spPr>
              <a:noFill/>
              <a:ln w="9525">
                <a:solidFill>
                  <a:schemeClr val="tx1">
                    <a:lumMod val="50000"/>
                    <a:lumOff val="50000"/>
                  </a:schemeClr>
                </a:solidFill>
                <a:round/>
              </a:ln>
              <a:effectLst/>
            </c:spPr>
          </c:errBars>
          <c:cat>
            <c:strRef>
              <c:f>Mezclas!$B$3:$B$5</c:f>
              <c:strCache>
                <c:ptCount val="3"/>
                <c:pt idx="0">
                  <c:v>MEZCLA 1 </c:v>
                </c:pt>
                <c:pt idx="1">
                  <c:v>MEZCLA 2</c:v>
                </c:pt>
                <c:pt idx="2">
                  <c:v>MEZCLA 3</c:v>
                </c:pt>
              </c:strCache>
            </c:strRef>
          </c:cat>
          <c:val>
            <c:numRef>
              <c:f>Mezclas!$G$3:$G$5</c:f>
              <c:numCache>
                <c:formatCode>General</c:formatCode>
                <c:ptCount val="3"/>
                <c:pt idx="0">
                  <c:v>151.4666666666667</c:v>
                </c:pt>
                <c:pt idx="1">
                  <c:v>142.66666666666671</c:v>
                </c:pt>
                <c:pt idx="2">
                  <c:v>129.6</c:v>
                </c:pt>
              </c:numCache>
            </c:numRef>
          </c:val>
          <c:extLst xmlns:c16r2="http://schemas.microsoft.com/office/drawing/2015/06/chart">
            <c:ext xmlns:c16="http://schemas.microsoft.com/office/drawing/2014/chart" uri="{C3380CC4-5D6E-409C-BE32-E72D297353CC}">
              <c16:uniqueId val="{00000004-9174-4DF7-86C3-9BA0CDAE6118}"/>
            </c:ext>
          </c:extLst>
        </c:ser>
        <c:ser>
          <c:idx val="5"/>
          <c:order val="5"/>
          <c:tx>
            <c:v>C6</c:v>
          </c:tx>
          <c:spPr>
            <a:pattFill prst="narHorz">
              <a:fgClr>
                <a:schemeClr val="accent6"/>
              </a:fgClr>
              <a:bgClr>
                <a:schemeClr val="accent6">
                  <a:lumMod val="20000"/>
                  <a:lumOff val="80000"/>
                </a:schemeClr>
              </a:bgClr>
            </a:pattFill>
            <a:ln>
              <a:noFill/>
            </a:ln>
            <a:effectLst>
              <a:innerShdw blurRad="114300">
                <a:schemeClr val="accent6"/>
              </a:innerShdw>
            </a:effectLst>
          </c:spPr>
          <c:invertIfNegative val="0"/>
          <c:errBars>
            <c:errBarType val="both"/>
            <c:errValType val="stdErr"/>
            <c:noEndCap val="0"/>
            <c:spPr>
              <a:noFill/>
              <a:ln w="9525">
                <a:solidFill>
                  <a:schemeClr val="tx1">
                    <a:lumMod val="50000"/>
                    <a:lumOff val="50000"/>
                  </a:schemeClr>
                </a:solidFill>
                <a:round/>
              </a:ln>
              <a:effectLst/>
            </c:spPr>
          </c:errBars>
          <c:cat>
            <c:strRef>
              <c:f>Mezclas!$B$3:$B$5</c:f>
              <c:strCache>
                <c:ptCount val="3"/>
                <c:pt idx="0">
                  <c:v>MEZCLA 1 </c:v>
                </c:pt>
                <c:pt idx="1">
                  <c:v>MEZCLA 2</c:v>
                </c:pt>
                <c:pt idx="2">
                  <c:v>MEZCLA 3</c:v>
                </c:pt>
              </c:strCache>
            </c:strRef>
          </c:cat>
          <c:val>
            <c:numRef>
              <c:f>Mezclas!$H$3:$H$5</c:f>
              <c:numCache>
                <c:formatCode>General</c:formatCode>
                <c:ptCount val="3"/>
                <c:pt idx="0">
                  <c:v>166.13333333333341</c:v>
                </c:pt>
                <c:pt idx="1">
                  <c:v>177.6</c:v>
                </c:pt>
                <c:pt idx="2">
                  <c:v>150.4</c:v>
                </c:pt>
              </c:numCache>
            </c:numRef>
          </c:val>
          <c:extLst xmlns:c16r2="http://schemas.microsoft.com/office/drawing/2015/06/chart">
            <c:ext xmlns:c16="http://schemas.microsoft.com/office/drawing/2014/chart" uri="{C3380CC4-5D6E-409C-BE32-E72D297353CC}">
              <c16:uniqueId val="{00000005-9174-4DF7-86C3-9BA0CDAE6118}"/>
            </c:ext>
          </c:extLst>
        </c:ser>
        <c:ser>
          <c:idx val="6"/>
          <c:order val="6"/>
          <c:tx>
            <c:v>C7</c:v>
          </c:tx>
          <c:spPr>
            <a:pattFill prst="narHorz">
              <a:fgClr>
                <a:schemeClr val="accent1">
                  <a:lumMod val="60000"/>
                </a:schemeClr>
              </a:fgClr>
              <a:bgClr>
                <a:schemeClr val="accent1">
                  <a:lumMod val="60000"/>
                  <a:lumMod val="20000"/>
                  <a:lumOff val="80000"/>
                </a:schemeClr>
              </a:bgClr>
            </a:pattFill>
            <a:ln>
              <a:noFill/>
            </a:ln>
            <a:effectLst>
              <a:innerShdw blurRad="114300">
                <a:schemeClr val="accent1">
                  <a:lumMod val="60000"/>
                </a:schemeClr>
              </a:innerShdw>
            </a:effectLst>
          </c:spPr>
          <c:invertIfNegative val="0"/>
          <c:errBars>
            <c:errBarType val="both"/>
            <c:errValType val="stdErr"/>
            <c:noEndCap val="0"/>
            <c:spPr>
              <a:noFill/>
              <a:ln w="9525">
                <a:solidFill>
                  <a:schemeClr val="tx1">
                    <a:lumMod val="50000"/>
                    <a:lumOff val="50000"/>
                  </a:schemeClr>
                </a:solidFill>
                <a:round/>
              </a:ln>
              <a:effectLst/>
            </c:spPr>
          </c:errBars>
          <c:cat>
            <c:strRef>
              <c:f>Mezclas!$B$3:$B$5</c:f>
              <c:strCache>
                <c:ptCount val="3"/>
                <c:pt idx="0">
                  <c:v>MEZCLA 1 </c:v>
                </c:pt>
                <c:pt idx="1">
                  <c:v>MEZCLA 2</c:v>
                </c:pt>
                <c:pt idx="2">
                  <c:v>MEZCLA 3</c:v>
                </c:pt>
              </c:strCache>
            </c:strRef>
          </c:cat>
          <c:val>
            <c:numRef>
              <c:f>Mezclas!$I$3:$I$5</c:f>
              <c:numCache>
                <c:formatCode>General</c:formatCode>
                <c:ptCount val="3"/>
                <c:pt idx="0">
                  <c:v>172.93333333333339</c:v>
                </c:pt>
                <c:pt idx="1">
                  <c:v>169.3333333333334</c:v>
                </c:pt>
                <c:pt idx="2">
                  <c:v>149.6</c:v>
                </c:pt>
              </c:numCache>
            </c:numRef>
          </c:val>
          <c:extLst xmlns:c16r2="http://schemas.microsoft.com/office/drawing/2015/06/chart">
            <c:ext xmlns:c16="http://schemas.microsoft.com/office/drawing/2014/chart" uri="{C3380CC4-5D6E-409C-BE32-E72D297353CC}">
              <c16:uniqueId val="{00000006-9174-4DF7-86C3-9BA0CDAE6118}"/>
            </c:ext>
          </c:extLst>
        </c:ser>
        <c:ser>
          <c:idx val="7"/>
          <c:order val="7"/>
          <c:tx>
            <c:v>C8</c:v>
          </c:tx>
          <c:spPr>
            <a:pattFill prst="narHorz">
              <a:fgClr>
                <a:schemeClr val="accent2">
                  <a:lumMod val="60000"/>
                </a:schemeClr>
              </a:fgClr>
              <a:bgClr>
                <a:schemeClr val="accent2">
                  <a:lumMod val="60000"/>
                  <a:lumMod val="20000"/>
                  <a:lumOff val="80000"/>
                </a:schemeClr>
              </a:bgClr>
            </a:pattFill>
            <a:ln>
              <a:noFill/>
            </a:ln>
            <a:effectLst>
              <a:innerShdw blurRad="114300">
                <a:schemeClr val="accent2">
                  <a:lumMod val="60000"/>
                </a:schemeClr>
              </a:innerShdw>
            </a:effectLst>
          </c:spPr>
          <c:invertIfNegative val="0"/>
          <c:errBars>
            <c:errBarType val="both"/>
            <c:errValType val="stdErr"/>
            <c:noEndCap val="0"/>
            <c:spPr>
              <a:noFill/>
              <a:ln w="9525">
                <a:solidFill>
                  <a:schemeClr val="tx1">
                    <a:lumMod val="50000"/>
                    <a:lumOff val="50000"/>
                  </a:schemeClr>
                </a:solidFill>
                <a:round/>
              </a:ln>
              <a:effectLst/>
            </c:spPr>
          </c:errBars>
          <c:cat>
            <c:strRef>
              <c:f>Mezclas!$B$3:$B$5</c:f>
              <c:strCache>
                <c:ptCount val="3"/>
                <c:pt idx="0">
                  <c:v>MEZCLA 1 </c:v>
                </c:pt>
                <c:pt idx="1">
                  <c:v>MEZCLA 2</c:v>
                </c:pt>
                <c:pt idx="2">
                  <c:v>MEZCLA 3</c:v>
                </c:pt>
              </c:strCache>
            </c:strRef>
          </c:cat>
          <c:val>
            <c:numRef>
              <c:f>Mezclas!$J$3:$J$5</c:f>
              <c:numCache>
                <c:formatCode>General</c:formatCode>
                <c:ptCount val="3"/>
                <c:pt idx="0">
                  <c:v>252</c:v>
                </c:pt>
                <c:pt idx="1">
                  <c:v>250.3333333333334</c:v>
                </c:pt>
                <c:pt idx="2">
                  <c:v>253.3333333333334</c:v>
                </c:pt>
              </c:numCache>
            </c:numRef>
          </c:val>
          <c:extLst xmlns:c16r2="http://schemas.microsoft.com/office/drawing/2015/06/chart">
            <c:ext xmlns:c16="http://schemas.microsoft.com/office/drawing/2014/chart" uri="{C3380CC4-5D6E-409C-BE32-E72D297353CC}">
              <c16:uniqueId val="{00000007-9174-4DF7-86C3-9BA0CDAE6118}"/>
            </c:ext>
          </c:extLst>
        </c:ser>
        <c:ser>
          <c:idx val="8"/>
          <c:order val="8"/>
          <c:tx>
            <c:v>C9</c:v>
          </c:tx>
          <c:spPr>
            <a:pattFill prst="narHorz">
              <a:fgClr>
                <a:schemeClr val="accent3">
                  <a:lumMod val="60000"/>
                </a:schemeClr>
              </a:fgClr>
              <a:bgClr>
                <a:schemeClr val="accent3">
                  <a:lumMod val="60000"/>
                  <a:lumMod val="20000"/>
                  <a:lumOff val="80000"/>
                </a:schemeClr>
              </a:bgClr>
            </a:pattFill>
            <a:ln>
              <a:noFill/>
            </a:ln>
            <a:effectLst>
              <a:innerShdw blurRad="114300">
                <a:schemeClr val="accent3">
                  <a:lumMod val="60000"/>
                </a:schemeClr>
              </a:innerShdw>
            </a:effectLst>
          </c:spPr>
          <c:invertIfNegative val="0"/>
          <c:errBars>
            <c:errBarType val="both"/>
            <c:errValType val="stdErr"/>
            <c:noEndCap val="0"/>
            <c:spPr>
              <a:noFill/>
              <a:ln w="9525">
                <a:solidFill>
                  <a:schemeClr val="tx1">
                    <a:lumMod val="50000"/>
                    <a:lumOff val="50000"/>
                  </a:schemeClr>
                </a:solidFill>
                <a:round/>
              </a:ln>
              <a:effectLst/>
            </c:spPr>
          </c:errBars>
          <c:cat>
            <c:strRef>
              <c:f>Mezclas!$B$3:$B$5</c:f>
              <c:strCache>
                <c:ptCount val="3"/>
                <c:pt idx="0">
                  <c:v>MEZCLA 1 </c:v>
                </c:pt>
                <c:pt idx="1">
                  <c:v>MEZCLA 2</c:v>
                </c:pt>
                <c:pt idx="2">
                  <c:v>MEZCLA 3</c:v>
                </c:pt>
              </c:strCache>
            </c:strRef>
          </c:cat>
          <c:val>
            <c:numRef>
              <c:f>Mezclas!$K$3:$K$5</c:f>
              <c:numCache>
                <c:formatCode>General</c:formatCode>
                <c:ptCount val="3"/>
                <c:pt idx="0">
                  <c:v>95.5</c:v>
                </c:pt>
                <c:pt idx="1">
                  <c:v>99.25</c:v>
                </c:pt>
                <c:pt idx="2">
                  <c:v>97.666666666666671</c:v>
                </c:pt>
              </c:numCache>
            </c:numRef>
          </c:val>
          <c:extLst xmlns:c16r2="http://schemas.microsoft.com/office/drawing/2015/06/chart">
            <c:ext xmlns:c16="http://schemas.microsoft.com/office/drawing/2014/chart" uri="{C3380CC4-5D6E-409C-BE32-E72D297353CC}">
              <c16:uniqueId val="{00000008-9174-4DF7-86C3-9BA0CDAE6118}"/>
            </c:ext>
          </c:extLst>
        </c:ser>
        <c:ser>
          <c:idx val="9"/>
          <c:order val="9"/>
          <c:tx>
            <c:v>C10</c:v>
          </c:tx>
          <c:spPr>
            <a:pattFill prst="narHorz">
              <a:fgClr>
                <a:schemeClr val="accent4">
                  <a:lumMod val="60000"/>
                </a:schemeClr>
              </a:fgClr>
              <a:bgClr>
                <a:schemeClr val="accent4">
                  <a:lumMod val="60000"/>
                  <a:lumMod val="20000"/>
                  <a:lumOff val="80000"/>
                </a:schemeClr>
              </a:bgClr>
            </a:pattFill>
            <a:ln>
              <a:noFill/>
            </a:ln>
            <a:effectLst>
              <a:innerShdw blurRad="114300">
                <a:schemeClr val="accent4">
                  <a:lumMod val="60000"/>
                </a:schemeClr>
              </a:innerShdw>
            </a:effectLst>
          </c:spPr>
          <c:invertIfNegative val="0"/>
          <c:errBars>
            <c:errBarType val="both"/>
            <c:errValType val="stdErr"/>
            <c:noEndCap val="0"/>
            <c:spPr>
              <a:noFill/>
              <a:ln w="9525">
                <a:solidFill>
                  <a:schemeClr val="tx1">
                    <a:lumMod val="50000"/>
                    <a:lumOff val="50000"/>
                  </a:schemeClr>
                </a:solidFill>
                <a:round/>
              </a:ln>
              <a:effectLst/>
            </c:spPr>
          </c:errBars>
          <c:cat>
            <c:strRef>
              <c:f>Mezclas!$B$3:$B$5</c:f>
              <c:strCache>
                <c:ptCount val="3"/>
                <c:pt idx="0">
                  <c:v>MEZCLA 1 </c:v>
                </c:pt>
                <c:pt idx="1">
                  <c:v>MEZCLA 2</c:v>
                </c:pt>
                <c:pt idx="2">
                  <c:v>MEZCLA 3</c:v>
                </c:pt>
              </c:strCache>
            </c:strRef>
          </c:cat>
          <c:val>
            <c:numRef>
              <c:f>Mezclas!$L$3:$L$5</c:f>
              <c:numCache>
                <c:formatCode>General</c:formatCode>
                <c:ptCount val="3"/>
                <c:pt idx="0">
                  <c:v>112</c:v>
                </c:pt>
                <c:pt idx="1">
                  <c:v>110.1333333333334</c:v>
                </c:pt>
                <c:pt idx="2">
                  <c:v>106.1333333333334</c:v>
                </c:pt>
              </c:numCache>
            </c:numRef>
          </c:val>
          <c:extLst xmlns:c16r2="http://schemas.microsoft.com/office/drawing/2015/06/chart">
            <c:ext xmlns:c16="http://schemas.microsoft.com/office/drawing/2014/chart" uri="{C3380CC4-5D6E-409C-BE32-E72D297353CC}">
              <c16:uniqueId val="{00000009-9174-4DF7-86C3-9BA0CDAE6118}"/>
            </c:ext>
          </c:extLst>
        </c:ser>
        <c:ser>
          <c:idx val="10"/>
          <c:order val="10"/>
          <c:tx>
            <c:v>C11</c:v>
          </c:tx>
          <c:spPr>
            <a:pattFill prst="narHorz">
              <a:fgClr>
                <a:schemeClr val="accent5">
                  <a:lumMod val="60000"/>
                </a:schemeClr>
              </a:fgClr>
              <a:bgClr>
                <a:schemeClr val="accent5">
                  <a:lumMod val="60000"/>
                  <a:lumMod val="20000"/>
                  <a:lumOff val="80000"/>
                </a:schemeClr>
              </a:bgClr>
            </a:pattFill>
            <a:ln>
              <a:noFill/>
            </a:ln>
            <a:effectLst>
              <a:innerShdw blurRad="114300">
                <a:schemeClr val="accent5">
                  <a:lumMod val="60000"/>
                </a:schemeClr>
              </a:innerShdw>
            </a:effectLst>
          </c:spPr>
          <c:invertIfNegative val="0"/>
          <c:errBars>
            <c:errBarType val="both"/>
            <c:errValType val="stdErr"/>
            <c:noEndCap val="0"/>
            <c:spPr>
              <a:noFill/>
              <a:ln w="9525">
                <a:solidFill>
                  <a:schemeClr val="tx1">
                    <a:lumMod val="50000"/>
                    <a:lumOff val="50000"/>
                  </a:schemeClr>
                </a:solidFill>
                <a:round/>
              </a:ln>
              <a:effectLst/>
            </c:spPr>
          </c:errBars>
          <c:cat>
            <c:strRef>
              <c:f>Mezclas!$B$3:$B$5</c:f>
              <c:strCache>
                <c:ptCount val="3"/>
                <c:pt idx="0">
                  <c:v>MEZCLA 1 </c:v>
                </c:pt>
                <c:pt idx="1">
                  <c:v>MEZCLA 2</c:v>
                </c:pt>
                <c:pt idx="2">
                  <c:v>MEZCLA 3</c:v>
                </c:pt>
              </c:strCache>
            </c:strRef>
          </c:cat>
          <c:val>
            <c:numRef>
              <c:f>Mezclas!$M$3:$M$5</c:f>
              <c:numCache>
                <c:formatCode>General</c:formatCode>
                <c:ptCount val="3"/>
                <c:pt idx="0">
                  <c:v>139.19999999999999</c:v>
                </c:pt>
                <c:pt idx="1">
                  <c:v>151.19999999999999</c:v>
                </c:pt>
                <c:pt idx="2">
                  <c:v>142</c:v>
                </c:pt>
              </c:numCache>
            </c:numRef>
          </c:val>
          <c:extLst xmlns:c16r2="http://schemas.microsoft.com/office/drawing/2015/06/chart">
            <c:ext xmlns:c16="http://schemas.microsoft.com/office/drawing/2014/chart" uri="{C3380CC4-5D6E-409C-BE32-E72D297353CC}">
              <c16:uniqueId val="{0000000A-9174-4DF7-86C3-9BA0CDAE6118}"/>
            </c:ext>
          </c:extLst>
        </c:ser>
        <c:ser>
          <c:idx val="11"/>
          <c:order val="11"/>
          <c:tx>
            <c:v>C12</c:v>
          </c:tx>
          <c:spPr>
            <a:pattFill prst="narHorz">
              <a:fgClr>
                <a:schemeClr val="accent6">
                  <a:lumMod val="60000"/>
                </a:schemeClr>
              </a:fgClr>
              <a:bgClr>
                <a:schemeClr val="accent6">
                  <a:lumMod val="60000"/>
                  <a:lumMod val="20000"/>
                  <a:lumOff val="80000"/>
                </a:schemeClr>
              </a:bgClr>
            </a:pattFill>
            <a:ln>
              <a:noFill/>
            </a:ln>
            <a:effectLst>
              <a:innerShdw blurRad="114300">
                <a:schemeClr val="accent6">
                  <a:lumMod val="60000"/>
                </a:schemeClr>
              </a:innerShdw>
            </a:effectLst>
          </c:spPr>
          <c:invertIfNegative val="0"/>
          <c:errBars>
            <c:errBarType val="both"/>
            <c:errValType val="stdErr"/>
            <c:noEndCap val="0"/>
            <c:spPr>
              <a:noFill/>
              <a:ln w="9525">
                <a:solidFill>
                  <a:schemeClr val="tx1">
                    <a:lumMod val="50000"/>
                    <a:lumOff val="50000"/>
                  </a:schemeClr>
                </a:solidFill>
                <a:round/>
              </a:ln>
              <a:effectLst/>
            </c:spPr>
          </c:errBars>
          <c:cat>
            <c:strRef>
              <c:f>Mezclas!$B$3:$B$5</c:f>
              <c:strCache>
                <c:ptCount val="3"/>
                <c:pt idx="0">
                  <c:v>MEZCLA 1 </c:v>
                </c:pt>
                <c:pt idx="1">
                  <c:v>MEZCLA 2</c:v>
                </c:pt>
                <c:pt idx="2">
                  <c:v>MEZCLA 3</c:v>
                </c:pt>
              </c:strCache>
            </c:strRef>
          </c:cat>
          <c:val>
            <c:numRef>
              <c:f>Mezclas!$N$3:$N$5</c:f>
              <c:numCache>
                <c:formatCode>General</c:formatCode>
                <c:ptCount val="3"/>
                <c:pt idx="0">
                  <c:v>291.33333333333331</c:v>
                </c:pt>
                <c:pt idx="1">
                  <c:v>267.33333333333331</c:v>
                </c:pt>
                <c:pt idx="2">
                  <c:v>268</c:v>
                </c:pt>
              </c:numCache>
            </c:numRef>
          </c:val>
          <c:extLst xmlns:c16r2="http://schemas.microsoft.com/office/drawing/2015/06/chart">
            <c:ext xmlns:c16="http://schemas.microsoft.com/office/drawing/2014/chart" uri="{C3380CC4-5D6E-409C-BE32-E72D297353CC}">
              <c16:uniqueId val="{0000000B-9174-4DF7-86C3-9BA0CDAE6118}"/>
            </c:ext>
          </c:extLst>
        </c:ser>
        <c:ser>
          <c:idx val="12"/>
          <c:order val="12"/>
          <c:tx>
            <c:v>C13</c:v>
          </c:tx>
          <c:spPr>
            <a:pattFill prst="narHorz">
              <a:fgClr>
                <a:schemeClr val="accent1">
                  <a:lumMod val="80000"/>
                  <a:lumOff val="20000"/>
                </a:schemeClr>
              </a:fgClr>
              <a:bgClr>
                <a:schemeClr val="accent1">
                  <a:lumMod val="80000"/>
                  <a:lumOff val="20000"/>
                  <a:lumMod val="20000"/>
                  <a:lumOff val="80000"/>
                </a:schemeClr>
              </a:bgClr>
            </a:pattFill>
            <a:ln>
              <a:noFill/>
            </a:ln>
            <a:effectLst>
              <a:innerShdw blurRad="114300">
                <a:schemeClr val="accent1">
                  <a:lumMod val="80000"/>
                  <a:lumOff val="20000"/>
                </a:schemeClr>
              </a:innerShdw>
            </a:effectLst>
          </c:spPr>
          <c:invertIfNegative val="0"/>
          <c:errBars>
            <c:errBarType val="both"/>
            <c:errValType val="stdErr"/>
            <c:noEndCap val="0"/>
            <c:spPr>
              <a:noFill/>
              <a:ln w="9525">
                <a:solidFill>
                  <a:schemeClr val="tx1">
                    <a:lumMod val="50000"/>
                    <a:lumOff val="50000"/>
                  </a:schemeClr>
                </a:solidFill>
                <a:round/>
              </a:ln>
              <a:effectLst/>
            </c:spPr>
          </c:errBars>
          <c:cat>
            <c:strRef>
              <c:f>Mezclas!$B$3:$B$5</c:f>
              <c:strCache>
                <c:ptCount val="3"/>
                <c:pt idx="0">
                  <c:v>MEZCLA 1 </c:v>
                </c:pt>
                <c:pt idx="1">
                  <c:v>MEZCLA 2</c:v>
                </c:pt>
                <c:pt idx="2">
                  <c:v>MEZCLA 3</c:v>
                </c:pt>
              </c:strCache>
            </c:strRef>
          </c:cat>
          <c:val>
            <c:numRef>
              <c:f>Mezclas!$O$3:$O$5</c:f>
              <c:numCache>
                <c:formatCode>General</c:formatCode>
                <c:ptCount val="3"/>
                <c:pt idx="0">
                  <c:v>109.5</c:v>
                </c:pt>
                <c:pt idx="1">
                  <c:v>81</c:v>
                </c:pt>
                <c:pt idx="2">
                  <c:v>99.166666666666671</c:v>
                </c:pt>
              </c:numCache>
            </c:numRef>
          </c:val>
          <c:extLst xmlns:c16r2="http://schemas.microsoft.com/office/drawing/2015/06/chart">
            <c:ext xmlns:c16="http://schemas.microsoft.com/office/drawing/2014/chart" uri="{C3380CC4-5D6E-409C-BE32-E72D297353CC}">
              <c16:uniqueId val="{0000000C-9174-4DF7-86C3-9BA0CDAE6118}"/>
            </c:ext>
          </c:extLst>
        </c:ser>
        <c:dLbls>
          <c:showLegendKey val="0"/>
          <c:showVal val="0"/>
          <c:showCatName val="0"/>
          <c:showSerName val="0"/>
          <c:showPercent val="0"/>
          <c:showBubbleSize val="0"/>
        </c:dLbls>
        <c:gapWidth val="164"/>
        <c:overlap val="-22"/>
        <c:axId val="367320072"/>
        <c:axId val="365672232"/>
      </c:barChart>
      <c:catAx>
        <c:axId val="36732007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65672232"/>
        <c:crosses val="autoZero"/>
        <c:auto val="1"/>
        <c:lblAlgn val="ctr"/>
        <c:lblOffset val="100"/>
        <c:noMultiLvlLbl val="0"/>
      </c:catAx>
      <c:valAx>
        <c:axId val="365672232"/>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CO" dirty="0"/>
                  <a:t>Producció</a:t>
                </a:r>
                <a:r>
                  <a:rPr lang="es-CO" baseline="0" dirty="0"/>
                  <a:t>n de metano </a:t>
                </a:r>
                <a:r>
                  <a:rPr lang="es-CO" dirty="0"/>
                  <a:t>[ml CH4/ </a:t>
                </a:r>
                <a:r>
                  <a:rPr lang="es-CO" dirty="0" err="1"/>
                  <a:t>gSv</a:t>
                </a:r>
                <a:r>
                  <a:rPr lang="es-CO" dirty="0"/>
                  <a:t>]</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67320072"/>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2">
    <c:autoUpdate val="0"/>
  </c:externalData>
</c:chartSpac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9116F1-9091-44EB-8FED-79E9EF813B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6</Pages>
  <Words>2076</Words>
  <Characters>11418</Characters>
  <Application>Microsoft Office Word</Application>
  <DocSecurity>0</DocSecurity>
  <Lines>95</Lines>
  <Paragraphs>26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13468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2</cp:revision>
  <dcterms:created xsi:type="dcterms:W3CDTF">2018-10-01T21:49:00Z</dcterms:created>
  <dcterms:modified xsi:type="dcterms:W3CDTF">2019-02-07T23:12:00Z</dcterms:modified>
</cp:coreProperties>
</file>