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A647B5C" w14:textId="77777777" w:rsidR="006D1F8B" w:rsidRPr="00AF2364" w:rsidRDefault="00042B2C" w:rsidP="00AF2364">
      <w:pPr>
        <w:spacing w:before="80" w:line="360" w:lineRule="auto"/>
        <w:ind w:left="1440" w:right="680"/>
        <w:jc w:val="center"/>
        <w:rPr>
          <w:rFonts w:ascii="Times New Roman" w:eastAsia="Times New Roman" w:hAnsi="Times New Roman" w:cs="Times New Roman"/>
          <w:sz w:val="24"/>
          <w:szCs w:val="24"/>
        </w:rPr>
      </w:pPr>
      <w:r w:rsidRPr="00AF2364">
        <w:rPr>
          <w:rFonts w:ascii="Times New Roman" w:eastAsia="Times New Roman" w:hAnsi="Times New Roman" w:cs="Times New Roman"/>
          <w:b/>
          <w:sz w:val="24"/>
          <w:szCs w:val="24"/>
        </w:rPr>
        <w:t>Título de la propuesta</w:t>
      </w:r>
      <w:r w:rsidRPr="00AF2364">
        <w:rPr>
          <w:rFonts w:ascii="Times New Roman" w:eastAsia="Times New Roman" w:hAnsi="Times New Roman" w:cs="Times New Roman"/>
          <w:sz w:val="24"/>
          <w:szCs w:val="24"/>
        </w:rPr>
        <w:t xml:space="preserve"> </w:t>
      </w:r>
    </w:p>
    <w:p w14:paraId="1BDD3C4F" w14:textId="217BD567" w:rsidR="006D1F8B" w:rsidRPr="00AF2364" w:rsidRDefault="00042B2C" w:rsidP="00AF2364">
      <w:pPr>
        <w:spacing w:before="80" w:line="360" w:lineRule="auto"/>
        <w:ind w:left="1440" w:right="680"/>
        <w:jc w:val="center"/>
        <w:rPr>
          <w:rFonts w:ascii="Times New Roman" w:eastAsia="Times New Roman" w:hAnsi="Times New Roman" w:cs="Times New Roman"/>
          <w:b/>
          <w:sz w:val="24"/>
          <w:szCs w:val="24"/>
        </w:rPr>
      </w:pPr>
      <w:r w:rsidRPr="00AF2364">
        <w:rPr>
          <w:rFonts w:ascii="Times New Roman" w:eastAsia="Times New Roman" w:hAnsi="Times New Roman" w:cs="Times New Roman"/>
          <w:b/>
          <w:sz w:val="24"/>
          <w:szCs w:val="24"/>
        </w:rPr>
        <w:t xml:space="preserve">“NEGOCIACIÓN DE EMERGENCIA: INSOLVENCIA Y REORGANIZACIÓN EMPRESARIAL EN TIEMPOS DE PANDEMIA” </w:t>
      </w:r>
    </w:p>
    <w:p w14:paraId="26B6A6AA" w14:textId="0937A654" w:rsidR="00AF2364" w:rsidRDefault="00AF2364" w:rsidP="00AF2364">
      <w:pPr>
        <w:spacing w:before="80" w:line="360" w:lineRule="auto"/>
        <w:ind w:left="1440" w:right="680"/>
        <w:jc w:val="center"/>
        <w:rPr>
          <w:rFonts w:ascii="Times New Roman" w:eastAsia="Times New Roman" w:hAnsi="Times New Roman" w:cs="Times New Roman"/>
          <w:b/>
          <w:sz w:val="24"/>
          <w:szCs w:val="24"/>
        </w:rPr>
      </w:pPr>
    </w:p>
    <w:p w14:paraId="36F4937F" w14:textId="77777777" w:rsidR="00AF2364" w:rsidRPr="00AF2364" w:rsidRDefault="00AF2364" w:rsidP="00AF2364">
      <w:pPr>
        <w:spacing w:before="80" w:line="360" w:lineRule="auto"/>
        <w:ind w:left="1440" w:right="680"/>
        <w:jc w:val="center"/>
        <w:rPr>
          <w:rFonts w:ascii="Times New Roman" w:eastAsia="Times New Roman" w:hAnsi="Times New Roman" w:cs="Times New Roman"/>
          <w:b/>
          <w:sz w:val="24"/>
          <w:szCs w:val="24"/>
        </w:rPr>
      </w:pPr>
    </w:p>
    <w:p w14:paraId="115F6BE8" w14:textId="77777777" w:rsidR="006D1F8B" w:rsidRPr="00AF2364" w:rsidRDefault="00042B2C" w:rsidP="00AF2364">
      <w:pPr>
        <w:spacing w:before="80" w:line="360" w:lineRule="auto"/>
        <w:ind w:left="1440" w:right="680"/>
        <w:jc w:val="center"/>
        <w:rPr>
          <w:rFonts w:ascii="Times New Roman" w:eastAsia="Times New Roman" w:hAnsi="Times New Roman" w:cs="Times New Roman"/>
          <w:b/>
          <w:sz w:val="24"/>
          <w:szCs w:val="24"/>
        </w:rPr>
      </w:pPr>
      <w:r w:rsidRPr="00AF2364">
        <w:rPr>
          <w:rFonts w:ascii="Times New Roman" w:eastAsia="Times New Roman" w:hAnsi="Times New Roman" w:cs="Times New Roman"/>
          <w:b/>
          <w:sz w:val="24"/>
          <w:szCs w:val="24"/>
        </w:rPr>
        <w:t>Investigadores</w:t>
      </w:r>
    </w:p>
    <w:p w14:paraId="14BB6885" w14:textId="77777777" w:rsidR="006D1F8B" w:rsidRPr="00AF2364" w:rsidRDefault="00042B2C" w:rsidP="00AF2364">
      <w:pPr>
        <w:spacing w:before="80" w:line="360" w:lineRule="auto"/>
        <w:ind w:left="1440" w:right="680"/>
        <w:jc w:val="center"/>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Julie Alexandra Álvarez Vásquez</w:t>
      </w:r>
    </w:p>
    <w:p w14:paraId="74A5637F" w14:textId="77777777" w:rsidR="006D1F8B" w:rsidRPr="00AF2364" w:rsidRDefault="00042B2C" w:rsidP="00AF2364">
      <w:pPr>
        <w:spacing w:before="80" w:line="360" w:lineRule="auto"/>
        <w:ind w:left="1440" w:right="680"/>
        <w:jc w:val="center"/>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Luis Miguel Bernal Malagón</w:t>
      </w:r>
    </w:p>
    <w:p w14:paraId="07E6ED49" w14:textId="77777777" w:rsidR="006D1F8B" w:rsidRPr="00AF2364" w:rsidRDefault="00042B2C" w:rsidP="00AF2364">
      <w:pPr>
        <w:spacing w:before="80" w:line="360" w:lineRule="auto"/>
        <w:ind w:left="1440" w:right="680"/>
        <w:jc w:val="center"/>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Nicolás Alejandro Castro Silva</w:t>
      </w:r>
    </w:p>
    <w:p w14:paraId="4129BD98" w14:textId="77777777" w:rsidR="006D1F8B" w:rsidRPr="00AF2364" w:rsidRDefault="00042B2C" w:rsidP="00AF2364">
      <w:pPr>
        <w:spacing w:before="80" w:line="360" w:lineRule="auto"/>
        <w:ind w:left="1440" w:right="680"/>
        <w:jc w:val="center"/>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Alejandro De Paz Martínez</w:t>
      </w:r>
    </w:p>
    <w:p w14:paraId="795B5345" w14:textId="77777777" w:rsidR="006D1F8B" w:rsidRPr="00AF2364" w:rsidRDefault="00042B2C" w:rsidP="00AF2364">
      <w:pPr>
        <w:spacing w:before="80" w:line="360" w:lineRule="auto"/>
        <w:ind w:left="1440" w:right="680"/>
        <w:jc w:val="center"/>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Angela Stephania Nieto Mesa</w:t>
      </w:r>
    </w:p>
    <w:p w14:paraId="3F968337" w14:textId="77777777" w:rsidR="006D1F8B" w:rsidRPr="00AF2364" w:rsidRDefault="00042B2C" w:rsidP="00AF2364">
      <w:pPr>
        <w:spacing w:before="80" w:line="360" w:lineRule="auto"/>
        <w:ind w:left="1440" w:right="680"/>
        <w:jc w:val="center"/>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Diego Felipe Pico Forero</w:t>
      </w:r>
    </w:p>
    <w:p w14:paraId="0C34A648" w14:textId="5FCB44B4" w:rsidR="006D1F8B" w:rsidRDefault="00042B2C" w:rsidP="00AF2364">
      <w:pPr>
        <w:spacing w:before="80" w:line="360" w:lineRule="auto"/>
        <w:ind w:left="1440" w:right="680"/>
        <w:jc w:val="center"/>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Nicolás Portilla Vargas</w:t>
      </w:r>
    </w:p>
    <w:p w14:paraId="141797DE" w14:textId="6829D765" w:rsidR="00AF2364" w:rsidRDefault="00AF2364" w:rsidP="00AF2364">
      <w:pPr>
        <w:spacing w:before="80" w:line="360" w:lineRule="auto"/>
        <w:ind w:left="1440" w:right="680"/>
        <w:jc w:val="center"/>
        <w:rPr>
          <w:rFonts w:ascii="Times New Roman" w:eastAsia="Times New Roman" w:hAnsi="Times New Roman" w:cs="Times New Roman"/>
          <w:sz w:val="24"/>
          <w:szCs w:val="24"/>
        </w:rPr>
      </w:pPr>
    </w:p>
    <w:p w14:paraId="28391CED" w14:textId="77777777" w:rsidR="00AF2364" w:rsidRPr="00AF2364" w:rsidRDefault="00AF2364" w:rsidP="00AF2364">
      <w:pPr>
        <w:spacing w:before="80" w:line="360" w:lineRule="auto"/>
        <w:ind w:left="1440" w:right="680"/>
        <w:jc w:val="center"/>
        <w:rPr>
          <w:rFonts w:ascii="Times New Roman" w:eastAsia="Times New Roman" w:hAnsi="Times New Roman" w:cs="Times New Roman"/>
          <w:sz w:val="24"/>
          <w:szCs w:val="24"/>
        </w:rPr>
      </w:pPr>
    </w:p>
    <w:p w14:paraId="5ADBCEB4" w14:textId="77777777" w:rsidR="006D1F8B" w:rsidRPr="00AF2364" w:rsidRDefault="00042B2C" w:rsidP="00AF2364">
      <w:pPr>
        <w:spacing w:before="80" w:line="360" w:lineRule="auto"/>
        <w:ind w:left="1440" w:right="-40"/>
        <w:jc w:val="center"/>
        <w:rPr>
          <w:rFonts w:ascii="Times New Roman" w:eastAsia="Times New Roman" w:hAnsi="Times New Roman" w:cs="Times New Roman"/>
          <w:sz w:val="24"/>
          <w:szCs w:val="24"/>
        </w:rPr>
      </w:pPr>
      <w:r w:rsidRPr="00AF2364">
        <w:rPr>
          <w:rFonts w:ascii="Times New Roman" w:eastAsia="Times New Roman" w:hAnsi="Times New Roman" w:cs="Times New Roman"/>
          <w:b/>
          <w:sz w:val="24"/>
          <w:szCs w:val="24"/>
        </w:rPr>
        <w:t>Grupo de investigación</w:t>
      </w:r>
      <w:r w:rsidRPr="00AF2364">
        <w:rPr>
          <w:rFonts w:ascii="Times New Roman" w:eastAsia="Times New Roman" w:hAnsi="Times New Roman" w:cs="Times New Roman"/>
          <w:sz w:val="24"/>
          <w:szCs w:val="24"/>
        </w:rPr>
        <w:t xml:space="preserve"> </w:t>
      </w:r>
    </w:p>
    <w:p w14:paraId="3D95B239" w14:textId="77777777" w:rsidR="006D1F8B" w:rsidRPr="00AF2364" w:rsidRDefault="00042B2C" w:rsidP="00AF2364">
      <w:pPr>
        <w:spacing w:before="80" w:line="360" w:lineRule="auto"/>
        <w:ind w:left="1440" w:right="680"/>
        <w:jc w:val="center"/>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Grupo de Investigación en Derecho Privado</w:t>
      </w:r>
    </w:p>
    <w:p w14:paraId="32E2FE96" w14:textId="321784C5" w:rsidR="006D1F8B" w:rsidRDefault="00042B2C" w:rsidP="00AF2364">
      <w:pPr>
        <w:spacing w:before="80" w:line="360" w:lineRule="auto"/>
        <w:ind w:left="1440" w:right="680"/>
        <w:jc w:val="center"/>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Facultad de Derecho</w:t>
      </w:r>
    </w:p>
    <w:p w14:paraId="4B4D36C8" w14:textId="6C3B7FDA" w:rsidR="00AF2364" w:rsidRDefault="00AF2364" w:rsidP="00AF2364">
      <w:pPr>
        <w:spacing w:before="80" w:line="360" w:lineRule="auto"/>
        <w:ind w:left="1440" w:right="680"/>
        <w:jc w:val="center"/>
        <w:rPr>
          <w:rFonts w:ascii="Times New Roman" w:eastAsia="Times New Roman" w:hAnsi="Times New Roman" w:cs="Times New Roman"/>
          <w:sz w:val="24"/>
          <w:szCs w:val="24"/>
        </w:rPr>
      </w:pPr>
    </w:p>
    <w:p w14:paraId="41A4CF4C" w14:textId="77777777" w:rsidR="00AF2364" w:rsidRPr="00AF2364" w:rsidRDefault="00AF2364" w:rsidP="00AF2364">
      <w:pPr>
        <w:spacing w:before="80" w:line="360" w:lineRule="auto"/>
        <w:ind w:left="1440" w:right="680"/>
        <w:jc w:val="center"/>
        <w:rPr>
          <w:rFonts w:ascii="Times New Roman" w:eastAsia="Times New Roman" w:hAnsi="Times New Roman" w:cs="Times New Roman"/>
          <w:sz w:val="24"/>
          <w:szCs w:val="24"/>
        </w:rPr>
      </w:pPr>
    </w:p>
    <w:p w14:paraId="494D9E14" w14:textId="775FC7EE" w:rsidR="006D1F8B" w:rsidRPr="00AF2364" w:rsidRDefault="00042B2C" w:rsidP="00AF2364">
      <w:pPr>
        <w:spacing w:before="80" w:line="360" w:lineRule="auto"/>
        <w:ind w:left="1440" w:right="680"/>
        <w:jc w:val="center"/>
        <w:rPr>
          <w:rFonts w:ascii="Times New Roman" w:eastAsia="Times New Roman" w:hAnsi="Times New Roman" w:cs="Times New Roman"/>
          <w:b/>
          <w:sz w:val="24"/>
          <w:szCs w:val="24"/>
        </w:rPr>
      </w:pPr>
      <w:r w:rsidRPr="00AF2364">
        <w:rPr>
          <w:rFonts w:ascii="Times New Roman" w:eastAsia="Times New Roman" w:hAnsi="Times New Roman" w:cs="Times New Roman"/>
          <w:b/>
          <w:sz w:val="24"/>
          <w:szCs w:val="24"/>
        </w:rPr>
        <w:t>Docente líder de</w:t>
      </w:r>
      <w:r w:rsidR="00AF2364" w:rsidRPr="00AF2364">
        <w:rPr>
          <w:rFonts w:ascii="Times New Roman" w:eastAsia="Times New Roman" w:hAnsi="Times New Roman" w:cs="Times New Roman"/>
          <w:b/>
          <w:sz w:val="24"/>
          <w:szCs w:val="24"/>
        </w:rPr>
        <w:t>l</w:t>
      </w:r>
      <w:r w:rsidRPr="00AF2364">
        <w:rPr>
          <w:rFonts w:ascii="Times New Roman" w:eastAsia="Times New Roman" w:hAnsi="Times New Roman" w:cs="Times New Roman"/>
          <w:b/>
          <w:sz w:val="24"/>
          <w:szCs w:val="24"/>
        </w:rPr>
        <w:t xml:space="preserve"> </w:t>
      </w:r>
      <w:r w:rsidR="00AF2364" w:rsidRPr="00AF2364">
        <w:rPr>
          <w:rFonts w:ascii="Times New Roman" w:eastAsia="Times New Roman" w:hAnsi="Times New Roman" w:cs="Times New Roman"/>
          <w:b/>
          <w:sz w:val="24"/>
          <w:szCs w:val="24"/>
        </w:rPr>
        <w:t>S</w:t>
      </w:r>
      <w:r w:rsidRPr="00AF2364">
        <w:rPr>
          <w:rFonts w:ascii="Times New Roman" w:eastAsia="Times New Roman" w:hAnsi="Times New Roman" w:cs="Times New Roman"/>
          <w:b/>
          <w:sz w:val="24"/>
          <w:szCs w:val="24"/>
        </w:rPr>
        <w:t>emillero</w:t>
      </w:r>
      <w:r w:rsidR="00AF2364">
        <w:rPr>
          <w:rFonts w:ascii="Times New Roman" w:eastAsia="Times New Roman" w:hAnsi="Times New Roman" w:cs="Times New Roman"/>
          <w:b/>
          <w:sz w:val="24"/>
          <w:szCs w:val="24"/>
        </w:rPr>
        <w:t xml:space="preserve"> </w:t>
      </w:r>
      <w:r w:rsidR="00AF2364" w:rsidRPr="00AF2364">
        <w:rPr>
          <w:rFonts w:ascii="Times New Roman" w:eastAsia="Times New Roman" w:hAnsi="Times New Roman" w:cs="Times New Roman"/>
          <w:b/>
          <w:sz w:val="24"/>
          <w:szCs w:val="24"/>
        </w:rPr>
        <w:t>de Investigación del Derecho de la Empresa y Arbitraje</w:t>
      </w:r>
    </w:p>
    <w:p w14:paraId="41B63A16" w14:textId="77777777" w:rsidR="006D1F8B" w:rsidRPr="00AF2364" w:rsidRDefault="00042B2C" w:rsidP="00AF2364">
      <w:pPr>
        <w:spacing w:before="80" w:line="360" w:lineRule="auto"/>
        <w:ind w:left="1440" w:right="680"/>
        <w:jc w:val="center"/>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 xml:space="preserve">Esteban Isaza Ramírez </w:t>
      </w:r>
    </w:p>
    <w:p w14:paraId="06DF2926" w14:textId="77777777" w:rsidR="006D1F8B" w:rsidRPr="00AF2364" w:rsidRDefault="006D1F8B" w:rsidP="00AF2364">
      <w:pPr>
        <w:spacing w:before="80" w:line="360" w:lineRule="auto"/>
        <w:ind w:left="1440" w:right="680"/>
        <w:jc w:val="center"/>
        <w:rPr>
          <w:rFonts w:ascii="Times New Roman" w:eastAsia="Times New Roman" w:hAnsi="Times New Roman" w:cs="Times New Roman"/>
          <w:sz w:val="24"/>
          <w:szCs w:val="24"/>
        </w:rPr>
      </w:pPr>
    </w:p>
    <w:p w14:paraId="3A3A5166" w14:textId="77777777" w:rsidR="006D1F8B" w:rsidRPr="00AF2364" w:rsidRDefault="006D1F8B" w:rsidP="00AF2364">
      <w:pPr>
        <w:spacing w:before="80" w:line="360" w:lineRule="auto"/>
        <w:ind w:left="1440" w:right="680"/>
        <w:jc w:val="center"/>
        <w:rPr>
          <w:rFonts w:ascii="Times New Roman" w:eastAsia="Times New Roman" w:hAnsi="Times New Roman" w:cs="Times New Roman"/>
          <w:sz w:val="24"/>
          <w:szCs w:val="24"/>
        </w:rPr>
      </w:pPr>
    </w:p>
    <w:p w14:paraId="6A51918A" w14:textId="77777777" w:rsidR="006D1F8B" w:rsidRPr="00AF2364" w:rsidRDefault="006D1F8B" w:rsidP="00AF2364">
      <w:pPr>
        <w:spacing w:before="80" w:line="360" w:lineRule="auto"/>
        <w:ind w:left="1440" w:right="680"/>
        <w:jc w:val="center"/>
        <w:rPr>
          <w:rFonts w:ascii="Times New Roman" w:eastAsia="Times New Roman" w:hAnsi="Times New Roman" w:cs="Times New Roman"/>
          <w:sz w:val="24"/>
          <w:szCs w:val="24"/>
        </w:rPr>
      </w:pPr>
    </w:p>
    <w:p w14:paraId="56495304" w14:textId="77777777" w:rsidR="006D1F8B" w:rsidRPr="00AF2364" w:rsidRDefault="006D1F8B" w:rsidP="00AF2364">
      <w:pPr>
        <w:spacing w:before="80" w:line="360" w:lineRule="auto"/>
        <w:ind w:left="1440" w:right="680"/>
        <w:jc w:val="center"/>
        <w:rPr>
          <w:rFonts w:ascii="Times New Roman" w:eastAsia="Times New Roman" w:hAnsi="Times New Roman" w:cs="Times New Roman"/>
          <w:sz w:val="24"/>
          <w:szCs w:val="24"/>
        </w:rPr>
      </w:pPr>
    </w:p>
    <w:p w14:paraId="5602B245" w14:textId="77777777" w:rsidR="006D1F8B" w:rsidRPr="00AF2364" w:rsidRDefault="006D1F8B" w:rsidP="00AF2364">
      <w:pPr>
        <w:spacing w:before="80" w:line="360" w:lineRule="auto"/>
        <w:ind w:left="1440" w:right="680"/>
        <w:jc w:val="center"/>
        <w:rPr>
          <w:rFonts w:ascii="Times New Roman" w:eastAsia="Times New Roman" w:hAnsi="Times New Roman" w:cs="Times New Roman"/>
          <w:sz w:val="24"/>
          <w:szCs w:val="24"/>
        </w:rPr>
      </w:pPr>
    </w:p>
    <w:p w14:paraId="55E10690" w14:textId="77FDD0A5" w:rsidR="006D1F8B" w:rsidRPr="00AF2364" w:rsidRDefault="00CF2D78" w:rsidP="00AF2364">
      <w:pPr>
        <w:spacing w:before="240" w:after="240" w:line="360" w:lineRule="auto"/>
        <w:jc w:val="center"/>
        <w:rPr>
          <w:rFonts w:ascii="Times New Roman" w:eastAsia="Times New Roman" w:hAnsi="Times New Roman" w:cs="Times New Roman"/>
          <w:b/>
          <w:sz w:val="24"/>
          <w:szCs w:val="24"/>
        </w:rPr>
      </w:pPr>
      <w:r w:rsidRPr="00AF2364">
        <w:rPr>
          <w:rFonts w:ascii="Times New Roman" w:eastAsia="Times New Roman" w:hAnsi="Times New Roman" w:cs="Times New Roman"/>
          <w:b/>
          <w:sz w:val="24"/>
          <w:szCs w:val="24"/>
        </w:rPr>
        <w:lastRenderedPageBreak/>
        <w:t>RESUMEN</w:t>
      </w:r>
      <w:r w:rsidRPr="00AF2364">
        <w:rPr>
          <w:rFonts w:ascii="Times New Roman" w:eastAsia="Times New Roman" w:hAnsi="Times New Roman" w:cs="Times New Roman"/>
          <w:sz w:val="24"/>
          <w:szCs w:val="24"/>
        </w:rPr>
        <w:t xml:space="preserve"> </w:t>
      </w:r>
    </w:p>
    <w:p w14:paraId="34C5A6B8" w14:textId="77777777" w:rsidR="006D1F8B" w:rsidRPr="00AF2364" w:rsidRDefault="00042B2C" w:rsidP="00AF2364">
      <w:pPr>
        <w:spacing w:before="240" w:after="240" w:line="360" w:lineRule="auto"/>
        <w:jc w:val="both"/>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 xml:space="preserve">El inesperado y abrupto cambio económico derivado de las medidas que ha sido necesario implementar con el fin de evitar el contagio y propagación del Covid-19, conlleva a que se generen impagos en las obligaciones de las empresas, en razón de que </w:t>
      </w:r>
      <w:r w:rsidRPr="00AF2364">
        <w:rPr>
          <w:rFonts w:ascii="Times New Roman" w:eastAsia="Times New Roman" w:hAnsi="Times New Roman" w:cs="Times New Roman"/>
          <w:sz w:val="24"/>
          <w:szCs w:val="24"/>
        </w:rPr>
        <w:t xml:space="preserve">el pasivo de estas aumenta rápidamente mientras que el activo tiene una tendencia a solo disminuir, lo que causa que las empresas no cuenten con el capital requerido para su funcionamiento. Como alivio a estas problemáticas económicas y en razón de que la </w:t>
      </w:r>
      <w:r w:rsidRPr="00AF2364">
        <w:rPr>
          <w:rFonts w:ascii="Times New Roman" w:eastAsia="Times New Roman" w:hAnsi="Times New Roman" w:cs="Times New Roman"/>
          <w:sz w:val="24"/>
          <w:szCs w:val="24"/>
        </w:rPr>
        <w:t>empresa es la base del desarrollo económico y una fuente generadora de empleo, el Estado colombiano presentó modificaciones a la forma en la que las compañías afectadas se acogen a procesos de insolvencia y reorganización empresarial buscando la preservaci</w:t>
      </w:r>
      <w:r w:rsidRPr="00AF2364">
        <w:rPr>
          <w:rFonts w:ascii="Times New Roman" w:eastAsia="Times New Roman" w:hAnsi="Times New Roman" w:cs="Times New Roman"/>
          <w:sz w:val="24"/>
          <w:szCs w:val="24"/>
        </w:rPr>
        <w:t>ón de las mismas, a través del decreto 560 de 2020 que modificó transitoriamente algunas disposiciones de la ley 1116 de 2006. Este decreto, consagra para las empresas la posibilidad de la renegociación de sus obligaciones en el marco la recesión económica</w:t>
      </w:r>
      <w:r w:rsidRPr="00AF2364">
        <w:rPr>
          <w:rFonts w:ascii="Times New Roman" w:eastAsia="Times New Roman" w:hAnsi="Times New Roman" w:cs="Times New Roman"/>
          <w:sz w:val="24"/>
          <w:szCs w:val="24"/>
        </w:rPr>
        <w:t xml:space="preserve"> de manera privada para que posteriormente sea evaluada por autoridad judicial. Por lo anterior, a partir del discurso del análisis económico del derecho, se analizará la eficiencia de la negociación privada en los procesos de reestructuración empresarial </w:t>
      </w:r>
      <w:r w:rsidRPr="00AF2364">
        <w:rPr>
          <w:rFonts w:ascii="Times New Roman" w:eastAsia="Times New Roman" w:hAnsi="Times New Roman" w:cs="Times New Roman"/>
          <w:sz w:val="24"/>
          <w:szCs w:val="24"/>
        </w:rPr>
        <w:t>como una medida que pretende satisfacer los intereses del empresario deudor, los acreedores y el Estado, buscando reducir el impacto económico de las medidas gubernamentales. Identificamos si la negociación privada ofrece herramientas eficientes para que l</w:t>
      </w:r>
      <w:r w:rsidRPr="00AF2364">
        <w:rPr>
          <w:rFonts w:ascii="Times New Roman" w:eastAsia="Times New Roman" w:hAnsi="Times New Roman" w:cs="Times New Roman"/>
          <w:sz w:val="24"/>
          <w:szCs w:val="24"/>
        </w:rPr>
        <w:t>os empresarios puedan hacer que sus empresas sobrevivan a la crisis económica.</w:t>
      </w:r>
    </w:p>
    <w:p w14:paraId="1D99A39B" w14:textId="77777777" w:rsidR="006D1F8B" w:rsidRPr="00AF2364" w:rsidRDefault="006D1F8B" w:rsidP="00AF2364">
      <w:pPr>
        <w:spacing w:before="240" w:after="240" w:line="360" w:lineRule="auto"/>
        <w:jc w:val="both"/>
        <w:rPr>
          <w:rFonts w:ascii="Times New Roman" w:eastAsia="Times New Roman" w:hAnsi="Times New Roman" w:cs="Times New Roman"/>
          <w:sz w:val="24"/>
          <w:szCs w:val="24"/>
        </w:rPr>
      </w:pPr>
    </w:p>
    <w:p w14:paraId="2A264515" w14:textId="77777777" w:rsidR="006D1F8B" w:rsidRPr="00AF2364" w:rsidRDefault="006D1F8B" w:rsidP="00AF2364">
      <w:pPr>
        <w:spacing w:before="240" w:after="240" w:line="360" w:lineRule="auto"/>
        <w:rPr>
          <w:rFonts w:ascii="Times New Roman" w:eastAsia="Times New Roman" w:hAnsi="Times New Roman" w:cs="Times New Roman"/>
          <w:b/>
          <w:sz w:val="24"/>
          <w:szCs w:val="24"/>
        </w:rPr>
      </w:pPr>
    </w:p>
    <w:p w14:paraId="1934ECF4" w14:textId="77777777" w:rsidR="006D1F8B" w:rsidRPr="00AF2364" w:rsidRDefault="006D1F8B" w:rsidP="00AF2364">
      <w:pPr>
        <w:spacing w:before="240" w:after="240" w:line="360" w:lineRule="auto"/>
        <w:rPr>
          <w:rFonts w:ascii="Times New Roman" w:eastAsia="Times New Roman" w:hAnsi="Times New Roman" w:cs="Times New Roman"/>
          <w:b/>
          <w:sz w:val="24"/>
          <w:szCs w:val="24"/>
        </w:rPr>
      </w:pPr>
    </w:p>
    <w:p w14:paraId="1E731A92" w14:textId="77777777" w:rsidR="006D1F8B" w:rsidRPr="00AF2364" w:rsidRDefault="006D1F8B" w:rsidP="00AF2364">
      <w:pPr>
        <w:spacing w:before="240" w:after="240" w:line="360" w:lineRule="auto"/>
        <w:rPr>
          <w:rFonts w:ascii="Times New Roman" w:eastAsia="Times New Roman" w:hAnsi="Times New Roman" w:cs="Times New Roman"/>
          <w:b/>
          <w:sz w:val="24"/>
          <w:szCs w:val="24"/>
        </w:rPr>
      </w:pPr>
    </w:p>
    <w:p w14:paraId="40CF02EB" w14:textId="77777777" w:rsidR="006D1F8B" w:rsidRPr="00AF2364" w:rsidRDefault="006D1F8B" w:rsidP="00AF2364">
      <w:pPr>
        <w:spacing w:before="240" w:after="240" w:line="360" w:lineRule="auto"/>
        <w:rPr>
          <w:rFonts w:ascii="Times New Roman" w:eastAsia="Times New Roman" w:hAnsi="Times New Roman" w:cs="Times New Roman"/>
          <w:b/>
          <w:sz w:val="24"/>
          <w:szCs w:val="24"/>
        </w:rPr>
      </w:pPr>
    </w:p>
    <w:p w14:paraId="60AFCDD5" w14:textId="77777777" w:rsidR="006D1F8B" w:rsidRPr="00AF2364" w:rsidRDefault="006D1F8B" w:rsidP="00AF2364">
      <w:pPr>
        <w:spacing w:before="240" w:after="240" w:line="360" w:lineRule="auto"/>
        <w:rPr>
          <w:rFonts w:ascii="Times New Roman" w:eastAsia="Times New Roman" w:hAnsi="Times New Roman" w:cs="Times New Roman"/>
          <w:b/>
          <w:sz w:val="24"/>
          <w:szCs w:val="24"/>
        </w:rPr>
      </w:pPr>
    </w:p>
    <w:p w14:paraId="537843C3" w14:textId="77777777" w:rsidR="006D1F8B" w:rsidRPr="00AF2364" w:rsidRDefault="006D1F8B" w:rsidP="00AF2364">
      <w:pPr>
        <w:spacing w:before="240" w:after="240" w:line="360" w:lineRule="auto"/>
        <w:rPr>
          <w:rFonts w:ascii="Times New Roman" w:eastAsia="Times New Roman" w:hAnsi="Times New Roman" w:cs="Times New Roman"/>
          <w:b/>
          <w:sz w:val="24"/>
          <w:szCs w:val="24"/>
        </w:rPr>
      </w:pPr>
    </w:p>
    <w:p w14:paraId="47CC7272" w14:textId="77777777" w:rsidR="006D1F8B" w:rsidRPr="00AF2364" w:rsidRDefault="006D1F8B" w:rsidP="00AF2364">
      <w:pPr>
        <w:spacing w:before="240" w:after="240" w:line="360" w:lineRule="auto"/>
        <w:rPr>
          <w:rFonts w:ascii="Times New Roman" w:eastAsia="Times New Roman" w:hAnsi="Times New Roman" w:cs="Times New Roman"/>
          <w:b/>
          <w:sz w:val="24"/>
          <w:szCs w:val="24"/>
        </w:rPr>
      </w:pPr>
    </w:p>
    <w:p w14:paraId="094F5AC1" w14:textId="77777777" w:rsidR="006D1F8B" w:rsidRPr="00AF2364" w:rsidRDefault="006D1F8B" w:rsidP="00AF2364">
      <w:pPr>
        <w:spacing w:before="240" w:after="240" w:line="360" w:lineRule="auto"/>
        <w:rPr>
          <w:rFonts w:ascii="Times New Roman" w:eastAsia="Times New Roman" w:hAnsi="Times New Roman" w:cs="Times New Roman"/>
          <w:b/>
          <w:sz w:val="24"/>
          <w:szCs w:val="24"/>
        </w:rPr>
      </w:pPr>
    </w:p>
    <w:p w14:paraId="60FE05EC" w14:textId="6D7EBF45" w:rsidR="006D1F8B" w:rsidRPr="00AF2364" w:rsidRDefault="00CF2D78" w:rsidP="00AF2364">
      <w:pPr>
        <w:spacing w:before="240" w:after="240" w:line="360" w:lineRule="auto"/>
        <w:ind w:left="1440"/>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P</w:t>
      </w:r>
      <w:r w:rsidRPr="00AF2364">
        <w:rPr>
          <w:rFonts w:ascii="Times New Roman" w:eastAsia="Times New Roman" w:hAnsi="Times New Roman" w:cs="Times New Roman"/>
          <w:b/>
          <w:sz w:val="24"/>
          <w:szCs w:val="24"/>
        </w:rPr>
        <w:t>LANTEAMIENTO DEL PROBLEMA</w:t>
      </w:r>
    </w:p>
    <w:p w14:paraId="0C362726" w14:textId="77777777" w:rsidR="006D1F8B" w:rsidRPr="00AF2364" w:rsidRDefault="00042B2C" w:rsidP="00AF2364">
      <w:pPr>
        <w:spacing w:before="80" w:line="360" w:lineRule="auto"/>
        <w:ind w:right="-40"/>
        <w:jc w:val="both"/>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La presencia del COVID-19 en nuestro país en definitiva representa un reto para la sociedad y sus diferentes ámbitos. Uno de los sectores s</w:t>
      </w:r>
      <w:r w:rsidRPr="00AF2364">
        <w:rPr>
          <w:rFonts w:ascii="Times New Roman" w:eastAsia="Times New Roman" w:hAnsi="Times New Roman" w:cs="Times New Roman"/>
          <w:sz w:val="24"/>
          <w:szCs w:val="24"/>
        </w:rPr>
        <w:t>ociales más afectado ha sido, y será durante los próximos meses, el sector empresarial, generando un fuerte impacto en la economía. El aislamiento obligatorio y la restricción de reuniones sociales, por citar algunos ejemplos, son medidas que resultan alta</w:t>
      </w:r>
      <w:r w:rsidRPr="00AF2364">
        <w:rPr>
          <w:rFonts w:ascii="Times New Roman" w:eastAsia="Times New Roman" w:hAnsi="Times New Roman" w:cs="Times New Roman"/>
          <w:sz w:val="24"/>
          <w:szCs w:val="24"/>
        </w:rPr>
        <w:t xml:space="preserve">mente lesivas para la viabilidad de cientos de empresas, pues disminuyen y, en los casos más graves, impiden por completo la generación de ingresos para las compañías. </w:t>
      </w:r>
    </w:p>
    <w:p w14:paraId="14888C50" w14:textId="77777777" w:rsidR="006D1F8B" w:rsidRPr="00AF2364" w:rsidRDefault="00042B2C" w:rsidP="00AF2364">
      <w:pPr>
        <w:spacing w:before="80" w:line="360" w:lineRule="auto"/>
        <w:ind w:right="-40"/>
        <w:jc w:val="both"/>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La gravedad de lo anterior deriva del rol fundamental que juegan las empresas dentro de</w:t>
      </w:r>
      <w:r w:rsidRPr="00AF2364">
        <w:rPr>
          <w:rFonts w:ascii="Times New Roman" w:eastAsia="Times New Roman" w:hAnsi="Times New Roman" w:cs="Times New Roman"/>
          <w:sz w:val="24"/>
          <w:szCs w:val="24"/>
        </w:rPr>
        <w:t>l modelo económico colombiano, pues así como lo establece el art. 333 de nuestra constitución política la empresa es</w:t>
      </w:r>
      <w:r w:rsidRPr="00AF2364">
        <w:rPr>
          <w:rFonts w:ascii="Times New Roman" w:eastAsia="Times New Roman" w:hAnsi="Times New Roman" w:cs="Times New Roman"/>
          <w:i/>
          <w:sz w:val="24"/>
          <w:szCs w:val="24"/>
        </w:rPr>
        <w:t xml:space="preserve"> “la base del desarrollo económico”, </w:t>
      </w:r>
      <w:r w:rsidRPr="00AF2364">
        <w:rPr>
          <w:rFonts w:ascii="Times New Roman" w:eastAsia="Times New Roman" w:hAnsi="Times New Roman" w:cs="Times New Roman"/>
          <w:sz w:val="24"/>
          <w:szCs w:val="24"/>
        </w:rPr>
        <w:t>lo anterior se reitera en la ley 1116 de 2006 cuando señala que, la empresa es una “</w:t>
      </w:r>
      <w:r w:rsidRPr="00AF2364">
        <w:rPr>
          <w:rFonts w:ascii="Times New Roman" w:eastAsia="Times New Roman" w:hAnsi="Times New Roman" w:cs="Times New Roman"/>
          <w:i/>
          <w:sz w:val="24"/>
          <w:szCs w:val="24"/>
        </w:rPr>
        <w:t>unidad de explotaci</w:t>
      </w:r>
      <w:r w:rsidRPr="00AF2364">
        <w:rPr>
          <w:rFonts w:ascii="Times New Roman" w:eastAsia="Times New Roman" w:hAnsi="Times New Roman" w:cs="Times New Roman"/>
          <w:i/>
          <w:sz w:val="24"/>
          <w:szCs w:val="24"/>
        </w:rPr>
        <w:t xml:space="preserve">ón económica y fuente generadora de empleo”, </w:t>
      </w:r>
      <w:r w:rsidRPr="00AF2364">
        <w:rPr>
          <w:rFonts w:ascii="Times New Roman" w:eastAsia="Times New Roman" w:hAnsi="Times New Roman" w:cs="Times New Roman"/>
          <w:sz w:val="24"/>
          <w:szCs w:val="24"/>
        </w:rPr>
        <w:t>lo anteriormente expuesto quiere decir que las problemáticas que tiene un sector tan importante como el sector empresarial, afecta a miles de ciudadanos que se ven beneficiados por los diferentes papeles que des</w:t>
      </w:r>
      <w:r w:rsidRPr="00AF2364">
        <w:rPr>
          <w:rFonts w:ascii="Times New Roman" w:eastAsia="Times New Roman" w:hAnsi="Times New Roman" w:cs="Times New Roman"/>
          <w:sz w:val="24"/>
          <w:szCs w:val="24"/>
        </w:rPr>
        <w:t>empeña la empresa en diversos ámbitos: el trabajador y su familia se ven beneficiados de la relación laboral en la que la empresa asume el papel de empleador; el Estado se ve beneficiado por la pluralidad de impuestos, tasas o contribuciones que realiza la</w:t>
      </w:r>
      <w:r w:rsidRPr="00AF2364">
        <w:rPr>
          <w:rFonts w:ascii="Times New Roman" w:eastAsia="Times New Roman" w:hAnsi="Times New Roman" w:cs="Times New Roman"/>
          <w:sz w:val="24"/>
          <w:szCs w:val="24"/>
        </w:rPr>
        <w:t xml:space="preserve"> empresa en la medida en que desarrolla sus operaciones; así mismo, la economía nacional, pues una unidad de explotación económica resulta atractiva para inversionistas extranjeros, lo cual ayuda a que Colombia atraiga capitales extranjeros y fortalezca su</w:t>
      </w:r>
      <w:r w:rsidRPr="00AF2364">
        <w:rPr>
          <w:rFonts w:ascii="Times New Roman" w:eastAsia="Times New Roman" w:hAnsi="Times New Roman" w:cs="Times New Roman"/>
          <w:sz w:val="24"/>
          <w:szCs w:val="24"/>
        </w:rPr>
        <w:t xml:space="preserve"> economía, la misma que se ha visto tan golpeada por la emergencia sanitaria en la que se encuentra.</w:t>
      </w:r>
    </w:p>
    <w:p w14:paraId="557B92AE" w14:textId="77777777" w:rsidR="006D1F8B" w:rsidRPr="00AF2364" w:rsidRDefault="00042B2C" w:rsidP="00AF2364">
      <w:pPr>
        <w:spacing w:before="80" w:line="360" w:lineRule="auto"/>
        <w:ind w:right="-40"/>
        <w:jc w:val="both"/>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Es decir, dentro de la situación de emergencia sanitaria y las medidas que ha sido necesario tomar por orden del Gobierno Nacional, y con el fin de salvagu</w:t>
      </w:r>
      <w:r w:rsidRPr="00AF2364">
        <w:rPr>
          <w:rFonts w:ascii="Times New Roman" w:eastAsia="Times New Roman" w:hAnsi="Times New Roman" w:cs="Times New Roman"/>
          <w:sz w:val="24"/>
          <w:szCs w:val="24"/>
        </w:rPr>
        <w:t>ardar bienes como la vida y la salud, la empresa se ha visto afectada, lo cual, como se ha explicado anteriormente, afecta a todos los colombianos.</w:t>
      </w:r>
    </w:p>
    <w:p w14:paraId="00B71134" w14:textId="77777777" w:rsidR="006D1F8B" w:rsidRPr="00AF2364" w:rsidRDefault="00042B2C" w:rsidP="00AF2364">
      <w:pPr>
        <w:spacing w:before="80" w:line="360" w:lineRule="auto"/>
        <w:ind w:right="-40"/>
        <w:jc w:val="both"/>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 xml:space="preserve">El repentino y fuerte cambio económico derivado de las medidas que ha sido necesario implementar con el fin </w:t>
      </w:r>
      <w:r w:rsidRPr="00AF2364">
        <w:rPr>
          <w:rFonts w:ascii="Times New Roman" w:eastAsia="Times New Roman" w:hAnsi="Times New Roman" w:cs="Times New Roman"/>
          <w:sz w:val="24"/>
          <w:szCs w:val="24"/>
        </w:rPr>
        <w:t>de evitar el contagio y propagación del Covid-19, conlleva a que se generen impagos en las obligaciones de las empresas, en razón de que el pasivo de estas aumenta rápidamente mientras que el activo tiene una tendencia a solo disminuir. El ordenamiento jur</w:t>
      </w:r>
      <w:r w:rsidRPr="00AF2364">
        <w:rPr>
          <w:rFonts w:ascii="Times New Roman" w:eastAsia="Times New Roman" w:hAnsi="Times New Roman" w:cs="Times New Roman"/>
          <w:sz w:val="24"/>
          <w:szCs w:val="24"/>
        </w:rPr>
        <w:t xml:space="preserve">ídico colombiano presenta para estas problemáticas económicas empresariales </w:t>
      </w:r>
      <w:r w:rsidRPr="00AF2364">
        <w:rPr>
          <w:rFonts w:ascii="Times New Roman" w:eastAsia="Times New Roman" w:hAnsi="Times New Roman" w:cs="Times New Roman"/>
          <w:sz w:val="24"/>
          <w:szCs w:val="24"/>
        </w:rPr>
        <w:lastRenderedPageBreak/>
        <w:t xml:space="preserve">la posibilidad de que las compañías afectadas se acojan a procesos de insolvencia y reorganización empresarial buscando la preservación de las empresas. </w:t>
      </w:r>
    </w:p>
    <w:p w14:paraId="0A1BB243" w14:textId="77777777" w:rsidR="006D1F8B" w:rsidRPr="00AF2364" w:rsidRDefault="00042B2C" w:rsidP="00AF2364">
      <w:pPr>
        <w:spacing w:before="80" w:line="360" w:lineRule="auto"/>
        <w:ind w:right="-40"/>
        <w:jc w:val="both"/>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Estos procesos de insolvencia y reorganización empresarial se encuentran regulados en la ley 1116 de 2006, siendo una alternativa viable para buscar salvaguardar la empresa, entendiendo que es una parte fundamental de la sociedad colombiana. No obstante, d</w:t>
      </w:r>
      <w:r w:rsidRPr="00AF2364">
        <w:rPr>
          <w:rFonts w:ascii="Times New Roman" w:eastAsia="Times New Roman" w:hAnsi="Times New Roman" w:cs="Times New Roman"/>
          <w:sz w:val="24"/>
          <w:szCs w:val="24"/>
        </w:rPr>
        <w:t xml:space="preserve">ebido a las circunstancias que rodean la emergencia sanitaria, el Gobierno Nacional promulgó el pasado 15 de abril de 2020, el Decreto-ley 560 de 2020 </w:t>
      </w:r>
      <w:r w:rsidRPr="00AF2364">
        <w:rPr>
          <w:rFonts w:ascii="Times New Roman" w:eastAsia="Times New Roman" w:hAnsi="Times New Roman" w:cs="Times New Roman"/>
          <w:i/>
          <w:sz w:val="24"/>
          <w:szCs w:val="24"/>
        </w:rPr>
        <w:t>“Por el cual se adoptan medidas transitorias especiales en materia de procesos de insolvencia, en el marc</w:t>
      </w:r>
      <w:r w:rsidRPr="00AF2364">
        <w:rPr>
          <w:rFonts w:ascii="Times New Roman" w:eastAsia="Times New Roman" w:hAnsi="Times New Roman" w:cs="Times New Roman"/>
          <w:i/>
          <w:sz w:val="24"/>
          <w:szCs w:val="24"/>
        </w:rPr>
        <w:t xml:space="preserve">o del Estado de Emergencia, Social y Ecológica” </w:t>
      </w:r>
      <w:r w:rsidRPr="00AF2364">
        <w:rPr>
          <w:rFonts w:ascii="Times New Roman" w:eastAsia="Times New Roman" w:hAnsi="Times New Roman" w:cs="Times New Roman"/>
          <w:sz w:val="24"/>
          <w:szCs w:val="24"/>
        </w:rPr>
        <w:t>modificando transitoriamente algunas disposiciones de la ley 1116 de 2006, con el fin de hacer frente a esta emergencia sanitaria.</w:t>
      </w:r>
    </w:p>
    <w:p w14:paraId="63927AEC" w14:textId="77777777" w:rsidR="006D1F8B" w:rsidRPr="00AF2364" w:rsidRDefault="00042B2C" w:rsidP="00AF2364">
      <w:pPr>
        <w:spacing w:before="80" w:line="360" w:lineRule="auto"/>
        <w:ind w:right="-40"/>
        <w:jc w:val="both"/>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Siendo fiel a la filosofía de la ley 1116 el decreto 560, busca de igual form</w:t>
      </w:r>
      <w:r w:rsidRPr="00AF2364">
        <w:rPr>
          <w:rFonts w:ascii="Times New Roman" w:eastAsia="Times New Roman" w:hAnsi="Times New Roman" w:cs="Times New Roman"/>
          <w:sz w:val="24"/>
          <w:szCs w:val="24"/>
        </w:rPr>
        <w:t>a proteger y salvaguardar la empresa de su “quiebra” o liquidación, permitiendo aspectos como la renegociación de las obligaciones que tenga la empresa, pues si bien todas las empresas adquieren ya sean obligaciones de índole laboral, como el pago de la nó</w:t>
      </w:r>
      <w:r w:rsidRPr="00AF2364">
        <w:rPr>
          <w:rFonts w:ascii="Times New Roman" w:eastAsia="Times New Roman" w:hAnsi="Times New Roman" w:cs="Times New Roman"/>
          <w:sz w:val="24"/>
          <w:szCs w:val="24"/>
        </w:rPr>
        <w:t>mina de sus trabajadores, de índole financiero, como los créditos solicitados a entidades bancarias con el fin de desarrollar sus operaciones económicas, e incluso de índole comercial, como lo podrían ser diversos contratos de suministro o  distribución qu</w:t>
      </w:r>
      <w:r w:rsidRPr="00AF2364">
        <w:rPr>
          <w:rFonts w:ascii="Times New Roman" w:eastAsia="Times New Roman" w:hAnsi="Times New Roman" w:cs="Times New Roman"/>
          <w:sz w:val="24"/>
          <w:szCs w:val="24"/>
        </w:rPr>
        <w:t>e sean necesarios para la actividad económica de la empresa, el pago y ejecución de dichas obligaciones es posible gracias a que la empresa percibe utilidades que le permiten cumplir con sus obligaciones, pero ¿Qué hacer ante una situación de emergencia co</w:t>
      </w:r>
      <w:r w:rsidRPr="00AF2364">
        <w:rPr>
          <w:rFonts w:ascii="Times New Roman" w:eastAsia="Times New Roman" w:hAnsi="Times New Roman" w:cs="Times New Roman"/>
          <w:sz w:val="24"/>
          <w:szCs w:val="24"/>
        </w:rPr>
        <w:t>mo la que atraviesa Colombia? ¿Qué hacer con las obligaciones que debe cumplir la empresa?</w:t>
      </w:r>
    </w:p>
    <w:p w14:paraId="05829920" w14:textId="77777777" w:rsidR="006D1F8B" w:rsidRPr="00AF2364" w:rsidRDefault="00042B2C" w:rsidP="00AF2364">
      <w:pPr>
        <w:spacing w:before="80" w:line="360" w:lineRule="auto"/>
        <w:ind w:right="-40"/>
        <w:jc w:val="both"/>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El decreto 560 de 2020 consagra la posibilidad de la renegociación de estas obligaciones, permitiendo así que estos procesos de insolvencia en el marco de esta norma</w:t>
      </w:r>
      <w:r w:rsidRPr="00AF2364">
        <w:rPr>
          <w:rFonts w:ascii="Times New Roman" w:eastAsia="Times New Roman" w:hAnsi="Times New Roman" w:cs="Times New Roman"/>
          <w:sz w:val="24"/>
          <w:szCs w:val="24"/>
        </w:rPr>
        <w:t>tividad protejan de manera efectiva la empresa como unidad de explotación económica y fuente generadora de empleo.</w:t>
      </w:r>
    </w:p>
    <w:p w14:paraId="7E391346" w14:textId="77777777" w:rsidR="006D1F8B" w:rsidRPr="00AF2364" w:rsidRDefault="00042B2C" w:rsidP="00AF2364">
      <w:pPr>
        <w:spacing w:before="80" w:line="360" w:lineRule="auto"/>
        <w:ind w:right="680"/>
        <w:jc w:val="both"/>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En atención a esto decidimos responder a la siguiente pregunta:</w:t>
      </w:r>
    </w:p>
    <w:p w14:paraId="6EA55C8A" w14:textId="734DFA0E" w:rsidR="006D1F8B" w:rsidRPr="00CF2D78" w:rsidRDefault="00042B2C" w:rsidP="00AF2364">
      <w:pPr>
        <w:spacing w:before="80" w:line="360" w:lineRule="auto"/>
        <w:ind w:right="-40"/>
        <w:jc w:val="both"/>
        <w:rPr>
          <w:rFonts w:ascii="Times New Roman" w:eastAsia="Times New Roman" w:hAnsi="Times New Roman" w:cs="Times New Roman"/>
          <w:b/>
          <w:bCs/>
          <w:sz w:val="24"/>
          <w:szCs w:val="24"/>
        </w:rPr>
      </w:pPr>
      <w:r w:rsidRPr="00CF2D78">
        <w:rPr>
          <w:rFonts w:ascii="Times New Roman" w:eastAsia="Times New Roman" w:hAnsi="Times New Roman" w:cs="Times New Roman"/>
          <w:b/>
          <w:bCs/>
          <w:sz w:val="24"/>
          <w:szCs w:val="24"/>
        </w:rPr>
        <w:t xml:space="preserve">¿Es la “negociación de emergencia”, consagrada en el decreto 560 de 2020, </w:t>
      </w:r>
      <w:r w:rsidRPr="00CF2D78">
        <w:rPr>
          <w:rFonts w:ascii="Times New Roman" w:eastAsia="Times New Roman" w:hAnsi="Times New Roman" w:cs="Times New Roman"/>
          <w:b/>
          <w:bCs/>
          <w:sz w:val="24"/>
          <w:szCs w:val="24"/>
        </w:rPr>
        <w:t>un</w:t>
      </w:r>
      <w:r w:rsidRPr="00CF2D78">
        <w:rPr>
          <w:rFonts w:ascii="Times New Roman" w:eastAsia="Times New Roman" w:hAnsi="Times New Roman" w:cs="Times New Roman"/>
          <w:b/>
          <w:bCs/>
          <w:sz w:val="24"/>
          <w:szCs w:val="24"/>
        </w:rPr>
        <w:t xml:space="preserve">a herramienta eficiente para atender el propósito de los procesos de Insolvencia empresarial (regulado por la ley 1116 y regulado por el D560 de 2020), diseñado para </w:t>
      </w:r>
      <w:r w:rsidRPr="00CF2D78">
        <w:rPr>
          <w:rFonts w:ascii="Times New Roman" w:eastAsia="Times New Roman" w:hAnsi="Times New Roman" w:cs="Times New Roman"/>
          <w:b/>
          <w:bCs/>
          <w:sz w:val="24"/>
          <w:szCs w:val="24"/>
        </w:rPr>
        <w:t>garantizar la supervivencia empresarial de la coyuntura derivada de las medidas gubername</w:t>
      </w:r>
      <w:r w:rsidRPr="00CF2D78">
        <w:rPr>
          <w:rFonts w:ascii="Times New Roman" w:eastAsia="Times New Roman" w:hAnsi="Times New Roman" w:cs="Times New Roman"/>
          <w:b/>
          <w:bCs/>
          <w:sz w:val="24"/>
          <w:szCs w:val="24"/>
        </w:rPr>
        <w:t>ntales proferidas para contener el contagio del Covid - 19?</w:t>
      </w:r>
    </w:p>
    <w:p w14:paraId="58DBFA90" w14:textId="77777777" w:rsidR="006D1F8B" w:rsidRPr="00AF2364" w:rsidRDefault="006D1F8B" w:rsidP="00AF2364">
      <w:pPr>
        <w:spacing w:before="80" w:line="360" w:lineRule="auto"/>
        <w:ind w:right="680"/>
        <w:rPr>
          <w:rFonts w:ascii="Times New Roman" w:eastAsia="Times New Roman" w:hAnsi="Times New Roman" w:cs="Times New Roman"/>
          <w:b/>
          <w:sz w:val="24"/>
          <w:szCs w:val="24"/>
        </w:rPr>
      </w:pPr>
    </w:p>
    <w:p w14:paraId="57A04E6A" w14:textId="3A6D4B03" w:rsidR="006D1F8B" w:rsidRPr="00AF2364" w:rsidRDefault="00AB49DC" w:rsidP="00AF2364">
      <w:pPr>
        <w:spacing w:before="80" w:line="360" w:lineRule="auto"/>
        <w:ind w:left="1440" w:right="680"/>
        <w:jc w:val="center"/>
        <w:rPr>
          <w:rFonts w:ascii="Times New Roman" w:eastAsia="Times New Roman" w:hAnsi="Times New Roman" w:cs="Times New Roman"/>
          <w:sz w:val="24"/>
          <w:szCs w:val="24"/>
        </w:rPr>
      </w:pPr>
      <w:r w:rsidRPr="00AF2364">
        <w:rPr>
          <w:rFonts w:ascii="Times New Roman" w:eastAsia="Times New Roman" w:hAnsi="Times New Roman" w:cs="Times New Roman"/>
          <w:b/>
          <w:sz w:val="24"/>
          <w:szCs w:val="24"/>
        </w:rPr>
        <w:lastRenderedPageBreak/>
        <w:t>OBJETIVOS GENERALES Y ESPECÍFICOS DEL PROYECTO</w:t>
      </w:r>
      <w:r w:rsidRPr="00AF2364">
        <w:rPr>
          <w:rFonts w:ascii="Times New Roman" w:eastAsia="Times New Roman" w:hAnsi="Times New Roman" w:cs="Times New Roman"/>
          <w:sz w:val="24"/>
          <w:szCs w:val="24"/>
        </w:rPr>
        <w:t xml:space="preserve"> </w:t>
      </w:r>
    </w:p>
    <w:p w14:paraId="3BED175E" w14:textId="77777777" w:rsidR="006D1F8B" w:rsidRPr="00AF2364" w:rsidRDefault="006D1F8B" w:rsidP="00AF2364">
      <w:pPr>
        <w:spacing w:before="80" w:line="360" w:lineRule="auto"/>
        <w:ind w:left="1440" w:right="680"/>
        <w:jc w:val="center"/>
        <w:rPr>
          <w:rFonts w:ascii="Times New Roman" w:eastAsia="Times New Roman" w:hAnsi="Times New Roman" w:cs="Times New Roman"/>
          <w:sz w:val="24"/>
          <w:szCs w:val="24"/>
        </w:rPr>
      </w:pPr>
    </w:p>
    <w:p w14:paraId="11A64958" w14:textId="77777777" w:rsidR="006D1F8B" w:rsidRPr="00AF2364" w:rsidRDefault="00042B2C" w:rsidP="00AF2364">
      <w:pPr>
        <w:spacing w:before="80" w:line="360" w:lineRule="auto"/>
        <w:ind w:right="-40"/>
        <w:jc w:val="both"/>
        <w:rPr>
          <w:rFonts w:ascii="Times New Roman" w:eastAsia="Times New Roman" w:hAnsi="Times New Roman" w:cs="Times New Roman"/>
          <w:b/>
          <w:sz w:val="24"/>
          <w:szCs w:val="24"/>
        </w:rPr>
      </w:pPr>
      <w:r w:rsidRPr="00AF2364">
        <w:rPr>
          <w:rFonts w:ascii="Times New Roman" w:eastAsia="Times New Roman" w:hAnsi="Times New Roman" w:cs="Times New Roman"/>
          <w:b/>
          <w:sz w:val="24"/>
          <w:szCs w:val="24"/>
        </w:rPr>
        <w:t>OBJETIVO GENERAL:</w:t>
      </w:r>
    </w:p>
    <w:p w14:paraId="3358606E" w14:textId="77777777" w:rsidR="006D1F8B" w:rsidRPr="00AF2364" w:rsidRDefault="006D1F8B" w:rsidP="00AF2364">
      <w:pPr>
        <w:spacing w:before="80" w:line="360" w:lineRule="auto"/>
        <w:ind w:right="-40"/>
        <w:jc w:val="both"/>
        <w:rPr>
          <w:rFonts w:ascii="Times New Roman" w:eastAsia="Times New Roman" w:hAnsi="Times New Roman" w:cs="Times New Roman"/>
          <w:b/>
          <w:sz w:val="24"/>
          <w:szCs w:val="24"/>
        </w:rPr>
      </w:pPr>
    </w:p>
    <w:p w14:paraId="60781CEC" w14:textId="77777777" w:rsidR="006D1F8B" w:rsidRPr="00AF2364" w:rsidRDefault="00042B2C" w:rsidP="00AF2364">
      <w:pPr>
        <w:numPr>
          <w:ilvl w:val="0"/>
          <w:numId w:val="1"/>
        </w:numPr>
        <w:spacing w:before="80" w:line="360" w:lineRule="auto"/>
        <w:ind w:right="-40"/>
        <w:jc w:val="both"/>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Desde las propuestas hechas a partir del discurso del análisis económico del derecho, analizar la eficiencia de la negociación privada en los procesos de reestructuración empresarial, regulados en la Ley 1116 de 2006 y el Decreto 560 de 2020, proferidos co</w:t>
      </w:r>
      <w:r w:rsidRPr="00AF2364">
        <w:rPr>
          <w:rFonts w:ascii="Times New Roman" w:eastAsia="Times New Roman" w:hAnsi="Times New Roman" w:cs="Times New Roman"/>
          <w:sz w:val="24"/>
          <w:szCs w:val="24"/>
        </w:rPr>
        <w:t>n el propósito de atender las problemáticas económicas originadas por las medidas gubernamentales adoptadas para contener el contagio del Covid - 19.</w:t>
      </w:r>
    </w:p>
    <w:p w14:paraId="7AFA7614" w14:textId="77777777" w:rsidR="006D1F8B" w:rsidRPr="00AF2364" w:rsidRDefault="006D1F8B" w:rsidP="00AF2364">
      <w:pPr>
        <w:spacing w:before="80" w:line="360" w:lineRule="auto"/>
        <w:ind w:left="720" w:right="-40"/>
        <w:jc w:val="both"/>
        <w:rPr>
          <w:rFonts w:ascii="Times New Roman" w:eastAsia="Times New Roman" w:hAnsi="Times New Roman" w:cs="Times New Roman"/>
          <w:sz w:val="24"/>
          <w:szCs w:val="24"/>
        </w:rPr>
      </w:pPr>
    </w:p>
    <w:p w14:paraId="7590D021" w14:textId="77777777" w:rsidR="006D1F8B" w:rsidRPr="00AF2364" w:rsidRDefault="006D1F8B" w:rsidP="00AF2364">
      <w:pPr>
        <w:spacing w:before="80" w:line="360" w:lineRule="auto"/>
        <w:ind w:right="-40"/>
        <w:jc w:val="both"/>
        <w:rPr>
          <w:rFonts w:ascii="Times New Roman" w:eastAsia="Times New Roman" w:hAnsi="Times New Roman" w:cs="Times New Roman"/>
          <w:sz w:val="24"/>
          <w:szCs w:val="24"/>
        </w:rPr>
      </w:pPr>
    </w:p>
    <w:p w14:paraId="4F8D6D5C" w14:textId="77777777" w:rsidR="006D1F8B" w:rsidRPr="00AF2364" w:rsidRDefault="006D1F8B" w:rsidP="00AF2364">
      <w:pPr>
        <w:spacing w:before="80" w:line="360" w:lineRule="auto"/>
        <w:ind w:right="-40"/>
        <w:jc w:val="both"/>
        <w:rPr>
          <w:rFonts w:ascii="Times New Roman" w:eastAsia="Times New Roman" w:hAnsi="Times New Roman" w:cs="Times New Roman"/>
          <w:sz w:val="24"/>
          <w:szCs w:val="24"/>
        </w:rPr>
      </w:pPr>
    </w:p>
    <w:p w14:paraId="7FA9477F" w14:textId="77777777" w:rsidR="006D1F8B" w:rsidRPr="00AF2364" w:rsidRDefault="00042B2C" w:rsidP="00AF2364">
      <w:pPr>
        <w:spacing w:before="80" w:line="360" w:lineRule="auto"/>
        <w:ind w:right="-40"/>
        <w:jc w:val="both"/>
        <w:rPr>
          <w:rFonts w:ascii="Times New Roman" w:eastAsia="Times New Roman" w:hAnsi="Times New Roman" w:cs="Times New Roman"/>
          <w:b/>
          <w:sz w:val="24"/>
          <w:szCs w:val="24"/>
        </w:rPr>
      </w:pPr>
      <w:r w:rsidRPr="00AF2364">
        <w:rPr>
          <w:rFonts w:ascii="Times New Roman" w:eastAsia="Times New Roman" w:hAnsi="Times New Roman" w:cs="Times New Roman"/>
          <w:b/>
          <w:sz w:val="24"/>
          <w:szCs w:val="24"/>
        </w:rPr>
        <w:t>OBJETIVOS ESPECÍFICOS:</w:t>
      </w:r>
    </w:p>
    <w:p w14:paraId="1C28D49E" w14:textId="77777777" w:rsidR="006D1F8B" w:rsidRPr="00AF2364" w:rsidRDefault="006D1F8B" w:rsidP="00AF2364">
      <w:pPr>
        <w:spacing w:before="80" w:line="360" w:lineRule="auto"/>
        <w:ind w:right="-40"/>
        <w:jc w:val="both"/>
        <w:rPr>
          <w:rFonts w:ascii="Times New Roman" w:eastAsia="Times New Roman" w:hAnsi="Times New Roman" w:cs="Times New Roman"/>
          <w:b/>
          <w:sz w:val="24"/>
          <w:szCs w:val="24"/>
        </w:rPr>
      </w:pPr>
    </w:p>
    <w:p w14:paraId="65716014" w14:textId="17489B0F" w:rsidR="006D1F8B" w:rsidRPr="00AF2364" w:rsidRDefault="004442AB" w:rsidP="00AF2364">
      <w:pPr>
        <w:numPr>
          <w:ilvl w:val="0"/>
          <w:numId w:val="3"/>
        </w:numPr>
        <w:spacing w:before="80" w:line="360" w:lineRule="auto"/>
        <w:ind w:right="-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Indicar</w:t>
      </w:r>
      <w:r w:rsidR="00042B2C" w:rsidRPr="00AF2364">
        <w:rPr>
          <w:rFonts w:ascii="Times New Roman" w:eastAsia="Times New Roman" w:hAnsi="Times New Roman" w:cs="Times New Roman"/>
          <w:sz w:val="24"/>
          <w:szCs w:val="24"/>
        </w:rPr>
        <w:t xml:space="preserve"> criterios de eficiencia que nos permitan evaluar la negociación privada como una medida propia de la reestructuración empresarial que pretende satisfacer los intereses del empresario deudor, los acreedores y el Estado.</w:t>
      </w:r>
    </w:p>
    <w:p w14:paraId="497FBF53" w14:textId="77777777" w:rsidR="006D1F8B" w:rsidRPr="00AF2364" w:rsidRDefault="006D1F8B" w:rsidP="00AF2364">
      <w:pPr>
        <w:spacing w:before="80" w:line="360" w:lineRule="auto"/>
        <w:ind w:left="720" w:right="-40"/>
        <w:jc w:val="both"/>
        <w:rPr>
          <w:rFonts w:ascii="Times New Roman" w:eastAsia="Times New Roman" w:hAnsi="Times New Roman" w:cs="Times New Roman"/>
          <w:sz w:val="24"/>
          <w:szCs w:val="24"/>
        </w:rPr>
      </w:pPr>
    </w:p>
    <w:p w14:paraId="44DBA7BF" w14:textId="77777777" w:rsidR="006D1F8B" w:rsidRPr="00AF2364" w:rsidRDefault="00042B2C" w:rsidP="00AF2364">
      <w:pPr>
        <w:numPr>
          <w:ilvl w:val="0"/>
          <w:numId w:val="3"/>
        </w:numPr>
        <w:spacing w:before="80" w:line="360" w:lineRule="auto"/>
        <w:ind w:right="-40"/>
        <w:jc w:val="both"/>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A partir de las manifest</w:t>
      </w:r>
      <w:r w:rsidRPr="00AF2364">
        <w:rPr>
          <w:rFonts w:ascii="Times New Roman" w:eastAsia="Times New Roman" w:hAnsi="Times New Roman" w:cs="Times New Roman"/>
          <w:sz w:val="24"/>
          <w:szCs w:val="24"/>
        </w:rPr>
        <w:t xml:space="preserve">aciones de los empresarios en medios de comunicación de divulgación nacional y los comunicados oficiales de algunos gremios empresariales, identificar las necesidades patrimoniales del sector empresarial originadas en el interés de la supervivencia de sus </w:t>
      </w:r>
      <w:r w:rsidRPr="00AF2364">
        <w:rPr>
          <w:rFonts w:ascii="Times New Roman" w:eastAsia="Times New Roman" w:hAnsi="Times New Roman" w:cs="Times New Roman"/>
          <w:sz w:val="24"/>
          <w:szCs w:val="24"/>
        </w:rPr>
        <w:t>empresas, con el propósito de comprender cómo pueden resultar más eficientes los procesos de insolvencia empresarial.</w:t>
      </w:r>
    </w:p>
    <w:p w14:paraId="39BF2700" w14:textId="77777777" w:rsidR="006D1F8B" w:rsidRPr="00AF2364" w:rsidRDefault="006D1F8B" w:rsidP="00AF2364">
      <w:pPr>
        <w:spacing w:before="80" w:line="360" w:lineRule="auto"/>
        <w:ind w:left="720" w:right="-40"/>
        <w:jc w:val="both"/>
        <w:rPr>
          <w:rFonts w:ascii="Times New Roman" w:eastAsia="Times New Roman" w:hAnsi="Times New Roman" w:cs="Times New Roman"/>
          <w:sz w:val="24"/>
          <w:szCs w:val="24"/>
        </w:rPr>
      </w:pPr>
    </w:p>
    <w:p w14:paraId="7547F1F4" w14:textId="77777777" w:rsidR="006D1F8B" w:rsidRPr="00AF2364" w:rsidRDefault="00042B2C" w:rsidP="00AF2364">
      <w:pPr>
        <w:numPr>
          <w:ilvl w:val="0"/>
          <w:numId w:val="3"/>
        </w:numPr>
        <w:spacing w:before="80" w:line="360" w:lineRule="auto"/>
        <w:ind w:right="-40"/>
        <w:jc w:val="both"/>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Determinar la eficiencia de la figura de la negociación privada implementada en el Decreto 560 de 2020 frente a las necesidades patrimoni</w:t>
      </w:r>
      <w:r w:rsidRPr="00AF2364">
        <w:rPr>
          <w:rFonts w:ascii="Times New Roman" w:eastAsia="Times New Roman" w:hAnsi="Times New Roman" w:cs="Times New Roman"/>
          <w:sz w:val="24"/>
          <w:szCs w:val="24"/>
        </w:rPr>
        <w:t xml:space="preserve">ales que se buscan atender en sede de los procesos de reestructuración empresarial.  </w:t>
      </w:r>
    </w:p>
    <w:p w14:paraId="641A1E5E" w14:textId="77777777" w:rsidR="006D1F8B" w:rsidRPr="00AF2364" w:rsidRDefault="006D1F8B" w:rsidP="00AF2364">
      <w:pPr>
        <w:spacing w:before="80" w:line="360" w:lineRule="auto"/>
        <w:ind w:right="-40"/>
        <w:jc w:val="both"/>
        <w:rPr>
          <w:rFonts w:ascii="Times New Roman" w:eastAsia="Times New Roman" w:hAnsi="Times New Roman" w:cs="Times New Roman"/>
          <w:sz w:val="24"/>
          <w:szCs w:val="24"/>
        </w:rPr>
      </w:pPr>
    </w:p>
    <w:p w14:paraId="590BD862" w14:textId="77777777" w:rsidR="006D1F8B" w:rsidRPr="00AF2364" w:rsidRDefault="006D1F8B" w:rsidP="00AF2364">
      <w:pPr>
        <w:spacing w:before="80" w:line="360" w:lineRule="auto"/>
        <w:ind w:right="-40"/>
        <w:jc w:val="both"/>
        <w:rPr>
          <w:rFonts w:ascii="Times New Roman" w:eastAsia="Times New Roman" w:hAnsi="Times New Roman" w:cs="Times New Roman"/>
          <w:sz w:val="24"/>
          <w:szCs w:val="24"/>
        </w:rPr>
      </w:pPr>
    </w:p>
    <w:p w14:paraId="6BC70ECA" w14:textId="77777777" w:rsidR="00AB49DC" w:rsidRDefault="00AB49DC" w:rsidP="00AF2364">
      <w:pPr>
        <w:spacing w:before="80" w:line="360" w:lineRule="auto"/>
        <w:ind w:left="1440" w:right="680"/>
        <w:jc w:val="center"/>
        <w:rPr>
          <w:rFonts w:ascii="Times New Roman" w:eastAsia="Times New Roman" w:hAnsi="Times New Roman" w:cs="Times New Roman"/>
          <w:b/>
          <w:sz w:val="24"/>
          <w:szCs w:val="24"/>
        </w:rPr>
      </w:pPr>
    </w:p>
    <w:p w14:paraId="01E7DA46" w14:textId="4F19F874" w:rsidR="006D1F8B" w:rsidRPr="00AF2364" w:rsidRDefault="00AB49DC" w:rsidP="00AF2364">
      <w:pPr>
        <w:spacing w:before="80" w:line="360" w:lineRule="auto"/>
        <w:ind w:left="1440" w:right="680"/>
        <w:jc w:val="center"/>
        <w:rPr>
          <w:rFonts w:ascii="Times New Roman" w:eastAsia="Times New Roman" w:hAnsi="Times New Roman" w:cs="Times New Roman"/>
          <w:sz w:val="24"/>
          <w:szCs w:val="24"/>
        </w:rPr>
      </w:pPr>
      <w:r w:rsidRPr="00AF2364">
        <w:rPr>
          <w:rFonts w:ascii="Times New Roman" w:eastAsia="Times New Roman" w:hAnsi="Times New Roman" w:cs="Times New Roman"/>
          <w:b/>
          <w:sz w:val="24"/>
          <w:szCs w:val="24"/>
        </w:rPr>
        <w:lastRenderedPageBreak/>
        <w:t>JUSTIFICACIÓN</w:t>
      </w:r>
      <w:r w:rsidRPr="00AF2364">
        <w:rPr>
          <w:rFonts w:ascii="Times New Roman" w:eastAsia="Times New Roman" w:hAnsi="Times New Roman" w:cs="Times New Roman"/>
          <w:sz w:val="24"/>
          <w:szCs w:val="24"/>
        </w:rPr>
        <w:t xml:space="preserve"> </w:t>
      </w:r>
    </w:p>
    <w:p w14:paraId="36A699B6" w14:textId="77777777" w:rsidR="006D1F8B" w:rsidRPr="00AF2364" w:rsidRDefault="00042B2C" w:rsidP="00AF2364">
      <w:pPr>
        <w:spacing w:before="80" w:line="360" w:lineRule="auto"/>
        <w:ind w:right="-40"/>
        <w:jc w:val="both"/>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El régimen de insolvencia de persona comercial que se encuentra consagrado en la ley 1116 de 2006 busca a través de la reorganización, conservar aquellas empresas que se encuentran en problemas fina</w:t>
      </w:r>
      <w:r w:rsidRPr="00AF2364">
        <w:rPr>
          <w:rFonts w:ascii="Times New Roman" w:eastAsia="Times New Roman" w:hAnsi="Times New Roman" w:cs="Times New Roman"/>
          <w:sz w:val="24"/>
          <w:szCs w:val="24"/>
        </w:rPr>
        <w:t>ncieros y en incapacidad de pagar sus deudas a los distintos acreedores y por otro, a través de la liquidación, un trámite pronto y ordenado optimizando el patrimonio del deudora través de la reorganización, conservar aquellas empresas que se encuentran en</w:t>
      </w:r>
      <w:r w:rsidRPr="00AF2364">
        <w:rPr>
          <w:rFonts w:ascii="Times New Roman" w:eastAsia="Times New Roman" w:hAnsi="Times New Roman" w:cs="Times New Roman"/>
          <w:sz w:val="24"/>
          <w:szCs w:val="24"/>
        </w:rPr>
        <w:t xml:space="preserve"> problemas financieros y en incapacidad de pagar sus deudas a los distintos acreedores y por otro, a través de la liquidación, un trámite pronto y ordenado optimizando el patrimonio del deudor</w:t>
      </w:r>
      <w:r w:rsidRPr="00AF2364">
        <w:rPr>
          <w:rFonts w:ascii="Times New Roman" w:eastAsia="Times New Roman" w:hAnsi="Times New Roman" w:cs="Times New Roman"/>
          <w:sz w:val="24"/>
          <w:szCs w:val="24"/>
          <w:vertAlign w:val="superscript"/>
        </w:rPr>
        <w:footnoteReference w:id="1"/>
      </w:r>
      <w:r w:rsidRPr="00AF2364">
        <w:rPr>
          <w:rFonts w:ascii="Times New Roman" w:eastAsia="Times New Roman" w:hAnsi="Times New Roman" w:cs="Times New Roman"/>
          <w:sz w:val="24"/>
          <w:szCs w:val="24"/>
        </w:rPr>
        <w:t>. Atendiendo a que las condiciones del mercado no son las habi</w:t>
      </w:r>
      <w:r w:rsidRPr="00AF2364">
        <w:rPr>
          <w:rFonts w:ascii="Times New Roman" w:eastAsia="Times New Roman" w:hAnsi="Times New Roman" w:cs="Times New Roman"/>
          <w:sz w:val="24"/>
          <w:szCs w:val="24"/>
        </w:rPr>
        <w:t>tuales el Gobierno nacional profirió el Decreto 560 de 2020 en virtud lo dispuesto por los artículos 211, 212 y 213 de la Constitución, y considerando que, es necesario promover la implementación nuevas fórmulas de arreglos entre el deudor y los acreedores</w:t>
      </w:r>
      <w:r w:rsidRPr="00AF2364">
        <w:rPr>
          <w:rFonts w:ascii="Times New Roman" w:eastAsia="Times New Roman" w:hAnsi="Times New Roman" w:cs="Times New Roman"/>
          <w:sz w:val="24"/>
          <w:szCs w:val="24"/>
        </w:rPr>
        <w:t xml:space="preserve"> como las capitalizaciones de deuda, las descargas de pasivo y pacto de deuda sostenible, que permitan resolver la crisis del deudor, con el fin de evitar la liquidación y la consecuencia pérdida de puestos de trabajo.</w:t>
      </w:r>
      <w:r w:rsidRPr="00AF2364">
        <w:rPr>
          <w:rFonts w:ascii="Times New Roman" w:eastAsia="Times New Roman" w:hAnsi="Times New Roman" w:cs="Times New Roman"/>
          <w:sz w:val="24"/>
          <w:szCs w:val="24"/>
          <w:vertAlign w:val="superscript"/>
        </w:rPr>
        <w:footnoteReference w:id="2"/>
      </w:r>
      <w:r w:rsidRPr="00AF2364">
        <w:rPr>
          <w:rFonts w:ascii="Times New Roman" w:eastAsia="Times New Roman" w:hAnsi="Times New Roman" w:cs="Times New Roman"/>
          <w:sz w:val="24"/>
          <w:szCs w:val="24"/>
        </w:rPr>
        <w:t xml:space="preserve"> Este decreto abre la posibilidad de implementar algunas medidas transitorias especiales en materia de insolvencia durante el Estado de Emergencia Social y Ecológica. </w:t>
      </w:r>
    </w:p>
    <w:p w14:paraId="3063B93A" w14:textId="77777777" w:rsidR="006D1F8B" w:rsidRPr="00AF2364" w:rsidRDefault="00042B2C" w:rsidP="00AF2364">
      <w:pPr>
        <w:spacing w:before="80" w:line="360" w:lineRule="auto"/>
        <w:ind w:right="-40"/>
        <w:jc w:val="both"/>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 xml:space="preserve">De acuerdo a esto, desde el grupo de investigación observamos y analizamos que a través </w:t>
      </w:r>
      <w:r w:rsidRPr="00AF2364">
        <w:rPr>
          <w:rFonts w:ascii="Times New Roman" w:eastAsia="Times New Roman" w:hAnsi="Times New Roman" w:cs="Times New Roman"/>
          <w:sz w:val="24"/>
          <w:szCs w:val="24"/>
        </w:rPr>
        <w:t>del acuerdo privado que incluye el Decreto 560 de 20020, el sector empresarial cuenta con la posibilidad de contar con un aliado importante en su interés de salvar sus empresas</w:t>
      </w:r>
      <w:r w:rsidRPr="00AF2364">
        <w:rPr>
          <w:rFonts w:ascii="Times New Roman" w:eastAsia="Times New Roman" w:hAnsi="Times New Roman" w:cs="Times New Roman"/>
          <w:sz w:val="24"/>
          <w:szCs w:val="24"/>
          <w:vertAlign w:val="superscript"/>
        </w:rPr>
        <w:footnoteReference w:id="3"/>
      </w:r>
      <w:r w:rsidRPr="00AF2364">
        <w:rPr>
          <w:rFonts w:ascii="Times New Roman" w:eastAsia="Times New Roman" w:hAnsi="Times New Roman" w:cs="Times New Roman"/>
          <w:sz w:val="24"/>
          <w:szCs w:val="24"/>
        </w:rPr>
        <w:t>, los acreedores en obtener un pago de sus créditos y el Estado de cumplir con</w:t>
      </w:r>
      <w:r w:rsidRPr="00AF2364">
        <w:rPr>
          <w:rFonts w:ascii="Times New Roman" w:eastAsia="Times New Roman" w:hAnsi="Times New Roman" w:cs="Times New Roman"/>
          <w:sz w:val="24"/>
          <w:szCs w:val="24"/>
        </w:rPr>
        <w:t xml:space="preserve"> los fines y obligaciones con las que cuenta en materia económica</w:t>
      </w:r>
      <w:r w:rsidRPr="00AF2364">
        <w:rPr>
          <w:rFonts w:ascii="Times New Roman" w:eastAsia="Times New Roman" w:hAnsi="Times New Roman" w:cs="Times New Roman"/>
          <w:sz w:val="24"/>
          <w:szCs w:val="24"/>
          <w:vertAlign w:val="superscript"/>
        </w:rPr>
        <w:footnoteReference w:id="4"/>
      </w:r>
      <w:r w:rsidRPr="00AF2364">
        <w:rPr>
          <w:rFonts w:ascii="Times New Roman" w:eastAsia="Times New Roman" w:hAnsi="Times New Roman" w:cs="Times New Roman"/>
          <w:sz w:val="24"/>
          <w:szCs w:val="24"/>
        </w:rPr>
        <w:t>. Lo anterior en virtud de que, como ha sido descrito por la doctrina, la figura del negocio jurídico privado resulta una de las formas más eficientes para conseguir recursos en la medida e</w:t>
      </w:r>
      <w:r w:rsidRPr="00AF2364">
        <w:rPr>
          <w:rFonts w:ascii="Times New Roman" w:eastAsia="Times New Roman" w:hAnsi="Times New Roman" w:cs="Times New Roman"/>
          <w:sz w:val="24"/>
          <w:szCs w:val="24"/>
        </w:rPr>
        <w:t xml:space="preserve">n que garantiza la obligación. </w:t>
      </w:r>
    </w:p>
    <w:p w14:paraId="7CC5C54D" w14:textId="325D4B37" w:rsidR="006D1F8B" w:rsidRDefault="00042B2C" w:rsidP="00AF2364">
      <w:pPr>
        <w:spacing w:before="80" w:line="360" w:lineRule="auto"/>
        <w:ind w:right="-40"/>
        <w:jc w:val="both"/>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La investigación resulta de gran importancia en la medida en que nos permite presentarle a los empresarios argumentos desde el análisis económico del derecho que en la práctica le permitan determinar si mediante el uso de la</w:t>
      </w:r>
      <w:r w:rsidRPr="00AF2364">
        <w:rPr>
          <w:rFonts w:ascii="Times New Roman" w:eastAsia="Times New Roman" w:hAnsi="Times New Roman" w:cs="Times New Roman"/>
          <w:sz w:val="24"/>
          <w:szCs w:val="24"/>
        </w:rPr>
        <w:t xml:space="preserve"> negociación privada puede llegar a satisfacer realmente sus intereses, los intereses de sus acreedores y a la vez permitir la garantía de los intereses estatales. </w:t>
      </w:r>
    </w:p>
    <w:p w14:paraId="401B44FD" w14:textId="77777777" w:rsidR="00AB49DC" w:rsidRPr="00AF2364" w:rsidRDefault="00AB49DC" w:rsidP="00AF2364">
      <w:pPr>
        <w:spacing w:before="80" w:line="360" w:lineRule="auto"/>
        <w:ind w:right="-40"/>
        <w:jc w:val="both"/>
        <w:rPr>
          <w:rFonts w:ascii="Times New Roman" w:eastAsia="Times New Roman" w:hAnsi="Times New Roman" w:cs="Times New Roman"/>
          <w:sz w:val="24"/>
          <w:szCs w:val="24"/>
        </w:rPr>
      </w:pPr>
    </w:p>
    <w:p w14:paraId="4A2F1601" w14:textId="404F5431" w:rsidR="006D1F8B" w:rsidRPr="00AF2364" w:rsidRDefault="00AB49DC" w:rsidP="00AF2364">
      <w:pPr>
        <w:spacing w:before="80" w:line="360" w:lineRule="auto"/>
        <w:ind w:left="1440" w:right="680"/>
        <w:jc w:val="center"/>
        <w:rPr>
          <w:rFonts w:ascii="Times New Roman" w:eastAsia="Times New Roman" w:hAnsi="Times New Roman" w:cs="Times New Roman"/>
          <w:sz w:val="24"/>
          <w:szCs w:val="24"/>
        </w:rPr>
      </w:pPr>
      <w:r w:rsidRPr="00AF2364">
        <w:rPr>
          <w:rFonts w:ascii="Times New Roman" w:eastAsia="Times New Roman" w:hAnsi="Times New Roman" w:cs="Times New Roman"/>
          <w:b/>
          <w:sz w:val="24"/>
          <w:szCs w:val="24"/>
        </w:rPr>
        <w:lastRenderedPageBreak/>
        <w:t>METODOLOGÍA</w:t>
      </w:r>
      <w:r w:rsidRPr="00AF2364">
        <w:rPr>
          <w:rFonts w:ascii="Times New Roman" w:eastAsia="Times New Roman" w:hAnsi="Times New Roman" w:cs="Times New Roman"/>
          <w:sz w:val="24"/>
          <w:szCs w:val="24"/>
        </w:rPr>
        <w:t xml:space="preserve"> </w:t>
      </w:r>
    </w:p>
    <w:p w14:paraId="4A7F517E" w14:textId="2E24CE32" w:rsidR="006D1F8B" w:rsidRPr="00AF2364" w:rsidRDefault="00042B2C" w:rsidP="00AF2364">
      <w:pPr>
        <w:spacing w:before="80" w:line="360" w:lineRule="auto"/>
        <w:ind w:right="-40"/>
        <w:jc w:val="both"/>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Antes las ciencias sociales se encontraban sustentadas en amplios marcos cultu</w:t>
      </w:r>
      <w:r w:rsidRPr="00AF2364">
        <w:rPr>
          <w:rFonts w:ascii="Times New Roman" w:eastAsia="Times New Roman" w:hAnsi="Times New Roman" w:cs="Times New Roman"/>
          <w:sz w:val="24"/>
          <w:szCs w:val="24"/>
        </w:rPr>
        <w:t>rales, lo que causaba que resultaban ciencias de un carácter eminentemente explicativo, y al comenzar a adoptar un paradigma económico sus explicaciones han llegado a ser más predictivas que explicativas</w:t>
      </w:r>
      <w:r w:rsidRPr="00AF2364">
        <w:rPr>
          <w:rFonts w:ascii="Times New Roman" w:eastAsia="Times New Roman" w:hAnsi="Times New Roman" w:cs="Times New Roman"/>
          <w:sz w:val="24"/>
          <w:szCs w:val="24"/>
          <w:vertAlign w:val="superscript"/>
        </w:rPr>
        <w:footnoteReference w:id="5"/>
      </w:r>
      <w:r w:rsidRPr="00AF2364">
        <w:rPr>
          <w:rFonts w:ascii="Times New Roman" w:eastAsia="Times New Roman" w:hAnsi="Times New Roman" w:cs="Times New Roman"/>
          <w:sz w:val="24"/>
          <w:szCs w:val="24"/>
        </w:rPr>
        <w:t xml:space="preserve"> . El análisis económico del derecho la metodología</w:t>
      </w:r>
      <w:r w:rsidRPr="00AF2364">
        <w:rPr>
          <w:rFonts w:ascii="Times New Roman" w:eastAsia="Times New Roman" w:hAnsi="Times New Roman" w:cs="Times New Roman"/>
          <w:sz w:val="24"/>
          <w:szCs w:val="24"/>
        </w:rPr>
        <w:t xml:space="preserve"> apropiada para adelantar el proyecto propuesto, en la medida en que el análisis interdisciplinario entre el derecho y la economía permite identificar la eficiencia de las decisiones tomadas por los diferentes operadores y participantes del tráfico jurídic</w:t>
      </w:r>
      <w:r w:rsidRPr="00AF2364">
        <w:rPr>
          <w:rFonts w:ascii="Times New Roman" w:eastAsia="Times New Roman" w:hAnsi="Times New Roman" w:cs="Times New Roman"/>
          <w:sz w:val="24"/>
          <w:szCs w:val="24"/>
        </w:rPr>
        <w:t xml:space="preserve">o en determinado tiempo, espacio y contexto normativo. </w:t>
      </w:r>
      <w:r w:rsidR="00AB49DC">
        <w:rPr>
          <w:rFonts w:ascii="Times New Roman" w:eastAsia="Times New Roman" w:hAnsi="Times New Roman" w:cs="Times New Roman"/>
          <w:sz w:val="24"/>
          <w:szCs w:val="24"/>
        </w:rPr>
        <w:t xml:space="preserve"> </w:t>
      </w:r>
      <w:r w:rsidRPr="00AF2364">
        <w:rPr>
          <w:rFonts w:ascii="Times New Roman" w:eastAsia="Times New Roman" w:hAnsi="Times New Roman" w:cs="Times New Roman"/>
          <w:sz w:val="24"/>
          <w:szCs w:val="24"/>
        </w:rPr>
        <w:t>Como es bien sabido los empresarios participan, ya sea de manera personal o a través del régimen societario en el ámbito mercantil. En virtud del elemento esencial de ese intercambio de bienes y servi</w:t>
      </w:r>
      <w:r w:rsidRPr="00AF2364">
        <w:rPr>
          <w:rFonts w:ascii="Times New Roman" w:eastAsia="Times New Roman" w:hAnsi="Times New Roman" w:cs="Times New Roman"/>
          <w:sz w:val="24"/>
          <w:szCs w:val="24"/>
        </w:rPr>
        <w:t>cios que resulta el ánimo de lucro, se busca causar utilidades que permitan recibir la esperada ganancia. Para que esto funcione deben satisfacerse una serie de intereses “mínimos” de los participantes de estas operaciones en un esquema tripartito: empresa</w:t>
      </w:r>
      <w:r w:rsidRPr="00AF2364">
        <w:rPr>
          <w:rFonts w:ascii="Times New Roman" w:eastAsia="Times New Roman" w:hAnsi="Times New Roman" w:cs="Times New Roman"/>
          <w:sz w:val="24"/>
          <w:szCs w:val="24"/>
        </w:rPr>
        <w:t>rio, acreedor y Estado.</w:t>
      </w:r>
    </w:p>
    <w:p w14:paraId="11662146" w14:textId="77777777" w:rsidR="006D1F8B" w:rsidRPr="00AF2364" w:rsidRDefault="00042B2C" w:rsidP="00AF2364">
      <w:pPr>
        <w:spacing w:before="80" w:line="360" w:lineRule="auto"/>
        <w:ind w:right="-40"/>
        <w:jc w:val="both"/>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 xml:space="preserve">En condiciones ordinarias del mercado los empresarios buscan desarrollar sus compañías, pero en estos tiempos extraordinarios resulta necesario que el interés del empresario mute y se vuelva preservar y mantener a flote su empresa, </w:t>
      </w:r>
      <w:r w:rsidRPr="00AF2364">
        <w:rPr>
          <w:rFonts w:ascii="Times New Roman" w:eastAsia="Times New Roman" w:hAnsi="Times New Roman" w:cs="Times New Roman"/>
          <w:sz w:val="24"/>
          <w:szCs w:val="24"/>
        </w:rPr>
        <w:t xml:space="preserve">para cumplir con este cometido requiere de capital que le permita pagar sus acreencias; a su vez el acreedor requiere recibir el pago de lo que le es debido; y, finalmente, en el marco de esa relación el Estado requiere cumplir con los fines propios de su </w:t>
      </w:r>
      <w:r w:rsidRPr="00AF2364">
        <w:rPr>
          <w:rFonts w:ascii="Times New Roman" w:eastAsia="Times New Roman" w:hAnsi="Times New Roman" w:cs="Times New Roman"/>
          <w:sz w:val="24"/>
          <w:szCs w:val="24"/>
        </w:rPr>
        <w:t xml:space="preserve">ontología. </w:t>
      </w:r>
    </w:p>
    <w:p w14:paraId="16172D62" w14:textId="77777777" w:rsidR="006D1F8B" w:rsidRPr="00AF2364" w:rsidRDefault="00042B2C" w:rsidP="00AF2364">
      <w:pPr>
        <w:spacing w:before="80" w:line="360" w:lineRule="auto"/>
        <w:ind w:right="-40"/>
        <w:jc w:val="both"/>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Atendiendo a lo anterior resulta importante que se establezcan soluciones con el objetivo de incentivar el desarrollo de la economía, todo esto en vista de la adaptación al contexto mundial cambiante e inestable dados los últimos acontecimiento</w:t>
      </w:r>
      <w:r w:rsidRPr="00AF2364">
        <w:rPr>
          <w:rFonts w:ascii="Times New Roman" w:eastAsia="Times New Roman" w:hAnsi="Times New Roman" w:cs="Times New Roman"/>
          <w:sz w:val="24"/>
          <w:szCs w:val="24"/>
        </w:rPr>
        <w:t>s que repercuten todas las esferas sociales y en específico, en asuntos de naturaleza económica y jurídica.</w:t>
      </w:r>
    </w:p>
    <w:p w14:paraId="1234CFDD" w14:textId="77777777" w:rsidR="006D1F8B" w:rsidRPr="00AF2364" w:rsidRDefault="00042B2C" w:rsidP="00AF2364">
      <w:pPr>
        <w:spacing w:before="80" w:line="360" w:lineRule="auto"/>
        <w:ind w:right="-40"/>
        <w:jc w:val="both"/>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 xml:space="preserve">En el contexto de la emergencia sanitaria y económica por la pandemia del Covid-19 y teniendo en cuenta que con las medidas aplicadas en desarrollo </w:t>
      </w:r>
      <w:r w:rsidRPr="00AF2364">
        <w:rPr>
          <w:rFonts w:ascii="Times New Roman" w:eastAsia="Times New Roman" w:hAnsi="Times New Roman" w:cs="Times New Roman"/>
          <w:sz w:val="24"/>
          <w:szCs w:val="24"/>
        </w:rPr>
        <w:t>del decreto 417 de 2020 por el cual se ha declarado el estado de emergencia económica, social y ecológica en Colombia, encontramos que el análisis económico del derecho brinda importantes herramientas para el análisis de  eficiencia de la figura del acuerd</w:t>
      </w:r>
      <w:r w:rsidRPr="00AF2364">
        <w:rPr>
          <w:rFonts w:ascii="Times New Roman" w:eastAsia="Times New Roman" w:hAnsi="Times New Roman" w:cs="Times New Roman"/>
          <w:sz w:val="24"/>
          <w:szCs w:val="24"/>
        </w:rPr>
        <w:t xml:space="preserve">o privado en el marco del decreto 560 de 2020, como una de las disposiciones transitorias especiales que puedan presentarse en empresas por la interrupción de las actividades económicas. </w:t>
      </w:r>
    </w:p>
    <w:p w14:paraId="447DDA7D" w14:textId="0F882D85" w:rsidR="006D1F8B" w:rsidRPr="00AF2364" w:rsidRDefault="00AB49DC" w:rsidP="00AF2364">
      <w:pPr>
        <w:spacing w:before="80" w:line="360" w:lineRule="auto"/>
        <w:ind w:left="1440" w:right="680"/>
        <w:jc w:val="center"/>
        <w:rPr>
          <w:rFonts w:ascii="Times New Roman" w:eastAsia="Times New Roman" w:hAnsi="Times New Roman" w:cs="Times New Roman"/>
          <w:b/>
          <w:sz w:val="24"/>
          <w:szCs w:val="24"/>
        </w:rPr>
      </w:pPr>
      <w:r w:rsidRPr="00AF2364">
        <w:rPr>
          <w:rFonts w:ascii="Times New Roman" w:eastAsia="Times New Roman" w:hAnsi="Times New Roman" w:cs="Times New Roman"/>
          <w:b/>
          <w:sz w:val="24"/>
          <w:szCs w:val="24"/>
        </w:rPr>
        <w:lastRenderedPageBreak/>
        <w:t>PRESUPUESTO</w:t>
      </w:r>
    </w:p>
    <w:p w14:paraId="2B33BB69" w14:textId="77777777" w:rsidR="006D1F8B" w:rsidRPr="00AF2364" w:rsidRDefault="006D1F8B" w:rsidP="00AF2364">
      <w:pPr>
        <w:spacing w:before="80" w:line="360" w:lineRule="auto"/>
        <w:ind w:left="1440" w:right="680"/>
        <w:jc w:val="center"/>
        <w:rPr>
          <w:rFonts w:ascii="Times New Roman" w:eastAsia="Times New Roman" w:hAnsi="Times New Roman" w:cs="Times New Roman"/>
          <w:b/>
          <w:sz w:val="24"/>
          <w:szCs w:val="24"/>
        </w:rPr>
      </w:pPr>
    </w:p>
    <w:p w14:paraId="7AA9885A" w14:textId="77777777" w:rsidR="006D1F8B" w:rsidRPr="00AF2364" w:rsidRDefault="00042B2C" w:rsidP="00AF2364">
      <w:pPr>
        <w:spacing w:before="80" w:line="360" w:lineRule="auto"/>
        <w:ind w:right="-40"/>
        <w:jc w:val="both"/>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Conforme a la propuesta, consideramos que los lib</w:t>
      </w:r>
      <w:r w:rsidRPr="00AF2364">
        <w:rPr>
          <w:rFonts w:ascii="Times New Roman" w:eastAsia="Times New Roman" w:hAnsi="Times New Roman" w:cs="Times New Roman"/>
          <w:sz w:val="24"/>
          <w:szCs w:val="24"/>
        </w:rPr>
        <w:t>ros que se presentan a continuación tienen una utilidad que trasciende el proyecto de investigación. Si bien serán el insumo principal para el desarrollo teórico de nuestra tesis, culminada esta etapa, pasarán a complementar la literatura en derecho privad</w:t>
      </w:r>
      <w:r w:rsidRPr="00AF2364">
        <w:rPr>
          <w:rFonts w:ascii="Times New Roman" w:eastAsia="Times New Roman" w:hAnsi="Times New Roman" w:cs="Times New Roman"/>
          <w:sz w:val="24"/>
          <w:szCs w:val="24"/>
        </w:rPr>
        <w:t>o con que cuenta la universidad, esto con el fin de que las siguientes generaciones de estudiantes cuenten con material de calidad para su formación profesional.</w:t>
      </w:r>
    </w:p>
    <w:p w14:paraId="54E0E366" w14:textId="77777777" w:rsidR="006D1F8B" w:rsidRPr="00AF2364" w:rsidRDefault="006D1F8B" w:rsidP="00AF2364">
      <w:pPr>
        <w:spacing w:before="80" w:line="360" w:lineRule="auto"/>
        <w:ind w:right="-40"/>
        <w:jc w:val="both"/>
        <w:rPr>
          <w:rFonts w:ascii="Times New Roman" w:eastAsia="Times New Roman" w:hAnsi="Times New Roman" w:cs="Times New Roman"/>
          <w:b/>
          <w:sz w:val="24"/>
          <w:szCs w:val="24"/>
        </w:rPr>
      </w:pPr>
    </w:p>
    <w:p w14:paraId="52809FE3" w14:textId="7602B45E" w:rsidR="006D1F8B" w:rsidRPr="00AF2364" w:rsidRDefault="009D6022" w:rsidP="00AF2364">
      <w:pPr>
        <w:spacing w:before="80" w:line="360" w:lineRule="auto"/>
        <w:ind w:left="-141" w:right="-40"/>
        <w:rPr>
          <w:rFonts w:ascii="Times New Roman" w:eastAsia="Times New Roman" w:hAnsi="Times New Roman" w:cs="Times New Roman"/>
          <w:sz w:val="24"/>
          <w:szCs w:val="24"/>
        </w:rPr>
      </w:pPr>
      <w:r>
        <w:rPr>
          <w:noProof/>
        </w:rPr>
        <w:drawing>
          <wp:inline distT="0" distB="0" distL="0" distR="0" wp14:anchorId="60CE63DF" wp14:editId="383D2F9B">
            <wp:extent cx="5733415" cy="2693670"/>
            <wp:effectExtent l="0" t="0" r="635"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5733415" cy="2693670"/>
                    </a:xfrm>
                    <a:prstGeom prst="rect">
                      <a:avLst/>
                    </a:prstGeom>
                  </pic:spPr>
                </pic:pic>
              </a:graphicData>
            </a:graphic>
          </wp:inline>
        </w:drawing>
      </w:r>
    </w:p>
    <w:p w14:paraId="2B82AD85" w14:textId="01E63A33" w:rsidR="006D1F8B" w:rsidRPr="00AF2364" w:rsidRDefault="00042B2C" w:rsidP="00AF2364">
      <w:pPr>
        <w:spacing w:before="80" w:line="360" w:lineRule="auto"/>
        <w:ind w:right="-40"/>
        <w:jc w:val="both"/>
        <w:rPr>
          <w:rFonts w:ascii="Times New Roman" w:eastAsia="Times New Roman" w:hAnsi="Times New Roman" w:cs="Times New Roman"/>
          <w:sz w:val="24"/>
          <w:szCs w:val="24"/>
        </w:rPr>
      </w:pPr>
      <w:r w:rsidRPr="00AF2364">
        <w:rPr>
          <w:rFonts w:ascii="Times New Roman" w:eastAsia="Times New Roman" w:hAnsi="Times New Roman" w:cs="Times New Roman"/>
          <w:b/>
          <w:sz w:val="24"/>
          <w:szCs w:val="24"/>
        </w:rPr>
        <w:t>*</w:t>
      </w:r>
      <w:r w:rsidR="009D6022">
        <w:rPr>
          <w:rFonts w:ascii="Times New Roman" w:eastAsia="Times New Roman" w:hAnsi="Times New Roman" w:cs="Times New Roman"/>
          <w:sz w:val="24"/>
          <w:szCs w:val="24"/>
        </w:rPr>
        <w:t xml:space="preserve"> El valor adicional del cuadro precedente al presupuesto ofrecido en la convocatoria será asumido por los integrantes de la investigación.</w:t>
      </w:r>
    </w:p>
    <w:p w14:paraId="4F4789ED" w14:textId="77777777" w:rsidR="006D1F8B" w:rsidRPr="00AF2364" w:rsidRDefault="006D1F8B" w:rsidP="00AF2364">
      <w:pPr>
        <w:spacing w:before="80" w:line="360" w:lineRule="auto"/>
        <w:ind w:left="1440" w:right="680"/>
        <w:jc w:val="center"/>
        <w:rPr>
          <w:rFonts w:ascii="Times New Roman" w:eastAsia="Times New Roman" w:hAnsi="Times New Roman" w:cs="Times New Roman"/>
          <w:b/>
          <w:sz w:val="24"/>
          <w:szCs w:val="24"/>
        </w:rPr>
      </w:pPr>
    </w:p>
    <w:p w14:paraId="0683354C" w14:textId="77777777" w:rsidR="006D1F8B" w:rsidRPr="00AF2364" w:rsidRDefault="006D1F8B" w:rsidP="00AF2364">
      <w:pPr>
        <w:spacing w:before="80" w:line="360" w:lineRule="auto"/>
        <w:ind w:left="1440" w:right="680"/>
        <w:jc w:val="center"/>
        <w:rPr>
          <w:rFonts w:ascii="Times New Roman" w:eastAsia="Times New Roman" w:hAnsi="Times New Roman" w:cs="Times New Roman"/>
          <w:b/>
          <w:sz w:val="24"/>
          <w:szCs w:val="24"/>
        </w:rPr>
      </w:pPr>
    </w:p>
    <w:p w14:paraId="72A0632C" w14:textId="77777777" w:rsidR="006D1F8B" w:rsidRPr="00AF2364" w:rsidRDefault="006D1F8B" w:rsidP="00AF2364">
      <w:pPr>
        <w:spacing w:before="80" w:line="360" w:lineRule="auto"/>
        <w:ind w:left="1440" w:right="680"/>
        <w:jc w:val="center"/>
        <w:rPr>
          <w:rFonts w:ascii="Times New Roman" w:eastAsia="Times New Roman" w:hAnsi="Times New Roman" w:cs="Times New Roman"/>
          <w:b/>
          <w:sz w:val="24"/>
          <w:szCs w:val="24"/>
        </w:rPr>
      </w:pPr>
    </w:p>
    <w:p w14:paraId="0E098287" w14:textId="77777777" w:rsidR="006D1F8B" w:rsidRPr="00AF2364" w:rsidRDefault="006D1F8B" w:rsidP="00AF2364">
      <w:pPr>
        <w:spacing w:before="80" w:line="360" w:lineRule="auto"/>
        <w:ind w:left="1440" w:right="680"/>
        <w:jc w:val="center"/>
        <w:rPr>
          <w:rFonts w:ascii="Times New Roman" w:eastAsia="Times New Roman" w:hAnsi="Times New Roman" w:cs="Times New Roman"/>
          <w:b/>
          <w:sz w:val="24"/>
          <w:szCs w:val="24"/>
        </w:rPr>
      </w:pPr>
    </w:p>
    <w:p w14:paraId="1DE12C1E" w14:textId="77777777" w:rsidR="006D1F8B" w:rsidRPr="00AF2364" w:rsidRDefault="006D1F8B" w:rsidP="00AF2364">
      <w:pPr>
        <w:spacing w:before="80" w:line="360" w:lineRule="auto"/>
        <w:ind w:left="1440" w:right="680"/>
        <w:jc w:val="center"/>
        <w:rPr>
          <w:rFonts w:ascii="Times New Roman" w:eastAsia="Times New Roman" w:hAnsi="Times New Roman" w:cs="Times New Roman"/>
          <w:b/>
          <w:sz w:val="24"/>
          <w:szCs w:val="24"/>
        </w:rPr>
      </w:pPr>
    </w:p>
    <w:p w14:paraId="626641C7" w14:textId="77777777" w:rsidR="006D1F8B" w:rsidRPr="00AF2364" w:rsidRDefault="006D1F8B" w:rsidP="00AF2364">
      <w:pPr>
        <w:spacing w:before="80" w:line="360" w:lineRule="auto"/>
        <w:ind w:left="1440" w:right="680"/>
        <w:jc w:val="center"/>
        <w:rPr>
          <w:rFonts w:ascii="Times New Roman" w:eastAsia="Times New Roman" w:hAnsi="Times New Roman" w:cs="Times New Roman"/>
          <w:b/>
          <w:sz w:val="24"/>
          <w:szCs w:val="24"/>
        </w:rPr>
      </w:pPr>
    </w:p>
    <w:p w14:paraId="07F6690E" w14:textId="77777777" w:rsidR="006D1F8B" w:rsidRPr="00AF2364" w:rsidRDefault="006D1F8B" w:rsidP="00AF2364">
      <w:pPr>
        <w:spacing w:before="80" w:line="360" w:lineRule="auto"/>
        <w:ind w:left="1440" w:right="680"/>
        <w:jc w:val="center"/>
        <w:rPr>
          <w:rFonts w:ascii="Times New Roman" w:eastAsia="Times New Roman" w:hAnsi="Times New Roman" w:cs="Times New Roman"/>
          <w:b/>
          <w:sz w:val="24"/>
          <w:szCs w:val="24"/>
        </w:rPr>
      </w:pPr>
    </w:p>
    <w:p w14:paraId="1328F7EF" w14:textId="77777777" w:rsidR="006D1F8B" w:rsidRPr="00AF2364" w:rsidRDefault="006D1F8B" w:rsidP="00AF2364">
      <w:pPr>
        <w:spacing w:before="80" w:line="360" w:lineRule="auto"/>
        <w:ind w:left="1440" w:right="680"/>
        <w:jc w:val="center"/>
        <w:rPr>
          <w:rFonts w:ascii="Times New Roman" w:eastAsia="Times New Roman" w:hAnsi="Times New Roman" w:cs="Times New Roman"/>
          <w:b/>
          <w:sz w:val="24"/>
          <w:szCs w:val="24"/>
        </w:rPr>
      </w:pPr>
    </w:p>
    <w:p w14:paraId="25BC47FE" w14:textId="77777777" w:rsidR="006D1F8B" w:rsidRPr="00AF2364" w:rsidRDefault="006D1F8B" w:rsidP="00AF2364">
      <w:pPr>
        <w:spacing w:before="80" w:line="360" w:lineRule="auto"/>
        <w:ind w:left="1440" w:right="680"/>
        <w:jc w:val="center"/>
        <w:rPr>
          <w:rFonts w:ascii="Times New Roman" w:eastAsia="Times New Roman" w:hAnsi="Times New Roman" w:cs="Times New Roman"/>
          <w:b/>
          <w:sz w:val="24"/>
          <w:szCs w:val="24"/>
        </w:rPr>
      </w:pPr>
    </w:p>
    <w:p w14:paraId="4322AFA5" w14:textId="77777777" w:rsidR="006D1F8B" w:rsidRPr="00AF2364" w:rsidRDefault="006D1F8B" w:rsidP="00AF2364">
      <w:pPr>
        <w:spacing w:before="80" w:line="360" w:lineRule="auto"/>
        <w:ind w:left="1440" w:right="680"/>
        <w:jc w:val="center"/>
        <w:rPr>
          <w:rFonts w:ascii="Times New Roman" w:eastAsia="Times New Roman" w:hAnsi="Times New Roman" w:cs="Times New Roman"/>
          <w:b/>
          <w:sz w:val="24"/>
          <w:szCs w:val="24"/>
        </w:rPr>
      </w:pPr>
    </w:p>
    <w:p w14:paraId="76CDC6A3" w14:textId="1F462A6F" w:rsidR="006D1F8B" w:rsidRPr="00AF2364" w:rsidRDefault="00AB49DC" w:rsidP="00AF2364">
      <w:pPr>
        <w:spacing w:before="80" w:line="360" w:lineRule="auto"/>
        <w:ind w:left="1440" w:right="680"/>
        <w:jc w:val="center"/>
        <w:rPr>
          <w:rFonts w:ascii="Times New Roman" w:eastAsia="Times New Roman" w:hAnsi="Times New Roman" w:cs="Times New Roman"/>
          <w:b/>
          <w:sz w:val="24"/>
          <w:szCs w:val="24"/>
        </w:rPr>
      </w:pPr>
      <w:r w:rsidRPr="00AF2364">
        <w:rPr>
          <w:rFonts w:ascii="Times New Roman" w:eastAsia="Times New Roman" w:hAnsi="Times New Roman" w:cs="Times New Roman"/>
          <w:b/>
          <w:sz w:val="24"/>
          <w:szCs w:val="24"/>
        </w:rPr>
        <w:lastRenderedPageBreak/>
        <w:t>RESULTADOS ESPERADOS</w:t>
      </w:r>
    </w:p>
    <w:p w14:paraId="4F4A465D" w14:textId="77777777" w:rsidR="006D1F8B" w:rsidRPr="00AF2364" w:rsidRDefault="006D1F8B" w:rsidP="00AF2364">
      <w:pPr>
        <w:spacing w:before="80" w:line="360" w:lineRule="auto"/>
        <w:ind w:left="1440" w:right="680"/>
        <w:jc w:val="center"/>
        <w:rPr>
          <w:rFonts w:ascii="Times New Roman" w:eastAsia="Times New Roman" w:hAnsi="Times New Roman" w:cs="Times New Roman"/>
          <w:b/>
          <w:sz w:val="24"/>
          <w:szCs w:val="24"/>
        </w:rPr>
      </w:pPr>
    </w:p>
    <w:p w14:paraId="6F7A2E08" w14:textId="77777777" w:rsidR="006D1F8B" w:rsidRPr="00AF2364" w:rsidRDefault="00042B2C" w:rsidP="00AF2364">
      <w:pPr>
        <w:spacing w:before="80" w:line="360" w:lineRule="auto"/>
        <w:ind w:right="-40"/>
        <w:jc w:val="both"/>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Como resultados esperados, el Semillero del derecho de la empresa y arbitraje propone la entrega en un plazo de siete (7) meses de los siguientes productos:</w:t>
      </w:r>
    </w:p>
    <w:p w14:paraId="3D44D75A" w14:textId="77777777" w:rsidR="006D1F8B" w:rsidRPr="00AF2364" w:rsidRDefault="00042B2C" w:rsidP="00AF2364">
      <w:pPr>
        <w:numPr>
          <w:ilvl w:val="0"/>
          <w:numId w:val="2"/>
        </w:numPr>
        <w:spacing w:before="80" w:line="360" w:lineRule="auto"/>
        <w:ind w:right="-40"/>
        <w:jc w:val="both"/>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Un artículo académico con una extensión de 15 a 20 páginas que aborde un breve resumen del marco te</w:t>
      </w:r>
      <w:r w:rsidRPr="00AF2364">
        <w:rPr>
          <w:rFonts w:ascii="Times New Roman" w:eastAsia="Times New Roman" w:hAnsi="Times New Roman" w:cs="Times New Roman"/>
          <w:sz w:val="24"/>
          <w:szCs w:val="24"/>
        </w:rPr>
        <w:t>órico de la investigación, el estado del arte de la misma y presente los estudios y resultados del análisis propuesto.</w:t>
      </w:r>
    </w:p>
    <w:p w14:paraId="150667A6" w14:textId="77777777" w:rsidR="006D1F8B" w:rsidRPr="00AF2364" w:rsidRDefault="00042B2C" w:rsidP="00AF2364">
      <w:pPr>
        <w:numPr>
          <w:ilvl w:val="0"/>
          <w:numId w:val="2"/>
        </w:numPr>
        <w:spacing w:line="360" w:lineRule="auto"/>
        <w:ind w:right="-40"/>
        <w:jc w:val="both"/>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Una cartilla didáctica dirigida hacia los empresarios (especialmente de pequeña y mediana empresa) en donde a partir de los estudios real</w:t>
      </w:r>
      <w:r w:rsidRPr="00AF2364">
        <w:rPr>
          <w:rFonts w:ascii="Times New Roman" w:eastAsia="Times New Roman" w:hAnsi="Times New Roman" w:cs="Times New Roman"/>
          <w:sz w:val="24"/>
          <w:szCs w:val="24"/>
        </w:rPr>
        <w:t>izados expliquemos de manera práctica y accesible ventajas y riesgos a evaluar en la aplicación de la figura jurídica estudiada.</w:t>
      </w:r>
    </w:p>
    <w:p w14:paraId="31C2F783" w14:textId="77777777" w:rsidR="006D1F8B" w:rsidRPr="00AF2364" w:rsidRDefault="00042B2C" w:rsidP="00AF2364">
      <w:pPr>
        <w:numPr>
          <w:ilvl w:val="0"/>
          <w:numId w:val="2"/>
        </w:numPr>
        <w:spacing w:line="360" w:lineRule="auto"/>
        <w:ind w:right="-40"/>
        <w:jc w:val="both"/>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 xml:space="preserve">Atendiendo a que en siete meses las condiciones sociales pueden cambiar, realizaremos un evento en donde se invitará a (2) dos </w:t>
      </w:r>
      <w:r w:rsidRPr="00AF2364">
        <w:rPr>
          <w:rFonts w:ascii="Times New Roman" w:eastAsia="Times New Roman" w:hAnsi="Times New Roman" w:cs="Times New Roman"/>
          <w:sz w:val="24"/>
          <w:szCs w:val="24"/>
        </w:rPr>
        <w:t xml:space="preserve">abogados expertos y reconocidos en la materia para que conjunto a una representación del grupo de investigación (puede ser más de un estudiante, máximo tres) se realicen ponencias que permitan identificar las fortalezas y debilidades de la figura jurídica </w:t>
      </w:r>
      <w:r w:rsidRPr="00AF2364">
        <w:rPr>
          <w:rFonts w:ascii="Times New Roman" w:eastAsia="Times New Roman" w:hAnsi="Times New Roman" w:cs="Times New Roman"/>
          <w:sz w:val="24"/>
          <w:szCs w:val="24"/>
        </w:rPr>
        <w:t>estudiada comparando lo sucedido durante los siete meses de la investigación y los resultados que arrojó la misma.</w:t>
      </w:r>
    </w:p>
    <w:p w14:paraId="1F9E3CE0" w14:textId="77777777" w:rsidR="006D1F8B" w:rsidRPr="00AF2364" w:rsidRDefault="006D1F8B" w:rsidP="00AF2364">
      <w:pPr>
        <w:spacing w:before="80" w:line="360" w:lineRule="auto"/>
        <w:ind w:left="1440" w:right="680"/>
        <w:jc w:val="center"/>
        <w:rPr>
          <w:rFonts w:ascii="Times New Roman" w:eastAsia="Times New Roman" w:hAnsi="Times New Roman" w:cs="Times New Roman"/>
          <w:b/>
          <w:sz w:val="24"/>
          <w:szCs w:val="24"/>
        </w:rPr>
      </w:pPr>
    </w:p>
    <w:p w14:paraId="14922084" w14:textId="752C3952" w:rsidR="006D1F8B" w:rsidRDefault="006D1F8B" w:rsidP="00AF2364">
      <w:pPr>
        <w:spacing w:before="80" w:line="360" w:lineRule="auto"/>
        <w:ind w:left="1440" w:right="680"/>
        <w:jc w:val="center"/>
        <w:rPr>
          <w:rFonts w:ascii="Times New Roman" w:eastAsia="Times New Roman" w:hAnsi="Times New Roman" w:cs="Times New Roman"/>
          <w:sz w:val="24"/>
          <w:szCs w:val="24"/>
        </w:rPr>
      </w:pPr>
    </w:p>
    <w:p w14:paraId="3C9FED3C" w14:textId="5E5CE6BE" w:rsidR="00AB49DC" w:rsidRDefault="00AB49DC" w:rsidP="00AF2364">
      <w:pPr>
        <w:spacing w:before="80" w:line="360" w:lineRule="auto"/>
        <w:ind w:left="1440" w:right="680"/>
        <w:jc w:val="center"/>
        <w:rPr>
          <w:rFonts w:ascii="Times New Roman" w:eastAsia="Times New Roman" w:hAnsi="Times New Roman" w:cs="Times New Roman"/>
          <w:sz w:val="24"/>
          <w:szCs w:val="24"/>
        </w:rPr>
      </w:pPr>
    </w:p>
    <w:p w14:paraId="2D0CFFF6" w14:textId="66C43A49" w:rsidR="00AB49DC" w:rsidRDefault="00AB49DC" w:rsidP="00AF2364">
      <w:pPr>
        <w:spacing w:before="80" w:line="360" w:lineRule="auto"/>
        <w:ind w:left="1440" w:right="680"/>
        <w:jc w:val="center"/>
        <w:rPr>
          <w:rFonts w:ascii="Times New Roman" w:eastAsia="Times New Roman" w:hAnsi="Times New Roman" w:cs="Times New Roman"/>
          <w:sz w:val="24"/>
          <w:szCs w:val="24"/>
        </w:rPr>
      </w:pPr>
    </w:p>
    <w:p w14:paraId="10FCEC06" w14:textId="51F74C10" w:rsidR="00AB49DC" w:rsidRDefault="00AB49DC" w:rsidP="00AF2364">
      <w:pPr>
        <w:spacing w:before="80" w:line="360" w:lineRule="auto"/>
        <w:ind w:left="1440" w:right="680"/>
        <w:jc w:val="center"/>
        <w:rPr>
          <w:rFonts w:ascii="Times New Roman" w:eastAsia="Times New Roman" w:hAnsi="Times New Roman" w:cs="Times New Roman"/>
          <w:sz w:val="24"/>
          <w:szCs w:val="24"/>
        </w:rPr>
      </w:pPr>
    </w:p>
    <w:p w14:paraId="172DF042" w14:textId="5866E3C6" w:rsidR="00AB49DC" w:rsidRDefault="00AB49DC" w:rsidP="00AF2364">
      <w:pPr>
        <w:spacing w:before="80" w:line="360" w:lineRule="auto"/>
        <w:ind w:left="1440" w:right="680"/>
        <w:jc w:val="center"/>
        <w:rPr>
          <w:rFonts w:ascii="Times New Roman" w:eastAsia="Times New Roman" w:hAnsi="Times New Roman" w:cs="Times New Roman"/>
          <w:sz w:val="24"/>
          <w:szCs w:val="24"/>
        </w:rPr>
      </w:pPr>
    </w:p>
    <w:p w14:paraId="7E3D0DEC" w14:textId="074C25A0" w:rsidR="00AB49DC" w:rsidRDefault="00AB49DC" w:rsidP="00AF2364">
      <w:pPr>
        <w:spacing w:before="80" w:line="360" w:lineRule="auto"/>
        <w:ind w:left="1440" w:right="680"/>
        <w:jc w:val="center"/>
        <w:rPr>
          <w:rFonts w:ascii="Times New Roman" w:eastAsia="Times New Roman" w:hAnsi="Times New Roman" w:cs="Times New Roman"/>
          <w:sz w:val="24"/>
          <w:szCs w:val="24"/>
        </w:rPr>
      </w:pPr>
    </w:p>
    <w:p w14:paraId="0F4C2D97" w14:textId="787DB1C0" w:rsidR="00AB49DC" w:rsidRDefault="00AB49DC" w:rsidP="00AF2364">
      <w:pPr>
        <w:spacing w:before="80" w:line="360" w:lineRule="auto"/>
        <w:ind w:left="1440" w:right="680"/>
        <w:jc w:val="center"/>
        <w:rPr>
          <w:rFonts w:ascii="Times New Roman" w:eastAsia="Times New Roman" w:hAnsi="Times New Roman" w:cs="Times New Roman"/>
          <w:sz w:val="24"/>
          <w:szCs w:val="24"/>
        </w:rPr>
      </w:pPr>
    </w:p>
    <w:p w14:paraId="0918FFED" w14:textId="1F1ECD3D" w:rsidR="00AB49DC" w:rsidRDefault="00AB49DC" w:rsidP="00AF2364">
      <w:pPr>
        <w:spacing w:before="80" w:line="360" w:lineRule="auto"/>
        <w:ind w:left="1440" w:right="680"/>
        <w:jc w:val="center"/>
        <w:rPr>
          <w:rFonts w:ascii="Times New Roman" w:eastAsia="Times New Roman" w:hAnsi="Times New Roman" w:cs="Times New Roman"/>
          <w:sz w:val="24"/>
          <w:szCs w:val="24"/>
        </w:rPr>
      </w:pPr>
    </w:p>
    <w:p w14:paraId="7BB46217" w14:textId="522410C1" w:rsidR="00AB49DC" w:rsidRDefault="00AB49DC" w:rsidP="00AF2364">
      <w:pPr>
        <w:spacing w:before="80" w:line="360" w:lineRule="auto"/>
        <w:ind w:left="1440" w:right="680"/>
        <w:jc w:val="center"/>
        <w:rPr>
          <w:rFonts w:ascii="Times New Roman" w:eastAsia="Times New Roman" w:hAnsi="Times New Roman" w:cs="Times New Roman"/>
          <w:sz w:val="24"/>
          <w:szCs w:val="24"/>
        </w:rPr>
      </w:pPr>
    </w:p>
    <w:p w14:paraId="4CA39474" w14:textId="3A8305E6" w:rsidR="00AB49DC" w:rsidRDefault="00AB49DC" w:rsidP="00AF2364">
      <w:pPr>
        <w:spacing w:before="80" w:line="360" w:lineRule="auto"/>
        <w:ind w:left="1440" w:right="680"/>
        <w:jc w:val="center"/>
        <w:rPr>
          <w:rFonts w:ascii="Times New Roman" w:eastAsia="Times New Roman" w:hAnsi="Times New Roman" w:cs="Times New Roman"/>
          <w:sz w:val="24"/>
          <w:szCs w:val="24"/>
        </w:rPr>
      </w:pPr>
    </w:p>
    <w:p w14:paraId="4F8627A3" w14:textId="68AB854F" w:rsidR="00AB49DC" w:rsidRDefault="00AB49DC" w:rsidP="00AF2364">
      <w:pPr>
        <w:spacing w:before="80" w:line="360" w:lineRule="auto"/>
        <w:ind w:left="1440" w:right="680"/>
        <w:jc w:val="center"/>
        <w:rPr>
          <w:rFonts w:ascii="Times New Roman" w:eastAsia="Times New Roman" w:hAnsi="Times New Roman" w:cs="Times New Roman"/>
          <w:sz w:val="24"/>
          <w:szCs w:val="24"/>
        </w:rPr>
      </w:pPr>
    </w:p>
    <w:p w14:paraId="17261386" w14:textId="77777777" w:rsidR="00AB49DC" w:rsidRPr="00AF2364" w:rsidRDefault="00AB49DC" w:rsidP="00AF2364">
      <w:pPr>
        <w:spacing w:before="80" w:line="360" w:lineRule="auto"/>
        <w:ind w:left="1440" w:right="680"/>
        <w:jc w:val="center"/>
        <w:rPr>
          <w:rFonts w:ascii="Times New Roman" w:eastAsia="Times New Roman" w:hAnsi="Times New Roman" w:cs="Times New Roman"/>
          <w:sz w:val="24"/>
          <w:szCs w:val="24"/>
        </w:rPr>
      </w:pPr>
    </w:p>
    <w:p w14:paraId="44F611D7" w14:textId="6077F62E" w:rsidR="006D1F8B" w:rsidRPr="00AF2364" w:rsidRDefault="00AB49DC" w:rsidP="00AF2364">
      <w:pPr>
        <w:spacing w:before="80" w:line="360" w:lineRule="auto"/>
        <w:ind w:left="1440" w:right="680"/>
        <w:jc w:val="center"/>
        <w:rPr>
          <w:rFonts w:ascii="Times New Roman" w:eastAsia="Times New Roman" w:hAnsi="Times New Roman" w:cs="Times New Roman"/>
          <w:sz w:val="24"/>
          <w:szCs w:val="24"/>
        </w:rPr>
      </w:pPr>
      <w:r w:rsidRPr="00AF2364">
        <w:rPr>
          <w:rFonts w:ascii="Times New Roman" w:eastAsia="Times New Roman" w:hAnsi="Times New Roman" w:cs="Times New Roman"/>
          <w:b/>
          <w:sz w:val="24"/>
          <w:szCs w:val="24"/>
        </w:rPr>
        <w:lastRenderedPageBreak/>
        <w:t>CRONOGRAMA</w:t>
      </w:r>
      <w:r w:rsidRPr="00AF2364">
        <w:rPr>
          <w:rFonts w:ascii="Times New Roman" w:eastAsia="Times New Roman" w:hAnsi="Times New Roman" w:cs="Times New Roman"/>
          <w:sz w:val="24"/>
          <w:szCs w:val="24"/>
        </w:rPr>
        <w:t xml:space="preserve"> </w:t>
      </w:r>
    </w:p>
    <w:p w14:paraId="2F172D30" w14:textId="77777777" w:rsidR="006D1F8B" w:rsidRPr="00AF2364" w:rsidRDefault="006D1F8B" w:rsidP="00AF2364">
      <w:pPr>
        <w:spacing w:before="80" w:line="360" w:lineRule="auto"/>
        <w:ind w:left="1440" w:right="680"/>
        <w:jc w:val="center"/>
        <w:rPr>
          <w:rFonts w:ascii="Times New Roman" w:eastAsia="Times New Roman" w:hAnsi="Times New Roman" w:cs="Times New Roman"/>
          <w:sz w:val="24"/>
          <w:szCs w:val="24"/>
        </w:rPr>
      </w:pPr>
    </w:p>
    <w:tbl>
      <w:tblPr>
        <w:tblStyle w:val="a"/>
        <w:tblW w:w="9690" w:type="dxa"/>
        <w:tblInd w:w="-20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90"/>
        <w:gridCol w:w="1800"/>
        <w:gridCol w:w="1365"/>
        <w:gridCol w:w="1365"/>
        <w:gridCol w:w="2970"/>
      </w:tblGrid>
      <w:tr w:rsidR="006D1F8B" w:rsidRPr="00AF2364" w14:paraId="20C1EE7C" w14:textId="77777777">
        <w:trPr>
          <w:trHeight w:val="890"/>
        </w:trPr>
        <w:tc>
          <w:tcPr>
            <w:tcW w:w="2190" w:type="dxa"/>
            <w:tcBorders>
              <w:top w:val="single" w:sz="8" w:space="0" w:color="7F7F7F"/>
              <w:left w:val="single" w:sz="8" w:space="0" w:color="000000"/>
              <w:bottom w:val="single" w:sz="8" w:space="0" w:color="7F7F7F"/>
            </w:tcBorders>
            <w:tcMar>
              <w:top w:w="100" w:type="dxa"/>
              <w:left w:w="100" w:type="dxa"/>
              <w:bottom w:w="100" w:type="dxa"/>
              <w:right w:w="100" w:type="dxa"/>
            </w:tcMar>
          </w:tcPr>
          <w:p w14:paraId="272D5A3D" w14:textId="77777777" w:rsidR="006D1F8B" w:rsidRPr="00AF2364" w:rsidRDefault="00042B2C" w:rsidP="00AF2364">
            <w:pPr>
              <w:spacing w:after="160" w:line="360" w:lineRule="auto"/>
              <w:ind w:left="140" w:right="140"/>
              <w:rPr>
                <w:rFonts w:ascii="Times New Roman" w:eastAsia="Times New Roman" w:hAnsi="Times New Roman" w:cs="Times New Roman"/>
                <w:b/>
                <w:sz w:val="24"/>
                <w:szCs w:val="24"/>
              </w:rPr>
            </w:pPr>
            <w:r w:rsidRPr="00AF2364">
              <w:rPr>
                <w:rFonts w:ascii="Times New Roman" w:eastAsia="Times New Roman" w:hAnsi="Times New Roman" w:cs="Times New Roman"/>
                <w:b/>
                <w:sz w:val="24"/>
                <w:szCs w:val="24"/>
              </w:rPr>
              <w:t>Objetivo</w:t>
            </w:r>
          </w:p>
          <w:p w14:paraId="11EB9ACC" w14:textId="77777777" w:rsidR="006D1F8B" w:rsidRPr="00AF2364" w:rsidRDefault="006D1F8B" w:rsidP="00AF2364">
            <w:pPr>
              <w:spacing w:after="160" w:line="360" w:lineRule="auto"/>
              <w:ind w:left="140" w:right="140"/>
              <w:rPr>
                <w:rFonts w:ascii="Times New Roman" w:eastAsia="Times New Roman" w:hAnsi="Times New Roman" w:cs="Times New Roman"/>
                <w:b/>
                <w:sz w:val="24"/>
                <w:szCs w:val="24"/>
              </w:rPr>
            </w:pPr>
          </w:p>
        </w:tc>
        <w:tc>
          <w:tcPr>
            <w:tcW w:w="1800" w:type="dxa"/>
            <w:tcBorders>
              <w:top w:val="single" w:sz="8" w:space="0" w:color="7F7F7F"/>
              <w:left w:val="single" w:sz="8" w:space="0" w:color="7F7F7F"/>
              <w:bottom w:val="single" w:sz="8" w:space="0" w:color="7F7F7F"/>
              <w:right w:val="single" w:sz="8" w:space="0" w:color="7F7F7F"/>
            </w:tcBorders>
            <w:tcMar>
              <w:top w:w="100" w:type="dxa"/>
              <w:left w:w="100" w:type="dxa"/>
              <w:bottom w:w="100" w:type="dxa"/>
              <w:right w:w="100" w:type="dxa"/>
            </w:tcMar>
          </w:tcPr>
          <w:p w14:paraId="169E4646" w14:textId="77777777" w:rsidR="006D1F8B" w:rsidRPr="00AF2364" w:rsidRDefault="00042B2C" w:rsidP="00AF2364">
            <w:pPr>
              <w:spacing w:after="160" w:line="360" w:lineRule="auto"/>
              <w:ind w:left="140" w:right="140"/>
              <w:rPr>
                <w:rFonts w:ascii="Times New Roman" w:eastAsia="Times New Roman" w:hAnsi="Times New Roman" w:cs="Times New Roman"/>
                <w:b/>
                <w:sz w:val="24"/>
                <w:szCs w:val="24"/>
              </w:rPr>
            </w:pPr>
            <w:r w:rsidRPr="00AF2364">
              <w:rPr>
                <w:rFonts w:ascii="Times New Roman" w:eastAsia="Times New Roman" w:hAnsi="Times New Roman" w:cs="Times New Roman"/>
                <w:b/>
                <w:sz w:val="24"/>
                <w:szCs w:val="24"/>
              </w:rPr>
              <w:t>Acciones necesarias</w:t>
            </w:r>
          </w:p>
        </w:tc>
        <w:tc>
          <w:tcPr>
            <w:tcW w:w="1365" w:type="dxa"/>
            <w:tcBorders>
              <w:top w:val="single" w:sz="8" w:space="0" w:color="7F7F7F"/>
              <w:bottom w:val="single" w:sz="8" w:space="0" w:color="7F7F7F"/>
              <w:right w:val="single" w:sz="8" w:space="0" w:color="7F7F7F"/>
            </w:tcBorders>
            <w:tcMar>
              <w:top w:w="100" w:type="dxa"/>
              <w:left w:w="100" w:type="dxa"/>
              <w:bottom w:w="100" w:type="dxa"/>
              <w:right w:w="100" w:type="dxa"/>
            </w:tcMar>
          </w:tcPr>
          <w:p w14:paraId="50FAADD1" w14:textId="77777777" w:rsidR="006D1F8B" w:rsidRPr="00AF2364" w:rsidRDefault="00042B2C" w:rsidP="00AF2364">
            <w:pPr>
              <w:spacing w:after="160" w:line="360" w:lineRule="auto"/>
              <w:ind w:left="140" w:right="140"/>
              <w:rPr>
                <w:rFonts w:ascii="Times New Roman" w:eastAsia="Times New Roman" w:hAnsi="Times New Roman" w:cs="Times New Roman"/>
                <w:b/>
                <w:sz w:val="24"/>
                <w:szCs w:val="24"/>
              </w:rPr>
            </w:pPr>
            <w:r w:rsidRPr="00AF2364">
              <w:rPr>
                <w:rFonts w:ascii="Times New Roman" w:eastAsia="Times New Roman" w:hAnsi="Times New Roman" w:cs="Times New Roman"/>
                <w:b/>
                <w:sz w:val="24"/>
                <w:szCs w:val="24"/>
              </w:rPr>
              <w:t>Fecha de inicio</w:t>
            </w:r>
          </w:p>
        </w:tc>
        <w:tc>
          <w:tcPr>
            <w:tcW w:w="1365" w:type="dxa"/>
            <w:tcBorders>
              <w:top w:val="single" w:sz="8" w:space="0" w:color="7F7F7F"/>
              <w:bottom w:val="single" w:sz="8" w:space="0" w:color="000000"/>
              <w:right w:val="single" w:sz="8" w:space="0" w:color="7F7F7F"/>
            </w:tcBorders>
            <w:tcMar>
              <w:top w:w="100" w:type="dxa"/>
              <w:left w:w="100" w:type="dxa"/>
              <w:bottom w:w="100" w:type="dxa"/>
              <w:right w:w="100" w:type="dxa"/>
            </w:tcMar>
          </w:tcPr>
          <w:p w14:paraId="3BEB0238" w14:textId="77777777" w:rsidR="006D1F8B" w:rsidRPr="00AF2364" w:rsidRDefault="00042B2C" w:rsidP="00AF2364">
            <w:pPr>
              <w:spacing w:after="160" w:line="360" w:lineRule="auto"/>
              <w:ind w:left="140" w:right="140"/>
              <w:rPr>
                <w:rFonts w:ascii="Times New Roman" w:eastAsia="Times New Roman" w:hAnsi="Times New Roman" w:cs="Times New Roman"/>
                <w:b/>
                <w:sz w:val="24"/>
                <w:szCs w:val="24"/>
              </w:rPr>
            </w:pPr>
            <w:r w:rsidRPr="00AF2364">
              <w:rPr>
                <w:rFonts w:ascii="Times New Roman" w:eastAsia="Times New Roman" w:hAnsi="Times New Roman" w:cs="Times New Roman"/>
                <w:b/>
                <w:sz w:val="24"/>
                <w:szCs w:val="24"/>
              </w:rPr>
              <w:t>Fecha de fin</w:t>
            </w:r>
          </w:p>
        </w:tc>
        <w:tc>
          <w:tcPr>
            <w:tcW w:w="2970" w:type="dxa"/>
            <w:tcBorders>
              <w:top w:val="single" w:sz="8" w:space="0" w:color="7F7F7F"/>
              <w:bottom w:val="single" w:sz="8" w:space="0" w:color="000000"/>
              <w:right w:val="single" w:sz="8" w:space="0" w:color="000000"/>
            </w:tcBorders>
            <w:tcMar>
              <w:top w:w="100" w:type="dxa"/>
              <w:left w:w="100" w:type="dxa"/>
              <w:bottom w:w="100" w:type="dxa"/>
              <w:right w:w="100" w:type="dxa"/>
            </w:tcMar>
          </w:tcPr>
          <w:p w14:paraId="41C0E946" w14:textId="77777777" w:rsidR="006D1F8B" w:rsidRPr="00AF2364" w:rsidRDefault="00042B2C" w:rsidP="00AF2364">
            <w:pPr>
              <w:spacing w:after="160" w:line="360" w:lineRule="auto"/>
              <w:ind w:left="140" w:right="140"/>
              <w:rPr>
                <w:rFonts w:ascii="Times New Roman" w:eastAsia="Times New Roman" w:hAnsi="Times New Roman" w:cs="Times New Roman"/>
                <w:b/>
                <w:sz w:val="24"/>
                <w:szCs w:val="24"/>
              </w:rPr>
            </w:pPr>
            <w:r w:rsidRPr="00AF2364">
              <w:rPr>
                <w:rFonts w:ascii="Times New Roman" w:eastAsia="Times New Roman" w:hAnsi="Times New Roman" w:cs="Times New Roman"/>
                <w:b/>
                <w:sz w:val="24"/>
                <w:szCs w:val="24"/>
              </w:rPr>
              <w:t>Observaciones</w:t>
            </w:r>
          </w:p>
        </w:tc>
      </w:tr>
      <w:tr w:rsidR="006D1F8B" w:rsidRPr="00AF2364" w14:paraId="7798D667" w14:textId="77777777">
        <w:trPr>
          <w:trHeight w:val="2690"/>
        </w:trPr>
        <w:tc>
          <w:tcPr>
            <w:tcW w:w="2190" w:type="dxa"/>
            <w:vMerge w:val="restart"/>
            <w:tcBorders>
              <w:left w:val="single" w:sz="8" w:space="0" w:color="000000"/>
            </w:tcBorders>
            <w:tcMar>
              <w:top w:w="100" w:type="dxa"/>
              <w:left w:w="100" w:type="dxa"/>
              <w:bottom w:w="100" w:type="dxa"/>
              <w:right w:w="100" w:type="dxa"/>
            </w:tcMar>
          </w:tcPr>
          <w:p w14:paraId="4AE6CC89" w14:textId="77777777" w:rsidR="006D1F8B" w:rsidRPr="00AF2364" w:rsidRDefault="00042B2C" w:rsidP="00AF2364">
            <w:pPr>
              <w:spacing w:after="160" w:line="360" w:lineRule="auto"/>
              <w:ind w:left="140" w:right="140"/>
              <w:rPr>
                <w:rFonts w:ascii="Times New Roman" w:eastAsia="Times New Roman" w:hAnsi="Times New Roman" w:cs="Times New Roman"/>
                <w:b/>
                <w:sz w:val="24"/>
                <w:szCs w:val="24"/>
              </w:rPr>
            </w:pPr>
            <w:r w:rsidRPr="00AF2364">
              <w:rPr>
                <w:rFonts w:ascii="Times New Roman" w:eastAsia="Times New Roman" w:hAnsi="Times New Roman" w:cs="Times New Roman"/>
                <w:b/>
                <w:sz w:val="24"/>
                <w:szCs w:val="24"/>
              </w:rPr>
              <w:t xml:space="preserve"> </w:t>
            </w:r>
          </w:p>
          <w:p w14:paraId="1341742C" w14:textId="77777777" w:rsidR="006D1F8B" w:rsidRPr="00AF2364" w:rsidRDefault="00042B2C" w:rsidP="00AF2364">
            <w:pPr>
              <w:spacing w:before="240" w:after="160" w:line="360" w:lineRule="auto"/>
              <w:ind w:left="140" w:right="140"/>
              <w:rPr>
                <w:rFonts w:ascii="Times New Roman" w:eastAsia="Times New Roman" w:hAnsi="Times New Roman" w:cs="Times New Roman"/>
                <w:b/>
                <w:sz w:val="24"/>
                <w:szCs w:val="24"/>
              </w:rPr>
            </w:pPr>
            <w:r w:rsidRPr="00AF2364">
              <w:rPr>
                <w:rFonts w:ascii="Times New Roman" w:eastAsia="Times New Roman" w:hAnsi="Times New Roman" w:cs="Times New Roman"/>
                <w:b/>
                <w:sz w:val="24"/>
                <w:szCs w:val="24"/>
              </w:rPr>
              <w:t xml:space="preserve"> </w:t>
            </w:r>
          </w:p>
          <w:p w14:paraId="51126BA3" w14:textId="77777777" w:rsidR="006D1F8B" w:rsidRPr="00AF2364" w:rsidRDefault="00042B2C" w:rsidP="00AF2364">
            <w:pPr>
              <w:spacing w:before="240" w:after="160" w:line="360" w:lineRule="auto"/>
              <w:ind w:left="140" w:right="140"/>
              <w:rPr>
                <w:rFonts w:ascii="Times New Roman" w:eastAsia="Times New Roman" w:hAnsi="Times New Roman" w:cs="Times New Roman"/>
                <w:b/>
                <w:sz w:val="24"/>
                <w:szCs w:val="24"/>
              </w:rPr>
            </w:pPr>
            <w:r w:rsidRPr="00AF2364">
              <w:rPr>
                <w:rFonts w:ascii="Times New Roman" w:eastAsia="Times New Roman" w:hAnsi="Times New Roman" w:cs="Times New Roman"/>
                <w:b/>
                <w:sz w:val="24"/>
                <w:szCs w:val="24"/>
              </w:rPr>
              <w:t xml:space="preserve"> </w:t>
            </w:r>
          </w:p>
          <w:p w14:paraId="4AB83A22" w14:textId="77777777" w:rsidR="006D1F8B" w:rsidRPr="00AF2364" w:rsidRDefault="00042B2C" w:rsidP="00AF2364">
            <w:pPr>
              <w:spacing w:before="240" w:after="160" w:line="360" w:lineRule="auto"/>
              <w:ind w:left="140" w:right="140"/>
              <w:rPr>
                <w:rFonts w:ascii="Times New Roman" w:eastAsia="Times New Roman" w:hAnsi="Times New Roman" w:cs="Times New Roman"/>
                <w:b/>
                <w:sz w:val="24"/>
                <w:szCs w:val="24"/>
              </w:rPr>
            </w:pPr>
            <w:r w:rsidRPr="00AF2364">
              <w:rPr>
                <w:rFonts w:ascii="Times New Roman" w:eastAsia="Times New Roman" w:hAnsi="Times New Roman" w:cs="Times New Roman"/>
                <w:b/>
                <w:sz w:val="24"/>
                <w:szCs w:val="24"/>
              </w:rPr>
              <w:t xml:space="preserve"> </w:t>
            </w:r>
          </w:p>
          <w:p w14:paraId="189B161A" w14:textId="77777777" w:rsidR="006D1F8B" w:rsidRPr="00AF2364" w:rsidRDefault="00042B2C" w:rsidP="00AF2364">
            <w:pPr>
              <w:spacing w:before="240" w:after="160" w:line="360" w:lineRule="auto"/>
              <w:ind w:left="140" w:right="140"/>
              <w:rPr>
                <w:rFonts w:ascii="Times New Roman" w:eastAsia="Times New Roman" w:hAnsi="Times New Roman" w:cs="Times New Roman"/>
                <w:b/>
                <w:sz w:val="24"/>
                <w:szCs w:val="24"/>
              </w:rPr>
            </w:pPr>
            <w:r w:rsidRPr="00AF2364">
              <w:rPr>
                <w:rFonts w:ascii="Times New Roman" w:eastAsia="Times New Roman" w:hAnsi="Times New Roman" w:cs="Times New Roman"/>
                <w:b/>
                <w:sz w:val="24"/>
                <w:szCs w:val="24"/>
              </w:rPr>
              <w:t xml:space="preserve"> </w:t>
            </w:r>
          </w:p>
          <w:p w14:paraId="10AB9E91" w14:textId="77777777" w:rsidR="006D1F8B" w:rsidRPr="00AF2364" w:rsidRDefault="00042B2C" w:rsidP="00AF2364">
            <w:pPr>
              <w:spacing w:before="240" w:after="160" w:line="360" w:lineRule="auto"/>
              <w:ind w:left="140" w:right="140"/>
              <w:rPr>
                <w:rFonts w:ascii="Times New Roman" w:eastAsia="Times New Roman" w:hAnsi="Times New Roman" w:cs="Times New Roman"/>
                <w:b/>
                <w:sz w:val="24"/>
                <w:szCs w:val="24"/>
              </w:rPr>
            </w:pPr>
            <w:r w:rsidRPr="00AF2364">
              <w:rPr>
                <w:rFonts w:ascii="Times New Roman" w:eastAsia="Times New Roman" w:hAnsi="Times New Roman" w:cs="Times New Roman"/>
                <w:b/>
                <w:sz w:val="24"/>
                <w:szCs w:val="24"/>
              </w:rPr>
              <w:t xml:space="preserve"> </w:t>
            </w:r>
          </w:p>
          <w:p w14:paraId="22EEE038" w14:textId="77777777" w:rsidR="006D1F8B" w:rsidRPr="00AF2364" w:rsidRDefault="00042B2C" w:rsidP="00AF2364">
            <w:pPr>
              <w:spacing w:before="240" w:after="160" w:line="360" w:lineRule="auto"/>
              <w:ind w:left="140" w:right="140"/>
              <w:rPr>
                <w:rFonts w:ascii="Times New Roman" w:eastAsia="Times New Roman" w:hAnsi="Times New Roman" w:cs="Times New Roman"/>
                <w:b/>
                <w:sz w:val="24"/>
                <w:szCs w:val="24"/>
              </w:rPr>
            </w:pPr>
            <w:r w:rsidRPr="00AF2364">
              <w:rPr>
                <w:rFonts w:ascii="Times New Roman" w:eastAsia="Times New Roman" w:hAnsi="Times New Roman" w:cs="Times New Roman"/>
                <w:b/>
                <w:sz w:val="24"/>
                <w:szCs w:val="24"/>
              </w:rPr>
              <w:t xml:space="preserve"> REVISIÓN MARCO TEÓRICO Y CONCEPTUAL</w:t>
            </w:r>
          </w:p>
        </w:tc>
        <w:tc>
          <w:tcPr>
            <w:tcW w:w="1800" w:type="dxa"/>
            <w:tcBorders>
              <w:left w:val="single" w:sz="8" w:space="0" w:color="7F7F7F"/>
              <w:bottom w:val="single" w:sz="8" w:space="0" w:color="7F7F7F"/>
              <w:right w:val="single" w:sz="8" w:space="0" w:color="7F7F7F"/>
            </w:tcBorders>
            <w:tcMar>
              <w:top w:w="100" w:type="dxa"/>
              <w:left w:w="100" w:type="dxa"/>
              <w:bottom w:w="100" w:type="dxa"/>
              <w:right w:w="100" w:type="dxa"/>
            </w:tcMar>
          </w:tcPr>
          <w:p w14:paraId="411C7905" w14:textId="77777777" w:rsidR="006D1F8B" w:rsidRPr="00AF2364" w:rsidRDefault="00042B2C" w:rsidP="00AF2364">
            <w:pPr>
              <w:spacing w:after="160" w:line="360" w:lineRule="auto"/>
              <w:ind w:left="140" w:right="140"/>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Sistematizar y estudiar bibliografía nacional e internacional sobre el Análisis Económico del Derecho.</w:t>
            </w:r>
          </w:p>
          <w:p w14:paraId="7C5B82E3" w14:textId="77777777" w:rsidR="006D1F8B" w:rsidRPr="00AF2364" w:rsidRDefault="00042B2C" w:rsidP="00AF2364">
            <w:pPr>
              <w:spacing w:before="240" w:after="160" w:line="360" w:lineRule="auto"/>
              <w:ind w:left="140" w:right="140"/>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Sistematizar bibliografía nacional e internacional sobre insolvencia empresarial</w:t>
            </w:r>
          </w:p>
        </w:tc>
        <w:tc>
          <w:tcPr>
            <w:tcW w:w="1365" w:type="dxa"/>
            <w:vMerge w:val="restart"/>
            <w:tcBorders>
              <w:right w:val="single" w:sz="8" w:space="0" w:color="7F7F7F"/>
            </w:tcBorders>
            <w:tcMar>
              <w:top w:w="100" w:type="dxa"/>
              <w:left w:w="100" w:type="dxa"/>
              <w:bottom w:w="100" w:type="dxa"/>
              <w:right w:w="100" w:type="dxa"/>
            </w:tcMar>
          </w:tcPr>
          <w:p w14:paraId="5DB94901" w14:textId="77777777" w:rsidR="006D1F8B" w:rsidRPr="00AF2364" w:rsidRDefault="00042B2C" w:rsidP="00AF2364">
            <w:pPr>
              <w:spacing w:after="160" w:line="360" w:lineRule="auto"/>
              <w:ind w:left="140" w:right="140"/>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 xml:space="preserve"> </w:t>
            </w:r>
          </w:p>
          <w:p w14:paraId="2832A606" w14:textId="77777777" w:rsidR="006D1F8B" w:rsidRPr="00AF2364" w:rsidRDefault="00042B2C" w:rsidP="00AF2364">
            <w:pPr>
              <w:spacing w:before="240" w:after="160" w:line="360" w:lineRule="auto"/>
              <w:ind w:left="140" w:right="140"/>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 xml:space="preserve"> </w:t>
            </w:r>
          </w:p>
          <w:p w14:paraId="3A17F4EB" w14:textId="77777777" w:rsidR="006D1F8B" w:rsidRPr="00AF2364" w:rsidRDefault="00042B2C" w:rsidP="00AF2364">
            <w:pPr>
              <w:spacing w:before="240" w:after="160" w:line="360" w:lineRule="auto"/>
              <w:ind w:left="140" w:right="140"/>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 xml:space="preserve"> </w:t>
            </w:r>
          </w:p>
          <w:p w14:paraId="441BB2D0" w14:textId="77777777" w:rsidR="006D1F8B" w:rsidRPr="00AF2364" w:rsidRDefault="00042B2C" w:rsidP="00AF2364">
            <w:pPr>
              <w:spacing w:before="240" w:after="160" w:line="360" w:lineRule="auto"/>
              <w:ind w:left="140" w:right="140"/>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 xml:space="preserve"> </w:t>
            </w:r>
          </w:p>
          <w:p w14:paraId="75A7AE6D" w14:textId="77777777" w:rsidR="006D1F8B" w:rsidRPr="00AF2364" w:rsidRDefault="00042B2C" w:rsidP="00AF2364">
            <w:pPr>
              <w:spacing w:before="240" w:after="160" w:line="360" w:lineRule="auto"/>
              <w:ind w:left="140" w:right="140"/>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 xml:space="preserve"> </w:t>
            </w:r>
          </w:p>
          <w:p w14:paraId="3CDB75C6" w14:textId="77777777" w:rsidR="006D1F8B" w:rsidRPr="00AF2364" w:rsidRDefault="00042B2C" w:rsidP="00AF2364">
            <w:pPr>
              <w:spacing w:before="240" w:after="160" w:line="360" w:lineRule="auto"/>
              <w:ind w:left="140" w:right="140"/>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 xml:space="preserve"> </w:t>
            </w:r>
          </w:p>
          <w:p w14:paraId="4A41EF3E" w14:textId="77777777" w:rsidR="006D1F8B" w:rsidRPr="00AF2364" w:rsidRDefault="00042B2C" w:rsidP="00AF2364">
            <w:pPr>
              <w:spacing w:before="240" w:after="160" w:line="360" w:lineRule="auto"/>
              <w:ind w:left="140" w:right="140"/>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 xml:space="preserve"> </w:t>
            </w:r>
          </w:p>
          <w:p w14:paraId="5E83EDD8" w14:textId="77777777" w:rsidR="006D1F8B" w:rsidRPr="00AF2364" w:rsidRDefault="00042B2C" w:rsidP="00AF2364">
            <w:pPr>
              <w:spacing w:before="240" w:after="160" w:line="360" w:lineRule="auto"/>
              <w:ind w:left="140" w:right="140"/>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 xml:space="preserve"> </w:t>
            </w:r>
          </w:p>
          <w:p w14:paraId="06486CE3" w14:textId="77777777" w:rsidR="006D1F8B" w:rsidRPr="00AF2364" w:rsidRDefault="00042B2C" w:rsidP="00AF2364">
            <w:pPr>
              <w:spacing w:before="240" w:after="160" w:line="360" w:lineRule="auto"/>
              <w:ind w:left="140" w:right="140"/>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18/05/20</w:t>
            </w:r>
          </w:p>
          <w:p w14:paraId="2385E5C8" w14:textId="77777777" w:rsidR="006D1F8B" w:rsidRPr="00AF2364" w:rsidRDefault="00042B2C" w:rsidP="00AF2364">
            <w:pPr>
              <w:spacing w:before="240" w:after="160" w:line="360" w:lineRule="auto"/>
              <w:ind w:left="140" w:right="140"/>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 xml:space="preserve"> </w:t>
            </w:r>
          </w:p>
          <w:p w14:paraId="62CCEEAA" w14:textId="77777777" w:rsidR="006D1F8B" w:rsidRPr="00AF2364" w:rsidRDefault="00042B2C" w:rsidP="00AF2364">
            <w:pPr>
              <w:spacing w:before="240" w:after="160" w:line="360" w:lineRule="auto"/>
              <w:ind w:left="140" w:right="140"/>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 xml:space="preserve"> </w:t>
            </w:r>
          </w:p>
          <w:p w14:paraId="6AECD4C2" w14:textId="77777777" w:rsidR="006D1F8B" w:rsidRPr="00AF2364" w:rsidRDefault="00042B2C" w:rsidP="00AF2364">
            <w:pPr>
              <w:spacing w:before="240" w:after="160" w:line="360" w:lineRule="auto"/>
              <w:ind w:left="140" w:right="140"/>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 xml:space="preserve"> </w:t>
            </w:r>
          </w:p>
        </w:tc>
        <w:tc>
          <w:tcPr>
            <w:tcW w:w="1365" w:type="dxa"/>
            <w:tcBorders>
              <w:bottom w:val="single" w:sz="8" w:space="0" w:color="000000"/>
              <w:right w:val="single" w:sz="8" w:space="0" w:color="7F7F7F"/>
            </w:tcBorders>
            <w:tcMar>
              <w:top w:w="100" w:type="dxa"/>
              <w:left w:w="100" w:type="dxa"/>
              <w:bottom w:w="100" w:type="dxa"/>
              <w:right w:w="100" w:type="dxa"/>
            </w:tcMar>
          </w:tcPr>
          <w:p w14:paraId="1AAB10FD" w14:textId="77777777" w:rsidR="006D1F8B" w:rsidRPr="00AF2364" w:rsidRDefault="00042B2C" w:rsidP="00AF2364">
            <w:pPr>
              <w:spacing w:after="160" w:line="360" w:lineRule="auto"/>
              <w:ind w:left="140" w:right="140"/>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 xml:space="preserve"> </w:t>
            </w:r>
          </w:p>
          <w:p w14:paraId="2FB76CCA" w14:textId="77777777" w:rsidR="006D1F8B" w:rsidRPr="00AF2364" w:rsidRDefault="00042B2C" w:rsidP="00AF2364">
            <w:pPr>
              <w:spacing w:before="240" w:after="160" w:line="360" w:lineRule="auto"/>
              <w:ind w:left="140" w:right="140"/>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 xml:space="preserve"> </w:t>
            </w:r>
          </w:p>
          <w:p w14:paraId="2AD541AC" w14:textId="77777777" w:rsidR="006D1F8B" w:rsidRPr="00AF2364" w:rsidRDefault="00042B2C" w:rsidP="00AF2364">
            <w:pPr>
              <w:spacing w:before="240" w:after="160" w:line="360" w:lineRule="auto"/>
              <w:ind w:left="140" w:right="140"/>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01/06/20</w:t>
            </w:r>
          </w:p>
        </w:tc>
        <w:tc>
          <w:tcPr>
            <w:tcW w:w="2970" w:type="dxa"/>
            <w:vMerge w:val="restart"/>
            <w:tcBorders>
              <w:bottom w:val="single" w:sz="8" w:space="0" w:color="000000"/>
              <w:right w:val="single" w:sz="8" w:space="0" w:color="000000"/>
            </w:tcBorders>
            <w:tcMar>
              <w:top w:w="100" w:type="dxa"/>
              <w:left w:w="100" w:type="dxa"/>
              <w:bottom w:w="100" w:type="dxa"/>
              <w:right w:w="100" w:type="dxa"/>
            </w:tcMar>
          </w:tcPr>
          <w:p w14:paraId="5245377A" w14:textId="77777777" w:rsidR="006D1F8B" w:rsidRPr="00AF2364" w:rsidRDefault="00042B2C" w:rsidP="00AF2364">
            <w:pPr>
              <w:spacing w:after="160" w:line="360" w:lineRule="auto"/>
              <w:ind w:left="140" w:right="140"/>
              <w:rPr>
                <w:rFonts w:ascii="Times New Roman" w:eastAsia="Times New Roman" w:hAnsi="Times New Roman" w:cs="Times New Roman"/>
                <w:b/>
                <w:sz w:val="24"/>
                <w:szCs w:val="24"/>
              </w:rPr>
            </w:pPr>
            <w:r w:rsidRPr="00AF2364">
              <w:rPr>
                <w:rFonts w:ascii="Times New Roman" w:eastAsia="Times New Roman" w:hAnsi="Times New Roman" w:cs="Times New Roman"/>
                <w:b/>
                <w:sz w:val="24"/>
                <w:szCs w:val="24"/>
              </w:rPr>
              <w:t>Restringir la bibliografía marco a utilizar para realizar el correspondiente análisis económico del derecho.</w:t>
            </w:r>
          </w:p>
          <w:p w14:paraId="446E34E9" w14:textId="77777777" w:rsidR="006D1F8B" w:rsidRPr="00AF2364" w:rsidRDefault="00042B2C" w:rsidP="00AF2364">
            <w:pPr>
              <w:spacing w:before="240" w:after="160" w:line="360" w:lineRule="auto"/>
              <w:ind w:left="140" w:right="140"/>
              <w:rPr>
                <w:rFonts w:ascii="Times New Roman" w:eastAsia="Times New Roman" w:hAnsi="Times New Roman" w:cs="Times New Roman"/>
                <w:b/>
                <w:sz w:val="24"/>
                <w:szCs w:val="24"/>
              </w:rPr>
            </w:pPr>
            <w:r w:rsidRPr="00AF2364">
              <w:rPr>
                <w:rFonts w:ascii="Times New Roman" w:eastAsia="Times New Roman" w:hAnsi="Times New Roman" w:cs="Times New Roman"/>
                <w:b/>
                <w:sz w:val="24"/>
                <w:szCs w:val="24"/>
              </w:rPr>
              <w:t xml:space="preserve"> </w:t>
            </w:r>
          </w:p>
          <w:p w14:paraId="52F0B692" w14:textId="77777777" w:rsidR="006D1F8B" w:rsidRPr="00AF2364" w:rsidRDefault="00042B2C" w:rsidP="00AF2364">
            <w:pPr>
              <w:spacing w:before="240" w:after="160" w:line="360" w:lineRule="auto"/>
              <w:ind w:left="140" w:right="140"/>
              <w:rPr>
                <w:rFonts w:ascii="Times New Roman" w:eastAsia="Times New Roman" w:hAnsi="Times New Roman" w:cs="Times New Roman"/>
                <w:b/>
                <w:sz w:val="24"/>
                <w:szCs w:val="24"/>
              </w:rPr>
            </w:pPr>
            <w:r w:rsidRPr="00AF2364">
              <w:rPr>
                <w:rFonts w:ascii="Times New Roman" w:eastAsia="Times New Roman" w:hAnsi="Times New Roman" w:cs="Times New Roman"/>
                <w:b/>
                <w:sz w:val="24"/>
                <w:szCs w:val="24"/>
              </w:rPr>
              <w:t>Restringir la bibliografía, normatividad y jurisprudencia nacional e internacional sobre insolvencia empresarial a la ley 1116 de 2006, Decreto Legislativo 560 de 2020 por el cual se adoptan medidas transitorias especiales en materia de procesos de insolve</w:t>
            </w:r>
            <w:r w:rsidRPr="00AF2364">
              <w:rPr>
                <w:rFonts w:ascii="Times New Roman" w:eastAsia="Times New Roman" w:hAnsi="Times New Roman" w:cs="Times New Roman"/>
                <w:b/>
                <w:sz w:val="24"/>
                <w:szCs w:val="24"/>
              </w:rPr>
              <w:t xml:space="preserve">ncia en el marco del Estado de Emergencia, Social y Ecológica, y la Ley Modelo de Insolvencia </w:t>
            </w:r>
            <w:r w:rsidRPr="00AF2364">
              <w:rPr>
                <w:rFonts w:ascii="Times New Roman" w:eastAsia="Times New Roman" w:hAnsi="Times New Roman" w:cs="Times New Roman"/>
                <w:b/>
                <w:sz w:val="24"/>
                <w:szCs w:val="24"/>
              </w:rPr>
              <w:lastRenderedPageBreak/>
              <w:t>Transfronteriza redactada por la CNUDMI en 1997.</w:t>
            </w:r>
          </w:p>
        </w:tc>
      </w:tr>
      <w:tr w:rsidR="006D1F8B" w:rsidRPr="00AF2364" w14:paraId="1D984B59" w14:textId="77777777">
        <w:trPr>
          <w:trHeight w:val="2690"/>
        </w:trPr>
        <w:tc>
          <w:tcPr>
            <w:tcW w:w="2190" w:type="dxa"/>
            <w:vMerge/>
            <w:shd w:val="clear" w:color="auto" w:fill="auto"/>
            <w:tcMar>
              <w:top w:w="100" w:type="dxa"/>
              <w:left w:w="100" w:type="dxa"/>
              <w:bottom w:w="100" w:type="dxa"/>
              <w:right w:w="100" w:type="dxa"/>
            </w:tcMar>
          </w:tcPr>
          <w:p w14:paraId="3D6625AE" w14:textId="77777777" w:rsidR="006D1F8B" w:rsidRPr="00AF2364" w:rsidRDefault="006D1F8B" w:rsidP="00AF2364">
            <w:pPr>
              <w:spacing w:before="80" w:line="360" w:lineRule="auto"/>
              <w:ind w:left="140" w:right="140"/>
              <w:rPr>
                <w:rFonts w:ascii="Times New Roman" w:eastAsia="Times New Roman" w:hAnsi="Times New Roman" w:cs="Times New Roman"/>
                <w:sz w:val="24"/>
                <w:szCs w:val="24"/>
              </w:rPr>
            </w:pPr>
          </w:p>
        </w:tc>
        <w:tc>
          <w:tcPr>
            <w:tcW w:w="1800" w:type="dxa"/>
            <w:tcBorders>
              <w:left w:val="single" w:sz="8" w:space="0" w:color="7F7F7F"/>
              <w:right w:val="single" w:sz="8" w:space="0" w:color="7F7F7F"/>
            </w:tcBorders>
            <w:shd w:val="clear" w:color="auto" w:fill="auto"/>
            <w:tcMar>
              <w:top w:w="100" w:type="dxa"/>
              <w:left w:w="100" w:type="dxa"/>
              <w:bottom w:w="100" w:type="dxa"/>
              <w:right w:w="100" w:type="dxa"/>
            </w:tcMar>
          </w:tcPr>
          <w:p w14:paraId="12C04C38" w14:textId="77777777" w:rsidR="006D1F8B" w:rsidRPr="00AF2364" w:rsidRDefault="00042B2C" w:rsidP="00AF2364">
            <w:pPr>
              <w:spacing w:after="160" w:line="360" w:lineRule="auto"/>
              <w:ind w:left="140" w:right="140"/>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 xml:space="preserve"> Sistematizar normativa nacional e internacional sobre insolvencia empresarial</w:t>
            </w:r>
          </w:p>
        </w:tc>
        <w:tc>
          <w:tcPr>
            <w:tcW w:w="1365" w:type="dxa"/>
            <w:vMerge/>
            <w:tcBorders>
              <w:right w:val="single" w:sz="8" w:space="0" w:color="7F7F7F"/>
            </w:tcBorders>
            <w:shd w:val="clear" w:color="auto" w:fill="auto"/>
            <w:tcMar>
              <w:top w:w="100" w:type="dxa"/>
              <w:left w:w="100" w:type="dxa"/>
              <w:bottom w:w="100" w:type="dxa"/>
              <w:right w:w="100" w:type="dxa"/>
            </w:tcMar>
          </w:tcPr>
          <w:p w14:paraId="7638C92C" w14:textId="77777777" w:rsidR="006D1F8B" w:rsidRPr="00AF2364" w:rsidRDefault="006D1F8B" w:rsidP="00AF2364">
            <w:pPr>
              <w:spacing w:before="80" w:line="360" w:lineRule="auto"/>
              <w:ind w:left="140" w:right="140"/>
              <w:rPr>
                <w:rFonts w:ascii="Times New Roman" w:eastAsia="Times New Roman" w:hAnsi="Times New Roman" w:cs="Times New Roman"/>
                <w:sz w:val="24"/>
                <w:szCs w:val="24"/>
              </w:rPr>
            </w:pPr>
          </w:p>
        </w:tc>
        <w:tc>
          <w:tcPr>
            <w:tcW w:w="1365" w:type="dxa"/>
            <w:tcBorders>
              <w:bottom w:val="single" w:sz="8" w:space="0" w:color="000000"/>
              <w:right w:val="single" w:sz="8" w:space="0" w:color="7F7F7F"/>
            </w:tcBorders>
            <w:shd w:val="clear" w:color="auto" w:fill="auto"/>
            <w:tcMar>
              <w:top w:w="100" w:type="dxa"/>
              <w:left w:w="100" w:type="dxa"/>
              <w:bottom w:w="100" w:type="dxa"/>
              <w:right w:w="100" w:type="dxa"/>
            </w:tcMar>
          </w:tcPr>
          <w:p w14:paraId="7B8A8C1A" w14:textId="77777777" w:rsidR="006D1F8B" w:rsidRPr="00AF2364" w:rsidRDefault="00042B2C" w:rsidP="00AF2364">
            <w:pPr>
              <w:spacing w:after="160" w:line="360" w:lineRule="auto"/>
              <w:ind w:left="140" w:right="140"/>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 xml:space="preserve"> </w:t>
            </w:r>
          </w:p>
          <w:p w14:paraId="0D2DA9AD" w14:textId="77777777" w:rsidR="006D1F8B" w:rsidRPr="00AF2364" w:rsidRDefault="00042B2C" w:rsidP="00AF2364">
            <w:pPr>
              <w:spacing w:before="240" w:after="160" w:line="360" w:lineRule="auto"/>
              <w:ind w:left="140" w:right="140"/>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 xml:space="preserve"> </w:t>
            </w:r>
          </w:p>
          <w:p w14:paraId="2BD2F870" w14:textId="77777777" w:rsidR="006D1F8B" w:rsidRPr="00AF2364" w:rsidRDefault="00042B2C" w:rsidP="00AF2364">
            <w:pPr>
              <w:spacing w:before="240" w:after="160" w:line="360" w:lineRule="auto"/>
              <w:ind w:left="140" w:right="140"/>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08/06/20</w:t>
            </w:r>
          </w:p>
          <w:p w14:paraId="5791A911" w14:textId="77777777" w:rsidR="006D1F8B" w:rsidRPr="00AF2364" w:rsidRDefault="00042B2C" w:rsidP="00AF2364">
            <w:pPr>
              <w:spacing w:before="240" w:after="160" w:line="360" w:lineRule="auto"/>
              <w:ind w:left="140" w:right="140"/>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 xml:space="preserve"> </w:t>
            </w:r>
          </w:p>
        </w:tc>
        <w:tc>
          <w:tcPr>
            <w:tcW w:w="2970" w:type="dxa"/>
            <w:vMerge/>
            <w:tcBorders>
              <w:bottom w:val="single" w:sz="8" w:space="0" w:color="000000"/>
              <w:right w:val="single" w:sz="8" w:space="0" w:color="000000"/>
            </w:tcBorders>
            <w:shd w:val="clear" w:color="auto" w:fill="auto"/>
            <w:tcMar>
              <w:top w:w="100" w:type="dxa"/>
              <w:left w:w="100" w:type="dxa"/>
              <w:bottom w:w="100" w:type="dxa"/>
              <w:right w:w="100" w:type="dxa"/>
            </w:tcMar>
          </w:tcPr>
          <w:p w14:paraId="0A0FDCDA" w14:textId="77777777" w:rsidR="006D1F8B" w:rsidRPr="00AF2364" w:rsidRDefault="006D1F8B" w:rsidP="00AF2364">
            <w:pPr>
              <w:spacing w:before="80" w:line="360" w:lineRule="auto"/>
              <w:ind w:left="140" w:right="140"/>
              <w:rPr>
                <w:rFonts w:ascii="Times New Roman" w:eastAsia="Times New Roman" w:hAnsi="Times New Roman" w:cs="Times New Roman"/>
                <w:sz w:val="24"/>
                <w:szCs w:val="24"/>
              </w:rPr>
            </w:pPr>
          </w:p>
        </w:tc>
      </w:tr>
      <w:tr w:rsidR="006D1F8B" w:rsidRPr="00AF2364" w14:paraId="5C9474D6" w14:textId="77777777">
        <w:trPr>
          <w:trHeight w:val="2690"/>
        </w:trPr>
        <w:tc>
          <w:tcPr>
            <w:tcW w:w="2190" w:type="dxa"/>
            <w:vMerge/>
            <w:shd w:val="clear" w:color="auto" w:fill="auto"/>
            <w:tcMar>
              <w:top w:w="100" w:type="dxa"/>
              <w:left w:w="100" w:type="dxa"/>
              <w:bottom w:w="100" w:type="dxa"/>
              <w:right w:w="100" w:type="dxa"/>
            </w:tcMar>
          </w:tcPr>
          <w:p w14:paraId="768F58FD" w14:textId="77777777" w:rsidR="006D1F8B" w:rsidRPr="00AF2364" w:rsidRDefault="006D1F8B" w:rsidP="00AF2364">
            <w:pPr>
              <w:spacing w:before="80" w:line="360" w:lineRule="auto"/>
              <w:ind w:left="140" w:right="140"/>
              <w:rPr>
                <w:rFonts w:ascii="Times New Roman" w:eastAsia="Times New Roman" w:hAnsi="Times New Roman" w:cs="Times New Roman"/>
                <w:sz w:val="24"/>
                <w:szCs w:val="24"/>
              </w:rPr>
            </w:pPr>
          </w:p>
        </w:tc>
        <w:tc>
          <w:tcPr>
            <w:tcW w:w="1800" w:type="dxa"/>
            <w:tcBorders>
              <w:top w:val="single" w:sz="8" w:space="0" w:color="7F7F7F"/>
              <w:left w:val="single" w:sz="8" w:space="0" w:color="7F7F7F"/>
              <w:bottom w:val="single" w:sz="8" w:space="0" w:color="7F7F7F"/>
              <w:right w:val="single" w:sz="8" w:space="0" w:color="7F7F7F"/>
            </w:tcBorders>
            <w:shd w:val="clear" w:color="auto" w:fill="auto"/>
            <w:tcMar>
              <w:top w:w="100" w:type="dxa"/>
              <w:left w:w="100" w:type="dxa"/>
              <w:bottom w:w="100" w:type="dxa"/>
              <w:right w:w="100" w:type="dxa"/>
            </w:tcMar>
          </w:tcPr>
          <w:p w14:paraId="7455E2EF" w14:textId="77777777" w:rsidR="006D1F8B" w:rsidRPr="00AF2364" w:rsidRDefault="00042B2C" w:rsidP="00AF2364">
            <w:pPr>
              <w:spacing w:after="160" w:line="360" w:lineRule="auto"/>
              <w:ind w:left="140" w:right="140"/>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 xml:space="preserve"> Sistematizar jurisprudencia nacional e internacional sobre insolvencia empresarial</w:t>
            </w:r>
          </w:p>
        </w:tc>
        <w:tc>
          <w:tcPr>
            <w:tcW w:w="1365" w:type="dxa"/>
            <w:vMerge/>
            <w:tcBorders>
              <w:right w:val="single" w:sz="8" w:space="0" w:color="7F7F7F"/>
            </w:tcBorders>
            <w:shd w:val="clear" w:color="auto" w:fill="auto"/>
            <w:tcMar>
              <w:top w:w="100" w:type="dxa"/>
              <w:left w:w="100" w:type="dxa"/>
              <w:bottom w:w="100" w:type="dxa"/>
              <w:right w:w="100" w:type="dxa"/>
            </w:tcMar>
          </w:tcPr>
          <w:p w14:paraId="1DEFE2F0" w14:textId="77777777" w:rsidR="006D1F8B" w:rsidRPr="00AF2364" w:rsidRDefault="006D1F8B" w:rsidP="00AF2364">
            <w:pPr>
              <w:spacing w:before="80" w:line="360" w:lineRule="auto"/>
              <w:ind w:left="140" w:right="140"/>
              <w:rPr>
                <w:rFonts w:ascii="Times New Roman" w:eastAsia="Times New Roman" w:hAnsi="Times New Roman" w:cs="Times New Roman"/>
                <w:sz w:val="24"/>
                <w:szCs w:val="24"/>
              </w:rPr>
            </w:pPr>
          </w:p>
        </w:tc>
        <w:tc>
          <w:tcPr>
            <w:tcW w:w="1365" w:type="dxa"/>
            <w:tcBorders>
              <w:bottom w:val="single" w:sz="8" w:space="0" w:color="7F7F7F"/>
              <w:right w:val="single" w:sz="8" w:space="0" w:color="7F7F7F"/>
            </w:tcBorders>
            <w:shd w:val="clear" w:color="auto" w:fill="auto"/>
            <w:tcMar>
              <w:top w:w="100" w:type="dxa"/>
              <w:left w:w="100" w:type="dxa"/>
              <w:bottom w:w="100" w:type="dxa"/>
              <w:right w:w="100" w:type="dxa"/>
            </w:tcMar>
          </w:tcPr>
          <w:p w14:paraId="16E1CB42" w14:textId="77777777" w:rsidR="006D1F8B" w:rsidRPr="00AF2364" w:rsidRDefault="00042B2C" w:rsidP="00AF2364">
            <w:pPr>
              <w:spacing w:after="160" w:line="360" w:lineRule="auto"/>
              <w:ind w:left="140" w:right="140"/>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 xml:space="preserve"> </w:t>
            </w:r>
          </w:p>
          <w:p w14:paraId="6F3F740C" w14:textId="77777777" w:rsidR="006D1F8B" w:rsidRPr="00AF2364" w:rsidRDefault="00042B2C" w:rsidP="00AF2364">
            <w:pPr>
              <w:spacing w:before="240" w:after="160" w:line="360" w:lineRule="auto"/>
              <w:ind w:left="140" w:right="140"/>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30/06/20</w:t>
            </w:r>
          </w:p>
        </w:tc>
        <w:tc>
          <w:tcPr>
            <w:tcW w:w="2970" w:type="dxa"/>
            <w:vMerge/>
            <w:tcBorders>
              <w:bottom w:val="single" w:sz="8" w:space="0" w:color="000000"/>
              <w:right w:val="single" w:sz="8" w:space="0" w:color="000000"/>
            </w:tcBorders>
            <w:shd w:val="clear" w:color="auto" w:fill="auto"/>
            <w:tcMar>
              <w:top w:w="100" w:type="dxa"/>
              <w:left w:w="100" w:type="dxa"/>
              <w:bottom w:w="100" w:type="dxa"/>
              <w:right w:w="100" w:type="dxa"/>
            </w:tcMar>
          </w:tcPr>
          <w:p w14:paraId="7053DEBA" w14:textId="77777777" w:rsidR="006D1F8B" w:rsidRPr="00AF2364" w:rsidRDefault="006D1F8B" w:rsidP="00AF2364">
            <w:pPr>
              <w:spacing w:before="80" w:line="360" w:lineRule="auto"/>
              <w:ind w:left="140" w:right="140"/>
              <w:rPr>
                <w:rFonts w:ascii="Times New Roman" w:eastAsia="Times New Roman" w:hAnsi="Times New Roman" w:cs="Times New Roman"/>
                <w:sz w:val="24"/>
                <w:szCs w:val="24"/>
              </w:rPr>
            </w:pPr>
          </w:p>
        </w:tc>
      </w:tr>
      <w:tr w:rsidR="006D1F8B" w:rsidRPr="00AF2364" w14:paraId="4F01647E" w14:textId="77777777">
        <w:trPr>
          <w:trHeight w:val="2930"/>
        </w:trPr>
        <w:tc>
          <w:tcPr>
            <w:tcW w:w="2190" w:type="dxa"/>
            <w:vMerge/>
            <w:shd w:val="clear" w:color="auto" w:fill="auto"/>
            <w:tcMar>
              <w:top w:w="100" w:type="dxa"/>
              <w:left w:w="100" w:type="dxa"/>
              <w:bottom w:w="100" w:type="dxa"/>
              <w:right w:w="100" w:type="dxa"/>
            </w:tcMar>
          </w:tcPr>
          <w:p w14:paraId="46532BE7" w14:textId="77777777" w:rsidR="006D1F8B" w:rsidRPr="00AF2364" w:rsidRDefault="006D1F8B" w:rsidP="00AF2364">
            <w:pPr>
              <w:spacing w:before="80" w:line="360" w:lineRule="auto"/>
              <w:ind w:left="140" w:right="140"/>
              <w:rPr>
                <w:rFonts w:ascii="Times New Roman" w:eastAsia="Times New Roman" w:hAnsi="Times New Roman" w:cs="Times New Roman"/>
                <w:sz w:val="24"/>
                <w:szCs w:val="24"/>
              </w:rPr>
            </w:pPr>
          </w:p>
        </w:tc>
        <w:tc>
          <w:tcPr>
            <w:tcW w:w="1800" w:type="dxa"/>
            <w:tcBorders>
              <w:left w:val="single" w:sz="8" w:space="0" w:color="7F7F7F"/>
              <w:right w:val="single" w:sz="8" w:space="0" w:color="7F7F7F"/>
            </w:tcBorders>
            <w:shd w:val="clear" w:color="auto" w:fill="auto"/>
            <w:tcMar>
              <w:top w:w="100" w:type="dxa"/>
              <w:left w:w="100" w:type="dxa"/>
              <w:bottom w:w="100" w:type="dxa"/>
              <w:right w:w="100" w:type="dxa"/>
            </w:tcMar>
          </w:tcPr>
          <w:p w14:paraId="7FC827E9" w14:textId="77777777" w:rsidR="006D1F8B" w:rsidRPr="00AF2364" w:rsidRDefault="00042B2C" w:rsidP="00AF2364">
            <w:pPr>
              <w:spacing w:after="160" w:line="360" w:lineRule="auto"/>
              <w:ind w:left="140" w:right="140"/>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Elaboración de un texto sobre la distinta normativa, jurisprudencia y doctrina existente sobre el particular</w:t>
            </w:r>
          </w:p>
          <w:p w14:paraId="3CB02489" w14:textId="77777777" w:rsidR="006D1F8B" w:rsidRPr="00AF2364" w:rsidRDefault="00042B2C" w:rsidP="00AF2364">
            <w:pPr>
              <w:spacing w:before="240" w:line="360" w:lineRule="auto"/>
              <w:ind w:left="140" w:right="140"/>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Ejecución de  recursos</w:t>
            </w:r>
          </w:p>
        </w:tc>
        <w:tc>
          <w:tcPr>
            <w:tcW w:w="1365" w:type="dxa"/>
            <w:vMerge/>
            <w:tcBorders>
              <w:right w:val="single" w:sz="8" w:space="0" w:color="7F7F7F"/>
            </w:tcBorders>
            <w:shd w:val="clear" w:color="auto" w:fill="auto"/>
            <w:tcMar>
              <w:top w:w="100" w:type="dxa"/>
              <w:left w:w="100" w:type="dxa"/>
              <w:bottom w:w="100" w:type="dxa"/>
              <w:right w:w="100" w:type="dxa"/>
            </w:tcMar>
          </w:tcPr>
          <w:p w14:paraId="4C765E3B" w14:textId="77777777" w:rsidR="006D1F8B" w:rsidRPr="00AF2364" w:rsidRDefault="006D1F8B" w:rsidP="00AF2364">
            <w:pPr>
              <w:spacing w:before="80" w:line="360" w:lineRule="auto"/>
              <w:ind w:left="140" w:right="140"/>
              <w:rPr>
                <w:rFonts w:ascii="Times New Roman" w:eastAsia="Times New Roman" w:hAnsi="Times New Roman" w:cs="Times New Roman"/>
                <w:sz w:val="24"/>
                <w:szCs w:val="24"/>
              </w:rPr>
            </w:pPr>
          </w:p>
        </w:tc>
        <w:tc>
          <w:tcPr>
            <w:tcW w:w="1365" w:type="dxa"/>
            <w:tcBorders>
              <w:right w:val="single" w:sz="8" w:space="0" w:color="7F7F7F"/>
            </w:tcBorders>
            <w:shd w:val="clear" w:color="auto" w:fill="auto"/>
            <w:tcMar>
              <w:top w:w="100" w:type="dxa"/>
              <w:left w:w="100" w:type="dxa"/>
              <w:bottom w:w="100" w:type="dxa"/>
              <w:right w:w="100" w:type="dxa"/>
            </w:tcMar>
          </w:tcPr>
          <w:p w14:paraId="7409DBB1" w14:textId="77777777" w:rsidR="006D1F8B" w:rsidRPr="00AF2364" w:rsidRDefault="00042B2C" w:rsidP="00AF2364">
            <w:pPr>
              <w:spacing w:after="160" w:line="360" w:lineRule="auto"/>
              <w:ind w:left="140" w:right="140"/>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 xml:space="preserve"> </w:t>
            </w:r>
          </w:p>
          <w:p w14:paraId="393E0279" w14:textId="77777777" w:rsidR="006D1F8B" w:rsidRPr="00AF2364" w:rsidRDefault="00042B2C" w:rsidP="00AF2364">
            <w:pPr>
              <w:spacing w:before="240" w:after="160" w:line="360" w:lineRule="auto"/>
              <w:ind w:left="140" w:right="140"/>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 xml:space="preserve"> </w:t>
            </w:r>
          </w:p>
          <w:p w14:paraId="1AF1A876" w14:textId="77777777" w:rsidR="006D1F8B" w:rsidRPr="00AF2364" w:rsidRDefault="00042B2C" w:rsidP="00AF2364">
            <w:pPr>
              <w:spacing w:before="240" w:after="160" w:line="360" w:lineRule="auto"/>
              <w:ind w:left="140" w:right="140"/>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13/07/20</w:t>
            </w:r>
          </w:p>
        </w:tc>
        <w:tc>
          <w:tcPr>
            <w:tcW w:w="2970" w:type="dxa"/>
            <w:tcBorders>
              <w:right w:val="single" w:sz="8" w:space="0" w:color="000000"/>
            </w:tcBorders>
            <w:shd w:val="clear" w:color="auto" w:fill="auto"/>
            <w:tcMar>
              <w:top w:w="100" w:type="dxa"/>
              <w:left w:w="100" w:type="dxa"/>
              <w:bottom w:w="100" w:type="dxa"/>
              <w:right w:w="100" w:type="dxa"/>
            </w:tcMar>
          </w:tcPr>
          <w:p w14:paraId="43D87BCD" w14:textId="77777777" w:rsidR="006D1F8B" w:rsidRPr="00AF2364" w:rsidRDefault="00042B2C" w:rsidP="00AF2364">
            <w:pPr>
              <w:spacing w:after="160" w:line="360" w:lineRule="auto"/>
              <w:ind w:left="140" w:right="140"/>
              <w:rPr>
                <w:rFonts w:ascii="Times New Roman" w:eastAsia="Times New Roman" w:hAnsi="Times New Roman" w:cs="Times New Roman"/>
                <w:b/>
                <w:sz w:val="24"/>
                <w:szCs w:val="24"/>
              </w:rPr>
            </w:pPr>
            <w:r w:rsidRPr="00AF2364">
              <w:rPr>
                <w:rFonts w:ascii="Times New Roman" w:eastAsia="Times New Roman" w:hAnsi="Times New Roman" w:cs="Times New Roman"/>
                <w:b/>
                <w:sz w:val="24"/>
                <w:szCs w:val="24"/>
              </w:rPr>
              <w:t xml:space="preserve"> </w:t>
            </w:r>
          </w:p>
          <w:p w14:paraId="63124581" w14:textId="77777777" w:rsidR="006D1F8B" w:rsidRPr="00AF2364" w:rsidRDefault="00042B2C" w:rsidP="00AF2364">
            <w:pPr>
              <w:spacing w:before="240" w:after="160" w:line="360" w:lineRule="auto"/>
              <w:ind w:left="140" w:right="140"/>
              <w:rPr>
                <w:rFonts w:ascii="Times New Roman" w:eastAsia="Times New Roman" w:hAnsi="Times New Roman" w:cs="Times New Roman"/>
                <w:b/>
                <w:sz w:val="24"/>
                <w:szCs w:val="24"/>
              </w:rPr>
            </w:pPr>
            <w:r w:rsidRPr="00AF2364">
              <w:rPr>
                <w:rFonts w:ascii="Times New Roman" w:eastAsia="Times New Roman" w:hAnsi="Times New Roman" w:cs="Times New Roman"/>
                <w:b/>
                <w:sz w:val="24"/>
                <w:szCs w:val="24"/>
              </w:rPr>
              <w:t>Enfatizar en la normativa, jurisprudencia y doctrina que se ha producido sobre el Decreto Legislativo 560 de 2020 desde su expedición el 15 de abril de 2020 hasta el 13 de julio de 2020.</w:t>
            </w:r>
          </w:p>
        </w:tc>
      </w:tr>
      <w:tr w:rsidR="006D1F8B" w:rsidRPr="00AF2364" w14:paraId="00050CAB" w14:textId="77777777">
        <w:trPr>
          <w:trHeight w:val="1385"/>
        </w:trPr>
        <w:tc>
          <w:tcPr>
            <w:tcW w:w="2190" w:type="dxa"/>
            <w:tcBorders>
              <w:top w:val="single" w:sz="8" w:space="0" w:color="7F7F7F"/>
              <w:left w:val="single" w:sz="8" w:space="0" w:color="000000"/>
              <w:bottom w:val="single" w:sz="8" w:space="0" w:color="7F7F7F"/>
            </w:tcBorders>
            <w:shd w:val="clear" w:color="auto" w:fill="auto"/>
            <w:tcMar>
              <w:top w:w="100" w:type="dxa"/>
              <w:left w:w="100" w:type="dxa"/>
              <w:bottom w:w="100" w:type="dxa"/>
              <w:right w:w="100" w:type="dxa"/>
            </w:tcMar>
          </w:tcPr>
          <w:p w14:paraId="03790E91" w14:textId="77777777" w:rsidR="006D1F8B" w:rsidRPr="00AF2364" w:rsidRDefault="00042B2C" w:rsidP="00AF2364">
            <w:pPr>
              <w:spacing w:line="360" w:lineRule="auto"/>
              <w:ind w:left="140" w:right="140"/>
              <w:rPr>
                <w:rFonts w:ascii="Times New Roman" w:eastAsia="Times New Roman" w:hAnsi="Times New Roman" w:cs="Times New Roman"/>
                <w:b/>
                <w:sz w:val="24"/>
                <w:szCs w:val="24"/>
              </w:rPr>
            </w:pPr>
            <w:r w:rsidRPr="00AF2364">
              <w:rPr>
                <w:rFonts w:ascii="Times New Roman" w:eastAsia="Times New Roman" w:hAnsi="Times New Roman" w:cs="Times New Roman"/>
                <w:b/>
                <w:sz w:val="24"/>
                <w:szCs w:val="24"/>
              </w:rPr>
              <w:t>ELABORACIÓN DEL MARCO TEÓRICO</w:t>
            </w:r>
          </w:p>
        </w:tc>
        <w:tc>
          <w:tcPr>
            <w:tcW w:w="1800" w:type="dxa"/>
            <w:tcBorders>
              <w:top w:val="single" w:sz="8" w:space="0" w:color="7F7F7F"/>
              <w:left w:val="single" w:sz="8" w:space="0" w:color="7F7F7F"/>
              <w:bottom w:val="single" w:sz="8" w:space="0" w:color="7F7F7F"/>
              <w:right w:val="single" w:sz="8" w:space="0" w:color="7F7F7F"/>
            </w:tcBorders>
            <w:shd w:val="clear" w:color="auto" w:fill="auto"/>
            <w:tcMar>
              <w:top w:w="100" w:type="dxa"/>
              <w:left w:w="100" w:type="dxa"/>
              <w:bottom w:w="100" w:type="dxa"/>
              <w:right w:w="100" w:type="dxa"/>
            </w:tcMar>
          </w:tcPr>
          <w:p w14:paraId="56308D84" w14:textId="77777777" w:rsidR="006D1F8B" w:rsidRPr="00AF2364" w:rsidRDefault="00042B2C" w:rsidP="00AF2364">
            <w:pPr>
              <w:spacing w:line="360" w:lineRule="auto"/>
              <w:ind w:left="140" w:right="140"/>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Elaboración del primer escrito del marco teórico.</w:t>
            </w:r>
          </w:p>
        </w:tc>
        <w:tc>
          <w:tcPr>
            <w:tcW w:w="1365" w:type="dxa"/>
            <w:tcBorders>
              <w:top w:val="single" w:sz="8" w:space="0" w:color="7F7F7F"/>
              <w:bottom w:val="single" w:sz="8" w:space="0" w:color="7F7F7F"/>
              <w:right w:val="single" w:sz="8" w:space="0" w:color="7F7F7F"/>
            </w:tcBorders>
            <w:shd w:val="clear" w:color="auto" w:fill="auto"/>
            <w:tcMar>
              <w:top w:w="100" w:type="dxa"/>
              <w:left w:w="100" w:type="dxa"/>
              <w:bottom w:w="100" w:type="dxa"/>
              <w:right w:w="100" w:type="dxa"/>
            </w:tcMar>
          </w:tcPr>
          <w:p w14:paraId="1FB1EDAD" w14:textId="77777777" w:rsidR="006D1F8B" w:rsidRPr="00AF2364" w:rsidRDefault="00042B2C" w:rsidP="00AF2364">
            <w:pPr>
              <w:spacing w:line="360" w:lineRule="auto"/>
              <w:ind w:left="140" w:right="140"/>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14/07/20</w:t>
            </w:r>
          </w:p>
        </w:tc>
        <w:tc>
          <w:tcPr>
            <w:tcW w:w="1365" w:type="dxa"/>
            <w:tcBorders>
              <w:top w:val="single" w:sz="8" w:space="0" w:color="7F7F7F"/>
              <w:bottom w:val="single" w:sz="8" w:space="0" w:color="7F7F7F"/>
              <w:right w:val="single" w:sz="8" w:space="0" w:color="7F7F7F"/>
            </w:tcBorders>
            <w:shd w:val="clear" w:color="auto" w:fill="auto"/>
            <w:tcMar>
              <w:top w:w="100" w:type="dxa"/>
              <w:left w:w="100" w:type="dxa"/>
              <w:bottom w:w="100" w:type="dxa"/>
              <w:right w:w="100" w:type="dxa"/>
            </w:tcMar>
          </w:tcPr>
          <w:p w14:paraId="07F7CED5" w14:textId="77777777" w:rsidR="006D1F8B" w:rsidRPr="00AF2364" w:rsidRDefault="00042B2C" w:rsidP="00AF2364">
            <w:pPr>
              <w:spacing w:line="360" w:lineRule="auto"/>
              <w:ind w:left="140" w:right="140"/>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31/07/20</w:t>
            </w:r>
          </w:p>
        </w:tc>
        <w:tc>
          <w:tcPr>
            <w:tcW w:w="2970" w:type="dxa"/>
            <w:tcBorders>
              <w:top w:val="single" w:sz="8" w:space="0" w:color="7F7F7F"/>
              <w:bottom w:val="single" w:sz="8" w:space="0" w:color="7F7F7F"/>
              <w:right w:val="single" w:sz="8" w:space="0" w:color="000000"/>
            </w:tcBorders>
            <w:shd w:val="clear" w:color="auto" w:fill="auto"/>
            <w:tcMar>
              <w:top w:w="100" w:type="dxa"/>
              <w:left w:w="100" w:type="dxa"/>
              <w:bottom w:w="100" w:type="dxa"/>
              <w:right w:w="100" w:type="dxa"/>
            </w:tcMar>
          </w:tcPr>
          <w:p w14:paraId="48C671B5" w14:textId="77777777" w:rsidR="006D1F8B" w:rsidRPr="00AF2364" w:rsidRDefault="00042B2C" w:rsidP="00AF2364">
            <w:pPr>
              <w:spacing w:line="360" w:lineRule="auto"/>
              <w:ind w:left="140" w:right="140"/>
              <w:rPr>
                <w:rFonts w:ascii="Times New Roman" w:eastAsia="Times New Roman" w:hAnsi="Times New Roman" w:cs="Times New Roman"/>
                <w:b/>
                <w:sz w:val="24"/>
                <w:szCs w:val="24"/>
              </w:rPr>
            </w:pPr>
            <w:r w:rsidRPr="00AF2364">
              <w:rPr>
                <w:rFonts w:ascii="Times New Roman" w:eastAsia="Times New Roman" w:hAnsi="Times New Roman" w:cs="Times New Roman"/>
                <w:b/>
                <w:sz w:val="24"/>
                <w:szCs w:val="24"/>
              </w:rPr>
              <w:t xml:space="preserve"> </w:t>
            </w:r>
          </w:p>
        </w:tc>
      </w:tr>
      <w:tr w:rsidR="006D1F8B" w:rsidRPr="00AF2364" w14:paraId="225AEF1D" w14:textId="77777777">
        <w:trPr>
          <w:trHeight w:val="1640"/>
        </w:trPr>
        <w:tc>
          <w:tcPr>
            <w:tcW w:w="2190" w:type="dxa"/>
            <w:tcBorders>
              <w:left w:val="single" w:sz="8" w:space="0" w:color="000000"/>
            </w:tcBorders>
            <w:shd w:val="clear" w:color="auto" w:fill="auto"/>
            <w:tcMar>
              <w:top w:w="100" w:type="dxa"/>
              <w:left w:w="100" w:type="dxa"/>
              <w:bottom w:w="100" w:type="dxa"/>
              <w:right w:w="100" w:type="dxa"/>
            </w:tcMar>
          </w:tcPr>
          <w:p w14:paraId="5CC39C6A" w14:textId="77777777" w:rsidR="006D1F8B" w:rsidRPr="00AF2364" w:rsidRDefault="00042B2C" w:rsidP="00AF2364">
            <w:pPr>
              <w:spacing w:line="360" w:lineRule="auto"/>
              <w:ind w:left="140" w:right="140"/>
              <w:rPr>
                <w:rFonts w:ascii="Times New Roman" w:eastAsia="Times New Roman" w:hAnsi="Times New Roman" w:cs="Times New Roman"/>
                <w:b/>
                <w:sz w:val="24"/>
                <w:szCs w:val="24"/>
              </w:rPr>
            </w:pPr>
            <w:r w:rsidRPr="00AF2364">
              <w:rPr>
                <w:rFonts w:ascii="Times New Roman" w:eastAsia="Times New Roman" w:hAnsi="Times New Roman" w:cs="Times New Roman"/>
                <w:b/>
                <w:sz w:val="24"/>
                <w:szCs w:val="24"/>
              </w:rPr>
              <w:t>HIPÓTESIS</w:t>
            </w:r>
          </w:p>
        </w:tc>
        <w:tc>
          <w:tcPr>
            <w:tcW w:w="1800" w:type="dxa"/>
            <w:tcBorders>
              <w:left w:val="single" w:sz="8" w:space="0" w:color="7F7F7F"/>
              <w:right w:val="single" w:sz="8" w:space="0" w:color="7F7F7F"/>
            </w:tcBorders>
            <w:shd w:val="clear" w:color="auto" w:fill="auto"/>
            <w:tcMar>
              <w:top w:w="100" w:type="dxa"/>
              <w:left w:w="100" w:type="dxa"/>
              <w:bottom w:w="100" w:type="dxa"/>
              <w:right w:w="100" w:type="dxa"/>
            </w:tcMar>
          </w:tcPr>
          <w:p w14:paraId="5754735D" w14:textId="77777777" w:rsidR="006D1F8B" w:rsidRPr="00AF2364" w:rsidRDefault="00042B2C" w:rsidP="00AF2364">
            <w:pPr>
              <w:spacing w:line="360" w:lineRule="auto"/>
              <w:ind w:left="140" w:right="140"/>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 xml:space="preserve">Elaboración de las hipótesis resultantes del problema de </w:t>
            </w:r>
            <w:r w:rsidRPr="00AF2364">
              <w:rPr>
                <w:rFonts w:ascii="Times New Roman" w:eastAsia="Times New Roman" w:hAnsi="Times New Roman" w:cs="Times New Roman"/>
                <w:sz w:val="24"/>
                <w:szCs w:val="24"/>
              </w:rPr>
              <w:lastRenderedPageBreak/>
              <w:t xml:space="preserve">investigación teniendo en cuenta las diferentes variables a analizar </w:t>
            </w:r>
          </w:p>
        </w:tc>
        <w:tc>
          <w:tcPr>
            <w:tcW w:w="1365" w:type="dxa"/>
            <w:tcBorders>
              <w:right w:val="single" w:sz="8" w:space="0" w:color="7F7F7F"/>
            </w:tcBorders>
            <w:shd w:val="clear" w:color="auto" w:fill="auto"/>
            <w:tcMar>
              <w:top w:w="100" w:type="dxa"/>
              <w:left w:w="100" w:type="dxa"/>
              <w:bottom w:w="100" w:type="dxa"/>
              <w:right w:w="100" w:type="dxa"/>
            </w:tcMar>
          </w:tcPr>
          <w:p w14:paraId="5DDA8ADA" w14:textId="77777777" w:rsidR="006D1F8B" w:rsidRPr="00AF2364" w:rsidRDefault="00042B2C" w:rsidP="00AF2364">
            <w:pPr>
              <w:spacing w:line="360" w:lineRule="auto"/>
              <w:ind w:left="140" w:right="140"/>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lastRenderedPageBreak/>
              <w:t>01/08/20</w:t>
            </w:r>
          </w:p>
        </w:tc>
        <w:tc>
          <w:tcPr>
            <w:tcW w:w="1365" w:type="dxa"/>
            <w:tcBorders>
              <w:right w:val="single" w:sz="8" w:space="0" w:color="7F7F7F"/>
            </w:tcBorders>
            <w:shd w:val="clear" w:color="auto" w:fill="auto"/>
            <w:tcMar>
              <w:top w:w="100" w:type="dxa"/>
              <w:left w:w="100" w:type="dxa"/>
              <w:bottom w:w="100" w:type="dxa"/>
              <w:right w:w="100" w:type="dxa"/>
            </w:tcMar>
          </w:tcPr>
          <w:p w14:paraId="240DC5C2" w14:textId="77777777" w:rsidR="006D1F8B" w:rsidRPr="00AF2364" w:rsidRDefault="00042B2C" w:rsidP="00AF2364">
            <w:pPr>
              <w:spacing w:line="360" w:lineRule="auto"/>
              <w:ind w:left="140" w:right="140"/>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05/08/20</w:t>
            </w:r>
          </w:p>
        </w:tc>
        <w:tc>
          <w:tcPr>
            <w:tcW w:w="2970" w:type="dxa"/>
            <w:tcBorders>
              <w:right w:val="single" w:sz="8" w:space="0" w:color="000000"/>
            </w:tcBorders>
            <w:shd w:val="clear" w:color="auto" w:fill="auto"/>
            <w:tcMar>
              <w:top w:w="100" w:type="dxa"/>
              <w:left w:w="100" w:type="dxa"/>
              <w:bottom w:w="100" w:type="dxa"/>
              <w:right w:w="100" w:type="dxa"/>
            </w:tcMar>
          </w:tcPr>
          <w:p w14:paraId="3F6860EB" w14:textId="77777777" w:rsidR="006D1F8B" w:rsidRPr="00AF2364" w:rsidRDefault="00042B2C" w:rsidP="00AF2364">
            <w:pPr>
              <w:spacing w:line="360" w:lineRule="auto"/>
              <w:ind w:left="140" w:right="140"/>
              <w:rPr>
                <w:rFonts w:ascii="Times New Roman" w:eastAsia="Times New Roman" w:hAnsi="Times New Roman" w:cs="Times New Roman"/>
                <w:b/>
                <w:sz w:val="24"/>
                <w:szCs w:val="24"/>
              </w:rPr>
            </w:pPr>
            <w:r w:rsidRPr="00AF2364">
              <w:rPr>
                <w:rFonts w:ascii="Times New Roman" w:eastAsia="Times New Roman" w:hAnsi="Times New Roman" w:cs="Times New Roman"/>
                <w:b/>
                <w:sz w:val="24"/>
                <w:szCs w:val="24"/>
              </w:rPr>
              <w:t xml:space="preserve"> </w:t>
            </w:r>
          </w:p>
        </w:tc>
      </w:tr>
      <w:tr w:rsidR="006D1F8B" w:rsidRPr="00AF2364" w14:paraId="4D797232" w14:textId="77777777">
        <w:trPr>
          <w:trHeight w:val="1385"/>
        </w:trPr>
        <w:tc>
          <w:tcPr>
            <w:tcW w:w="2190" w:type="dxa"/>
            <w:tcBorders>
              <w:top w:val="single" w:sz="8" w:space="0" w:color="7F7F7F"/>
              <w:left w:val="single" w:sz="8" w:space="0" w:color="000000"/>
              <w:bottom w:val="single" w:sz="8" w:space="0" w:color="7F7F7F"/>
            </w:tcBorders>
            <w:shd w:val="clear" w:color="auto" w:fill="auto"/>
            <w:tcMar>
              <w:top w:w="100" w:type="dxa"/>
              <w:left w:w="100" w:type="dxa"/>
              <w:bottom w:w="100" w:type="dxa"/>
              <w:right w:w="100" w:type="dxa"/>
            </w:tcMar>
          </w:tcPr>
          <w:p w14:paraId="1593F9EA" w14:textId="77777777" w:rsidR="006D1F8B" w:rsidRPr="00AF2364" w:rsidRDefault="00042B2C" w:rsidP="00AF2364">
            <w:pPr>
              <w:spacing w:line="360" w:lineRule="auto"/>
              <w:ind w:left="140" w:right="140"/>
              <w:rPr>
                <w:rFonts w:ascii="Times New Roman" w:eastAsia="Times New Roman" w:hAnsi="Times New Roman" w:cs="Times New Roman"/>
                <w:b/>
                <w:sz w:val="24"/>
                <w:szCs w:val="24"/>
              </w:rPr>
            </w:pPr>
            <w:r w:rsidRPr="00AF2364">
              <w:rPr>
                <w:rFonts w:ascii="Times New Roman" w:eastAsia="Times New Roman" w:hAnsi="Times New Roman" w:cs="Times New Roman"/>
                <w:b/>
                <w:sz w:val="24"/>
                <w:szCs w:val="24"/>
              </w:rPr>
              <w:t>Capítulo I</w:t>
            </w:r>
          </w:p>
        </w:tc>
        <w:tc>
          <w:tcPr>
            <w:tcW w:w="1800" w:type="dxa"/>
            <w:tcBorders>
              <w:top w:val="single" w:sz="8" w:space="0" w:color="7F7F7F"/>
              <w:left w:val="single" w:sz="8" w:space="0" w:color="7F7F7F"/>
              <w:bottom w:val="single" w:sz="8" w:space="0" w:color="7F7F7F"/>
              <w:right w:val="single" w:sz="8" w:space="0" w:color="7F7F7F"/>
            </w:tcBorders>
            <w:shd w:val="clear" w:color="auto" w:fill="auto"/>
            <w:tcMar>
              <w:top w:w="100" w:type="dxa"/>
              <w:left w:w="100" w:type="dxa"/>
              <w:bottom w:w="100" w:type="dxa"/>
              <w:right w:w="100" w:type="dxa"/>
            </w:tcMar>
          </w:tcPr>
          <w:p w14:paraId="68E73955" w14:textId="77777777" w:rsidR="006D1F8B" w:rsidRPr="00AF2364" w:rsidRDefault="00042B2C" w:rsidP="00AF2364">
            <w:pPr>
              <w:spacing w:line="360" w:lineRule="auto"/>
              <w:ind w:left="140" w:right="140"/>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Elaboración del capítulo I</w:t>
            </w:r>
          </w:p>
        </w:tc>
        <w:tc>
          <w:tcPr>
            <w:tcW w:w="1365" w:type="dxa"/>
            <w:tcBorders>
              <w:top w:val="single" w:sz="8" w:space="0" w:color="7F7F7F"/>
              <w:bottom w:val="single" w:sz="8" w:space="0" w:color="7F7F7F"/>
              <w:right w:val="single" w:sz="8" w:space="0" w:color="7F7F7F"/>
            </w:tcBorders>
            <w:shd w:val="clear" w:color="auto" w:fill="auto"/>
            <w:tcMar>
              <w:top w:w="100" w:type="dxa"/>
              <w:left w:w="100" w:type="dxa"/>
              <w:bottom w:w="100" w:type="dxa"/>
              <w:right w:w="100" w:type="dxa"/>
            </w:tcMar>
          </w:tcPr>
          <w:p w14:paraId="098F5BFB" w14:textId="77777777" w:rsidR="006D1F8B" w:rsidRPr="00AF2364" w:rsidRDefault="00042B2C" w:rsidP="00AF2364">
            <w:pPr>
              <w:spacing w:line="360" w:lineRule="auto"/>
              <w:ind w:left="140" w:right="140"/>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06/08/20</w:t>
            </w:r>
          </w:p>
        </w:tc>
        <w:tc>
          <w:tcPr>
            <w:tcW w:w="1365" w:type="dxa"/>
            <w:tcBorders>
              <w:top w:val="single" w:sz="8" w:space="0" w:color="7F7F7F"/>
              <w:bottom w:val="single" w:sz="8" w:space="0" w:color="7F7F7F"/>
              <w:right w:val="single" w:sz="8" w:space="0" w:color="7F7F7F"/>
            </w:tcBorders>
            <w:shd w:val="clear" w:color="auto" w:fill="auto"/>
            <w:tcMar>
              <w:top w:w="100" w:type="dxa"/>
              <w:left w:w="100" w:type="dxa"/>
              <w:bottom w:w="100" w:type="dxa"/>
              <w:right w:w="100" w:type="dxa"/>
            </w:tcMar>
          </w:tcPr>
          <w:p w14:paraId="5BC86773" w14:textId="77777777" w:rsidR="006D1F8B" w:rsidRPr="00AF2364" w:rsidRDefault="00042B2C" w:rsidP="00AF2364">
            <w:pPr>
              <w:spacing w:line="360" w:lineRule="auto"/>
              <w:ind w:left="140" w:right="140"/>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30/08/20</w:t>
            </w:r>
          </w:p>
        </w:tc>
        <w:tc>
          <w:tcPr>
            <w:tcW w:w="2970" w:type="dxa"/>
            <w:tcBorders>
              <w:top w:val="single" w:sz="8" w:space="0" w:color="7F7F7F"/>
              <w:bottom w:val="single" w:sz="8" w:space="0" w:color="7F7F7F"/>
              <w:right w:val="single" w:sz="8" w:space="0" w:color="000000"/>
            </w:tcBorders>
            <w:shd w:val="clear" w:color="auto" w:fill="auto"/>
            <w:tcMar>
              <w:top w:w="100" w:type="dxa"/>
              <w:left w:w="100" w:type="dxa"/>
              <w:bottom w:w="100" w:type="dxa"/>
              <w:right w:w="100" w:type="dxa"/>
            </w:tcMar>
          </w:tcPr>
          <w:p w14:paraId="32359A9E" w14:textId="77777777" w:rsidR="006D1F8B" w:rsidRPr="00AF2364" w:rsidRDefault="00042B2C" w:rsidP="00AF2364">
            <w:pPr>
              <w:spacing w:line="360" w:lineRule="auto"/>
              <w:ind w:left="140" w:right="140"/>
              <w:rPr>
                <w:rFonts w:ascii="Times New Roman" w:eastAsia="Times New Roman" w:hAnsi="Times New Roman" w:cs="Times New Roman"/>
                <w:b/>
                <w:sz w:val="24"/>
                <w:szCs w:val="24"/>
              </w:rPr>
            </w:pPr>
            <w:r w:rsidRPr="00AF2364">
              <w:rPr>
                <w:rFonts w:ascii="Times New Roman" w:eastAsia="Times New Roman" w:hAnsi="Times New Roman" w:cs="Times New Roman"/>
                <w:b/>
                <w:sz w:val="24"/>
                <w:szCs w:val="24"/>
              </w:rPr>
              <w:t xml:space="preserve"> </w:t>
            </w:r>
          </w:p>
        </w:tc>
      </w:tr>
      <w:tr w:rsidR="006D1F8B" w:rsidRPr="00AF2364" w14:paraId="6F13D1FF" w14:textId="77777777">
        <w:trPr>
          <w:trHeight w:val="2975"/>
        </w:trPr>
        <w:tc>
          <w:tcPr>
            <w:tcW w:w="2190" w:type="dxa"/>
            <w:tcBorders>
              <w:left w:val="single" w:sz="8" w:space="0" w:color="000000"/>
              <w:bottom w:val="single" w:sz="8" w:space="0" w:color="000000"/>
            </w:tcBorders>
            <w:shd w:val="clear" w:color="auto" w:fill="auto"/>
            <w:tcMar>
              <w:top w:w="100" w:type="dxa"/>
              <w:left w:w="100" w:type="dxa"/>
              <w:bottom w:w="100" w:type="dxa"/>
              <w:right w:w="100" w:type="dxa"/>
            </w:tcMar>
          </w:tcPr>
          <w:p w14:paraId="471EB6FD" w14:textId="77777777" w:rsidR="006D1F8B" w:rsidRPr="00AF2364" w:rsidRDefault="00042B2C" w:rsidP="00AF2364">
            <w:pPr>
              <w:spacing w:line="360" w:lineRule="auto"/>
              <w:ind w:left="140" w:right="140"/>
              <w:rPr>
                <w:rFonts w:ascii="Times New Roman" w:eastAsia="Times New Roman" w:hAnsi="Times New Roman" w:cs="Times New Roman"/>
                <w:b/>
                <w:sz w:val="24"/>
                <w:szCs w:val="24"/>
              </w:rPr>
            </w:pPr>
            <w:r w:rsidRPr="00AF2364">
              <w:rPr>
                <w:rFonts w:ascii="Times New Roman" w:eastAsia="Times New Roman" w:hAnsi="Times New Roman" w:cs="Times New Roman"/>
                <w:b/>
                <w:sz w:val="24"/>
                <w:szCs w:val="24"/>
              </w:rPr>
              <w:t>Preparación del primer informe</w:t>
            </w:r>
          </w:p>
        </w:tc>
        <w:tc>
          <w:tcPr>
            <w:tcW w:w="1800" w:type="dxa"/>
            <w:tcBorders>
              <w:left w:val="single" w:sz="8" w:space="0" w:color="7F7F7F"/>
              <w:bottom w:val="single" w:sz="8" w:space="0" w:color="000000"/>
              <w:right w:val="single" w:sz="8" w:space="0" w:color="7F7F7F"/>
            </w:tcBorders>
            <w:shd w:val="clear" w:color="auto" w:fill="auto"/>
            <w:tcMar>
              <w:top w:w="100" w:type="dxa"/>
              <w:left w:w="100" w:type="dxa"/>
              <w:bottom w:w="100" w:type="dxa"/>
              <w:right w:w="100" w:type="dxa"/>
            </w:tcMar>
          </w:tcPr>
          <w:p w14:paraId="005EE50D" w14:textId="77777777" w:rsidR="006D1F8B" w:rsidRPr="00AF2364" w:rsidRDefault="00042B2C" w:rsidP="00AF2364">
            <w:pPr>
              <w:spacing w:line="360" w:lineRule="auto"/>
              <w:ind w:left="140" w:right="140"/>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Compromisos establecidos</w:t>
            </w:r>
          </w:p>
          <w:p w14:paraId="5385CEBB" w14:textId="77777777" w:rsidR="006D1F8B" w:rsidRPr="00AF2364" w:rsidRDefault="00042B2C" w:rsidP="00AF2364">
            <w:pPr>
              <w:spacing w:before="240" w:line="360" w:lineRule="auto"/>
              <w:ind w:left="140" w:right="140"/>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Avance en relación con los objetivos planteados</w:t>
            </w:r>
          </w:p>
          <w:p w14:paraId="4F58BFD0" w14:textId="77777777" w:rsidR="006D1F8B" w:rsidRPr="00AF2364" w:rsidRDefault="006D1F8B" w:rsidP="00AF2364">
            <w:pPr>
              <w:spacing w:before="240" w:line="360" w:lineRule="auto"/>
              <w:ind w:left="140" w:right="140"/>
              <w:rPr>
                <w:rFonts w:ascii="Times New Roman" w:eastAsia="Times New Roman" w:hAnsi="Times New Roman" w:cs="Times New Roman"/>
                <w:sz w:val="24"/>
                <w:szCs w:val="24"/>
              </w:rPr>
            </w:pPr>
          </w:p>
        </w:tc>
        <w:tc>
          <w:tcPr>
            <w:tcW w:w="1365" w:type="dxa"/>
            <w:tcBorders>
              <w:right w:val="single" w:sz="8" w:space="0" w:color="7F7F7F"/>
            </w:tcBorders>
            <w:shd w:val="clear" w:color="auto" w:fill="auto"/>
            <w:tcMar>
              <w:top w:w="100" w:type="dxa"/>
              <w:left w:w="100" w:type="dxa"/>
              <w:bottom w:w="100" w:type="dxa"/>
              <w:right w:w="100" w:type="dxa"/>
            </w:tcMar>
          </w:tcPr>
          <w:p w14:paraId="1AC37BA9" w14:textId="77777777" w:rsidR="006D1F8B" w:rsidRPr="00AF2364" w:rsidRDefault="00042B2C" w:rsidP="00AF2364">
            <w:pPr>
              <w:spacing w:line="360" w:lineRule="auto"/>
              <w:ind w:left="140" w:right="140"/>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31/08/20</w:t>
            </w:r>
          </w:p>
        </w:tc>
        <w:tc>
          <w:tcPr>
            <w:tcW w:w="1365" w:type="dxa"/>
            <w:tcBorders>
              <w:right w:val="single" w:sz="8" w:space="0" w:color="7F7F7F"/>
            </w:tcBorders>
            <w:shd w:val="clear" w:color="auto" w:fill="auto"/>
            <w:tcMar>
              <w:top w:w="100" w:type="dxa"/>
              <w:left w:w="100" w:type="dxa"/>
              <w:bottom w:w="100" w:type="dxa"/>
              <w:right w:w="100" w:type="dxa"/>
            </w:tcMar>
          </w:tcPr>
          <w:p w14:paraId="586BC7DA" w14:textId="77777777" w:rsidR="006D1F8B" w:rsidRPr="00AF2364" w:rsidRDefault="00042B2C" w:rsidP="00AF2364">
            <w:pPr>
              <w:spacing w:line="360" w:lineRule="auto"/>
              <w:ind w:left="140" w:right="140"/>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15/09/20</w:t>
            </w:r>
          </w:p>
        </w:tc>
        <w:tc>
          <w:tcPr>
            <w:tcW w:w="2970" w:type="dxa"/>
            <w:tcBorders>
              <w:right w:val="single" w:sz="8" w:space="0" w:color="000000"/>
            </w:tcBorders>
            <w:shd w:val="clear" w:color="auto" w:fill="auto"/>
            <w:tcMar>
              <w:top w:w="100" w:type="dxa"/>
              <w:left w:w="100" w:type="dxa"/>
              <w:bottom w:w="100" w:type="dxa"/>
              <w:right w:w="100" w:type="dxa"/>
            </w:tcMar>
          </w:tcPr>
          <w:p w14:paraId="39DEDEA5" w14:textId="77777777" w:rsidR="006D1F8B" w:rsidRPr="00AF2364" w:rsidRDefault="006D1F8B" w:rsidP="00AF2364">
            <w:pPr>
              <w:spacing w:line="360" w:lineRule="auto"/>
              <w:ind w:right="140"/>
              <w:rPr>
                <w:rFonts w:ascii="Times New Roman" w:eastAsia="Times New Roman" w:hAnsi="Times New Roman" w:cs="Times New Roman"/>
                <w:b/>
                <w:sz w:val="24"/>
                <w:szCs w:val="24"/>
              </w:rPr>
            </w:pPr>
          </w:p>
          <w:p w14:paraId="361041B9" w14:textId="77777777" w:rsidR="006D1F8B" w:rsidRPr="00AF2364" w:rsidRDefault="006D1F8B" w:rsidP="00AF2364">
            <w:pPr>
              <w:spacing w:before="240" w:line="360" w:lineRule="auto"/>
              <w:ind w:left="140" w:right="140"/>
              <w:rPr>
                <w:rFonts w:ascii="Times New Roman" w:eastAsia="Times New Roman" w:hAnsi="Times New Roman" w:cs="Times New Roman"/>
                <w:color w:val="231F20"/>
                <w:sz w:val="24"/>
                <w:szCs w:val="24"/>
              </w:rPr>
            </w:pPr>
          </w:p>
          <w:p w14:paraId="28B6319F" w14:textId="77777777" w:rsidR="006D1F8B" w:rsidRPr="00AF2364" w:rsidRDefault="00042B2C" w:rsidP="00AF2364">
            <w:pPr>
              <w:spacing w:before="240" w:line="360" w:lineRule="auto"/>
              <w:ind w:left="140" w:right="140"/>
              <w:rPr>
                <w:rFonts w:ascii="Times New Roman" w:eastAsia="Times New Roman" w:hAnsi="Times New Roman" w:cs="Times New Roman"/>
                <w:b/>
                <w:sz w:val="24"/>
                <w:szCs w:val="24"/>
              </w:rPr>
            </w:pPr>
            <w:r w:rsidRPr="00AF2364">
              <w:rPr>
                <w:rFonts w:ascii="Times New Roman" w:eastAsia="Times New Roman" w:hAnsi="Times New Roman" w:cs="Times New Roman"/>
                <w:color w:val="231F20"/>
                <w:sz w:val="24"/>
                <w:szCs w:val="24"/>
              </w:rPr>
              <w:t xml:space="preserve"> </w:t>
            </w:r>
            <w:r w:rsidRPr="00AF2364">
              <w:rPr>
                <w:rFonts w:ascii="Times New Roman" w:eastAsia="Times New Roman" w:hAnsi="Times New Roman" w:cs="Times New Roman"/>
                <w:b/>
                <w:sz w:val="24"/>
                <w:szCs w:val="24"/>
              </w:rPr>
              <w:t>Revisión final del Capítulo I concluido.</w:t>
            </w:r>
          </w:p>
          <w:p w14:paraId="709A6B50" w14:textId="77777777" w:rsidR="006D1F8B" w:rsidRPr="00AF2364" w:rsidRDefault="00042B2C" w:rsidP="00AF2364">
            <w:pPr>
              <w:spacing w:before="240" w:line="360" w:lineRule="auto"/>
              <w:ind w:left="140" w:right="140"/>
              <w:rPr>
                <w:rFonts w:ascii="Times New Roman" w:eastAsia="Times New Roman" w:hAnsi="Times New Roman" w:cs="Times New Roman"/>
                <w:b/>
                <w:sz w:val="24"/>
                <w:szCs w:val="24"/>
              </w:rPr>
            </w:pPr>
            <w:r w:rsidRPr="00AF2364">
              <w:rPr>
                <w:rFonts w:ascii="Times New Roman" w:eastAsia="Times New Roman" w:hAnsi="Times New Roman" w:cs="Times New Roman"/>
                <w:b/>
                <w:sz w:val="24"/>
                <w:szCs w:val="24"/>
              </w:rPr>
              <w:t xml:space="preserve"> </w:t>
            </w:r>
          </w:p>
        </w:tc>
      </w:tr>
      <w:tr w:rsidR="006D1F8B" w:rsidRPr="00AF2364" w14:paraId="30B673BC" w14:textId="77777777">
        <w:trPr>
          <w:trHeight w:val="1310"/>
        </w:trPr>
        <w:tc>
          <w:tcPr>
            <w:tcW w:w="2190" w:type="dxa"/>
            <w:tcBorders>
              <w:left w:val="single" w:sz="8" w:space="0" w:color="000000"/>
              <w:bottom w:val="single" w:sz="8" w:space="0" w:color="7F7F7F"/>
              <w:right w:val="single" w:sz="8" w:space="0" w:color="000000"/>
            </w:tcBorders>
            <w:shd w:val="clear" w:color="auto" w:fill="auto"/>
            <w:tcMar>
              <w:top w:w="100" w:type="dxa"/>
              <w:left w:w="100" w:type="dxa"/>
              <w:bottom w:w="100" w:type="dxa"/>
              <w:right w:w="100" w:type="dxa"/>
            </w:tcMar>
          </w:tcPr>
          <w:p w14:paraId="666C203E" w14:textId="77777777" w:rsidR="006D1F8B" w:rsidRPr="00AF2364" w:rsidRDefault="00042B2C" w:rsidP="00AF2364">
            <w:pPr>
              <w:spacing w:line="360" w:lineRule="auto"/>
              <w:ind w:left="140" w:right="140"/>
              <w:rPr>
                <w:rFonts w:ascii="Times New Roman" w:eastAsia="Times New Roman" w:hAnsi="Times New Roman" w:cs="Times New Roman"/>
                <w:b/>
                <w:sz w:val="24"/>
                <w:szCs w:val="24"/>
              </w:rPr>
            </w:pPr>
            <w:r w:rsidRPr="00AF2364">
              <w:rPr>
                <w:rFonts w:ascii="Times New Roman" w:eastAsia="Times New Roman" w:hAnsi="Times New Roman" w:cs="Times New Roman"/>
                <w:b/>
                <w:sz w:val="24"/>
                <w:szCs w:val="24"/>
              </w:rPr>
              <w:t>ENTREGA INFORME</w:t>
            </w:r>
          </w:p>
          <w:p w14:paraId="5D1DC70F" w14:textId="77777777" w:rsidR="006D1F8B" w:rsidRPr="00AF2364" w:rsidRDefault="00042B2C" w:rsidP="00AF2364">
            <w:pPr>
              <w:spacing w:before="240" w:line="360" w:lineRule="auto"/>
              <w:ind w:left="140" w:right="140"/>
              <w:rPr>
                <w:rFonts w:ascii="Times New Roman" w:eastAsia="Times New Roman" w:hAnsi="Times New Roman" w:cs="Times New Roman"/>
                <w:b/>
                <w:sz w:val="24"/>
                <w:szCs w:val="24"/>
              </w:rPr>
            </w:pPr>
            <w:r w:rsidRPr="00AF2364">
              <w:rPr>
                <w:rFonts w:ascii="Times New Roman" w:eastAsia="Times New Roman" w:hAnsi="Times New Roman" w:cs="Times New Roman"/>
                <w:b/>
                <w:sz w:val="24"/>
                <w:szCs w:val="24"/>
              </w:rPr>
              <w:t>DE AVANCE</w:t>
            </w:r>
          </w:p>
        </w:tc>
        <w:tc>
          <w:tcPr>
            <w:tcW w:w="1800" w:type="dxa"/>
            <w:tcBorders>
              <w:bottom w:val="single" w:sz="8" w:space="0" w:color="7F7F7F"/>
              <w:right w:val="single" w:sz="8" w:space="0" w:color="000000"/>
            </w:tcBorders>
            <w:shd w:val="clear" w:color="auto" w:fill="auto"/>
            <w:tcMar>
              <w:top w:w="100" w:type="dxa"/>
              <w:left w:w="100" w:type="dxa"/>
              <w:bottom w:w="100" w:type="dxa"/>
              <w:right w:w="100" w:type="dxa"/>
            </w:tcMar>
          </w:tcPr>
          <w:p w14:paraId="5A6A70CD" w14:textId="77777777" w:rsidR="006D1F8B" w:rsidRPr="00AF2364" w:rsidRDefault="00042B2C" w:rsidP="00AF2364">
            <w:pPr>
              <w:spacing w:line="360" w:lineRule="auto"/>
              <w:ind w:left="140" w:right="140"/>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Entrega capítulo I concluido.</w:t>
            </w:r>
          </w:p>
        </w:tc>
        <w:tc>
          <w:tcPr>
            <w:tcW w:w="1365" w:type="dxa"/>
            <w:tcBorders>
              <w:top w:val="single" w:sz="8" w:space="0" w:color="7F7F7F"/>
              <w:bottom w:val="single" w:sz="8" w:space="0" w:color="7F7F7F"/>
              <w:right w:val="single" w:sz="8" w:space="0" w:color="7F7F7F"/>
            </w:tcBorders>
            <w:shd w:val="clear" w:color="auto" w:fill="auto"/>
            <w:tcMar>
              <w:top w:w="100" w:type="dxa"/>
              <w:left w:w="100" w:type="dxa"/>
              <w:bottom w:w="100" w:type="dxa"/>
              <w:right w:w="100" w:type="dxa"/>
            </w:tcMar>
          </w:tcPr>
          <w:p w14:paraId="407646F5" w14:textId="77777777" w:rsidR="006D1F8B" w:rsidRPr="00AF2364" w:rsidRDefault="00042B2C" w:rsidP="00AF2364">
            <w:pPr>
              <w:spacing w:line="360" w:lineRule="auto"/>
              <w:ind w:left="140" w:right="140"/>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15/09/20</w:t>
            </w:r>
          </w:p>
        </w:tc>
        <w:tc>
          <w:tcPr>
            <w:tcW w:w="1365" w:type="dxa"/>
            <w:tcBorders>
              <w:top w:val="single" w:sz="8" w:space="0" w:color="7F7F7F"/>
              <w:bottom w:val="single" w:sz="8" w:space="0" w:color="7F7F7F"/>
              <w:right w:val="single" w:sz="8" w:space="0" w:color="7F7F7F"/>
            </w:tcBorders>
            <w:shd w:val="clear" w:color="auto" w:fill="auto"/>
            <w:tcMar>
              <w:top w:w="100" w:type="dxa"/>
              <w:left w:w="100" w:type="dxa"/>
              <w:bottom w:w="100" w:type="dxa"/>
              <w:right w:w="100" w:type="dxa"/>
            </w:tcMar>
          </w:tcPr>
          <w:p w14:paraId="148D00B8" w14:textId="77777777" w:rsidR="006D1F8B" w:rsidRPr="00AF2364" w:rsidRDefault="00042B2C" w:rsidP="00AF2364">
            <w:pPr>
              <w:spacing w:line="360" w:lineRule="auto"/>
              <w:ind w:left="140" w:right="140"/>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15/09/20</w:t>
            </w:r>
          </w:p>
        </w:tc>
        <w:tc>
          <w:tcPr>
            <w:tcW w:w="2970" w:type="dxa"/>
            <w:tcBorders>
              <w:top w:val="single" w:sz="8" w:space="0" w:color="7F7F7F"/>
              <w:bottom w:val="single" w:sz="8" w:space="0" w:color="000000"/>
              <w:right w:val="single" w:sz="8" w:space="0" w:color="000000"/>
            </w:tcBorders>
            <w:shd w:val="clear" w:color="auto" w:fill="auto"/>
            <w:tcMar>
              <w:top w:w="100" w:type="dxa"/>
              <w:left w:w="100" w:type="dxa"/>
              <w:bottom w:w="100" w:type="dxa"/>
              <w:right w:w="100" w:type="dxa"/>
            </w:tcMar>
          </w:tcPr>
          <w:p w14:paraId="006152E9" w14:textId="77777777" w:rsidR="006D1F8B" w:rsidRPr="00AF2364" w:rsidRDefault="00042B2C" w:rsidP="00AF2364">
            <w:pPr>
              <w:spacing w:line="360" w:lineRule="auto"/>
              <w:ind w:left="140" w:right="140"/>
              <w:rPr>
                <w:rFonts w:ascii="Times New Roman" w:eastAsia="Times New Roman" w:hAnsi="Times New Roman" w:cs="Times New Roman"/>
                <w:b/>
                <w:sz w:val="24"/>
                <w:szCs w:val="24"/>
              </w:rPr>
            </w:pPr>
            <w:r w:rsidRPr="00AF2364">
              <w:rPr>
                <w:rFonts w:ascii="Times New Roman" w:eastAsia="Times New Roman" w:hAnsi="Times New Roman" w:cs="Times New Roman"/>
                <w:b/>
                <w:sz w:val="24"/>
                <w:szCs w:val="24"/>
              </w:rPr>
              <w:t>Entrega de capítulo I finalizado.</w:t>
            </w:r>
          </w:p>
        </w:tc>
      </w:tr>
      <w:tr w:rsidR="006D1F8B" w:rsidRPr="00AF2364" w14:paraId="6C894222" w14:textId="77777777">
        <w:trPr>
          <w:trHeight w:val="710"/>
        </w:trPr>
        <w:tc>
          <w:tcPr>
            <w:tcW w:w="2190" w:type="dxa"/>
            <w:tcBorders>
              <w:left w:val="single" w:sz="8" w:space="0" w:color="000000"/>
              <w:right w:val="single" w:sz="8" w:space="0" w:color="7F7F7F"/>
            </w:tcBorders>
            <w:shd w:val="clear" w:color="auto" w:fill="auto"/>
            <w:tcMar>
              <w:top w:w="100" w:type="dxa"/>
              <w:left w:w="100" w:type="dxa"/>
              <w:bottom w:w="100" w:type="dxa"/>
              <w:right w:w="100" w:type="dxa"/>
            </w:tcMar>
          </w:tcPr>
          <w:p w14:paraId="6282CAE3" w14:textId="77777777" w:rsidR="006D1F8B" w:rsidRPr="00AF2364" w:rsidRDefault="00042B2C" w:rsidP="00AF2364">
            <w:pPr>
              <w:spacing w:line="360" w:lineRule="auto"/>
              <w:ind w:left="140" w:right="140"/>
              <w:rPr>
                <w:rFonts w:ascii="Times New Roman" w:eastAsia="Times New Roman" w:hAnsi="Times New Roman" w:cs="Times New Roman"/>
                <w:b/>
                <w:sz w:val="24"/>
                <w:szCs w:val="24"/>
              </w:rPr>
            </w:pPr>
            <w:r w:rsidRPr="00AF2364">
              <w:rPr>
                <w:rFonts w:ascii="Times New Roman" w:eastAsia="Times New Roman" w:hAnsi="Times New Roman" w:cs="Times New Roman"/>
                <w:b/>
                <w:sz w:val="24"/>
                <w:szCs w:val="24"/>
              </w:rPr>
              <w:t>Capítulo II</w:t>
            </w:r>
          </w:p>
        </w:tc>
        <w:tc>
          <w:tcPr>
            <w:tcW w:w="1800" w:type="dxa"/>
            <w:tcBorders>
              <w:right w:val="single" w:sz="8" w:space="0" w:color="7F7F7F"/>
            </w:tcBorders>
            <w:shd w:val="clear" w:color="auto" w:fill="auto"/>
            <w:tcMar>
              <w:top w:w="100" w:type="dxa"/>
              <w:left w:w="100" w:type="dxa"/>
              <w:bottom w:w="100" w:type="dxa"/>
              <w:right w:w="100" w:type="dxa"/>
            </w:tcMar>
          </w:tcPr>
          <w:p w14:paraId="4EAE5BA7" w14:textId="77777777" w:rsidR="006D1F8B" w:rsidRPr="00AF2364" w:rsidRDefault="00042B2C" w:rsidP="00AF2364">
            <w:pPr>
              <w:spacing w:line="360" w:lineRule="auto"/>
              <w:ind w:left="140" w:right="140"/>
              <w:rPr>
                <w:rFonts w:ascii="Times New Roman" w:eastAsia="Times New Roman" w:hAnsi="Times New Roman" w:cs="Times New Roman"/>
                <w:b/>
                <w:sz w:val="24"/>
                <w:szCs w:val="24"/>
              </w:rPr>
            </w:pPr>
            <w:r w:rsidRPr="00AF2364">
              <w:rPr>
                <w:rFonts w:ascii="Times New Roman" w:eastAsia="Times New Roman" w:hAnsi="Times New Roman" w:cs="Times New Roman"/>
                <w:b/>
                <w:sz w:val="24"/>
                <w:szCs w:val="24"/>
              </w:rPr>
              <w:t xml:space="preserve"> </w:t>
            </w:r>
          </w:p>
        </w:tc>
        <w:tc>
          <w:tcPr>
            <w:tcW w:w="1365" w:type="dxa"/>
            <w:tcBorders>
              <w:right w:val="single" w:sz="8" w:space="0" w:color="7F7F7F"/>
            </w:tcBorders>
            <w:shd w:val="clear" w:color="auto" w:fill="auto"/>
            <w:tcMar>
              <w:top w:w="100" w:type="dxa"/>
              <w:left w:w="100" w:type="dxa"/>
              <w:bottom w:w="100" w:type="dxa"/>
              <w:right w:w="100" w:type="dxa"/>
            </w:tcMar>
          </w:tcPr>
          <w:p w14:paraId="11FEF2CF" w14:textId="77777777" w:rsidR="006D1F8B" w:rsidRPr="00AF2364" w:rsidRDefault="00042B2C" w:rsidP="00AF2364">
            <w:pPr>
              <w:spacing w:line="360" w:lineRule="auto"/>
              <w:ind w:left="140" w:right="140"/>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16/09/20</w:t>
            </w:r>
          </w:p>
        </w:tc>
        <w:tc>
          <w:tcPr>
            <w:tcW w:w="1365" w:type="dxa"/>
            <w:tcBorders>
              <w:right w:val="single" w:sz="8" w:space="0" w:color="7F7F7F"/>
            </w:tcBorders>
            <w:shd w:val="clear" w:color="auto" w:fill="auto"/>
            <w:tcMar>
              <w:top w:w="100" w:type="dxa"/>
              <w:left w:w="100" w:type="dxa"/>
              <w:bottom w:w="100" w:type="dxa"/>
              <w:right w:w="100" w:type="dxa"/>
            </w:tcMar>
          </w:tcPr>
          <w:p w14:paraId="7CB59A34" w14:textId="77777777" w:rsidR="006D1F8B" w:rsidRPr="00AF2364" w:rsidRDefault="00042B2C" w:rsidP="00AF2364">
            <w:pPr>
              <w:spacing w:line="360" w:lineRule="auto"/>
              <w:ind w:left="140" w:right="140"/>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30/09/20</w:t>
            </w:r>
          </w:p>
        </w:tc>
        <w:tc>
          <w:tcPr>
            <w:tcW w:w="2970" w:type="dxa"/>
            <w:tcBorders>
              <w:bottom w:val="single" w:sz="8" w:space="0" w:color="000000"/>
              <w:right w:val="single" w:sz="8" w:space="0" w:color="000000"/>
            </w:tcBorders>
            <w:shd w:val="clear" w:color="auto" w:fill="auto"/>
            <w:tcMar>
              <w:top w:w="100" w:type="dxa"/>
              <w:left w:w="100" w:type="dxa"/>
              <w:bottom w:w="100" w:type="dxa"/>
              <w:right w:w="100" w:type="dxa"/>
            </w:tcMar>
          </w:tcPr>
          <w:p w14:paraId="5DE9C722" w14:textId="77777777" w:rsidR="006D1F8B" w:rsidRPr="00AF2364" w:rsidRDefault="00042B2C" w:rsidP="00AF2364">
            <w:pPr>
              <w:spacing w:line="360" w:lineRule="auto"/>
              <w:ind w:left="140" w:right="140"/>
              <w:rPr>
                <w:rFonts w:ascii="Times New Roman" w:eastAsia="Times New Roman" w:hAnsi="Times New Roman" w:cs="Times New Roman"/>
                <w:b/>
                <w:sz w:val="24"/>
                <w:szCs w:val="24"/>
              </w:rPr>
            </w:pPr>
            <w:r w:rsidRPr="00AF2364">
              <w:rPr>
                <w:rFonts w:ascii="Times New Roman" w:eastAsia="Times New Roman" w:hAnsi="Times New Roman" w:cs="Times New Roman"/>
                <w:b/>
                <w:sz w:val="24"/>
                <w:szCs w:val="24"/>
              </w:rPr>
              <w:t xml:space="preserve"> </w:t>
            </w:r>
          </w:p>
        </w:tc>
      </w:tr>
      <w:tr w:rsidR="006D1F8B" w:rsidRPr="00AF2364" w14:paraId="58C05C3A" w14:textId="77777777">
        <w:trPr>
          <w:trHeight w:val="710"/>
        </w:trPr>
        <w:tc>
          <w:tcPr>
            <w:tcW w:w="2190" w:type="dxa"/>
            <w:tcBorders>
              <w:top w:val="single" w:sz="8" w:space="0" w:color="7F7F7F"/>
              <w:left w:val="single" w:sz="8" w:space="0" w:color="000000"/>
              <w:bottom w:val="single" w:sz="8" w:space="0" w:color="7F7F7F"/>
              <w:right w:val="single" w:sz="8" w:space="0" w:color="7F7F7F"/>
            </w:tcBorders>
            <w:shd w:val="clear" w:color="auto" w:fill="auto"/>
            <w:tcMar>
              <w:top w:w="100" w:type="dxa"/>
              <w:left w:w="100" w:type="dxa"/>
              <w:bottom w:w="100" w:type="dxa"/>
              <w:right w:w="100" w:type="dxa"/>
            </w:tcMar>
          </w:tcPr>
          <w:p w14:paraId="68BB09EF" w14:textId="77777777" w:rsidR="006D1F8B" w:rsidRPr="00AF2364" w:rsidRDefault="00042B2C" w:rsidP="00AF2364">
            <w:pPr>
              <w:spacing w:line="360" w:lineRule="auto"/>
              <w:ind w:left="140" w:right="140"/>
              <w:rPr>
                <w:rFonts w:ascii="Times New Roman" w:eastAsia="Times New Roman" w:hAnsi="Times New Roman" w:cs="Times New Roman"/>
                <w:b/>
                <w:sz w:val="24"/>
                <w:szCs w:val="24"/>
              </w:rPr>
            </w:pPr>
            <w:r w:rsidRPr="00AF2364">
              <w:rPr>
                <w:rFonts w:ascii="Times New Roman" w:eastAsia="Times New Roman" w:hAnsi="Times New Roman" w:cs="Times New Roman"/>
                <w:b/>
                <w:sz w:val="24"/>
                <w:szCs w:val="24"/>
              </w:rPr>
              <w:t>Capítulo III</w:t>
            </w:r>
          </w:p>
        </w:tc>
        <w:tc>
          <w:tcPr>
            <w:tcW w:w="1800" w:type="dxa"/>
            <w:tcBorders>
              <w:top w:val="single" w:sz="8" w:space="0" w:color="7F7F7F"/>
              <w:bottom w:val="single" w:sz="8" w:space="0" w:color="7F7F7F"/>
              <w:right w:val="single" w:sz="8" w:space="0" w:color="7F7F7F"/>
            </w:tcBorders>
            <w:shd w:val="clear" w:color="auto" w:fill="auto"/>
            <w:tcMar>
              <w:top w:w="100" w:type="dxa"/>
              <w:left w:w="100" w:type="dxa"/>
              <w:bottom w:w="100" w:type="dxa"/>
              <w:right w:w="100" w:type="dxa"/>
            </w:tcMar>
          </w:tcPr>
          <w:p w14:paraId="6A791221" w14:textId="77777777" w:rsidR="006D1F8B" w:rsidRPr="00AF2364" w:rsidRDefault="00042B2C" w:rsidP="00AF2364">
            <w:pPr>
              <w:spacing w:line="360" w:lineRule="auto"/>
              <w:ind w:left="140" w:right="140"/>
              <w:rPr>
                <w:rFonts w:ascii="Times New Roman" w:eastAsia="Times New Roman" w:hAnsi="Times New Roman" w:cs="Times New Roman"/>
                <w:b/>
                <w:sz w:val="24"/>
                <w:szCs w:val="24"/>
              </w:rPr>
            </w:pPr>
            <w:r w:rsidRPr="00AF2364">
              <w:rPr>
                <w:rFonts w:ascii="Times New Roman" w:eastAsia="Times New Roman" w:hAnsi="Times New Roman" w:cs="Times New Roman"/>
                <w:b/>
                <w:sz w:val="24"/>
                <w:szCs w:val="24"/>
              </w:rPr>
              <w:t xml:space="preserve"> </w:t>
            </w:r>
          </w:p>
        </w:tc>
        <w:tc>
          <w:tcPr>
            <w:tcW w:w="1365" w:type="dxa"/>
            <w:tcBorders>
              <w:top w:val="single" w:sz="8" w:space="0" w:color="7F7F7F"/>
              <w:bottom w:val="single" w:sz="8" w:space="0" w:color="7F7F7F"/>
              <w:right w:val="single" w:sz="8" w:space="0" w:color="7F7F7F"/>
            </w:tcBorders>
            <w:shd w:val="clear" w:color="auto" w:fill="auto"/>
            <w:tcMar>
              <w:top w:w="100" w:type="dxa"/>
              <w:left w:w="100" w:type="dxa"/>
              <w:bottom w:w="100" w:type="dxa"/>
              <w:right w:w="100" w:type="dxa"/>
            </w:tcMar>
          </w:tcPr>
          <w:p w14:paraId="41B962F1" w14:textId="77777777" w:rsidR="006D1F8B" w:rsidRPr="00AF2364" w:rsidRDefault="00042B2C" w:rsidP="00AF2364">
            <w:pPr>
              <w:spacing w:line="360" w:lineRule="auto"/>
              <w:ind w:left="140" w:right="140"/>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01/10/20</w:t>
            </w:r>
          </w:p>
        </w:tc>
        <w:tc>
          <w:tcPr>
            <w:tcW w:w="1365" w:type="dxa"/>
            <w:tcBorders>
              <w:top w:val="single" w:sz="8" w:space="0" w:color="7F7F7F"/>
              <w:bottom w:val="single" w:sz="8" w:space="0" w:color="7F7F7F"/>
              <w:right w:val="single" w:sz="8" w:space="0" w:color="7F7F7F"/>
            </w:tcBorders>
            <w:shd w:val="clear" w:color="auto" w:fill="auto"/>
            <w:tcMar>
              <w:top w:w="100" w:type="dxa"/>
              <w:left w:w="100" w:type="dxa"/>
              <w:bottom w:w="100" w:type="dxa"/>
              <w:right w:w="100" w:type="dxa"/>
            </w:tcMar>
          </w:tcPr>
          <w:p w14:paraId="0015810F" w14:textId="77777777" w:rsidR="006D1F8B" w:rsidRPr="00AF2364" w:rsidRDefault="00042B2C" w:rsidP="00AF2364">
            <w:pPr>
              <w:spacing w:line="360" w:lineRule="auto"/>
              <w:ind w:left="140" w:right="140"/>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15/10/20</w:t>
            </w:r>
          </w:p>
        </w:tc>
        <w:tc>
          <w:tcPr>
            <w:tcW w:w="2970" w:type="dxa"/>
            <w:tcBorders>
              <w:bottom w:val="single" w:sz="8" w:space="0" w:color="000000"/>
              <w:right w:val="single" w:sz="8" w:space="0" w:color="000000"/>
            </w:tcBorders>
            <w:shd w:val="clear" w:color="auto" w:fill="auto"/>
            <w:tcMar>
              <w:top w:w="100" w:type="dxa"/>
              <w:left w:w="100" w:type="dxa"/>
              <w:bottom w:w="100" w:type="dxa"/>
              <w:right w:w="100" w:type="dxa"/>
            </w:tcMar>
          </w:tcPr>
          <w:p w14:paraId="5404D731" w14:textId="77777777" w:rsidR="006D1F8B" w:rsidRPr="00AF2364" w:rsidRDefault="00042B2C" w:rsidP="00AF2364">
            <w:pPr>
              <w:spacing w:line="360" w:lineRule="auto"/>
              <w:ind w:left="140" w:right="140"/>
              <w:rPr>
                <w:rFonts w:ascii="Times New Roman" w:eastAsia="Times New Roman" w:hAnsi="Times New Roman" w:cs="Times New Roman"/>
                <w:b/>
                <w:sz w:val="24"/>
                <w:szCs w:val="24"/>
              </w:rPr>
            </w:pPr>
            <w:r w:rsidRPr="00AF2364">
              <w:rPr>
                <w:rFonts w:ascii="Times New Roman" w:eastAsia="Times New Roman" w:hAnsi="Times New Roman" w:cs="Times New Roman"/>
                <w:b/>
                <w:sz w:val="24"/>
                <w:szCs w:val="24"/>
              </w:rPr>
              <w:t xml:space="preserve"> </w:t>
            </w:r>
          </w:p>
        </w:tc>
      </w:tr>
      <w:tr w:rsidR="006D1F8B" w:rsidRPr="00AF2364" w14:paraId="6C30494A" w14:textId="77777777">
        <w:trPr>
          <w:trHeight w:val="710"/>
        </w:trPr>
        <w:tc>
          <w:tcPr>
            <w:tcW w:w="2190" w:type="dxa"/>
            <w:tcBorders>
              <w:left w:val="single" w:sz="8" w:space="0" w:color="000000"/>
              <w:right w:val="single" w:sz="8" w:space="0" w:color="7F7F7F"/>
            </w:tcBorders>
            <w:shd w:val="clear" w:color="auto" w:fill="auto"/>
            <w:tcMar>
              <w:top w:w="100" w:type="dxa"/>
              <w:left w:w="100" w:type="dxa"/>
              <w:bottom w:w="100" w:type="dxa"/>
              <w:right w:w="100" w:type="dxa"/>
            </w:tcMar>
          </w:tcPr>
          <w:p w14:paraId="669EF3FC" w14:textId="77777777" w:rsidR="006D1F8B" w:rsidRPr="00AF2364" w:rsidRDefault="00042B2C" w:rsidP="00AF2364">
            <w:pPr>
              <w:spacing w:line="360" w:lineRule="auto"/>
              <w:ind w:left="140" w:right="140"/>
              <w:rPr>
                <w:rFonts w:ascii="Times New Roman" w:eastAsia="Times New Roman" w:hAnsi="Times New Roman" w:cs="Times New Roman"/>
                <w:b/>
                <w:sz w:val="24"/>
                <w:szCs w:val="24"/>
              </w:rPr>
            </w:pPr>
            <w:r w:rsidRPr="00AF2364">
              <w:rPr>
                <w:rFonts w:ascii="Times New Roman" w:eastAsia="Times New Roman" w:hAnsi="Times New Roman" w:cs="Times New Roman"/>
                <w:b/>
                <w:sz w:val="24"/>
                <w:szCs w:val="24"/>
              </w:rPr>
              <w:t>Capítulo IV</w:t>
            </w:r>
          </w:p>
        </w:tc>
        <w:tc>
          <w:tcPr>
            <w:tcW w:w="1800" w:type="dxa"/>
            <w:tcBorders>
              <w:right w:val="single" w:sz="8" w:space="0" w:color="7F7F7F"/>
            </w:tcBorders>
            <w:shd w:val="clear" w:color="auto" w:fill="auto"/>
            <w:tcMar>
              <w:top w:w="100" w:type="dxa"/>
              <w:left w:w="100" w:type="dxa"/>
              <w:bottom w:w="100" w:type="dxa"/>
              <w:right w:w="100" w:type="dxa"/>
            </w:tcMar>
          </w:tcPr>
          <w:p w14:paraId="7B02FF5B" w14:textId="77777777" w:rsidR="006D1F8B" w:rsidRPr="00AF2364" w:rsidRDefault="00042B2C" w:rsidP="00AF2364">
            <w:pPr>
              <w:spacing w:line="360" w:lineRule="auto"/>
              <w:ind w:left="140" w:right="140"/>
              <w:rPr>
                <w:rFonts w:ascii="Times New Roman" w:eastAsia="Times New Roman" w:hAnsi="Times New Roman" w:cs="Times New Roman"/>
                <w:b/>
                <w:sz w:val="24"/>
                <w:szCs w:val="24"/>
              </w:rPr>
            </w:pPr>
            <w:r w:rsidRPr="00AF2364">
              <w:rPr>
                <w:rFonts w:ascii="Times New Roman" w:eastAsia="Times New Roman" w:hAnsi="Times New Roman" w:cs="Times New Roman"/>
                <w:b/>
                <w:sz w:val="24"/>
                <w:szCs w:val="24"/>
              </w:rPr>
              <w:t xml:space="preserve"> </w:t>
            </w:r>
          </w:p>
        </w:tc>
        <w:tc>
          <w:tcPr>
            <w:tcW w:w="1365" w:type="dxa"/>
            <w:tcBorders>
              <w:right w:val="single" w:sz="8" w:space="0" w:color="7F7F7F"/>
            </w:tcBorders>
            <w:shd w:val="clear" w:color="auto" w:fill="auto"/>
            <w:tcMar>
              <w:top w:w="100" w:type="dxa"/>
              <w:left w:w="100" w:type="dxa"/>
              <w:bottom w:w="100" w:type="dxa"/>
              <w:right w:w="100" w:type="dxa"/>
            </w:tcMar>
          </w:tcPr>
          <w:p w14:paraId="3D0B4D14" w14:textId="77777777" w:rsidR="006D1F8B" w:rsidRPr="00AF2364" w:rsidRDefault="00042B2C" w:rsidP="00AF2364">
            <w:pPr>
              <w:spacing w:line="360" w:lineRule="auto"/>
              <w:ind w:left="140" w:right="140"/>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16/10/20</w:t>
            </w:r>
          </w:p>
        </w:tc>
        <w:tc>
          <w:tcPr>
            <w:tcW w:w="1365" w:type="dxa"/>
            <w:tcBorders>
              <w:right w:val="single" w:sz="8" w:space="0" w:color="7F7F7F"/>
            </w:tcBorders>
            <w:shd w:val="clear" w:color="auto" w:fill="auto"/>
            <w:tcMar>
              <w:top w:w="100" w:type="dxa"/>
              <w:left w:w="100" w:type="dxa"/>
              <w:bottom w:w="100" w:type="dxa"/>
              <w:right w:w="100" w:type="dxa"/>
            </w:tcMar>
          </w:tcPr>
          <w:p w14:paraId="7598DE64" w14:textId="77777777" w:rsidR="006D1F8B" w:rsidRPr="00AF2364" w:rsidRDefault="00042B2C" w:rsidP="00AF2364">
            <w:pPr>
              <w:spacing w:line="360" w:lineRule="auto"/>
              <w:ind w:left="140" w:right="140"/>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30/10/20</w:t>
            </w:r>
          </w:p>
        </w:tc>
        <w:tc>
          <w:tcPr>
            <w:tcW w:w="2970" w:type="dxa"/>
            <w:tcBorders>
              <w:bottom w:val="single" w:sz="8" w:space="0" w:color="000000"/>
              <w:right w:val="single" w:sz="8" w:space="0" w:color="000000"/>
            </w:tcBorders>
            <w:shd w:val="clear" w:color="auto" w:fill="auto"/>
            <w:tcMar>
              <w:top w:w="100" w:type="dxa"/>
              <w:left w:w="100" w:type="dxa"/>
              <w:bottom w:w="100" w:type="dxa"/>
              <w:right w:w="100" w:type="dxa"/>
            </w:tcMar>
          </w:tcPr>
          <w:p w14:paraId="04989246" w14:textId="77777777" w:rsidR="006D1F8B" w:rsidRPr="00AF2364" w:rsidRDefault="00042B2C" w:rsidP="00AF2364">
            <w:pPr>
              <w:spacing w:line="360" w:lineRule="auto"/>
              <w:ind w:left="140" w:right="140"/>
              <w:rPr>
                <w:rFonts w:ascii="Times New Roman" w:eastAsia="Times New Roman" w:hAnsi="Times New Roman" w:cs="Times New Roman"/>
                <w:b/>
                <w:sz w:val="24"/>
                <w:szCs w:val="24"/>
              </w:rPr>
            </w:pPr>
            <w:r w:rsidRPr="00AF2364">
              <w:rPr>
                <w:rFonts w:ascii="Times New Roman" w:eastAsia="Times New Roman" w:hAnsi="Times New Roman" w:cs="Times New Roman"/>
                <w:b/>
                <w:sz w:val="24"/>
                <w:szCs w:val="24"/>
              </w:rPr>
              <w:t xml:space="preserve"> </w:t>
            </w:r>
          </w:p>
        </w:tc>
      </w:tr>
      <w:tr w:rsidR="006D1F8B" w:rsidRPr="00AF2364" w14:paraId="43BF154C" w14:textId="77777777">
        <w:trPr>
          <w:trHeight w:val="785"/>
        </w:trPr>
        <w:tc>
          <w:tcPr>
            <w:tcW w:w="2190" w:type="dxa"/>
            <w:tcBorders>
              <w:top w:val="single" w:sz="8" w:space="0" w:color="7F7F7F"/>
              <w:left w:val="single" w:sz="8" w:space="0" w:color="000000"/>
              <w:bottom w:val="single" w:sz="8" w:space="0" w:color="7F7F7F"/>
              <w:right w:val="single" w:sz="8" w:space="0" w:color="7F7F7F"/>
            </w:tcBorders>
            <w:shd w:val="clear" w:color="auto" w:fill="auto"/>
            <w:tcMar>
              <w:top w:w="100" w:type="dxa"/>
              <w:left w:w="100" w:type="dxa"/>
              <w:bottom w:w="100" w:type="dxa"/>
              <w:right w:w="100" w:type="dxa"/>
            </w:tcMar>
          </w:tcPr>
          <w:p w14:paraId="13788F20" w14:textId="77777777" w:rsidR="006D1F8B" w:rsidRPr="00AF2364" w:rsidRDefault="00042B2C" w:rsidP="00AF2364">
            <w:pPr>
              <w:spacing w:line="360" w:lineRule="auto"/>
              <w:ind w:left="140" w:right="140"/>
              <w:rPr>
                <w:rFonts w:ascii="Times New Roman" w:eastAsia="Times New Roman" w:hAnsi="Times New Roman" w:cs="Times New Roman"/>
                <w:b/>
                <w:sz w:val="24"/>
                <w:szCs w:val="24"/>
              </w:rPr>
            </w:pPr>
            <w:r w:rsidRPr="00AF2364">
              <w:rPr>
                <w:rFonts w:ascii="Times New Roman" w:eastAsia="Times New Roman" w:hAnsi="Times New Roman" w:cs="Times New Roman"/>
                <w:b/>
                <w:sz w:val="24"/>
                <w:szCs w:val="24"/>
              </w:rPr>
              <w:t>Conclusiones y Anexos</w:t>
            </w:r>
          </w:p>
        </w:tc>
        <w:tc>
          <w:tcPr>
            <w:tcW w:w="1800" w:type="dxa"/>
            <w:tcBorders>
              <w:top w:val="single" w:sz="8" w:space="0" w:color="7F7F7F"/>
              <w:bottom w:val="single" w:sz="8" w:space="0" w:color="7F7F7F"/>
              <w:right w:val="single" w:sz="8" w:space="0" w:color="7F7F7F"/>
            </w:tcBorders>
            <w:shd w:val="clear" w:color="auto" w:fill="auto"/>
            <w:tcMar>
              <w:top w:w="100" w:type="dxa"/>
              <w:left w:w="100" w:type="dxa"/>
              <w:bottom w:w="100" w:type="dxa"/>
              <w:right w:w="100" w:type="dxa"/>
            </w:tcMar>
          </w:tcPr>
          <w:p w14:paraId="13178031" w14:textId="77777777" w:rsidR="006D1F8B" w:rsidRPr="00AF2364" w:rsidRDefault="00042B2C" w:rsidP="00AF2364">
            <w:pPr>
              <w:spacing w:line="360" w:lineRule="auto"/>
              <w:ind w:left="140" w:right="140"/>
              <w:rPr>
                <w:rFonts w:ascii="Times New Roman" w:eastAsia="Times New Roman" w:hAnsi="Times New Roman" w:cs="Times New Roman"/>
                <w:b/>
                <w:sz w:val="24"/>
                <w:szCs w:val="24"/>
              </w:rPr>
            </w:pPr>
            <w:r w:rsidRPr="00AF2364">
              <w:rPr>
                <w:rFonts w:ascii="Times New Roman" w:eastAsia="Times New Roman" w:hAnsi="Times New Roman" w:cs="Times New Roman"/>
                <w:b/>
                <w:sz w:val="24"/>
                <w:szCs w:val="24"/>
              </w:rPr>
              <w:t xml:space="preserve"> </w:t>
            </w:r>
          </w:p>
        </w:tc>
        <w:tc>
          <w:tcPr>
            <w:tcW w:w="1365" w:type="dxa"/>
            <w:tcBorders>
              <w:top w:val="single" w:sz="8" w:space="0" w:color="7F7F7F"/>
              <w:bottom w:val="single" w:sz="8" w:space="0" w:color="7F7F7F"/>
              <w:right w:val="single" w:sz="8" w:space="0" w:color="7F7F7F"/>
            </w:tcBorders>
            <w:shd w:val="clear" w:color="auto" w:fill="auto"/>
            <w:tcMar>
              <w:top w:w="100" w:type="dxa"/>
              <w:left w:w="100" w:type="dxa"/>
              <w:bottom w:w="100" w:type="dxa"/>
              <w:right w:w="100" w:type="dxa"/>
            </w:tcMar>
          </w:tcPr>
          <w:p w14:paraId="079D88CF" w14:textId="77777777" w:rsidR="006D1F8B" w:rsidRPr="00AF2364" w:rsidRDefault="00042B2C" w:rsidP="00AF2364">
            <w:pPr>
              <w:spacing w:line="360" w:lineRule="auto"/>
              <w:ind w:left="140" w:right="140"/>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01/11/20</w:t>
            </w:r>
          </w:p>
        </w:tc>
        <w:tc>
          <w:tcPr>
            <w:tcW w:w="1365" w:type="dxa"/>
            <w:tcBorders>
              <w:top w:val="single" w:sz="8" w:space="0" w:color="7F7F7F"/>
              <w:bottom w:val="single" w:sz="8" w:space="0" w:color="7F7F7F"/>
              <w:right w:val="single" w:sz="8" w:space="0" w:color="7F7F7F"/>
            </w:tcBorders>
            <w:shd w:val="clear" w:color="auto" w:fill="auto"/>
            <w:tcMar>
              <w:top w:w="100" w:type="dxa"/>
              <w:left w:w="100" w:type="dxa"/>
              <w:bottom w:w="100" w:type="dxa"/>
              <w:right w:w="100" w:type="dxa"/>
            </w:tcMar>
          </w:tcPr>
          <w:p w14:paraId="419618BC" w14:textId="77777777" w:rsidR="006D1F8B" w:rsidRPr="00AF2364" w:rsidRDefault="00042B2C" w:rsidP="00AF2364">
            <w:pPr>
              <w:spacing w:line="360" w:lineRule="auto"/>
              <w:ind w:left="140" w:right="140"/>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15/11/20</w:t>
            </w:r>
          </w:p>
        </w:tc>
        <w:tc>
          <w:tcPr>
            <w:tcW w:w="2970" w:type="dxa"/>
            <w:tcBorders>
              <w:bottom w:val="single" w:sz="8" w:space="0" w:color="000000"/>
              <w:right w:val="single" w:sz="8" w:space="0" w:color="000000"/>
            </w:tcBorders>
            <w:shd w:val="clear" w:color="auto" w:fill="auto"/>
            <w:tcMar>
              <w:top w:w="100" w:type="dxa"/>
              <w:left w:w="100" w:type="dxa"/>
              <w:bottom w:w="100" w:type="dxa"/>
              <w:right w:w="100" w:type="dxa"/>
            </w:tcMar>
          </w:tcPr>
          <w:p w14:paraId="363FAC3B" w14:textId="77777777" w:rsidR="006D1F8B" w:rsidRPr="00AF2364" w:rsidRDefault="00042B2C" w:rsidP="00AF2364">
            <w:pPr>
              <w:spacing w:line="360" w:lineRule="auto"/>
              <w:ind w:left="140" w:right="140"/>
              <w:rPr>
                <w:rFonts w:ascii="Times New Roman" w:eastAsia="Times New Roman" w:hAnsi="Times New Roman" w:cs="Times New Roman"/>
                <w:b/>
                <w:sz w:val="24"/>
                <w:szCs w:val="24"/>
              </w:rPr>
            </w:pPr>
            <w:r w:rsidRPr="00AF2364">
              <w:rPr>
                <w:rFonts w:ascii="Times New Roman" w:eastAsia="Times New Roman" w:hAnsi="Times New Roman" w:cs="Times New Roman"/>
                <w:b/>
                <w:sz w:val="24"/>
                <w:szCs w:val="24"/>
              </w:rPr>
              <w:t xml:space="preserve"> </w:t>
            </w:r>
          </w:p>
        </w:tc>
      </w:tr>
      <w:tr w:rsidR="006D1F8B" w:rsidRPr="00AF2364" w14:paraId="586E26DB" w14:textId="77777777">
        <w:trPr>
          <w:trHeight w:val="3800"/>
        </w:trPr>
        <w:tc>
          <w:tcPr>
            <w:tcW w:w="2190" w:type="dxa"/>
            <w:tcBorders>
              <w:left w:val="single" w:sz="8" w:space="0" w:color="000000"/>
              <w:right w:val="single" w:sz="8" w:space="0" w:color="7F7F7F"/>
            </w:tcBorders>
            <w:shd w:val="clear" w:color="auto" w:fill="auto"/>
            <w:tcMar>
              <w:top w:w="100" w:type="dxa"/>
              <w:left w:w="100" w:type="dxa"/>
              <w:bottom w:w="100" w:type="dxa"/>
              <w:right w:w="100" w:type="dxa"/>
            </w:tcMar>
          </w:tcPr>
          <w:p w14:paraId="14A0D17D" w14:textId="77777777" w:rsidR="006D1F8B" w:rsidRPr="00AF2364" w:rsidRDefault="00042B2C" w:rsidP="00AF2364">
            <w:pPr>
              <w:spacing w:line="360" w:lineRule="auto"/>
              <w:ind w:left="140" w:right="140"/>
              <w:rPr>
                <w:rFonts w:ascii="Times New Roman" w:eastAsia="Times New Roman" w:hAnsi="Times New Roman" w:cs="Times New Roman"/>
                <w:b/>
                <w:sz w:val="24"/>
                <w:szCs w:val="24"/>
              </w:rPr>
            </w:pPr>
            <w:r w:rsidRPr="00AF2364">
              <w:rPr>
                <w:rFonts w:ascii="Times New Roman" w:eastAsia="Times New Roman" w:hAnsi="Times New Roman" w:cs="Times New Roman"/>
                <w:b/>
                <w:sz w:val="24"/>
                <w:szCs w:val="24"/>
              </w:rPr>
              <w:lastRenderedPageBreak/>
              <w:t>Preparación del informe final</w:t>
            </w:r>
          </w:p>
        </w:tc>
        <w:tc>
          <w:tcPr>
            <w:tcW w:w="1800" w:type="dxa"/>
            <w:vMerge w:val="restart"/>
            <w:tcBorders>
              <w:bottom w:val="single" w:sz="8" w:space="0" w:color="7F7F7F"/>
              <w:right w:val="single" w:sz="8" w:space="0" w:color="7F7F7F"/>
            </w:tcBorders>
            <w:shd w:val="clear" w:color="auto" w:fill="auto"/>
            <w:tcMar>
              <w:top w:w="100" w:type="dxa"/>
              <w:left w:w="100" w:type="dxa"/>
              <w:bottom w:w="100" w:type="dxa"/>
              <w:right w:w="100" w:type="dxa"/>
            </w:tcMar>
          </w:tcPr>
          <w:p w14:paraId="789169D2" w14:textId="77777777" w:rsidR="006D1F8B" w:rsidRPr="00AF2364" w:rsidRDefault="00042B2C" w:rsidP="00AF2364">
            <w:pPr>
              <w:spacing w:line="360" w:lineRule="auto"/>
              <w:ind w:left="140" w:right="140"/>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1.Elaboración del informe final que dé cuenta del proceso de investigación y los resultados obtenidos con base en los objetivos, la problemática, la apuesta teórica y la metodología propuesta.</w:t>
            </w:r>
          </w:p>
          <w:p w14:paraId="7D958D14" w14:textId="77777777" w:rsidR="006D1F8B" w:rsidRPr="00AF2364" w:rsidRDefault="00042B2C" w:rsidP="00AF2364">
            <w:pPr>
              <w:spacing w:before="240" w:line="360" w:lineRule="auto"/>
              <w:ind w:left="140" w:right="140"/>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 xml:space="preserve"> </w:t>
            </w:r>
          </w:p>
          <w:p w14:paraId="6D5238C4" w14:textId="77777777" w:rsidR="006D1F8B" w:rsidRPr="00AF2364" w:rsidRDefault="00042B2C" w:rsidP="00AF2364">
            <w:pPr>
              <w:spacing w:before="240" w:line="360" w:lineRule="auto"/>
              <w:ind w:left="140" w:right="140"/>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2. relación de los productos generados con la investigación.</w:t>
            </w:r>
          </w:p>
        </w:tc>
        <w:tc>
          <w:tcPr>
            <w:tcW w:w="1365" w:type="dxa"/>
            <w:vMerge w:val="restart"/>
            <w:tcBorders>
              <w:bottom w:val="single" w:sz="8" w:space="0" w:color="7F7F7F"/>
              <w:right w:val="single" w:sz="8" w:space="0" w:color="7F7F7F"/>
            </w:tcBorders>
            <w:shd w:val="clear" w:color="auto" w:fill="auto"/>
            <w:tcMar>
              <w:top w:w="100" w:type="dxa"/>
              <w:left w:w="100" w:type="dxa"/>
              <w:bottom w:w="100" w:type="dxa"/>
              <w:right w:w="100" w:type="dxa"/>
            </w:tcMar>
          </w:tcPr>
          <w:p w14:paraId="0658A4D4" w14:textId="77777777" w:rsidR="006D1F8B" w:rsidRPr="00AF2364" w:rsidRDefault="00042B2C" w:rsidP="00AF2364">
            <w:pPr>
              <w:spacing w:line="360" w:lineRule="auto"/>
              <w:ind w:left="140" w:right="140"/>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16/11/20</w:t>
            </w:r>
          </w:p>
        </w:tc>
        <w:tc>
          <w:tcPr>
            <w:tcW w:w="1365" w:type="dxa"/>
            <w:vMerge w:val="restart"/>
            <w:tcBorders>
              <w:bottom w:val="single" w:sz="8" w:space="0" w:color="7F7F7F"/>
              <w:right w:val="single" w:sz="8" w:space="0" w:color="7F7F7F"/>
            </w:tcBorders>
            <w:shd w:val="clear" w:color="auto" w:fill="auto"/>
            <w:tcMar>
              <w:top w:w="100" w:type="dxa"/>
              <w:left w:w="100" w:type="dxa"/>
              <w:bottom w:w="100" w:type="dxa"/>
              <w:right w:w="100" w:type="dxa"/>
            </w:tcMar>
          </w:tcPr>
          <w:p w14:paraId="11B8029B" w14:textId="77777777" w:rsidR="006D1F8B" w:rsidRPr="00AF2364" w:rsidRDefault="00042B2C" w:rsidP="00AF2364">
            <w:pPr>
              <w:spacing w:line="360" w:lineRule="auto"/>
              <w:ind w:left="140" w:right="140"/>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30/11/20</w:t>
            </w:r>
          </w:p>
        </w:tc>
        <w:tc>
          <w:tcPr>
            <w:tcW w:w="2970" w:type="dxa"/>
            <w:vMerge w:val="restart"/>
            <w:tcBorders>
              <w:bottom w:val="single" w:sz="8" w:space="0" w:color="000000"/>
              <w:right w:val="single" w:sz="8" w:space="0" w:color="000000"/>
            </w:tcBorders>
            <w:shd w:val="clear" w:color="auto" w:fill="auto"/>
            <w:tcMar>
              <w:top w:w="100" w:type="dxa"/>
              <w:left w:w="100" w:type="dxa"/>
              <w:bottom w:w="100" w:type="dxa"/>
              <w:right w:w="100" w:type="dxa"/>
            </w:tcMar>
          </w:tcPr>
          <w:p w14:paraId="5B48A084" w14:textId="77777777" w:rsidR="006D1F8B" w:rsidRPr="00AF2364" w:rsidRDefault="00042B2C" w:rsidP="00AF2364">
            <w:pPr>
              <w:spacing w:line="360" w:lineRule="auto"/>
              <w:ind w:left="140" w:right="140"/>
              <w:rPr>
                <w:rFonts w:ascii="Times New Roman" w:eastAsia="Times New Roman" w:hAnsi="Times New Roman" w:cs="Times New Roman"/>
                <w:b/>
                <w:sz w:val="24"/>
                <w:szCs w:val="24"/>
              </w:rPr>
            </w:pPr>
            <w:r w:rsidRPr="00AF2364">
              <w:rPr>
                <w:rFonts w:ascii="Times New Roman" w:eastAsia="Times New Roman" w:hAnsi="Times New Roman" w:cs="Times New Roman"/>
                <w:color w:val="231F20"/>
                <w:sz w:val="24"/>
                <w:szCs w:val="24"/>
              </w:rPr>
              <w:t xml:space="preserve"> </w:t>
            </w:r>
            <w:r w:rsidRPr="00AF2364">
              <w:rPr>
                <w:rFonts w:ascii="Times New Roman" w:eastAsia="Times New Roman" w:hAnsi="Times New Roman" w:cs="Times New Roman"/>
                <w:b/>
                <w:sz w:val="24"/>
                <w:szCs w:val="24"/>
              </w:rPr>
              <w:t>Cartilla práctica sobre la opción privada en el marco de los procesos de insolvencia de acuerdo al Decreto Legislativo 560 del 15 de abril de 2020 como herramienta para contrarrestar la crisis económica generada por el Covid-19.</w:t>
            </w:r>
          </w:p>
          <w:p w14:paraId="0C42C83D" w14:textId="77777777" w:rsidR="006D1F8B" w:rsidRPr="00AF2364" w:rsidRDefault="00042B2C" w:rsidP="00AF2364">
            <w:pPr>
              <w:spacing w:before="240" w:line="360" w:lineRule="auto"/>
              <w:ind w:left="140" w:right="140"/>
              <w:rPr>
                <w:rFonts w:ascii="Times New Roman" w:eastAsia="Times New Roman" w:hAnsi="Times New Roman" w:cs="Times New Roman"/>
                <w:b/>
                <w:sz w:val="24"/>
                <w:szCs w:val="24"/>
              </w:rPr>
            </w:pPr>
            <w:r w:rsidRPr="00AF2364">
              <w:rPr>
                <w:rFonts w:ascii="Times New Roman" w:eastAsia="Times New Roman" w:hAnsi="Times New Roman" w:cs="Times New Roman"/>
                <w:color w:val="231F20"/>
                <w:sz w:val="24"/>
                <w:szCs w:val="24"/>
              </w:rPr>
              <w:t xml:space="preserve"> </w:t>
            </w:r>
            <w:r w:rsidRPr="00AF2364">
              <w:rPr>
                <w:rFonts w:ascii="Times New Roman" w:eastAsia="Times New Roman" w:hAnsi="Times New Roman" w:cs="Times New Roman"/>
                <w:b/>
                <w:sz w:val="24"/>
                <w:szCs w:val="24"/>
              </w:rPr>
              <w:t>Seminar</w:t>
            </w:r>
            <w:r w:rsidRPr="00AF2364">
              <w:rPr>
                <w:rFonts w:ascii="Times New Roman" w:eastAsia="Times New Roman" w:hAnsi="Times New Roman" w:cs="Times New Roman"/>
                <w:b/>
                <w:sz w:val="24"/>
                <w:szCs w:val="24"/>
              </w:rPr>
              <w:t>io sobre los nuevos retos de la economía frente al covid-19 y los procesos de insolvencia: con la invitación de dos abogados reconocidos en el ámbito del régimen de insolvencia empresarial Ley 1116/06.</w:t>
            </w:r>
          </w:p>
          <w:p w14:paraId="79088F4B" w14:textId="77777777" w:rsidR="006D1F8B" w:rsidRPr="00AF2364" w:rsidRDefault="00042B2C" w:rsidP="00AF2364">
            <w:pPr>
              <w:spacing w:before="240" w:line="360" w:lineRule="auto"/>
              <w:ind w:left="140" w:right="140"/>
              <w:rPr>
                <w:rFonts w:ascii="Times New Roman" w:eastAsia="Times New Roman" w:hAnsi="Times New Roman" w:cs="Times New Roman"/>
                <w:b/>
                <w:sz w:val="24"/>
                <w:szCs w:val="24"/>
              </w:rPr>
            </w:pPr>
            <w:r w:rsidRPr="00AF2364">
              <w:rPr>
                <w:rFonts w:ascii="Times New Roman" w:eastAsia="Times New Roman" w:hAnsi="Times New Roman" w:cs="Times New Roman"/>
                <w:b/>
                <w:sz w:val="24"/>
                <w:szCs w:val="24"/>
              </w:rPr>
              <w:t>Artículo de investigación.</w:t>
            </w:r>
          </w:p>
        </w:tc>
      </w:tr>
      <w:tr w:rsidR="006D1F8B" w:rsidRPr="00AF2364" w14:paraId="63B8629C" w14:textId="77777777">
        <w:trPr>
          <w:trHeight w:val="2225"/>
        </w:trPr>
        <w:tc>
          <w:tcPr>
            <w:tcW w:w="2190" w:type="dxa"/>
            <w:tcBorders>
              <w:top w:val="single" w:sz="8" w:space="0" w:color="7F7F7F"/>
              <w:left w:val="single" w:sz="8" w:space="0" w:color="000000"/>
              <w:bottom w:val="single" w:sz="8" w:space="0" w:color="7F7F7F"/>
              <w:right w:val="single" w:sz="8" w:space="0" w:color="7F7F7F"/>
            </w:tcBorders>
            <w:shd w:val="clear" w:color="auto" w:fill="auto"/>
            <w:tcMar>
              <w:top w:w="100" w:type="dxa"/>
              <w:left w:w="100" w:type="dxa"/>
              <w:bottom w:w="100" w:type="dxa"/>
              <w:right w:w="100" w:type="dxa"/>
            </w:tcMar>
          </w:tcPr>
          <w:p w14:paraId="14D58E15" w14:textId="77777777" w:rsidR="006D1F8B" w:rsidRPr="00AF2364" w:rsidRDefault="00042B2C" w:rsidP="00AF2364">
            <w:pPr>
              <w:spacing w:line="360" w:lineRule="auto"/>
              <w:ind w:left="140" w:right="140"/>
              <w:rPr>
                <w:rFonts w:ascii="Times New Roman" w:eastAsia="Times New Roman" w:hAnsi="Times New Roman" w:cs="Times New Roman"/>
                <w:b/>
                <w:sz w:val="24"/>
                <w:szCs w:val="24"/>
              </w:rPr>
            </w:pPr>
            <w:r w:rsidRPr="00AF2364">
              <w:rPr>
                <w:rFonts w:ascii="Times New Roman" w:eastAsia="Times New Roman" w:hAnsi="Times New Roman" w:cs="Times New Roman"/>
                <w:b/>
                <w:sz w:val="24"/>
                <w:szCs w:val="24"/>
              </w:rPr>
              <w:t>Productos de la investigación</w:t>
            </w:r>
          </w:p>
        </w:tc>
        <w:tc>
          <w:tcPr>
            <w:tcW w:w="1800" w:type="dxa"/>
            <w:vMerge/>
            <w:tcBorders>
              <w:bottom w:val="single" w:sz="8" w:space="0" w:color="7F7F7F"/>
              <w:right w:val="single" w:sz="8" w:space="0" w:color="7F7F7F"/>
            </w:tcBorders>
            <w:shd w:val="clear" w:color="auto" w:fill="auto"/>
            <w:tcMar>
              <w:top w:w="100" w:type="dxa"/>
              <w:left w:w="100" w:type="dxa"/>
              <w:bottom w:w="100" w:type="dxa"/>
              <w:right w:w="100" w:type="dxa"/>
            </w:tcMar>
          </w:tcPr>
          <w:p w14:paraId="5FB86C08" w14:textId="77777777" w:rsidR="006D1F8B" w:rsidRPr="00AF2364" w:rsidRDefault="006D1F8B" w:rsidP="00AF2364">
            <w:pPr>
              <w:spacing w:before="80" w:line="360" w:lineRule="auto"/>
              <w:ind w:left="140" w:right="140"/>
              <w:rPr>
                <w:rFonts w:ascii="Times New Roman" w:eastAsia="Times New Roman" w:hAnsi="Times New Roman" w:cs="Times New Roman"/>
                <w:sz w:val="24"/>
                <w:szCs w:val="24"/>
              </w:rPr>
            </w:pPr>
          </w:p>
        </w:tc>
        <w:tc>
          <w:tcPr>
            <w:tcW w:w="1365" w:type="dxa"/>
            <w:vMerge/>
            <w:tcBorders>
              <w:bottom w:val="single" w:sz="8" w:space="0" w:color="7F7F7F"/>
              <w:right w:val="single" w:sz="8" w:space="0" w:color="7F7F7F"/>
            </w:tcBorders>
            <w:shd w:val="clear" w:color="auto" w:fill="auto"/>
            <w:tcMar>
              <w:top w:w="100" w:type="dxa"/>
              <w:left w:w="100" w:type="dxa"/>
              <w:bottom w:w="100" w:type="dxa"/>
              <w:right w:w="100" w:type="dxa"/>
            </w:tcMar>
          </w:tcPr>
          <w:p w14:paraId="411555C8" w14:textId="77777777" w:rsidR="006D1F8B" w:rsidRPr="00AF2364" w:rsidRDefault="006D1F8B" w:rsidP="00AF2364">
            <w:pPr>
              <w:spacing w:before="80" w:line="360" w:lineRule="auto"/>
              <w:ind w:left="140" w:right="140"/>
              <w:rPr>
                <w:rFonts w:ascii="Times New Roman" w:eastAsia="Times New Roman" w:hAnsi="Times New Roman" w:cs="Times New Roman"/>
                <w:sz w:val="24"/>
                <w:szCs w:val="24"/>
              </w:rPr>
            </w:pPr>
          </w:p>
        </w:tc>
        <w:tc>
          <w:tcPr>
            <w:tcW w:w="1365" w:type="dxa"/>
            <w:vMerge/>
            <w:tcBorders>
              <w:bottom w:val="single" w:sz="8" w:space="0" w:color="7F7F7F"/>
              <w:right w:val="single" w:sz="8" w:space="0" w:color="7F7F7F"/>
            </w:tcBorders>
            <w:shd w:val="clear" w:color="auto" w:fill="auto"/>
            <w:tcMar>
              <w:top w:w="100" w:type="dxa"/>
              <w:left w:w="100" w:type="dxa"/>
              <w:bottom w:w="100" w:type="dxa"/>
              <w:right w:w="100" w:type="dxa"/>
            </w:tcMar>
          </w:tcPr>
          <w:p w14:paraId="6A88C28E" w14:textId="77777777" w:rsidR="006D1F8B" w:rsidRPr="00AF2364" w:rsidRDefault="006D1F8B" w:rsidP="00AF2364">
            <w:pPr>
              <w:spacing w:before="80" w:line="360" w:lineRule="auto"/>
              <w:ind w:left="140" w:right="140"/>
              <w:rPr>
                <w:rFonts w:ascii="Times New Roman" w:eastAsia="Times New Roman" w:hAnsi="Times New Roman" w:cs="Times New Roman"/>
                <w:sz w:val="24"/>
                <w:szCs w:val="24"/>
              </w:rPr>
            </w:pPr>
          </w:p>
        </w:tc>
        <w:tc>
          <w:tcPr>
            <w:tcW w:w="2970" w:type="dxa"/>
            <w:vMerge/>
            <w:tcBorders>
              <w:bottom w:val="single" w:sz="8" w:space="0" w:color="000000"/>
              <w:right w:val="single" w:sz="8" w:space="0" w:color="000000"/>
            </w:tcBorders>
            <w:shd w:val="clear" w:color="auto" w:fill="auto"/>
            <w:tcMar>
              <w:top w:w="100" w:type="dxa"/>
              <w:left w:w="100" w:type="dxa"/>
              <w:bottom w:w="100" w:type="dxa"/>
              <w:right w:w="100" w:type="dxa"/>
            </w:tcMar>
          </w:tcPr>
          <w:p w14:paraId="1B9CA6D1" w14:textId="77777777" w:rsidR="006D1F8B" w:rsidRPr="00AF2364" w:rsidRDefault="006D1F8B" w:rsidP="00AF2364">
            <w:pPr>
              <w:spacing w:before="80" w:line="360" w:lineRule="auto"/>
              <w:ind w:left="140" w:right="140"/>
              <w:rPr>
                <w:rFonts w:ascii="Times New Roman" w:eastAsia="Times New Roman" w:hAnsi="Times New Roman" w:cs="Times New Roman"/>
                <w:sz w:val="24"/>
                <w:szCs w:val="24"/>
              </w:rPr>
            </w:pPr>
          </w:p>
        </w:tc>
      </w:tr>
      <w:tr w:rsidR="006D1F8B" w:rsidRPr="00AF2364" w14:paraId="4C59DD84" w14:textId="77777777">
        <w:trPr>
          <w:trHeight w:val="710"/>
        </w:trPr>
        <w:tc>
          <w:tcPr>
            <w:tcW w:w="3990" w:type="dxa"/>
            <w:gridSpan w:val="2"/>
            <w:tcBorders>
              <w:left w:val="single" w:sz="8" w:space="0" w:color="000000"/>
              <w:bottom w:val="single" w:sz="8" w:space="0" w:color="7F7F7F"/>
              <w:right w:val="single" w:sz="8" w:space="0" w:color="7F7F7F"/>
            </w:tcBorders>
            <w:shd w:val="clear" w:color="auto" w:fill="auto"/>
            <w:tcMar>
              <w:top w:w="100" w:type="dxa"/>
              <w:left w:w="100" w:type="dxa"/>
              <w:bottom w:w="100" w:type="dxa"/>
              <w:right w:w="100" w:type="dxa"/>
            </w:tcMar>
          </w:tcPr>
          <w:p w14:paraId="33ABEDD6" w14:textId="77777777" w:rsidR="006D1F8B" w:rsidRPr="00AF2364" w:rsidRDefault="00042B2C" w:rsidP="00AF2364">
            <w:pPr>
              <w:spacing w:line="360" w:lineRule="auto"/>
              <w:ind w:left="140" w:right="140"/>
              <w:rPr>
                <w:rFonts w:ascii="Times New Roman" w:eastAsia="Times New Roman" w:hAnsi="Times New Roman" w:cs="Times New Roman"/>
                <w:b/>
                <w:sz w:val="24"/>
                <w:szCs w:val="24"/>
              </w:rPr>
            </w:pPr>
            <w:r w:rsidRPr="00AF2364">
              <w:rPr>
                <w:rFonts w:ascii="Times New Roman" w:eastAsia="Times New Roman" w:hAnsi="Times New Roman" w:cs="Times New Roman"/>
                <w:b/>
                <w:sz w:val="24"/>
                <w:szCs w:val="24"/>
              </w:rPr>
              <w:t>ENTREGA DEL INFORME FINAL</w:t>
            </w:r>
          </w:p>
        </w:tc>
        <w:tc>
          <w:tcPr>
            <w:tcW w:w="1365" w:type="dxa"/>
            <w:tcBorders>
              <w:bottom w:val="single" w:sz="8" w:space="0" w:color="7F7F7F"/>
              <w:right w:val="single" w:sz="8" w:space="0" w:color="7F7F7F"/>
            </w:tcBorders>
            <w:shd w:val="clear" w:color="auto" w:fill="auto"/>
            <w:tcMar>
              <w:top w:w="100" w:type="dxa"/>
              <w:left w:w="100" w:type="dxa"/>
              <w:bottom w:w="100" w:type="dxa"/>
              <w:right w:w="100" w:type="dxa"/>
            </w:tcMar>
          </w:tcPr>
          <w:p w14:paraId="65D00B8C" w14:textId="77777777" w:rsidR="006D1F8B" w:rsidRPr="00AF2364" w:rsidRDefault="00042B2C" w:rsidP="00AF2364">
            <w:pPr>
              <w:spacing w:line="360" w:lineRule="auto"/>
              <w:ind w:left="140" w:right="140"/>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01/12/20</w:t>
            </w:r>
          </w:p>
        </w:tc>
        <w:tc>
          <w:tcPr>
            <w:tcW w:w="1365" w:type="dxa"/>
            <w:tcBorders>
              <w:bottom w:val="single" w:sz="8" w:space="0" w:color="7F7F7F"/>
              <w:right w:val="single" w:sz="8" w:space="0" w:color="7F7F7F"/>
            </w:tcBorders>
            <w:shd w:val="clear" w:color="auto" w:fill="auto"/>
            <w:tcMar>
              <w:top w:w="100" w:type="dxa"/>
              <w:left w:w="100" w:type="dxa"/>
              <w:bottom w:w="100" w:type="dxa"/>
              <w:right w:w="100" w:type="dxa"/>
            </w:tcMar>
          </w:tcPr>
          <w:p w14:paraId="7957EDC5" w14:textId="77777777" w:rsidR="006D1F8B" w:rsidRPr="00AF2364" w:rsidRDefault="00042B2C" w:rsidP="00AF2364">
            <w:pPr>
              <w:spacing w:line="360" w:lineRule="auto"/>
              <w:ind w:left="140" w:right="140"/>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01/12/20</w:t>
            </w:r>
          </w:p>
        </w:tc>
        <w:tc>
          <w:tcPr>
            <w:tcW w:w="2970" w:type="dxa"/>
            <w:tcBorders>
              <w:bottom w:val="single" w:sz="8" w:space="0" w:color="7F7F7F"/>
              <w:right w:val="single" w:sz="8" w:space="0" w:color="000000"/>
            </w:tcBorders>
            <w:shd w:val="clear" w:color="auto" w:fill="auto"/>
            <w:tcMar>
              <w:top w:w="100" w:type="dxa"/>
              <w:left w:w="100" w:type="dxa"/>
              <w:bottom w:w="100" w:type="dxa"/>
              <w:right w:w="100" w:type="dxa"/>
            </w:tcMar>
          </w:tcPr>
          <w:p w14:paraId="3D499EB2" w14:textId="77777777" w:rsidR="006D1F8B" w:rsidRPr="00AF2364" w:rsidRDefault="00042B2C" w:rsidP="00AF2364">
            <w:pPr>
              <w:spacing w:line="360" w:lineRule="auto"/>
              <w:ind w:left="140" w:right="140"/>
              <w:rPr>
                <w:rFonts w:ascii="Times New Roman" w:eastAsia="Times New Roman" w:hAnsi="Times New Roman" w:cs="Times New Roman"/>
                <w:b/>
                <w:sz w:val="24"/>
                <w:szCs w:val="24"/>
              </w:rPr>
            </w:pPr>
            <w:r w:rsidRPr="00AF2364">
              <w:rPr>
                <w:rFonts w:ascii="Times New Roman" w:eastAsia="Times New Roman" w:hAnsi="Times New Roman" w:cs="Times New Roman"/>
                <w:b/>
                <w:sz w:val="24"/>
                <w:szCs w:val="24"/>
              </w:rPr>
              <w:t xml:space="preserve"> </w:t>
            </w:r>
          </w:p>
        </w:tc>
      </w:tr>
    </w:tbl>
    <w:p w14:paraId="2E93FC67" w14:textId="77777777" w:rsidR="006D1F8B" w:rsidRPr="00AF2364" w:rsidRDefault="00042B2C" w:rsidP="00AF2364">
      <w:pPr>
        <w:spacing w:before="240" w:after="240" w:line="360" w:lineRule="auto"/>
        <w:jc w:val="center"/>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 xml:space="preserve"> </w:t>
      </w:r>
    </w:p>
    <w:p w14:paraId="7E46C106" w14:textId="77777777" w:rsidR="006D1F8B" w:rsidRPr="00AF2364" w:rsidRDefault="00042B2C" w:rsidP="00AF2364">
      <w:pPr>
        <w:spacing w:before="240" w:after="240" w:line="360" w:lineRule="auto"/>
        <w:jc w:val="center"/>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 xml:space="preserve"> </w:t>
      </w:r>
    </w:p>
    <w:p w14:paraId="7B67F990" w14:textId="77777777" w:rsidR="006D1F8B" w:rsidRPr="00AF2364" w:rsidRDefault="00042B2C" w:rsidP="00AF2364">
      <w:pPr>
        <w:spacing w:before="240" w:after="240" w:line="360" w:lineRule="auto"/>
        <w:jc w:val="center"/>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 xml:space="preserve"> </w:t>
      </w:r>
    </w:p>
    <w:p w14:paraId="54E4786D" w14:textId="77EF73F0" w:rsidR="006D1F8B" w:rsidRPr="00AF2364" w:rsidRDefault="00AB49DC" w:rsidP="00AF2364">
      <w:pPr>
        <w:spacing w:before="80" w:line="360" w:lineRule="auto"/>
        <w:ind w:left="1440" w:right="680"/>
        <w:jc w:val="center"/>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lastRenderedPageBreak/>
        <w:t xml:space="preserve"> </w:t>
      </w:r>
      <w:r w:rsidRPr="00AF2364">
        <w:rPr>
          <w:rFonts w:ascii="Times New Roman" w:eastAsia="Times New Roman" w:hAnsi="Times New Roman" w:cs="Times New Roman"/>
          <w:b/>
          <w:sz w:val="24"/>
          <w:szCs w:val="24"/>
        </w:rPr>
        <w:t>BIBLIOGRAFÍA</w:t>
      </w:r>
      <w:r w:rsidRPr="00AF2364">
        <w:rPr>
          <w:rFonts w:ascii="Times New Roman" w:eastAsia="Times New Roman" w:hAnsi="Times New Roman" w:cs="Times New Roman"/>
          <w:sz w:val="24"/>
          <w:szCs w:val="24"/>
        </w:rPr>
        <w:t xml:space="preserve"> </w:t>
      </w:r>
    </w:p>
    <w:p w14:paraId="5BECBDB2" w14:textId="77777777" w:rsidR="006D1F8B" w:rsidRPr="00AF2364" w:rsidRDefault="00042B2C" w:rsidP="00AF2364">
      <w:pPr>
        <w:spacing w:before="80" w:line="360" w:lineRule="auto"/>
        <w:ind w:right="680"/>
        <w:jc w:val="both"/>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Arango, S.H. (2016). La insolvencia transfronteriza. Matamoros, G. L. &amp; Aljure, A., (eds.), Estudios contemporáneos de derecho internacional privado (pp. 453-468). Bogotá: LEGIS.</w:t>
      </w:r>
    </w:p>
    <w:p w14:paraId="2436362C" w14:textId="383FC103" w:rsidR="006D1F8B" w:rsidRPr="00AF2364" w:rsidRDefault="00042B2C" w:rsidP="00AF2364">
      <w:pPr>
        <w:spacing w:before="80" w:line="360" w:lineRule="auto"/>
        <w:ind w:right="680"/>
        <w:jc w:val="both"/>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Adler, B. (2002). Una teoría sobre la insolvencia empresarial. Revista de Der</w:t>
      </w:r>
      <w:r w:rsidRPr="00AF2364">
        <w:rPr>
          <w:rFonts w:ascii="Times New Roman" w:eastAsia="Times New Roman" w:hAnsi="Times New Roman" w:cs="Times New Roman"/>
          <w:sz w:val="24"/>
          <w:szCs w:val="24"/>
        </w:rPr>
        <w:t xml:space="preserve">echo THEMIS, no 45, </w:t>
      </w:r>
      <w:r w:rsidRPr="00AF2364">
        <w:rPr>
          <w:rFonts w:ascii="Times New Roman" w:eastAsia="Times New Roman" w:hAnsi="Times New Roman" w:cs="Times New Roman"/>
          <w:sz w:val="24"/>
          <w:szCs w:val="24"/>
        </w:rPr>
        <w:t>93-117.</w:t>
      </w:r>
    </w:p>
    <w:p w14:paraId="4EC90E06" w14:textId="77777777" w:rsidR="006D1F8B" w:rsidRPr="00AF2364" w:rsidRDefault="00042B2C" w:rsidP="00AF2364">
      <w:pPr>
        <w:spacing w:before="80" w:line="360" w:lineRule="auto"/>
        <w:ind w:right="680"/>
        <w:jc w:val="both"/>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Cabrera, L. G. (2011). ¿Qué tan bueno es el sistema de insolvencia empresarial colombiano? Revista Superintendencia de Sociedades, no 2,  5-6.</w:t>
      </w:r>
    </w:p>
    <w:p w14:paraId="122BE66E" w14:textId="77777777" w:rsidR="006D1F8B" w:rsidRPr="00AF2364" w:rsidRDefault="00042B2C" w:rsidP="00AF2364">
      <w:pPr>
        <w:spacing w:before="80" w:line="360" w:lineRule="auto"/>
        <w:ind w:right="680"/>
        <w:jc w:val="both"/>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Durán, R. E. (2009). La insolvencia transfronteriza en el derecho colombiano. Revist</w:t>
      </w:r>
      <w:r w:rsidRPr="00AF2364">
        <w:rPr>
          <w:rFonts w:ascii="Times New Roman" w:eastAsia="Times New Roman" w:hAnsi="Times New Roman" w:cs="Times New Roman"/>
          <w:sz w:val="24"/>
          <w:szCs w:val="24"/>
        </w:rPr>
        <w:t>a de Derecho de la División de Ciencias Jurídicas, no 32, 164-198.</w:t>
      </w:r>
    </w:p>
    <w:p w14:paraId="3933D32B" w14:textId="77777777" w:rsidR="006D1F8B" w:rsidRPr="00AF2364" w:rsidRDefault="00042B2C" w:rsidP="00AF2364">
      <w:pPr>
        <w:spacing w:before="80" w:line="360" w:lineRule="auto"/>
        <w:ind w:right="680"/>
        <w:jc w:val="both"/>
        <w:rPr>
          <w:rFonts w:ascii="Times New Roman" w:eastAsia="Times New Roman" w:hAnsi="Times New Roman" w:cs="Times New Roman"/>
          <w:sz w:val="24"/>
          <w:szCs w:val="24"/>
          <w:lang w:val="en-US"/>
        </w:rPr>
      </w:pPr>
      <w:r w:rsidRPr="00AF2364">
        <w:rPr>
          <w:rFonts w:ascii="Times New Roman" w:eastAsia="Times New Roman" w:hAnsi="Times New Roman" w:cs="Times New Roman"/>
          <w:sz w:val="24"/>
          <w:szCs w:val="24"/>
          <w:lang w:val="en-US"/>
        </w:rPr>
        <w:t>Mercuro, N., Medema,S. (2006). Economics and the Law: From Posner to Postmodernism and Beyond, Second Edition.</w:t>
      </w:r>
    </w:p>
    <w:p w14:paraId="1438DDDC" w14:textId="77777777" w:rsidR="006D1F8B" w:rsidRPr="00AF2364" w:rsidRDefault="00042B2C" w:rsidP="00AF2364">
      <w:pPr>
        <w:spacing w:before="80" w:line="360" w:lineRule="auto"/>
        <w:ind w:right="680"/>
        <w:jc w:val="both"/>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López, S. J. (2007). Régimen de insolvencia empresarial: Propuesta de unificac</w:t>
      </w:r>
      <w:r w:rsidRPr="00AF2364">
        <w:rPr>
          <w:rFonts w:ascii="Times New Roman" w:eastAsia="Times New Roman" w:hAnsi="Times New Roman" w:cs="Times New Roman"/>
          <w:sz w:val="24"/>
          <w:szCs w:val="24"/>
        </w:rPr>
        <w:t>ión de los privilegios concursales para los países miembros de la comunidad andina de naciones. Universidad Sergio Arboleda, no 13 173-192. recuperado de https://core.ac.uk/download/pdf/52475744.pdf</w:t>
      </w:r>
    </w:p>
    <w:p w14:paraId="64A3EE1A" w14:textId="77777777" w:rsidR="006D1F8B" w:rsidRPr="00AF2364" w:rsidRDefault="00042B2C" w:rsidP="00AF2364">
      <w:pPr>
        <w:spacing w:before="80" w:line="360" w:lineRule="auto"/>
        <w:ind w:right="680"/>
        <w:jc w:val="both"/>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Nossa, L. P. (2014). Insolvencia transfronteriza. En De l</w:t>
      </w:r>
      <w:r w:rsidRPr="00AF2364">
        <w:rPr>
          <w:rFonts w:ascii="Times New Roman" w:eastAsia="Times New Roman" w:hAnsi="Times New Roman" w:cs="Times New Roman"/>
          <w:sz w:val="24"/>
          <w:szCs w:val="24"/>
        </w:rPr>
        <w:t>as Sociedades Comerciales (págs. 561-567). Bogotá: ECOE.</w:t>
      </w:r>
    </w:p>
    <w:p w14:paraId="7FF24996" w14:textId="77777777" w:rsidR="006D1F8B" w:rsidRPr="00AF2364" w:rsidRDefault="00042B2C" w:rsidP="00AF2364">
      <w:pPr>
        <w:spacing w:before="80" w:line="360" w:lineRule="auto"/>
        <w:ind w:right="680"/>
        <w:jc w:val="both"/>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Pellecchia, E. (2016). La Ley italiana de sobreendeudamiento. Revista de Derecho Privado, no 30,  379-387.</w:t>
      </w:r>
    </w:p>
    <w:p w14:paraId="0CFE0026" w14:textId="77777777" w:rsidR="006D1F8B" w:rsidRPr="00AF2364" w:rsidRDefault="00042B2C" w:rsidP="00AF2364">
      <w:pPr>
        <w:spacing w:before="80" w:line="360" w:lineRule="auto"/>
        <w:ind w:right="680"/>
        <w:jc w:val="both"/>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Posner, R. (2013). El análisis económico del Derecho. Editorial Fondo de Cultura Económica d</w:t>
      </w:r>
      <w:r w:rsidRPr="00AF2364">
        <w:rPr>
          <w:rFonts w:ascii="Times New Roman" w:eastAsia="Times New Roman" w:hAnsi="Times New Roman" w:cs="Times New Roman"/>
          <w:sz w:val="24"/>
          <w:szCs w:val="24"/>
        </w:rPr>
        <w:t>e España.</w:t>
      </w:r>
    </w:p>
    <w:p w14:paraId="075860A3" w14:textId="77777777" w:rsidR="006D1F8B" w:rsidRPr="00AF2364" w:rsidRDefault="00042B2C" w:rsidP="00AF2364">
      <w:pPr>
        <w:spacing w:before="80" w:line="360" w:lineRule="auto"/>
        <w:ind w:right="680"/>
        <w:jc w:val="both"/>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Sanz, F. J. (2013). La reestructuración empresarial como solución de la insolvencia. Anuario de derecho concursal, no 30, 75-98.</w:t>
      </w:r>
    </w:p>
    <w:p w14:paraId="648014D8" w14:textId="77777777" w:rsidR="006D1F8B" w:rsidRPr="00AF2364" w:rsidRDefault="00042B2C" w:rsidP="00AF2364">
      <w:pPr>
        <w:spacing w:before="80" w:line="360" w:lineRule="auto"/>
        <w:ind w:right="680"/>
        <w:jc w:val="both"/>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Schwartz, A. (2002). Una aproximación contractual a la insolvencia empresarial. Revista de Derecho THEMIS, no 45,  11</w:t>
      </w:r>
      <w:r w:rsidRPr="00AF2364">
        <w:rPr>
          <w:rFonts w:ascii="Times New Roman" w:eastAsia="Times New Roman" w:hAnsi="Times New Roman" w:cs="Times New Roman"/>
          <w:sz w:val="24"/>
          <w:szCs w:val="24"/>
        </w:rPr>
        <w:t>9-147.</w:t>
      </w:r>
    </w:p>
    <w:p w14:paraId="20AC9530" w14:textId="77777777" w:rsidR="006D1F8B" w:rsidRPr="00AF2364" w:rsidRDefault="00042B2C" w:rsidP="00AF2364">
      <w:pPr>
        <w:spacing w:before="80" w:line="360" w:lineRule="auto"/>
        <w:ind w:right="680"/>
        <w:jc w:val="both"/>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Serrano, J. L. (2014). Justificación y fórmulas de protección al financiamiento de rescate. Revista de Derecho Privado, no 26, 351-384.</w:t>
      </w:r>
    </w:p>
    <w:p w14:paraId="17E40970" w14:textId="77777777" w:rsidR="006D1F8B" w:rsidRPr="00AF2364" w:rsidRDefault="00042B2C" w:rsidP="00AF2364">
      <w:pPr>
        <w:spacing w:before="80" w:line="360" w:lineRule="auto"/>
        <w:ind w:right="680"/>
        <w:jc w:val="both"/>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Superintendencia de Sociedades. (2011). Entrevista: La insolvencia es un derecho en evolución. Revista Superinten</w:t>
      </w:r>
      <w:r w:rsidRPr="00AF2364">
        <w:rPr>
          <w:rFonts w:ascii="Times New Roman" w:eastAsia="Times New Roman" w:hAnsi="Times New Roman" w:cs="Times New Roman"/>
          <w:sz w:val="24"/>
          <w:szCs w:val="24"/>
        </w:rPr>
        <w:t>dencia de Sociedades, no 2, 12-13.</w:t>
      </w:r>
    </w:p>
    <w:p w14:paraId="224ACD9A" w14:textId="77777777" w:rsidR="006D1F8B" w:rsidRPr="00AF2364" w:rsidRDefault="00042B2C" w:rsidP="00AF2364">
      <w:pPr>
        <w:spacing w:before="80" w:line="360" w:lineRule="auto"/>
        <w:ind w:right="680"/>
        <w:jc w:val="both"/>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lastRenderedPageBreak/>
        <w:t>Superintendencia de Sociedades. (2012). Causas de la insolvencia empresarial. Revista Superintendencia de Sociedades, no 4,  27-31.</w:t>
      </w:r>
    </w:p>
    <w:p w14:paraId="2ABE6477" w14:textId="77777777" w:rsidR="006D1F8B" w:rsidRPr="00AF2364" w:rsidRDefault="00042B2C" w:rsidP="00AF2364">
      <w:pPr>
        <w:spacing w:before="80" w:line="360" w:lineRule="auto"/>
        <w:ind w:right="680"/>
        <w:jc w:val="both"/>
        <w:rPr>
          <w:rFonts w:ascii="Times New Roman" w:eastAsia="Times New Roman" w:hAnsi="Times New Roman" w:cs="Times New Roman"/>
          <w:sz w:val="24"/>
          <w:szCs w:val="24"/>
        </w:rPr>
      </w:pPr>
      <w:r w:rsidRPr="00AF2364">
        <w:rPr>
          <w:rFonts w:ascii="Times New Roman" w:eastAsia="Times New Roman" w:hAnsi="Times New Roman" w:cs="Times New Roman"/>
          <w:sz w:val="24"/>
          <w:szCs w:val="24"/>
        </w:rPr>
        <w:t>Torres, G. L. (2015). Los derechos del acreedor garantizado y la reorganización del deudo</w:t>
      </w:r>
      <w:r w:rsidRPr="00AF2364">
        <w:rPr>
          <w:rFonts w:ascii="Times New Roman" w:eastAsia="Times New Roman" w:hAnsi="Times New Roman" w:cs="Times New Roman"/>
          <w:sz w:val="24"/>
          <w:szCs w:val="24"/>
        </w:rPr>
        <w:t>r en la ley de garantías mobiliarias . Revista de Derecho Privado, no 54, 233-269.</w:t>
      </w:r>
    </w:p>
    <w:p w14:paraId="6520E2B3" w14:textId="77777777" w:rsidR="006D1F8B" w:rsidRPr="00AF2364" w:rsidRDefault="006D1F8B" w:rsidP="00AF2364">
      <w:pPr>
        <w:spacing w:line="360" w:lineRule="auto"/>
        <w:rPr>
          <w:sz w:val="24"/>
          <w:szCs w:val="24"/>
        </w:rPr>
      </w:pPr>
    </w:p>
    <w:sectPr w:rsidR="006D1F8B" w:rsidRPr="00AF2364">
      <w:pgSz w:w="11909" w:h="16834"/>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D81967A" w14:textId="77777777" w:rsidR="00042B2C" w:rsidRDefault="00042B2C">
      <w:pPr>
        <w:spacing w:line="240" w:lineRule="auto"/>
      </w:pPr>
      <w:r>
        <w:separator/>
      </w:r>
    </w:p>
  </w:endnote>
  <w:endnote w:type="continuationSeparator" w:id="0">
    <w:p w14:paraId="2B01108C" w14:textId="77777777" w:rsidR="00042B2C" w:rsidRDefault="00042B2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A3AE257" w14:textId="77777777" w:rsidR="00042B2C" w:rsidRDefault="00042B2C">
      <w:pPr>
        <w:spacing w:line="240" w:lineRule="auto"/>
      </w:pPr>
      <w:r>
        <w:separator/>
      </w:r>
    </w:p>
  </w:footnote>
  <w:footnote w:type="continuationSeparator" w:id="0">
    <w:p w14:paraId="4C53A8B4" w14:textId="77777777" w:rsidR="00042B2C" w:rsidRDefault="00042B2C">
      <w:pPr>
        <w:spacing w:line="240" w:lineRule="auto"/>
      </w:pPr>
      <w:r>
        <w:continuationSeparator/>
      </w:r>
    </w:p>
  </w:footnote>
  <w:footnote w:id="1">
    <w:p w14:paraId="2134B227" w14:textId="77777777" w:rsidR="006D1F8B" w:rsidRDefault="00042B2C">
      <w:pPr>
        <w:spacing w:line="240" w:lineRule="auto"/>
        <w:rPr>
          <w:sz w:val="20"/>
          <w:szCs w:val="20"/>
        </w:rPr>
      </w:pPr>
      <w:r>
        <w:rPr>
          <w:vertAlign w:val="superscript"/>
        </w:rPr>
        <w:footnoteRef/>
      </w:r>
      <w:r>
        <w:rPr>
          <w:sz w:val="20"/>
          <w:szCs w:val="20"/>
        </w:rPr>
        <w:t xml:space="preserve"> Archila, J.  en: </w:t>
      </w:r>
      <w:hyperlink r:id="rId1">
        <w:r>
          <w:rPr>
            <w:color w:val="1155CC"/>
            <w:sz w:val="20"/>
            <w:szCs w:val="20"/>
            <w:u w:val="single"/>
          </w:rPr>
          <w:t>https://www.a</w:t>
        </w:r>
        <w:r>
          <w:rPr>
            <w:color w:val="1155CC"/>
            <w:sz w:val="20"/>
            <w:szCs w:val="20"/>
            <w:u w:val="single"/>
          </w:rPr>
          <w:t>suntoslegales.com.co/consultorio/breves-consideraciones-sobre-el-regimen-de-insolvencia-en-colombia-2794924</w:t>
        </w:r>
      </w:hyperlink>
      <w:r>
        <w:rPr>
          <w:sz w:val="20"/>
          <w:szCs w:val="20"/>
        </w:rPr>
        <w:t xml:space="preserve"> </w:t>
      </w:r>
    </w:p>
  </w:footnote>
  <w:footnote w:id="2">
    <w:p w14:paraId="7DA35256" w14:textId="77777777" w:rsidR="006D1F8B" w:rsidRDefault="00042B2C">
      <w:pPr>
        <w:spacing w:line="240" w:lineRule="auto"/>
        <w:rPr>
          <w:sz w:val="20"/>
          <w:szCs w:val="20"/>
        </w:rPr>
      </w:pPr>
      <w:r>
        <w:rPr>
          <w:vertAlign w:val="superscript"/>
        </w:rPr>
        <w:footnoteRef/>
      </w:r>
      <w:r>
        <w:rPr>
          <w:sz w:val="20"/>
          <w:szCs w:val="20"/>
        </w:rPr>
        <w:t xml:space="preserve"> Decreto 560 de 2020. En la parte introductoria del Decreto se encuentra la exposición de motivos que permite entender de mejor forma los interese</w:t>
      </w:r>
      <w:r>
        <w:rPr>
          <w:sz w:val="20"/>
          <w:szCs w:val="20"/>
        </w:rPr>
        <w:t>s del Estado en esta materia.</w:t>
      </w:r>
    </w:p>
  </w:footnote>
  <w:footnote w:id="3">
    <w:p w14:paraId="7D9ABB14" w14:textId="77777777" w:rsidR="006D1F8B" w:rsidRDefault="00042B2C">
      <w:pPr>
        <w:spacing w:line="240" w:lineRule="auto"/>
        <w:rPr>
          <w:sz w:val="20"/>
          <w:szCs w:val="20"/>
        </w:rPr>
      </w:pPr>
      <w:r>
        <w:rPr>
          <w:vertAlign w:val="superscript"/>
        </w:rPr>
        <w:footnoteRef/>
      </w:r>
      <w:r>
        <w:rPr>
          <w:sz w:val="20"/>
          <w:szCs w:val="20"/>
        </w:rPr>
        <w:t xml:space="preserve"> Es claro que en el giro ordinario de los negocios y ante un escenario económico “normal” el interés del empresario más que salvar su empresa quiere que la misma crezca y protegerla.</w:t>
      </w:r>
    </w:p>
  </w:footnote>
  <w:footnote w:id="4">
    <w:p w14:paraId="3407E8A0" w14:textId="77777777" w:rsidR="006D1F8B" w:rsidRDefault="00042B2C">
      <w:pPr>
        <w:spacing w:line="240" w:lineRule="auto"/>
        <w:rPr>
          <w:sz w:val="20"/>
          <w:szCs w:val="20"/>
        </w:rPr>
      </w:pPr>
      <w:r>
        <w:rPr>
          <w:vertAlign w:val="superscript"/>
        </w:rPr>
        <w:footnoteRef/>
      </w:r>
      <w:r>
        <w:rPr>
          <w:sz w:val="20"/>
          <w:szCs w:val="20"/>
        </w:rPr>
        <w:t xml:space="preserve"> Constitución Política de 1991. Referido al Preámbulo y arts. 1, 2, 4, 333 y ss.</w:t>
      </w:r>
    </w:p>
  </w:footnote>
  <w:footnote w:id="5">
    <w:p w14:paraId="2E740D6E" w14:textId="77777777" w:rsidR="006D1F8B" w:rsidRDefault="00042B2C">
      <w:pPr>
        <w:spacing w:line="240" w:lineRule="auto"/>
        <w:rPr>
          <w:sz w:val="20"/>
          <w:szCs w:val="20"/>
        </w:rPr>
      </w:pPr>
      <w:r>
        <w:rPr>
          <w:vertAlign w:val="superscript"/>
        </w:rPr>
        <w:footnoteRef/>
      </w:r>
      <w:r>
        <w:rPr>
          <w:sz w:val="20"/>
          <w:szCs w:val="20"/>
        </w:rPr>
        <w:t xml:space="preserve"> Cossio Díaz, J. (2014).  Derecho y Análisis Económico. Fondo de Cultura Económica. Pág. 13.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1674F2"/>
    <w:multiLevelType w:val="multilevel"/>
    <w:tmpl w:val="4F34DC0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238B410F"/>
    <w:multiLevelType w:val="multilevel"/>
    <w:tmpl w:val="1D5A4E3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62035912"/>
    <w:multiLevelType w:val="multilevel"/>
    <w:tmpl w:val="8E607D8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1F8B"/>
    <w:rsid w:val="00040F29"/>
    <w:rsid w:val="00042B2C"/>
    <w:rsid w:val="004442AB"/>
    <w:rsid w:val="006D1F8B"/>
    <w:rsid w:val="009D6022"/>
    <w:rsid w:val="00AB49DC"/>
    <w:rsid w:val="00AF2364"/>
    <w:rsid w:val="00CF2D7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0AF817"/>
  <w15:docId w15:val="{CD8BAB59-D35E-4D45-AB9A-61FE4AF9B3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Arial" w:hAnsi="Arial" w:cs="Arial"/>
        <w:sz w:val="22"/>
        <w:szCs w:val="22"/>
        <w:lang w:val="es" w:eastAsia="es-CO"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00" w:after="120"/>
      <w:outlineLvl w:val="0"/>
    </w:pPr>
    <w:rPr>
      <w:sz w:val="40"/>
      <w:szCs w:val="40"/>
    </w:rPr>
  </w:style>
  <w:style w:type="paragraph" w:styleId="Ttulo2">
    <w:name w:val="heading 2"/>
    <w:basedOn w:val="Normal"/>
    <w:next w:val="Normal"/>
    <w:uiPriority w:val="9"/>
    <w:semiHidden/>
    <w:unhideWhenUsed/>
    <w:qFormat/>
    <w:pPr>
      <w:keepNext/>
      <w:keepLines/>
      <w:spacing w:before="360" w:after="120"/>
      <w:outlineLvl w:val="1"/>
    </w:pPr>
    <w:rPr>
      <w:sz w:val="32"/>
      <w:szCs w:val="32"/>
    </w:rPr>
  </w:style>
  <w:style w:type="paragraph" w:styleId="Ttulo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Ttulo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Ttulo5">
    <w:name w:val="heading 5"/>
    <w:basedOn w:val="Normal"/>
    <w:next w:val="Normal"/>
    <w:uiPriority w:val="9"/>
    <w:semiHidden/>
    <w:unhideWhenUsed/>
    <w:qFormat/>
    <w:pPr>
      <w:keepNext/>
      <w:keepLines/>
      <w:spacing w:before="240" w:after="80"/>
      <w:outlineLvl w:val="4"/>
    </w:pPr>
    <w:rPr>
      <w:color w:val="666666"/>
    </w:rPr>
  </w:style>
  <w:style w:type="paragraph" w:styleId="Ttulo6">
    <w:name w:val="heading 6"/>
    <w:basedOn w:val="Normal"/>
    <w:next w:val="Normal"/>
    <w:uiPriority w:val="9"/>
    <w:semiHidden/>
    <w:unhideWhenUsed/>
    <w:qFormat/>
    <w:pPr>
      <w:keepNext/>
      <w:keepLines/>
      <w:spacing w:before="240" w:after="80"/>
      <w:outlineLvl w:val="5"/>
    </w:pPr>
    <w:rPr>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after="60"/>
    </w:pPr>
    <w:rPr>
      <w:sz w:val="52"/>
      <w:szCs w:val="52"/>
    </w:rPr>
  </w:style>
  <w:style w:type="paragraph" w:styleId="Subttulo">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paragraph" w:styleId="Prrafodelista">
    <w:name w:val="List Paragraph"/>
    <w:basedOn w:val="Normal"/>
    <w:uiPriority w:val="34"/>
    <w:qFormat/>
    <w:rsid w:val="009D602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s://www.asuntoslegales.com.co/consultorio/breves-consideraciones-sobre-el-regimen-de-insolvencia-en-colombia-279492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13</TotalTime>
  <Pages>15</Pages>
  <Words>3155</Words>
  <Characters>17354</Characters>
  <Application>Microsoft Office Word</Application>
  <DocSecurity>0</DocSecurity>
  <Lines>144</Lines>
  <Paragraphs>40</Paragraphs>
  <ScaleCrop>false</ScaleCrop>
  <Company/>
  <LinksUpToDate>false</LinksUpToDate>
  <CharactersWithSpaces>20469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Nicolás Portilla Vargas</cp:lastModifiedBy>
  <cp:revision>11</cp:revision>
  <dcterms:created xsi:type="dcterms:W3CDTF">2020-05-01T21:20:00Z</dcterms:created>
  <dcterms:modified xsi:type="dcterms:W3CDTF">2020-05-01T21:49:00Z</dcterms:modified>
</cp:coreProperties>
</file>