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BFE66D" w14:textId="77777777" w:rsidR="00A6550B" w:rsidRPr="00C51E5B" w:rsidRDefault="00A6550B" w:rsidP="00905066">
      <w:pPr>
        <w:spacing w:line="240" w:lineRule="auto"/>
        <w:jc w:val="center"/>
        <w:rPr>
          <w:rFonts w:ascii="Arial" w:hAnsi="Arial" w:cs="Arial"/>
          <w:b/>
          <w:sz w:val="24"/>
          <w:szCs w:val="24"/>
        </w:rPr>
      </w:pPr>
    </w:p>
    <w:p w14:paraId="4CF7ADC7" w14:textId="77777777" w:rsidR="00A6550B"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ANGELA CAROLINA MAYORGA SASTOQUE</w:t>
      </w:r>
    </w:p>
    <w:p w14:paraId="1F4ADE94" w14:textId="0AD2CE5A" w:rsidR="00A6550B" w:rsidRDefault="00A6550B" w:rsidP="00905066">
      <w:pPr>
        <w:spacing w:line="240" w:lineRule="auto"/>
        <w:rPr>
          <w:rFonts w:ascii="Arial" w:hAnsi="Arial" w:cs="Arial"/>
          <w:b/>
          <w:sz w:val="24"/>
          <w:szCs w:val="24"/>
        </w:rPr>
      </w:pPr>
    </w:p>
    <w:p w14:paraId="5442FA8E" w14:textId="28930BB4" w:rsidR="00905066" w:rsidRDefault="00905066" w:rsidP="00905066">
      <w:pPr>
        <w:spacing w:line="240" w:lineRule="auto"/>
        <w:rPr>
          <w:rFonts w:ascii="Arial" w:hAnsi="Arial" w:cs="Arial"/>
          <w:b/>
          <w:sz w:val="24"/>
          <w:szCs w:val="24"/>
        </w:rPr>
      </w:pPr>
    </w:p>
    <w:p w14:paraId="2C34C45F" w14:textId="7F5E2B07" w:rsidR="00905066" w:rsidRDefault="00905066" w:rsidP="00905066">
      <w:pPr>
        <w:spacing w:line="240" w:lineRule="auto"/>
        <w:rPr>
          <w:rFonts w:ascii="Arial" w:hAnsi="Arial" w:cs="Arial"/>
          <w:b/>
          <w:sz w:val="24"/>
          <w:szCs w:val="24"/>
        </w:rPr>
      </w:pPr>
    </w:p>
    <w:p w14:paraId="5AA5A66D" w14:textId="77777777" w:rsidR="00905066" w:rsidRPr="00C51E5B" w:rsidRDefault="00905066" w:rsidP="00905066">
      <w:pPr>
        <w:spacing w:line="240" w:lineRule="auto"/>
        <w:rPr>
          <w:rFonts w:ascii="Arial" w:hAnsi="Arial" w:cs="Arial"/>
          <w:b/>
          <w:sz w:val="24"/>
          <w:szCs w:val="24"/>
        </w:rPr>
      </w:pPr>
    </w:p>
    <w:p w14:paraId="164993E8" w14:textId="77777777" w:rsidR="00A6550B" w:rsidRPr="00C51E5B" w:rsidRDefault="00A6550B" w:rsidP="00905066">
      <w:pPr>
        <w:spacing w:line="240" w:lineRule="auto"/>
        <w:jc w:val="center"/>
        <w:rPr>
          <w:rFonts w:ascii="Arial" w:hAnsi="Arial" w:cs="Arial"/>
          <w:b/>
          <w:bCs/>
          <w:sz w:val="24"/>
          <w:szCs w:val="24"/>
        </w:rPr>
      </w:pPr>
    </w:p>
    <w:p w14:paraId="1FBBF157" w14:textId="77777777" w:rsidR="00A6550B" w:rsidRPr="00C51E5B" w:rsidRDefault="00A6550B" w:rsidP="00905066">
      <w:pPr>
        <w:pStyle w:val="Prrafodelista"/>
        <w:spacing w:line="240" w:lineRule="auto"/>
        <w:ind w:left="0"/>
        <w:jc w:val="center"/>
        <w:rPr>
          <w:rFonts w:ascii="Arial" w:hAnsi="Arial" w:cs="Arial"/>
          <w:b/>
          <w:bCs/>
          <w:sz w:val="24"/>
          <w:szCs w:val="24"/>
        </w:rPr>
      </w:pPr>
      <w:r w:rsidRPr="00C51E5B">
        <w:rPr>
          <w:rFonts w:ascii="Arial" w:hAnsi="Arial" w:cs="Arial"/>
          <w:b/>
          <w:bCs/>
          <w:sz w:val="24"/>
          <w:szCs w:val="24"/>
        </w:rPr>
        <w:t>Desafíos jurídicos en la implementación de energías renovables en Colombia, en procura de los objetivos de Desarrollo Sostenible ODS 7 Y 13.</w:t>
      </w:r>
    </w:p>
    <w:p w14:paraId="184C95FF" w14:textId="77777777" w:rsidR="00A6550B" w:rsidRPr="00C51E5B" w:rsidRDefault="00A6550B" w:rsidP="00905066">
      <w:pPr>
        <w:spacing w:line="240" w:lineRule="auto"/>
        <w:rPr>
          <w:rFonts w:ascii="Arial" w:hAnsi="Arial" w:cs="Arial"/>
          <w:b/>
          <w:sz w:val="24"/>
          <w:szCs w:val="24"/>
        </w:rPr>
      </w:pPr>
    </w:p>
    <w:p w14:paraId="4D231527" w14:textId="449B2688" w:rsidR="00A6550B" w:rsidRDefault="00A6550B" w:rsidP="00905066">
      <w:pPr>
        <w:spacing w:line="240" w:lineRule="auto"/>
        <w:jc w:val="center"/>
        <w:rPr>
          <w:rFonts w:ascii="Arial" w:hAnsi="Arial" w:cs="Arial"/>
          <w:b/>
          <w:sz w:val="24"/>
          <w:szCs w:val="24"/>
        </w:rPr>
      </w:pPr>
    </w:p>
    <w:p w14:paraId="0F21FC23" w14:textId="77777777" w:rsidR="00905066" w:rsidRPr="00C51E5B" w:rsidRDefault="00905066" w:rsidP="00905066">
      <w:pPr>
        <w:spacing w:line="240" w:lineRule="auto"/>
        <w:jc w:val="center"/>
        <w:rPr>
          <w:rFonts w:ascii="Arial" w:hAnsi="Arial" w:cs="Arial"/>
          <w:b/>
          <w:sz w:val="24"/>
          <w:szCs w:val="24"/>
        </w:rPr>
      </w:pPr>
    </w:p>
    <w:p w14:paraId="77641656" w14:textId="77777777" w:rsidR="00A6550B" w:rsidRPr="00C51E5B" w:rsidRDefault="00A6550B" w:rsidP="00905066">
      <w:pPr>
        <w:spacing w:line="240" w:lineRule="auto"/>
        <w:rPr>
          <w:rFonts w:ascii="Arial" w:hAnsi="Arial" w:cs="Arial"/>
          <w:b/>
          <w:sz w:val="24"/>
          <w:szCs w:val="24"/>
        </w:rPr>
      </w:pPr>
    </w:p>
    <w:p w14:paraId="55B9C7D1" w14:textId="77777777" w:rsidR="00A6550B" w:rsidRPr="00C51E5B" w:rsidRDefault="00A6550B" w:rsidP="00905066">
      <w:pPr>
        <w:spacing w:line="240" w:lineRule="auto"/>
        <w:jc w:val="center"/>
        <w:rPr>
          <w:rFonts w:ascii="Arial" w:hAnsi="Arial" w:cs="Arial"/>
          <w:b/>
          <w:sz w:val="24"/>
          <w:szCs w:val="24"/>
        </w:rPr>
      </w:pPr>
    </w:p>
    <w:p w14:paraId="53339064" w14:textId="77777777" w:rsidR="00A6550B"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DR. JUAN CARLOS SOSA.</w:t>
      </w:r>
    </w:p>
    <w:p w14:paraId="2261428E" w14:textId="63D5D8F6" w:rsidR="00A6550B"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Docente Director Trabajo de Grado</w:t>
      </w:r>
    </w:p>
    <w:p w14:paraId="08431788" w14:textId="1DF13700" w:rsidR="00A6550B" w:rsidRPr="00C51E5B" w:rsidRDefault="00A6550B" w:rsidP="00905066">
      <w:pPr>
        <w:spacing w:line="240" w:lineRule="auto"/>
        <w:jc w:val="center"/>
        <w:rPr>
          <w:rFonts w:ascii="Arial" w:hAnsi="Arial" w:cs="Arial"/>
          <w:b/>
          <w:sz w:val="24"/>
          <w:szCs w:val="24"/>
        </w:rPr>
      </w:pPr>
    </w:p>
    <w:p w14:paraId="147424BA" w14:textId="25D27E31" w:rsidR="00AD6D46" w:rsidRDefault="00AD6D46" w:rsidP="00905066">
      <w:pPr>
        <w:spacing w:line="240" w:lineRule="auto"/>
        <w:jc w:val="center"/>
        <w:rPr>
          <w:rFonts w:ascii="Arial" w:hAnsi="Arial" w:cs="Arial"/>
          <w:b/>
          <w:sz w:val="24"/>
          <w:szCs w:val="24"/>
        </w:rPr>
      </w:pPr>
    </w:p>
    <w:p w14:paraId="173FEF7A" w14:textId="77777777" w:rsidR="00905066" w:rsidRPr="00C51E5B" w:rsidRDefault="00905066" w:rsidP="00905066">
      <w:pPr>
        <w:spacing w:line="240" w:lineRule="auto"/>
        <w:jc w:val="center"/>
        <w:rPr>
          <w:rFonts w:ascii="Arial" w:hAnsi="Arial" w:cs="Arial"/>
          <w:b/>
          <w:sz w:val="24"/>
          <w:szCs w:val="24"/>
        </w:rPr>
      </w:pPr>
    </w:p>
    <w:p w14:paraId="10EA7CFF" w14:textId="708E436A" w:rsidR="00A6550B" w:rsidRDefault="00A6550B" w:rsidP="00905066">
      <w:pPr>
        <w:spacing w:line="240" w:lineRule="auto"/>
        <w:jc w:val="center"/>
        <w:rPr>
          <w:rFonts w:ascii="Arial" w:hAnsi="Arial" w:cs="Arial"/>
          <w:b/>
          <w:sz w:val="24"/>
          <w:szCs w:val="24"/>
        </w:rPr>
      </w:pPr>
    </w:p>
    <w:p w14:paraId="1CBD234F" w14:textId="77777777" w:rsidR="00905066" w:rsidRDefault="00905066" w:rsidP="00905066">
      <w:pPr>
        <w:spacing w:line="240" w:lineRule="auto"/>
        <w:jc w:val="center"/>
        <w:rPr>
          <w:rFonts w:ascii="Arial" w:hAnsi="Arial" w:cs="Arial"/>
          <w:b/>
          <w:sz w:val="24"/>
          <w:szCs w:val="24"/>
        </w:rPr>
      </w:pPr>
    </w:p>
    <w:p w14:paraId="5E0DC3A1" w14:textId="5116E5A2" w:rsidR="00905066" w:rsidRDefault="00905066" w:rsidP="00905066">
      <w:pPr>
        <w:spacing w:line="240" w:lineRule="auto"/>
        <w:jc w:val="center"/>
        <w:rPr>
          <w:rFonts w:ascii="Arial" w:hAnsi="Arial" w:cs="Arial"/>
          <w:b/>
          <w:sz w:val="24"/>
          <w:szCs w:val="24"/>
        </w:rPr>
      </w:pPr>
    </w:p>
    <w:p w14:paraId="76745223" w14:textId="67800432" w:rsidR="00905066" w:rsidRDefault="00905066" w:rsidP="00905066">
      <w:pPr>
        <w:spacing w:line="240" w:lineRule="auto"/>
        <w:jc w:val="center"/>
        <w:rPr>
          <w:rFonts w:ascii="Arial" w:hAnsi="Arial" w:cs="Arial"/>
          <w:b/>
          <w:sz w:val="24"/>
          <w:szCs w:val="24"/>
        </w:rPr>
      </w:pPr>
    </w:p>
    <w:p w14:paraId="352DD931" w14:textId="77777777" w:rsidR="00905066" w:rsidRPr="00C51E5B" w:rsidRDefault="00905066" w:rsidP="00905066">
      <w:pPr>
        <w:spacing w:line="240" w:lineRule="auto"/>
        <w:jc w:val="center"/>
        <w:rPr>
          <w:rFonts w:ascii="Arial" w:hAnsi="Arial" w:cs="Arial"/>
          <w:b/>
          <w:sz w:val="24"/>
          <w:szCs w:val="24"/>
        </w:rPr>
      </w:pPr>
    </w:p>
    <w:p w14:paraId="0ECA0C25" w14:textId="77777777" w:rsidR="00A6550B"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MAESTRÍA EN DERECHO ADMINISTRATIVO</w:t>
      </w:r>
    </w:p>
    <w:p w14:paraId="7840A22F" w14:textId="77777777" w:rsidR="00A6550B"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FACULTAD DE CIENCIAS JURÍDICAS Y POLÍTICAS</w:t>
      </w:r>
    </w:p>
    <w:p w14:paraId="4DC833F9" w14:textId="3AF1FD46" w:rsidR="00905066" w:rsidRDefault="00A6550B" w:rsidP="00905066">
      <w:pPr>
        <w:spacing w:line="240" w:lineRule="auto"/>
        <w:jc w:val="center"/>
        <w:rPr>
          <w:rFonts w:ascii="Arial" w:hAnsi="Arial" w:cs="Arial"/>
          <w:b/>
          <w:sz w:val="24"/>
          <w:szCs w:val="24"/>
        </w:rPr>
      </w:pPr>
      <w:r w:rsidRPr="00C51E5B">
        <w:rPr>
          <w:rFonts w:ascii="Arial" w:hAnsi="Arial" w:cs="Arial"/>
          <w:b/>
          <w:sz w:val="24"/>
          <w:szCs w:val="24"/>
        </w:rPr>
        <w:t xml:space="preserve"> UNIVERSIDAD SANTO TOMÁS</w:t>
      </w:r>
    </w:p>
    <w:p w14:paraId="3079F4E9" w14:textId="0EAE3F89" w:rsidR="00AD6D46" w:rsidRPr="00C51E5B" w:rsidRDefault="00A6550B" w:rsidP="00905066">
      <w:pPr>
        <w:spacing w:line="240" w:lineRule="auto"/>
        <w:jc w:val="center"/>
        <w:rPr>
          <w:rFonts w:ascii="Arial" w:hAnsi="Arial" w:cs="Arial"/>
          <w:b/>
          <w:sz w:val="24"/>
          <w:szCs w:val="24"/>
        </w:rPr>
      </w:pPr>
      <w:r w:rsidRPr="00C51E5B">
        <w:rPr>
          <w:rFonts w:ascii="Arial" w:hAnsi="Arial" w:cs="Arial"/>
          <w:b/>
          <w:sz w:val="24"/>
          <w:szCs w:val="24"/>
        </w:rPr>
        <w:t>2024</w:t>
      </w:r>
    </w:p>
    <w:sdt>
      <w:sdtPr>
        <w:rPr>
          <w:rFonts w:ascii="Arial" w:eastAsiaTheme="minorHAnsi" w:hAnsi="Arial" w:cs="Arial"/>
          <w:bCs w:val="0"/>
          <w:color w:val="auto"/>
          <w:kern w:val="2"/>
          <w:sz w:val="24"/>
          <w:szCs w:val="24"/>
          <w:lang w:val="es-ES" w:eastAsia="en-US"/>
          <w14:ligatures w14:val="standardContextual"/>
        </w:rPr>
        <w:id w:val="-317186050"/>
        <w:docPartObj>
          <w:docPartGallery w:val="Table of Contents"/>
          <w:docPartUnique/>
        </w:docPartObj>
      </w:sdtPr>
      <w:sdtEndPr>
        <w:rPr>
          <w:b/>
          <w:noProof/>
          <w:lang w:val="es-CO"/>
        </w:rPr>
      </w:sdtEndPr>
      <w:sdtContent>
        <w:p w14:paraId="3128704D" w14:textId="06012FA0" w:rsidR="00191AE8" w:rsidRPr="00905066" w:rsidRDefault="00191AE8" w:rsidP="00905066">
          <w:pPr>
            <w:pStyle w:val="TtuloTDC"/>
            <w:spacing w:line="240" w:lineRule="auto"/>
            <w:rPr>
              <w:rFonts w:ascii="Arial" w:hAnsi="Arial" w:cs="Arial"/>
              <w:sz w:val="24"/>
              <w:szCs w:val="24"/>
            </w:rPr>
          </w:pPr>
          <w:r w:rsidRPr="00905066">
            <w:rPr>
              <w:rFonts w:ascii="Arial" w:hAnsi="Arial" w:cs="Arial"/>
              <w:sz w:val="24"/>
              <w:szCs w:val="24"/>
              <w:lang w:val="es-ES"/>
            </w:rPr>
            <w:t>Tabla de contenido</w:t>
          </w:r>
        </w:p>
        <w:p w14:paraId="0B39F030" w14:textId="0D30D36A" w:rsidR="00606BB4" w:rsidRPr="00905066" w:rsidRDefault="00191AE8"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r w:rsidRPr="00905066">
            <w:rPr>
              <w:rFonts w:ascii="Arial" w:hAnsi="Arial" w:cs="Arial"/>
              <w:b w:val="0"/>
              <w:bCs w:val="0"/>
              <w:sz w:val="24"/>
              <w:szCs w:val="24"/>
            </w:rPr>
            <w:fldChar w:fldCharType="begin"/>
          </w:r>
          <w:r w:rsidRPr="00905066">
            <w:rPr>
              <w:rFonts w:ascii="Arial" w:hAnsi="Arial" w:cs="Arial"/>
              <w:b w:val="0"/>
              <w:sz w:val="24"/>
              <w:szCs w:val="24"/>
            </w:rPr>
            <w:instrText>TOC \o "1-3" \h \z \u</w:instrText>
          </w:r>
          <w:r w:rsidRPr="00905066">
            <w:rPr>
              <w:rFonts w:ascii="Arial" w:hAnsi="Arial" w:cs="Arial"/>
              <w:b w:val="0"/>
              <w:bCs w:val="0"/>
              <w:sz w:val="24"/>
              <w:szCs w:val="24"/>
            </w:rPr>
            <w:fldChar w:fldCharType="separate"/>
          </w:r>
          <w:hyperlink w:anchor="_Toc178883898" w:history="1">
            <w:r w:rsidR="00606BB4" w:rsidRPr="00905066">
              <w:rPr>
                <w:rStyle w:val="Hipervnculo"/>
                <w:rFonts w:ascii="Arial" w:hAnsi="Arial" w:cs="Arial"/>
                <w:b w:val="0"/>
                <w:noProof/>
                <w:sz w:val="24"/>
                <w:szCs w:val="24"/>
              </w:rPr>
              <w:t>Introducción (Objetivo General y Objetivo Específico 1),</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_Toc178883898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3</w:t>
            </w:r>
            <w:r w:rsidR="00606BB4" w:rsidRPr="00905066">
              <w:rPr>
                <w:rFonts w:ascii="Arial" w:hAnsi="Arial" w:cs="Arial"/>
                <w:b w:val="0"/>
                <w:noProof/>
                <w:webHidden/>
                <w:sz w:val="24"/>
                <w:szCs w:val="24"/>
              </w:rPr>
              <w:fldChar w:fldCharType="end"/>
            </w:r>
          </w:hyperlink>
        </w:p>
        <w:p w14:paraId="48C0082D" w14:textId="0C271B02"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899" w:history="1">
            <w:r w:rsidR="00606BB4" w:rsidRPr="00905066">
              <w:rPr>
                <w:rStyle w:val="Hipervnculo"/>
                <w:rFonts w:ascii="Arial" w:hAnsi="Arial" w:cs="Arial"/>
                <w:b w:val="0"/>
                <w:noProof/>
                <w:sz w:val="24"/>
                <w:szCs w:val="24"/>
              </w:rPr>
              <w:t>Normatividad actual en Colombia relacionada con las energías renovables o alternativas, que hacen referencia a los Objetivos de desarrollo Sostenible (ODS) 7 y 13) (Objetivo Específico 1)</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_Toc178883899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10</w:t>
            </w:r>
            <w:r w:rsidR="00606BB4" w:rsidRPr="00905066">
              <w:rPr>
                <w:rFonts w:ascii="Arial" w:hAnsi="Arial" w:cs="Arial"/>
                <w:b w:val="0"/>
                <w:noProof/>
                <w:webHidden/>
                <w:sz w:val="24"/>
                <w:szCs w:val="24"/>
              </w:rPr>
              <w:fldChar w:fldCharType="end"/>
            </w:r>
          </w:hyperlink>
        </w:p>
        <w:p w14:paraId="0A067CAB" w14:textId="68F975DD"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0" w:history="1">
            <w:r w:rsidR="00606BB4" w:rsidRPr="00905066">
              <w:rPr>
                <w:rStyle w:val="Hipervnculo"/>
                <w:rFonts w:ascii="Arial" w:hAnsi="Arial" w:cs="Arial"/>
                <w:noProof/>
                <w:sz w:val="24"/>
                <w:szCs w:val="24"/>
              </w:rPr>
              <w:t>Ley 1715 de 2014</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_Toc178883900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12</w:t>
            </w:r>
            <w:r w:rsidR="00606BB4" w:rsidRPr="00905066">
              <w:rPr>
                <w:rFonts w:ascii="Arial" w:hAnsi="Arial" w:cs="Arial"/>
                <w:noProof/>
                <w:webHidden/>
                <w:sz w:val="24"/>
                <w:szCs w:val="24"/>
              </w:rPr>
              <w:fldChar w:fldCharType="end"/>
            </w:r>
          </w:hyperlink>
        </w:p>
        <w:p w14:paraId="35E96930" w14:textId="1F8A9470"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1" w:history="1">
            <w:r w:rsidR="00606BB4" w:rsidRPr="00905066">
              <w:rPr>
                <w:rStyle w:val="Hipervnculo"/>
                <w:rFonts w:ascii="Arial" w:hAnsi="Arial" w:cs="Arial"/>
                <w:noProof/>
                <w:sz w:val="24"/>
                <w:szCs w:val="24"/>
              </w:rPr>
              <w:t>Decreto 2143 de 2015</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_Toc178883901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13</w:t>
            </w:r>
            <w:r w:rsidR="00606BB4" w:rsidRPr="00905066">
              <w:rPr>
                <w:rFonts w:ascii="Arial" w:hAnsi="Arial" w:cs="Arial"/>
                <w:noProof/>
                <w:webHidden/>
                <w:sz w:val="24"/>
                <w:szCs w:val="24"/>
              </w:rPr>
              <w:fldChar w:fldCharType="end"/>
            </w:r>
          </w:hyperlink>
        </w:p>
        <w:p w14:paraId="567531B3" w14:textId="2BB5AFAA"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2" w:history="1">
            <w:r w:rsidR="00606BB4" w:rsidRPr="00905066">
              <w:rPr>
                <w:rStyle w:val="Hipervnculo"/>
                <w:rFonts w:ascii="Arial" w:hAnsi="Arial" w:cs="Arial"/>
                <w:noProof/>
                <w:sz w:val="24"/>
                <w:szCs w:val="24"/>
              </w:rPr>
              <w:t>Resolución 030 de 2018</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_Toc178883902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13</w:t>
            </w:r>
            <w:r w:rsidR="00606BB4" w:rsidRPr="00905066">
              <w:rPr>
                <w:rFonts w:ascii="Arial" w:hAnsi="Arial" w:cs="Arial"/>
                <w:noProof/>
                <w:webHidden/>
                <w:sz w:val="24"/>
                <w:szCs w:val="24"/>
              </w:rPr>
              <w:fldChar w:fldCharType="end"/>
            </w:r>
          </w:hyperlink>
        </w:p>
        <w:p w14:paraId="69008301" w14:textId="184280D8"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3" w:history="1">
            <w:r w:rsidR="00606BB4" w:rsidRPr="00905066">
              <w:rPr>
                <w:rStyle w:val="Hipervnculo"/>
                <w:rFonts w:ascii="Arial" w:hAnsi="Arial" w:cs="Arial"/>
                <w:noProof/>
                <w:sz w:val="24"/>
                <w:szCs w:val="24"/>
              </w:rPr>
              <w:t>Resolución 038-2018 CREG.</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_Toc178883903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13</w:t>
            </w:r>
            <w:r w:rsidR="00606BB4" w:rsidRPr="00905066">
              <w:rPr>
                <w:rFonts w:ascii="Arial" w:hAnsi="Arial" w:cs="Arial"/>
                <w:noProof/>
                <w:webHidden/>
                <w:sz w:val="24"/>
                <w:szCs w:val="24"/>
              </w:rPr>
              <w:fldChar w:fldCharType="end"/>
            </w:r>
          </w:hyperlink>
        </w:p>
        <w:p w14:paraId="53AEBB8B" w14:textId="1E173080"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4" w:history="1">
            <w:r w:rsidR="00606BB4" w:rsidRPr="00905066">
              <w:rPr>
                <w:rStyle w:val="Hipervnculo"/>
                <w:rFonts w:ascii="Arial" w:hAnsi="Arial" w:cs="Arial"/>
                <w:noProof/>
                <w:sz w:val="24"/>
                <w:szCs w:val="24"/>
              </w:rPr>
              <w:t>Aspectos Clave de la Resolución 038-2018 CREG:</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_Toc178883904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14</w:t>
            </w:r>
            <w:r w:rsidR="00606BB4" w:rsidRPr="00905066">
              <w:rPr>
                <w:rFonts w:ascii="Arial" w:hAnsi="Arial" w:cs="Arial"/>
                <w:noProof/>
                <w:webHidden/>
                <w:sz w:val="24"/>
                <w:szCs w:val="24"/>
              </w:rPr>
              <w:fldChar w:fldCharType="end"/>
            </w:r>
          </w:hyperlink>
        </w:p>
        <w:p w14:paraId="715D98D6" w14:textId="7E58FB92"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5" w:history="1">
            <w:r w:rsidR="00606BB4" w:rsidRPr="00905066">
              <w:rPr>
                <w:rStyle w:val="Hipervnculo"/>
                <w:rFonts w:ascii="Arial" w:hAnsi="Arial" w:cs="Arial"/>
                <w:noProof/>
                <w:sz w:val="24"/>
                <w:szCs w:val="24"/>
              </w:rPr>
              <w:t>Ley 2099 de 2021</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_Toc178883905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15</w:t>
            </w:r>
            <w:r w:rsidR="00606BB4" w:rsidRPr="00905066">
              <w:rPr>
                <w:rFonts w:ascii="Arial" w:hAnsi="Arial" w:cs="Arial"/>
                <w:noProof/>
                <w:webHidden/>
                <w:sz w:val="24"/>
                <w:szCs w:val="24"/>
              </w:rPr>
              <w:fldChar w:fldCharType="end"/>
            </w:r>
          </w:hyperlink>
        </w:p>
        <w:p w14:paraId="2EBD45AD" w14:textId="2E8A558A"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6" w:history="1">
            <w:r w:rsidR="00606BB4" w:rsidRPr="00905066">
              <w:rPr>
                <w:rStyle w:val="Hipervnculo"/>
                <w:rFonts w:ascii="Arial" w:hAnsi="Arial" w:cs="Arial"/>
                <w:noProof/>
                <w:sz w:val="24"/>
                <w:szCs w:val="24"/>
              </w:rPr>
              <w:t>Decreto 1476 de 2022.</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_Toc178883906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16</w:t>
            </w:r>
            <w:r w:rsidR="00606BB4" w:rsidRPr="00905066">
              <w:rPr>
                <w:rFonts w:ascii="Arial" w:hAnsi="Arial" w:cs="Arial"/>
                <w:noProof/>
                <w:webHidden/>
                <w:sz w:val="24"/>
                <w:szCs w:val="24"/>
              </w:rPr>
              <w:fldChar w:fldCharType="end"/>
            </w:r>
          </w:hyperlink>
        </w:p>
        <w:p w14:paraId="2E26C21C" w14:textId="54EACC9D"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7" w:history="1">
            <w:r w:rsidR="00606BB4" w:rsidRPr="00905066">
              <w:rPr>
                <w:rStyle w:val="Hipervnculo"/>
                <w:rFonts w:ascii="Arial" w:hAnsi="Arial" w:cs="Arial"/>
                <w:noProof/>
                <w:sz w:val="24"/>
                <w:szCs w:val="24"/>
              </w:rPr>
              <w:t>Ley 2162 de 2021</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_Toc178883907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16</w:t>
            </w:r>
            <w:r w:rsidR="00606BB4" w:rsidRPr="00905066">
              <w:rPr>
                <w:rFonts w:ascii="Arial" w:hAnsi="Arial" w:cs="Arial"/>
                <w:noProof/>
                <w:webHidden/>
                <w:sz w:val="24"/>
                <w:szCs w:val="24"/>
              </w:rPr>
              <w:fldChar w:fldCharType="end"/>
            </w:r>
          </w:hyperlink>
        </w:p>
        <w:p w14:paraId="1FF171DC" w14:textId="42C22442"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8" w:history="1">
            <w:r w:rsidR="00606BB4" w:rsidRPr="00905066">
              <w:rPr>
                <w:rStyle w:val="Hipervnculo"/>
                <w:rFonts w:ascii="Arial" w:hAnsi="Arial" w:cs="Arial"/>
                <w:noProof/>
                <w:sz w:val="24"/>
                <w:szCs w:val="24"/>
              </w:rPr>
              <w:t>Ley 1931 de 2018</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_Toc178883908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16</w:t>
            </w:r>
            <w:r w:rsidR="00606BB4" w:rsidRPr="00905066">
              <w:rPr>
                <w:rFonts w:ascii="Arial" w:hAnsi="Arial" w:cs="Arial"/>
                <w:noProof/>
                <w:webHidden/>
                <w:sz w:val="24"/>
                <w:szCs w:val="24"/>
              </w:rPr>
              <w:fldChar w:fldCharType="end"/>
            </w:r>
          </w:hyperlink>
        </w:p>
        <w:p w14:paraId="0CA9B58E" w14:textId="0721E5B6"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09" w:history="1">
            <w:r w:rsidR="00606BB4" w:rsidRPr="00905066">
              <w:rPr>
                <w:rStyle w:val="Hipervnculo"/>
                <w:rFonts w:ascii="Arial" w:hAnsi="Arial" w:cs="Arial"/>
                <w:noProof/>
                <w:sz w:val="24"/>
                <w:szCs w:val="24"/>
              </w:rPr>
              <w:t>Ley 1753 de 2015 (Plan Nacional de Desarrollo 2014-2018)</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_Toc178883909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17</w:t>
            </w:r>
            <w:r w:rsidR="00606BB4" w:rsidRPr="00905066">
              <w:rPr>
                <w:rFonts w:ascii="Arial" w:hAnsi="Arial" w:cs="Arial"/>
                <w:noProof/>
                <w:webHidden/>
                <w:sz w:val="24"/>
                <w:szCs w:val="24"/>
              </w:rPr>
              <w:fldChar w:fldCharType="end"/>
            </w:r>
          </w:hyperlink>
        </w:p>
        <w:p w14:paraId="65A6B7A4" w14:textId="113BE40C"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0" w:history="1">
            <w:r w:rsidR="00606BB4" w:rsidRPr="00905066">
              <w:rPr>
                <w:rStyle w:val="Hipervnculo"/>
                <w:rFonts w:ascii="Arial" w:hAnsi="Arial" w:cs="Arial"/>
                <w:noProof/>
                <w:sz w:val="24"/>
                <w:szCs w:val="24"/>
              </w:rPr>
              <w:t>Decreto 926 de 2017</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_Toc178883910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17</w:t>
            </w:r>
            <w:r w:rsidR="00606BB4" w:rsidRPr="00905066">
              <w:rPr>
                <w:rFonts w:ascii="Arial" w:hAnsi="Arial" w:cs="Arial"/>
                <w:noProof/>
                <w:webHidden/>
                <w:sz w:val="24"/>
                <w:szCs w:val="24"/>
              </w:rPr>
              <w:fldChar w:fldCharType="end"/>
            </w:r>
          </w:hyperlink>
        </w:p>
        <w:p w14:paraId="47DFEB1D" w14:textId="422FB7A1"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11" w:history="1">
            <w:r w:rsidR="00606BB4" w:rsidRPr="00905066">
              <w:rPr>
                <w:rStyle w:val="Hipervnculo"/>
                <w:rFonts w:ascii="Arial" w:eastAsia="Times New Roman" w:hAnsi="Arial" w:cs="Arial"/>
                <w:b w:val="0"/>
                <w:noProof/>
                <w:sz w:val="24"/>
                <w:szCs w:val="24"/>
                <w:lang w:eastAsia="es-ES_tradnl"/>
              </w:rPr>
              <w:t>Panorama Global de la Transición Energética y su Influencia en la Legislación Colombiana (Objetivo específico 1)</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_Toc178883911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18</w:t>
            </w:r>
            <w:r w:rsidR="00606BB4" w:rsidRPr="00905066">
              <w:rPr>
                <w:rFonts w:ascii="Arial" w:hAnsi="Arial" w:cs="Arial"/>
                <w:b w:val="0"/>
                <w:noProof/>
                <w:webHidden/>
                <w:sz w:val="24"/>
                <w:szCs w:val="24"/>
              </w:rPr>
              <w:fldChar w:fldCharType="end"/>
            </w:r>
          </w:hyperlink>
        </w:p>
        <w:p w14:paraId="744B9DE2" w14:textId="5FB2C7DB"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12" w:history="1">
            <w:r w:rsidR="00606BB4" w:rsidRPr="00905066">
              <w:rPr>
                <w:rStyle w:val="Hipervnculo"/>
                <w:rFonts w:ascii="Arial" w:eastAsia="Times New Roman" w:hAnsi="Arial" w:cs="Arial"/>
                <w:b w:val="0"/>
                <w:noProof/>
                <w:sz w:val="24"/>
                <w:szCs w:val="24"/>
                <w:lang w:eastAsia="es-ES_tradnl"/>
              </w:rPr>
              <w:t>Políticas y Mecanismos Regulatorios para el Fomento de Energías Renovables en Colombia y Europa (Objetivo 2)</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_Toc178883912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20</w:t>
            </w:r>
            <w:r w:rsidR="00606BB4" w:rsidRPr="00905066">
              <w:rPr>
                <w:rFonts w:ascii="Arial" w:hAnsi="Arial" w:cs="Arial"/>
                <w:b w:val="0"/>
                <w:noProof/>
                <w:webHidden/>
                <w:sz w:val="24"/>
                <w:szCs w:val="24"/>
              </w:rPr>
              <w:fldChar w:fldCharType="end"/>
            </w:r>
          </w:hyperlink>
        </w:p>
        <w:p w14:paraId="13F4EBF4" w14:textId="2BB41605"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13" w:history="1">
            <w:r w:rsidR="00606BB4" w:rsidRPr="00905066">
              <w:rPr>
                <w:rStyle w:val="Hipervnculo"/>
                <w:rFonts w:ascii="Arial" w:eastAsia="Times New Roman" w:hAnsi="Arial" w:cs="Arial"/>
                <w:b w:val="0"/>
                <w:noProof/>
                <w:sz w:val="24"/>
                <w:szCs w:val="24"/>
                <w:lang w:eastAsia="es-ES_tradnl"/>
              </w:rPr>
              <w:t>Compromisos Ambientales de Colombia: Políticas Nacionales y Comparación Internacional en Energías Renovables (Objetivo Específico 2).</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_Toc178883913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34</w:t>
            </w:r>
            <w:r w:rsidR="00606BB4" w:rsidRPr="00905066">
              <w:rPr>
                <w:rFonts w:ascii="Arial" w:hAnsi="Arial" w:cs="Arial"/>
                <w:b w:val="0"/>
                <w:noProof/>
                <w:webHidden/>
                <w:sz w:val="24"/>
                <w:szCs w:val="24"/>
              </w:rPr>
              <w:fldChar w:fldCharType="end"/>
            </w:r>
          </w:hyperlink>
        </w:p>
        <w:p w14:paraId="360CA511" w14:textId="54A7A26A"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4" w:history="1">
            <w:r w:rsidR="00606BB4" w:rsidRPr="00905066">
              <w:rPr>
                <w:rStyle w:val="Hipervnculo"/>
                <w:rFonts w:ascii="Arial" w:hAnsi="Arial" w:cs="Arial"/>
                <w:noProof/>
                <w:sz w:val="24"/>
                <w:szCs w:val="24"/>
                <w:lang w:eastAsia="es-CO"/>
              </w:rPr>
              <w:t>Exención del IVA</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_Toc178883914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36</w:t>
            </w:r>
            <w:r w:rsidR="00606BB4" w:rsidRPr="00905066">
              <w:rPr>
                <w:rFonts w:ascii="Arial" w:hAnsi="Arial" w:cs="Arial"/>
                <w:noProof/>
                <w:webHidden/>
                <w:sz w:val="24"/>
                <w:szCs w:val="24"/>
              </w:rPr>
              <w:fldChar w:fldCharType="end"/>
            </w:r>
          </w:hyperlink>
        </w:p>
        <w:p w14:paraId="1E254436" w14:textId="4D575EF8"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5" w:history="1">
            <w:r w:rsidR="00606BB4" w:rsidRPr="00905066">
              <w:rPr>
                <w:rStyle w:val="Hipervnculo"/>
                <w:rFonts w:ascii="Arial" w:hAnsi="Arial" w:cs="Arial"/>
                <w:noProof/>
                <w:sz w:val="24"/>
                <w:szCs w:val="24"/>
                <w:lang w:eastAsia="es-CO"/>
              </w:rPr>
              <w:t>Deducciones fiscales</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_Toc178883915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36</w:t>
            </w:r>
            <w:r w:rsidR="00606BB4" w:rsidRPr="00905066">
              <w:rPr>
                <w:rFonts w:ascii="Arial" w:hAnsi="Arial" w:cs="Arial"/>
                <w:noProof/>
                <w:webHidden/>
                <w:sz w:val="24"/>
                <w:szCs w:val="24"/>
              </w:rPr>
              <w:fldChar w:fldCharType="end"/>
            </w:r>
          </w:hyperlink>
        </w:p>
        <w:p w14:paraId="16B68697" w14:textId="6FC8A3DC"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6" w:history="1">
            <w:r w:rsidR="00606BB4" w:rsidRPr="00905066">
              <w:rPr>
                <w:rStyle w:val="Hipervnculo"/>
                <w:rFonts w:ascii="Arial" w:hAnsi="Arial" w:cs="Arial"/>
                <w:noProof/>
                <w:sz w:val="24"/>
                <w:szCs w:val="24"/>
                <w:lang w:eastAsia="es-CO"/>
              </w:rPr>
              <w:t>Reducción de CO2</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_Toc178883916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36</w:t>
            </w:r>
            <w:r w:rsidR="00606BB4" w:rsidRPr="00905066">
              <w:rPr>
                <w:rFonts w:ascii="Arial" w:hAnsi="Arial" w:cs="Arial"/>
                <w:noProof/>
                <w:webHidden/>
                <w:sz w:val="24"/>
                <w:szCs w:val="24"/>
              </w:rPr>
              <w:fldChar w:fldCharType="end"/>
            </w:r>
          </w:hyperlink>
        </w:p>
        <w:p w14:paraId="73560075" w14:textId="0E9474CE"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17" w:history="1">
            <w:r w:rsidR="00606BB4" w:rsidRPr="00905066">
              <w:rPr>
                <w:rStyle w:val="Hipervnculo"/>
                <w:rFonts w:ascii="Arial" w:hAnsi="Arial" w:cs="Arial"/>
                <w:b w:val="0"/>
                <w:noProof/>
                <w:sz w:val="24"/>
                <w:szCs w:val="24"/>
              </w:rPr>
              <w:t>Pago por Producción de Energía en Europa y Colombia</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_Toc178883917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36</w:t>
            </w:r>
            <w:r w:rsidR="00606BB4" w:rsidRPr="00905066">
              <w:rPr>
                <w:rFonts w:ascii="Arial" w:hAnsi="Arial" w:cs="Arial"/>
                <w:b w:val="0"/>
                <w:noProof/>
                <w:webHidden/>
                <w:sz w:val="24"/>
                <w:szCs w:val="24"/>
              </w:rPr>
              <w:fldChar w:fldCharType="end"/>
            </w:r>
          </w:hyperlink>
        </w:p>
        <w:p w14:paraId="455C6BC9" w14:textId="177DF180"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8" w:history="1">
            <w:r w:rsidR="00606BB4" w:rsidRPr="00905066">
              <w:rPr>
                <w:rStyle w:val="Hipervnculo"/>
                <w:rFonts w:ascii="Arial" w:hAnsi="Arial" w:cs="Arial"/>
                <w:noProof/>
                <w:sz w:val="24"/>
                <w:szCs w:val="24"/>
              </w:rPr>
              <w:t>Subsidios o Rebajas de Inversión Pública en Europa y Colombia para Energías Renovables.</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_Toc178883918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38</w:t>
            </w:r>
            <w:r w:rsidR="00606BB4" w:rsidRPr="00905066">
              <w:rPr>
                <w:rFonts w:ascii="Arial" w:hAnsi="Arial" w:cs="Arial"/>
                <w:noProof/>
                <w:webHidden/>
                <w:sz w:val="24"/>
                <w:szCs w:val="24"/>
              </w:rPr>
              <w:fldChar w:fldCharType="end"/>
            </w:r>
          </w:hyperlink>
        </w:p>
        <w:p w14:paraId="059FCB6D" w14:textId="0CAA67BE"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19" w:history="1">
            <w:r w:rsidR="00606BB4" w:rsidRPr="00905066">
              <w:rPr>
                <w:rStyle w:val="Hipervnculo"/>
                <w:rFonts w:ascii="Arial" w:hAnsi="Arial" w:cs="Arial"/>
                <w:noProof/>
                <w:sz w:val="24"/>
                <w:szCs w:val="24"/>
              </w:rPr>
              <w:t>Directiva (UE) 2018/2001 sobre Energías Renovables</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_Toc178883919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40</w:t>
            </w:r>
            <w:r w:rsidR="00606BB4" w:rsidRPr="00905066">
              <w:rPr>
                <w:rFonts w:ascii="Arial" w:hAnsi="Arial" w:cs="Arial"/>
                <w:noProof/>
                <w:webHidden/>
                <w:sz w:val="24"/>
                <w:szCs w:val="24"/>
              </w:rPr>
              <w:fldChar w:fldCharType="end"/>
            </w:r>
          </w:hyperlink>
        </w:p>
        <w:p w14:paraId="5E4BBA0F" w14:textId="3F8F76A2"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0" w:history="1">
            <w:r w:rsidR="00606BB4" w:rsidRPr="00905066">
              <w:rPr>
                <w:rStyle w:val="Hipervnculo"/>
                <w:rFonts w:ascii="Arial" w:hAnsi="Arial" w:cs="Arial"/>
                <w:noProof/>
                <w:sz w:val="24"/>
                <w:szCs w:val="24"/>
              </w:rPr>
              <w:t>Reglamento (UE) 2019/941 sobre la Preparación ante los Riesgos en el Sector de la Electricidad</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_Toc178883920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41</w:t>
            </w:r>
            <w:r w:rsidR="00606BB4" w:rsidRPr="00905066">
              <w:rPr>
                <w:rFonts w:ascii="Arial" w:hAnsi="Arial" w:cs="Arial"/>
                <w:noProof/>
                <w:webHidden/>
                <w:sz w:val="24"/>
                <w:szCs w:val="24"/>
              </w:rPr>
              <w:fldChar w:fldCharType="end"/>
            </w:r>
          </w:hyperlink>
        </w:p>
        <w:p w14:paraId="1A2DCAC3" w14:textId="473EFE40"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1" w:history="1">
            <w:r w:rsidR="00606BB4" w:rsidRPr="00905066">
              <w:rPr>
                <w:rStyle w:val="Hipervnculo"/>
                <w:rFonts w:ascii="Arial" w:hAnsi="Arial" w:cs="Arial"/>
                <w:noProof/>
                <w:sz w:val="24"/>
                <w:szCs w:val="24"/>
              </w:rPr>
              <w:t>Pacto Verde Europeo (European Green Deal)</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_Toc178883921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41</w:t>
            </w:r>
            <w:r w:rsidR="00606BB4" w:rsidRPr="00905066">
              <w:rPr>
                <w:rFonts w:ascii="Arial" w:hAnsi="Arial" w:cs="Arial"/>
                <w:noProof/>
                <w:webHidden/>
                <w:sz w:val="24"/>
                <w:szCs w:val="24"/>
              </w:rPr>
              <w:fldChar w:fldCharType="end"/>
            </w:r>
          </w:hyperlink>
        </w:p>
        <w:p w14:paraId="69C8513C" w14:textId="72825FC9"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2" w:history="1">
            <w:r w:rsidR="00606BB4" w:rsidRPr="00905066">
              <w:rPr>
                <w:rStyle w:val="Hipervnculo"/>
                <w:rFonts w:ascii="Arial" w:hAnsi="Arial" w:cs="Arial"/>
                <w:noProof/>
                <w:sz w:val="24"/>
                <w:szCs w:val="24"/>
              </w:rPr>
              <w:t>Reglamento (UE) 2020/852 sobre la Taxonomía de las Inversiones Sostenibles</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_Toc178883922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41</w:t>
            </w:r>
            <w:r w:rsidR="00606BB4" w:rsidRPr="00905066">
              <w:rPr>
                <w:rFonts w:ascii="Arial" w:hAnsi="Arial" w:cs="Arial"/>
                <w:noProof/>
                <w:webHidden/>
                <w:sz w:val="24"/>
                <w:szCs w:val="24"/>
              </w:rPr>
              <w:fldChar w:fldCharType="end"/>
            </w:r>
          </w:hyperlink>
        </w:p>
        <w:p w14:paraId="44E1660E" w14:textId="090F4F35"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3" w:history="1">
            <w:r w:rsidR="00606BB4" w:rsidRPr="00905066">
              <w:rPr>
                <w:rStyle w:val="Hipervnculo"/>
                <w:rFonts w:ascii="Arial" w:hAnsi="Arial" w:cs="Arial"/>
                <w:noProof/>
                <w:sz w:val="24"/>
                <w:szCs w:val="24"/>
              </w:rPr>
              <w:t>Reglamento (UE) 2018/842 sobre las Reducciones Anuales Vinculantes de las Emisiones de Gases de Efecto Invernadero</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_Toc178883923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42</w:t>
            </w:r>
            <w:r w:rsidR="00606BB4" w:rsidRPr="00905066">
              <w:rPr>
                <w:rFonts w:ascii="Arial" w:hAnsi="Arial" w:cs="Arial"/>
                <w:noProof/>
                <w:webHidden/>
                <w:sz w:val="24"/>
                <w:szCs w:val="24"/>
              </w:rPr>
              <w:fldChar w:fldCharType="end"/>
            </w:r>
          </w:hyperlink>
        </w:p>
        <w:p w14:paraId="1614F936" w14:textId="4A060B74"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4" w:history="1">
            <w:r w:rsidR="00606BB4" w:rsidRPr="00905066">
              <w:rPr>
                <w:rStyle w:val="Hipervnculo"/>
                <w:rFonts w:ascii="Arial" w:hAnsi="Arial" w:cs="Arial"/>
                <w:noProof/>
                <w:sz w:val="24"/>
                <w:szCs w:val="24"/>
              </w:rPr>
              <w:t>Reglamento (UE) 2021/1119 sobre la Ley del Clima Europea</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_Toc178883924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43</w:t>
            </w:r>
            <w:r w:rsidR="00606BB4" w:rsidRPr="00905066">
              <w:rPr>
                <w:rFonts w:ascii="Arial" w:hAnsi="Arial" w:cs="Arial"/>
                <w:noProof/>
                <w:webHidden/>
                <w:sz w:val="24"/>
                <w:szCs w:val="24"/>
              </w:rPr>
              <w:fldChar w:fldCharType="end"/>
            </w:r>
          </w:hyperlink>
        </w:p>
        <w:p w14:paraId="3DA94317" w14:textId="64B1729D"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5" w:history="1">
            <w:r w:rsidR="00606BB4" w:rsidRPr="00905066">
              <w:rPr>
                <w:rStyle w:val="Hipervnculo"/>
                <w:rFonts w:ascii="Arial" w:hAnsi="Arial" w:cs="Arial"/>
                <w:noProof/>
                <w:sz w:val="24"/>
                <w:szCs w:val="24"/>
              </w:rPr>
              <w:t>Directiva (UE) 2018/410 que Modifica la Directiva 2003/87/CE (EU ETS)</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_Toc178883925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43</w:t>
            </w:r>
            <w:r w:rsidR="00606BB4" w:rsidRPr="00905066">
              <w:rPr>
                <w:rFonts w:ascii="Arial" w:hAnsi="Arial" w:cs="Arial"/>
                <w:noProof/>
                <w:webHidden/>
                <w:sz w:val="24"/>
                <w:szCs w:val="24"/>
              </w:rPr>
              <w:fldChar w:fldCharType="end"/>
            </w:r>
          </w:hyperlink>
        </w:p>
        <w:p w14:paraId="217FA538" w14:textId="7A16E079" w:rsidR="00606BB4" w:rsidRPr="00905066" w:rsidRDefault="00FE1DE7" w:rsidP="00905066">
          <w:pPr>
            <w:pStyle w:val="TDC2"/>
            <w:tabs>
              <w:tab w:val="right" w:leader="dot" w:pos="8828"/>
            </w:tabs>
            <w:spacing w:line="240" w:lineRule="auto"/>
            <w:rPr>
              <w:rFonts w:ascii="Arial" w:eastAsiaTheme="minorEastAsia" w:hAnsi="Arial" w:cs="Arial"/>
              <w:i w:val="0"/>
              <w:iCs w:val="0"/>
              <w:noProof/>
              <w:kern w:val="0"/>
              <w:sz w:val="24"/>
              <w:szCs w:val="24"/>
              <w:lang w:eastAsia="es-ES_tradnl"/>
              <w14:ligatures w14:val="none"/>
            </w:rPr>
          </w:pPr>
          <w:hyperlink w:anchor="_Toc178883926" w:history="1">
            <w:r w:rsidR="00606BB4" w:rsidRPr="00905066">
              <w:rPr>
                <w:rStyle w:val="Hipervnculo"/>
                <w:rFonts w:ascii="Arial" w:hAnsi="Arial" w:cs="Arial"/>
                <w:noProof/>
                <w:sz w:val="24"/>
                <w:szCs w:val="24"/>
              </w:rPr>
              <w:t>Pacto Verde Europeo (European Green Deal)</w:t>
            </w:r>
            <w:r w:rsidR="00606BB4" w:rsidRPr="00905066">
              <w:rPr>
                <w:rFonts w:ascii="Arial" w:hAnsi="Arial" w:cs="Arial"/>
                <w:noProof/>
                <w:webHidden/>
                <w:sz w:val="24"/>
                <w:szCs w:val="24"/>
              </w:rPr>
              <w:tab/>
            </w:r>
            <w:r w:rsidR="00606BB4" w:rsidRPr="00905066">
              <w:rPr>
                <w:rFonts w:ascii="Arial" w:hAnsi="Arial" w:cs="Arial"/>
                <w:noProof/>
                <w:webHidden/>
                <w:sz w:val="24"/>
                <w:szCs w:val="24"/>
              </w:rPr>
              <w:fldChar w:fldCharType="begin"/>
            </w:r>
            <w:r w:rsidR="00606BB4" w:rsidRPr="00905066">
              <w:rPr>
                <w:rFonts w:ascii="Arial" w:hAnsi="Arial" w:cs="Arial"/>
                <w:noProof/>
                <w:webHidden/>
                <w:sz w:val="24"/>
                <w:szCs w:val="24"/>
              </w:rPr>
              <w:instrText xml:space="preserve"> PAGEREF _Toc178883926 \h </w:instrText>
            </w:r>
            <w:r w:rsidR="00606BB4" w:rsidRPr="00905066">
              <w:rPr>
                <w:rFonts w:ascii="Arial" w:hAnsi="Arial" w:cs="Arial"/>
                <w:noProof/>
                <w:webHidden/>
                <w:sz w:val="24"/>
                <w:szCs w:val="24"/>
              </w:rPr>
            </w:r>
            <w:r w:rsidR="00606BB4" w:rsidRPr="00905066">
              <w:rPr>
                <w:rFonts w:ascii="Arial" w:hAnsi="Arial" w:cs="Arial"/>
                <w:noProof/>
                <w:webHidden/>
                <w:sz w:val="24"/>
                <w:szCs w:val="24"/>
              </w:rPr>
              <w:fldChar w:fldCharType="separate"/>
            </w:r>
            <w:r w:rsidR="00606BB4" w:rsidRPr="00905066">
              <w:rPr>
                <w:rFonts w:ascii="Arial" w:hAnsi="Arial" w:cs="Arial"/>
                <w:noProof/>
                <w:webHidden/>
                <w:sz w:val="24"/>
                <w:szCs w:val="24"/>
              </w:rPr>
              <w:t>43</w:t>
            </w:r>
            <w:r w:rsidR="00606BB4" w:rsidRPr="00905066">
              <w:rPr>
                <w:rFonts w:ascii="Arial" w:hAnsi="Arial" w:cs="Arial"/>
                <w:noProof/>
                <w:webHidden/>
                <w:sz w:val="24"/>
                <w:szCs w:val="24"/>
              </w:rPr>
              <w:fldChar w:fldCharType="end"/>
            </w:r>
          </w:hyperlink>
        </w:p>
        <w:p w14:paraId="38F22358" w14:textId="08DD9757"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27" w:history="1">
            <w:r w:rsidR="00606BB4" w:rsidRPr="00905066">
              <w:rPr>
                <w:rStyle w:val="Hipervnculo"/>
                <w:rFonts w:ascii="Arial" w:hAnsi="Arial" w:cs="Arial"/>
                <w:b w:val="0"/>
                <w:noProof/>
                <w:sz w:val="24"/>
                <w:szCs w:val="24"/>
              </w:rPr>
              <w:t>Innovaciones y Desafíos Regulatorios en la Transición Energética: Un Análisis Comparativo entre Europa y Colombia (Objetivo Especifico 3)</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_Toc178883927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44</w:t>
            </w:r>
            <w:r w:rsidR="00606BB4" w:rsidRPr="00905066">
              <w:rPr>
                <w:rFonts w:ascii="Arial" w:hAnsi="Arial" w:cs="Arial"/>
                <w:b w:val="0"/>
                <w:noProof/>
                <w:webHidden/>
                <w:sz w:val="24"/>
                <w:szCs w:val="24"/>
              </w:rPr>
              <w:fldChar w:fldCharType="end"/>
            </w:r>
          </w:hyperlink>
        </w:p>
        <w:p w14:paraId="3C42C42E" w14:textId="5D0AD3AD"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28" w:history="1">
            <w:r w:rsidR="00606BB4" w:rsidRPr="00905066">
              <w:rPr>
                <w:rStyle w:val="Hipervnculo"/>
                <w:rFonts w:ascii="Arial" w:hAnsi="Arial" w:cs="Arial"/>
                <w:b w:val="0"/>
                <w:noProof/>
                <w:sz w:val="24"/>
                <w:szCs w:val="24"/>
              </w:rPr>
              <w:t>Conclusiones (Objetivo Específico 3)</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_Toc178883928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49</w:t>
            </w:r>
            <w:r w:rsidR="00606BB4" w:rsidRPr="00905066">
              <w:rPr>
                <w:rFonts w:ascii="Arial" w:hAnsi="Arial" w:cs="Arial"/>
                <w:b w:val="0"/>
                <w:noProof/>
                <w:webHidden/>
                <w:sz w:val="24"/>
                <w:szCs w:val="24"/>
              </w:rPr>
              <w:fldChar w:fldCharType="end"/>
            </w:r>
          </w:hyperlink>
        </w:p>
        <w:p w14:paraId="686CF10D" w14:textId="64A4BCD2" w:rsidR="00606BB4" w:rsidRPr="00905066" w:rsidRDefault="00FE1DE7" w:rsidP="00905066">
          <w:pPr>
            <w:pStyle w:val="TDC1"/>
            <w:tabs>
              <w:tab w:val="right" w:leader="dot" w:pos="8828"/>
            </w:tabs>
            <w:spacing w:line="240" w:lineRule="auto"/>
            <w:rPr>
              <w:rFonts w:ascii="Arial" w:eastAsiaTheme="minorEastAsia" w:hAnsi="Arial" w:cs="Arial"/>
              <w:b w:val="0"/>
              <w:bCs w:val="0"/>
              <w:noProof/>
              <w:kern w:val="0"/>
              <w:sz w:val="24"/>
              <w:szCs w:val="24"/>
              <w:lang w:eastAsia="es-ES_tradnl"/>
              <w14:ligatures w14:val="none"/>
            </w:rPr>
          </w:pPr>
          <w:hyperlink w:anchor="_Toc178883929" w:history="1">
            <w:r w:rsidR="00606BB4" w:rsidRPr="00905066">
              <w:rPr>
                <w:rStyle w:val="Hipervnculo"/>
                <w:rFonts w:ascii="Arial" w:hAnsi="Arial" w:cs="Arial"/>
                <w:b w:val="0"/>
                <w:noProof/>
                <w:sz w:val="24"/>
                <w:szCs w:val="24"/>
              </w:rPr>
              <w:t>Referencias Bibliográficas</w:t>
            </w:r>
            <w:r w:rsidR="00606BB4" w:rsidRPr="00905066">
              <w:rPr>
                <w:rFonts w:ascii="Arial" w:hAnsi="Arial" w:cs="Arial"/>
                <w:b w:val="0"/>
                <w:noProof/>
                <w:webHidden/>
                <w:sz w:val="24"/>
                <w:szCs w:val="24"/>
              </w:rPr>
              <w:tab/>
            </w:r>
            <w:r w:rsidR="00606BB4" w:rsidRPr="00905066">
              <w:rPr>
                <w:rFonts w:ascii="Arial" w:hAnsi="Arial" w:cs="Arial"/>
                <w:b w:val="0"/>
                <w:noProof/>
                <w:webHidden/>
                <w:sz w:val="24"/>
                <w:szCs w:val="24"/>
              </w:rPr>
              <w:fldChar w:fldCharType="begin"/>
            </w:r>
            <w:r w:rsidR="00606BB4" w:rsidRPr="00905066">
              <w:rPr>
                <w:rFonts w:ascii="Arial" w:hAnsi="Arial" w:cs="Arial"/>
                <w:b w:val="0"/>
                <w:noProof/>
                <w:webHidden/>
                <w:sz w:val="24"/>
                <w:szCs w:val="24"/>
              </w:rPr>
              <w:instrText xml:space="preserve"> PAGEREF _Toc178883929 \h </w:instrText>
            </w:r>
            <w:r w:rsidR="00606BB4" w:rsidRPr="00905066">
              <w:rPr>
                <w:rFonts w:ascii="Arial" w:hAnsi="Arial" w:cs="Arial"/>
                <w:b w:val="0"/>
                <w:noProof/>
                <w:webHidden/>
                <w:sz w:val="24"/>
                <w:szCs w:val="24"/>
              </w:rPr>
            </w:r>
            <w:r w:rsidR="00606BB4" w:rsidRPr="00905066">
              <w:rPr>
                <w:rFonts w:ascii="Arial" w:hAnsi="Arial" w:cs="Arial"/>
                <w:b w:val="0"/>
                <w:noProof/>
                <w:webHidden/>
                <w:sz w:val="24"/>
                <w:szCs w:val="24"/>
              </w:rPr>
              <w:fldChar w:fldCharType="separate"/>
            </w:r>
            <w:r w:rsidR="00606BB4" w:rsidRPr="00905066">
              <w:rPr>
                <w:rFonts w:ascii="Arial" w:hAnsi="Arial" w:cs="Arial"/>
                <w:b w:val="0"/>
                <w:noProof/>
                <w:webHidden/>
                <w:sz w:val="24"/>
                <w:szCs w:val="24"/>
              </w:rPr>
              <w:t>51</w:t>
            </w:r>
            <w:r w:rsidR="00606BB4" w:rsidRPr="00905066">
              <w:rPr>
                <w:rFonts w:ascii="Arial" w:hAnsi="Arial" w:cs="Arial"/>
                <w:b w:val="0"/>
                <w:noProof/>
                <w:webHidden/>
                <w:sz w:val="24"/>
                <w:szCs w:val="24"/>
              </w:rPr>
              <w:fldChar w:fldCharType="end"/>
            </w:r>
          </w:hyperlink>
        </w:p>
        <w:p w14:paraId="7768FAC8" w14:textId="11C9F147" w:rsidR="00191AE8" w:rsidRPr="00C51E5B" w:rsidRDefault="00191AE8" w:rsidP="00905066">
          <w:pPr>
            <w:spacing w:line="240" w:lineRule="auto"/>
            <w:rPr>
              <w:rFonts w:ascii="Arial" w:hAnsi="Arial" w:cs="Arial"/>
              <w:sz w:val="24"/>
              <w:szCs w:val="24"/>
            </w:rPr>
          </w:pPr>
          <w:r w:rsidRPr="00905066">
            <w:rPr>
              <w:rFonts w:ascii="Arial" w:hAnsi="Arial" w:cs="Arial"/>
              <w:bCs/>
              <w:noProof/>
              <w:sz w:val="24"/>
              <w:szCs w:val="24"/>
            </w:rPr>
            <w:fldChar w:fldCharType="end"/>
          </w:r>
        </w:p>
      </w:sdtContent>
    </w:sdt>
    <w:p w14:paraId="6F670101" w14:textId="7DAE538A" w:rsidR="00C94A5A" w:rsidRPr="00C51E5B" w:rsidRDefault="00C94A5A" w:rsidP="00905066">
      <w:pPr>
        <w:pStyle w:val="Prrafodelista"/>
        <w:tabs>
          <w:tab w:val="left" w:pos="5245"/>
        </w:tabs>
        <w:spacing w:line="240" w:lineRule="auto"/>
        <w:ind w:left="0"/>
        <w:jc w:val="center"/>
        <w:rPr>
          <w:rFonts w:ascii="Arial" w:hAnsi="Arial" w:cs="Arial"/>
          <w:b/>
          <w:bCs/>
          <w:sz w:val="24"/>
          <w:szCs w:val="24"/>
        </w:rPr>
      </w:pPr>
    </w:p>
    <w:p w14:paraId="23C7C095" w14:textId="4133D9E3" w:rsidR="00612B0F" w:rsidRPr="00C51E5B" w:rsidRDefault="00612B0F" w:rsidP="00905066">
      <w:pPr>
        <w:pStyle w:val="Prrafodelista"/>
        <w:tabs>
          <w:tab w:val="left" w:pos="5245"/>
        </w:tabs>
        <w:spacing w:line="240" w:lineRule="auto"/>
        <w:ind w:left="0"/>
        <w:jc w:val="center"/>
        <w:rPr>
          <w:rFonts w:ascii="Arial" w:hAnsi="Arial" w:cs="Arial"/>
          <w:b/>
          <w:bCs/>
          <w:sz w:val="24"/>
          <w:szCs w:val="24"/>
        </w:rPr>
      </w:pPr>
    </w:p>
    <w:p w14:paraId="7D3AB76C" w14:textId="1EECAEB1" w:rsidR="00612B0F" w:rsidRPr="00C51E5B" w:rsidRDefault="00612B0F" w:rsidP="00905066">
      <w:pPr>
        <w:pStyle w:val="Prrafodelista"/>
        <w:tabs>
          <w:tab w:val="left" w:pos="5245"/>
        </w:tabs>
        <w:spacing w:line="240" w:lineRule="auto"/>
        <w:ind w:left="0"/>
        <w:jc w:val="center"/>
        <w:rPr>
          <w:rFonts w:ascii="Arial" w:hAnsi="Arial" w:cs="Arial"/>
          <w:b/>
          <w:bCs/>
          <w:sz w:val="24"/>
          <w:szCs w:val="24"/>
        </w:rPr>
      </w:pPr>
    </w:p>
    <w:p w14:paraId="78F66D13" w14:textId="20C37B9F" w:rsidR="00606BB4" w:rsidRPr="00C51E5B" w:rsidRDefault="00606BB4" w:rsidP="00905066">
      <w:pPr>
        <w:pStyle w:val="Prrafodelista"/>
        <w:tabs>
          <w:tab w:val="left" w:pos="5245"/>
        </w:tabs>
        <w:spacing w:line="240" w:lineRule="auto"/>
        <w:ind w:left="0"/>
        <w:jc w:val="center"/>
        <w:rPr>
          <w:rFonts w:ascii="Arial" w:hAnsi="Arial" w:cs="Arial"/>
          <w:b/>
          <w:bCs/>
          <w:sz w:val="24"/>
          <w:szCs w:val="24"/>
        </w:rPr>
      </w:pPr>
    </w:p>
    <w:p w14:paraId="066A5736" w14:textId="1F005376" w:rsidR="00606BB4" w:rsidRDefault="00606BB4" w:rsidP="00905066">
      <w:pPr>
        <w:pStyle w:val="Prrafodelista"/>
        <w:tabs>
          <w:tab w:val="left" w:pos="5245"/>
        </w:tabs>
        <w:spacing w:line="240" w:lineRule="auto"/>
        <w:ind w:left="0"/>
        <w:jc w:val="center"/>
        <w:rPr>
          <w:rFonts w:ascii="Arial" w:hAnsi="Arial" w:cs="Arial"/>
          <w:b/>
          <w:bCs/>
          <w:sz w:val="24"/>
          <w:szCs w:val="24"/>
        </w:rPr>
      </w:pPr>
    </w:p>
    <w:p w14:paraId="6A8E8D76" w14:textId="79D5DF86"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1CED1AF5" w14:textId="4F2FE578"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7B831CD5" w14:textId="6FF61B53"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F833A69" w14:textId="7864A056"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7680D69" w14:textId="7DD74CE2"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7AD6ED7" w14:textId="638207F1"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0E77A097" w14:textId="1E5873E2"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2627354" w14:textId="55EF2944"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530F080B" w14:textId="02B46EE2"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5F0E8241" w14:textId="4AA7F39F"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2839FCD8" w14:textId="53A5BB64"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1812CBC3" w14:textId="241FC8EA"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726B8103" w14:textId="21413F49"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5F259C46" w14:textId="40E91195"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8544709" w14:textId="6436102A"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09170AAE" w14:textId="54016C82"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55AC9303" w14:textId="5890C77C" w:rsidR="00905066" w:rsidRDefault="00905066" w:rsidP="00905066">
      <w:pPr>
        <w:pStyle w:val="Prrafodelista"/>
        <w:tabs>
          <w:tab w:val="left" w:pos="5245"/>
        </w:tabs>
        <w:spacing w:line="240" w:lineRule="auto"/>
        <w:ind w:left="0"/>
        <w:jc w:val="center"/>
        <w:rPr>
          <w:rFonts w:ascii="Arial" w:hAnsi="Arial" w:cs="Arial"/>
          <w:b/>
          <w:bCs/>
          <w:sz w:val="24"/>
          <w:szCs w:val="24"/>
        </w:rPr>
      </w:pPr>
    </w:p>
    <w:p w14:paraId="4541C161" w14:textId="77777777" w:rsidR="00905066" w:rsidRPr="00C51E5B" w:rsidRDefault="00905066" w:rsidP="00905066">
      <w:pPr>
        <w:pStyle w:val="Prrafodelista"/>
        <w:tabs>
          <w:tab w:val="left" w:pos="5245"/>
        </w:tabs>
        <w:spacing w:line="240" w:lineRule="auto"/>
        <w:ind w:left="0"/>
        <w:jc w:val="center"/>
        <w:rPr>
          <w:rFonts w:ascii="Arial" w:hAnsi="Arial" w:cs="Arial"/>
          <w:b/>
          <w:bCs/>
          <w:sz w:val="24"/>
          <w:szCs w:val="24"/>
        </w:rPr>
      </w:pPr>
    </w:p>
    <w:p w14:paraId="7ACD2BA8" w14:textId="2C10CC03" w:rsidR="00606BB4" w:rsidRPr="00C51E5B" w:rsidRDefault="00606BB4" w:rsidP="00905066">
      <w:pPr>
        <w:pStyle w:val="Prrafodelista"/>
        <w:tabs>
          <w:tab w:val="left" w:pos="5245"/>
        </w:tabs>
        <w:spacing w:line="240" w:lineRule="auto"/>
        <w:ind w:left="0"/>
        <w:jc w:val="center"/>
        <w:rPr>
          <w:rFonts w:ascii="Arial" w:hAnsi="Arial" w:cs="Arial"/>
          <w:b/>
          <w:bCs/>
          <w:sz w:val="24"/>
          <w:szCs w:val="24"/>
        </w:rPr>
      </w:pPr>
    </w:p>
    <w:p w14:paraId="1B6F4BDC" w14:textId="17BDF650" w:rsidR="00606BB4" w:rsidRPr="00C51E5B" w:rsidRDefault="00606BB4" w:rsidP="00905066">
      <w:pPr>
        <w:pStyle w:val="Prrafodelista"/>
        <w:tabs>
          <w:tab w:val="left" w:pos="5245"/>
        </w:tabs>
        <w:spacing w:line="240" w:lineRule="auto"/>
        <w:ind w:left="0"/>
        <w:jc w:val="center"/>
        <w:rPr>
          <w:rFonts w:ascii="Arial" w:hAnsi="Arial" w:cs="Arial"/>
          <w:b/>
          <w:bCs/>
          <w:sz w:val="24"/>
          <w:szCs w:val="24"/>
        </w:rPr>
      </w:pPr>
    </w:p>
    <w:p w14:paraId="6D9F2829" w14:textId="0DD4A994" w:rsidR="00606BB4" w:rsidRPr="00C51E5B" w:rsidRDefault="00606BB4" w:rsidP="00905066">
      <w:pPr>
        <w:pStyle w:val="Prrafodelista"/>
        <w:tabs>
          <w:tab w:val="left" w:pos="5245"/>
        </w:tabs>
        <w:spacing w:line="240" w:lineRule="auto"/>
        <w:ind w:left="0"/>
        <w:jc w:val="center"/>
        <w:rPr>
          <w:rFonts w:ascii="Arial" w:hAnsi="Arial" w:cs="Arial"/>
          <w:b/>
          <w:bCs/>
          <w:sz w:val="24"/>
          <w:szCs w:val="24"/>
        </w:rPr>
      </w:pPr>
    </w:p>
    <w:p w14:paraId="327A4FD5" w14:textId="195579A5" w:rsidR="00606BB4" w:rsidRPr="00C51E5B" w:rsidRDefault="00606BB4" w:rsidP="00905066">
      <w:pPr>
        <w:pStyle w:val="Prrafodelista"/>
        <w:tabs>
          <w:tab w:val="left" w:pos="5245"/>
        </w:tabs>
        <w:spacing w:line="240" w:lineRule="auto"/>
        <w:ind w:left="0"/>
        <w:jc w:val="center"/>
        <w:rPr>
          <w:rFonts w:ascii="Arial" w:hAnsi="Arial" w:cs="Arial"/>
          <w:b/>
          <w:bCs/>
          <w:sz w:val="24"/>
          <w:szCs w:val="24"/>
        </w:rPr>
      </w:pPr>
    </w:p>
    <w:p w14:paraId="3830B6B8" w14:textId="77777777" w:rsidR="00FE1DE7" w:rsidRDefault="00FE1DE7" w:rsidP="00905066">
      <w:pPr>
        <w:spacing w:after="0" w:line="240" w:lineRule="auto"/>
        <w:rPr>
          <w:rFonts w:ascii="-webkit-standard" w:eastAsia="Times New Roman" w:hAnsi="-webkit-standard" w:cs="Times New Roman"/>
          <w:color w:val="000000"/>
          <w:kern w:val="0"/>
          <w:sz w:val="27"/>
          <w:szCs w:val="27"/>
          <w:lang w:eastAsia="es-ES_tradnl"/>
          <w14:ligatures w14:val="none"/>
        </w:rPr>
      </w:pPr>
    </w:p>
    <w:p w14:paraId="4F03DD1B" w14:textId="491BF068" w:rsidR="00FE1DE7" w:rsidRDefault="00FE1DE7" w:rsidP="00905066">
      <w:pPr>
        <w:spacing w:after="0" w:line="240" w:lineRule="auto"/>
        <w:ind w:firstLine="709"/>
        <w:jc w:val="both"/>
        <w:rPr>
          <w:rFonts w:ascii="Arial" w:eastAsia="Times New Roman" w:hAnsi="Arial" w:cs="Arial"/>
          <w:color w:val="000000"/>
          <w:kern w:val="0"/>
          <w:sz w:val="24"/>
          <w:szCs w:val="24"/>
          <w:lang w:eastAsia="es-ES_tradnl"/>
          <w14:ligatures w14:val="none"/>
        </w:rPr>
      </w:pPr>
      <w:r w:rsidRPr="00FE1DE7">
        <w:rPr>
          <w:rFonts w:ascii="Arial" w:eastAsia="Times New Roman" w:hAnsi="Arial" w:cs="Arial"/>
          <w:color w:val="000000"/>
          <w:kern w:val="0"/>
          <w:sz w:val="24"/>
          <w:szCs w:val="24"/>
          <w:lang w:eastAsia="es-ES_tradnl"/>
          <w14:ligatures w14:val="none"/>
        </w:rPr>
        <w:lastRenderedPageBreak/>
        <w:t xml:space="preserve">Este artículo analiza los retos legales de la implementación de energías renovables en Colombia, enfocándose en su contribución a los Objetivos de Desarrollo Sostenible (ODS) 7 y 13, que buscan garantizar acceso a energía asequible y fiable, y combatir el cambio climático. Se examina la normativa colombiana, incluyendo la Ley 1715 de 2014 y la Ley 2099 de 2021, que promueven el uso de energías renovables no convencionales, como la solar y eólica, dentro de la matriz energética del país. A través de un enfoque comparativo con la legislación de Europa, se evalúan los avances y los desafíos en la transición energética de Colombia. Aunque se han logrado avances importantes, el estudio señala barreras estructurales, económicas y sociales que limitan el impacto de las políticas actuales. </w:t>
      </w:r>
    </w:p>
    <w:p w14:paraId="4FE2AD2F" w14:textId="77777777" w:rsidR="00FE1DE7" w:rsidRPr="00FE1DE7" w:rsidRDefault="00FE1DE7" w:rsidP="00905066">
      <w:pPr>
        <w:spacing w:after="0" w:line="240" w:lineRule="auto"/>
        <w:jc w:val="both"/>
        <w:rPr>
          <w:rFonts w:ascii="Arial" w:eastAsia="Times New Roman" w:hAnsi="Arial" w:cs="Arial"/>
          <w:kern w:val="0"/>
          <w:sz w:val="24"/>
          <w:szCs w:val="24"/>
          <w:lang w:eastAsia="es-ES_tradnl"/>
          <w14:ligatures w14:val="none"/>
        </w:rPr>
      </w:pPr>
    </w:p>
    <w:p w14:paraId="5C854628" w14:textId="77777777" w:rsidR="00FE1DE7" w:rsidRPr="00FE1DE7" w:rsidRDefault="00FE1DE7" w:rsidP="00905066">
      <w:pPr>
        <w:spacing w:line="240" w:lineRule="auto"/>
        <w:rPr>
          <w:rFonts w:ascii="Arial" w:hAnsi="Arial" w:cs="Arial"/>
          <w:b/>
          <w:bCs/>
          <w:sz w:val="24"/>
          <w:szCs w:val="24"/>
        </w:rPr>
      </w:pPr>
      <w:r w:rsidRPr="00FE1DE7">
        <w:rPr>
          <w:rFonts w:ascii="Arial" w:hAnsi="Arial" w:cs="Arial"/>
          <w:b/>
          <w:bCs/>
          <w:sz w:val="24"/>
          <w:szCs w:val="24"/>
        </w:rPr>
        <w:t>Palabras clave:</w:t>
      </w:r>
    </w:p>
    <w:p w14:paraId="7FE14159" w14:textId="13093F5D" w:rsidR="00FE1DE7" w:rsidRPr="00FE1DE7" w:rsidRDefault="00FE1DE7" w:rsidP="00AF13D1">
      <w:pPr>
        <w:spacing w:line="240" w:lineRule="auto"/>
        <w:ind w:firstLine="709"/>
        <w:rPr>
          <w:rFonts w:ascii="Arial" w:hAnsi="Arial" w:cs="Arial"/>
          <w:sz w:val="24"/>
          <w:szCs w:val="24"/>
        </w:rPr>
      </w:pPr>
      <w:r>
        <w:rPr>
          <w:rFonts w:ascii="Arial" w:hAnsi="Arial" w:cs="Arial"/>
          <w:sz w:val="24"/>
          <w:szCs w:val="24"/>
        </w:rPr>
        <w:t>R</w:t>
      </w:r>
      <w:r w:rsidRPr="00FE1DE7">
        <w:rPr>
          <w:rFonts w:ascii="Arial" w:hAnsi="Arial" w:cs="Arial"/>
          <w:sz w:val="24"/>
          <w:szCs w:val="24"/>
        </w:rPr>
        <w:t>ecursos energéticos, fuentes de energía no convencionales, crecimiento económico, desarrollo sostenible, normatividad eco-sostenible.</w:t>
      </w:r>
    </w:p>
    <w:p w14:paraId="2E462C82" w14:textId="1C41E215" w:rsidR="00905066" w:rsidRPr="00905066" w:rsidRDefault="00905066" w:rsidP="00905066">
      <w:pPr>
        <w:tabs>
          <w:tab w:val="left" w:pos="5245"/>
        </w:tabs>
        <w:spacing w:line="240" w:lineRule="auto"/>
        <w:rPr>
          <w:rFonts w:ascii="Arial" w:hAnsi="Arial" w:cs="Arial"/>
          <w:b/>
          <w:bCs/>
          <w:sz w:val="24"/>
          <w:szCs w:val="24"/>
          <w:lang w:val="en-US"/>
        </w:rPr>
      </w:pPr>
      <w:r w:rsidRPr="00905066">
        <w:rPr>
          <w:rFonts w:ascii="Arial" w:hAnsi="Arial" w:cs="Arial"/>
          <w:b/>
          <w:bCs/>
          <w:sz w:val="24"/>
          <w:szCs w:val="24"/>
          <w:lang w:val="en-US"/>
        </w:rPr>
        <w:t>Abstract</w:t>
      </w:r>
    </w:p>
    <w:p w14:paraId="60FD629F" w14:textId="0E063385" w:rsidR="00905066" w:rsidRPr="00905066" w:rsidRDefault="00905066" w:rsidP="00AF13D1">
      <w:pPr>
        <w:tabs>
          <w:tab w:val="left" w:pos="5245"/>
        </w:tabs>
        <w:spacing w:line="240" w:lineRule="auto"/>
        <w:ind w:firstLine="709"/>
        <w:rPr>
          <w:rFonts w:ascii="Arial" w:hAnsi="Arial" w:cs="Arial"/>
          <w:bCs/>
          <w:sz w:val="24"/>
          <w:szCs w:val="24"/>
          <w:lang w:val="en-US"/>
        </w:rPr>
      </w:pPr>
      <w:r w:rsidRPr="00905066">
        <w:rPr>
          <w:rFonts w:ascii="Arial" w:hAnsi="Arial" w:cs="Arial"/>
          <w:bCs/>
          <w:sz w:val="24"/>
          <w:szCs w:val="24"/>
          <w:lang w:val="en-US"/>
        </w:rPr>
        <w:t>This article analyzes the legal challenges of implementing renewable energy in Colombia, focusing on its contribution to Sustainable De</w:t>
      </w:r>
      <w:bookmarkStart w:id="0" w:name="_GoBack"/>
      <w:bookmarkEnd w:id="0"/>
      <w:r w:rsidRPr="00905066">
        <w:rPr>
          <w:rFonts w:ascii="Arial" w:hAnsi="Arial" w:cs="Arial"/>
          <w:bCs/>
          <w:sz w:val="24"/>
          <w:szCs w:val="24"/>
          <w:lang w:val="en-US"/>
        </w:rPr>
        <w:t>velopment Goals (SDGs) 7 and 13, which aim to ensure access to affordable and reliable energy, and to combat climate change. The study examines Colombian regulations, including Law 1715 of 2014 and Law 2099 of 2021, which promote the use of non-conventional renewable energies, such as solar and wind, within the country's energy matrix. Through a comparative approach with European legislation, the advances and challenges in Colombia's energy transition are evaluated. Although significant progress has been made, the study highlights structural, economic, and social barriers that limit the impact of current policies. It concludes that further strengthening of institutional coordination and economic incentives is needed to ensure that Colombia can move towards a sustainable development model that meets its international commitments to reduce greenhouse gas emissions.</w:t>
      </w:r>
    </w:p>
    <w:p w14:paraId="755DC55A" w14:textId="77777777" w:rsidR="00905066" w:rsidRPr="00905066" w:rsidRDefault="00905066" w:rsidP="00905066">
      <w:pPr>
        <w:tabs>
          <w:tab w:val="left" w:pos="5245"/>
        </w:tabs>
        <w:spacing w:line="240" w:lineRule="auto"/>
        <w:rPr>
          <w:rFonts w:ascii="Arial" w:hAnsi="Arial" w:cs="Arial"/>
          <w:b/>
          <w:bCs/>
          <w:sz w:val="24"/>
          <w:szCs w:val="24"/>
          <w:lang w:val="en-US"/>
        </w:rPr>
      </w:pPr>
      <w:r w:rsidRPr="00905066">
        <w:rPr>
          <w:rFonts w:ascii="Arial" w:hAnsi="Arial" w:cs="Arial"/>
          <w:b/>
          <w:bCs/>
          <w:sz w:val="24"/>
          <w:szCs w:val="24"/>
          <w:lang w:val="en-US"/>
        </w:rPr>
        <w:t>Keywords</w:t>
      </w:r>
    </w:p>
    <w:p w14:paraId="52C08738" w14:textId="29690415" w:rsidR="00905066" w:rsidRPr="00905066" w:rsidRDefault="00905066" w:rsidP="00AF13D1">
      <w:pPr>
        <w:tabs>
          <w:tab w:val="left" w:pos="5245"/>
        </w:tabs>
        <w:spacing w:line="240" w:lineRule="auto"/>
        <w:ind w:firstLine="709"/>
        <w:rPr>
          <w:rFonts w:ascii="Arial" w:hAnsi="Arial" w:cs="Arial"/>
          <w:bCs/>
          <w:sz w:val="24"/>
          <w:szCs w:val="24"/>
          <w:lang w:val="en-US"/>
        </w:rPr>
      </w:pPr>
      <w:r w:rsidRPr="00905066">
        <w:rPr>
          <w:rFonts w:ascii="Arial" w:hAnsi="Arial" w:cs="Arial"/>
          <w:bCs/>
          <w:sz w:val="24"/>
          <w:szCs w:val="24"/>
          <w:lang w:val="en-US"/>
        </w:rPr>
        <w:t>Energy resources, non-conventional energy sources, economic growth, sustainable development, eco-sustainable regulations.</w:t>
      </w:r>
    </w:p>
    <w:p w14:paraId="0E0C4F03" w14:textId="2C7E4890" w:rsidR="00770C04" w:rsidRPr="00C51E5B" w:rsidRDefault="00CD1251" w:rsidP="00905066">
      <w:pPr>
        <w:pStyle w:val="Ttulo1"/>
        <w:rPr>
          <w:rFonts w:ascii="Arial" w:hAnsi="Arial" w:cs="Arial"/>
          <w:color w:val="FF0000"/>
          <w:sz w:val="24"/>
          <w:szCs w:val="24"/>
        </w:rPr>
      </w:pPr>
      <w:bookmarkStart w:id="1" w:name="_Toc178883898"/>
      <w:r w:rsidRPr="00C51E5B">
        <w:rPr>
          <w:rFonts w:ascii="Arial" w:hAnsi="Arial" w:cs="Arial"/>
          <w:sz w:val="24"/>
          <w:szCs w:val="24"/>
        </w:rPr>
        <w:t>Introducción</w:t>
      </w:r>
      <w:r w:rsidR="002613EE" w:rsidRPr="00C51E5B">
        <w:rPr>
          <w:rFonts w:ascii="Arial" w:hAnsi="Arial" w:cs="Arial"/>
          <w:sz w:val="24"/>
          <w:szCs w:val="24"/>
        </w:rPr>
        <w:t xml:space="preserve"> </w:t>
      </w:r>
      <w:bookmarkEnd w:id="1"/>
    </w:p>
    <w:p w14:paraId="19F52810" w14:textId="19378488" w:rsidR="00770C04" w:rsidRPr="00C51E5B" w:rsidRDefault="00770C04" w:rsidP="00905066">
      <w:pPr>
        <w:pStyle w:val="Prrafodelista"/>
        <w:tabs>
          <w:tab w:val="left" w:pos="5245"/>
        </w:tabs>
        <w:spacing w:line="240" w:lineRule="auto"/>
        <w:ind w:left="0"/>
        <w:rPr>
          <w:rFonts w:ascii="Arial" w:hAnsi="Arial" w:cs="Arial"/>
          <w:sz w:val="24"/>
          <w:szCs w:val="24"/>
        </w:rPr>
      </w:pPr>
      <w:r w:rsidRPr="00C51E5B">
        <w:rPr>
          <w:rFonts w:ascii="Arial" w:hAnsi="Arial" w:cs="Arial"/>
          <w:b/>
          <w:bCs/>
          <w:sz w:val="24"/>
          <w:szCs w:val="24"/>
        </w:rPr>
        <w:t xml:space="preserve">           </w:t>
      </w:r>
      <w:r w:rsidRPr="00C51E5B">
        <w:rPr>
          <w:rFonts w:ascii="Arial" w:hAnsi="Arial" w:cs="Arial"/>
          <w:sz w:val="24"/>
          <w:szCs w:val="24"/>
        </w:rPr>
        <w:t>Preservar el planeta es un propósito común entre los Estados, para garantizar el desarrollo de los pueblos, se ha establecido el derecho internacional</w:t>
      </w:r>
      <w:r w:rsidR="00FF0B9B" w:rsidRPr="00C51E5B">
        <w:rPr>
          <w:rFonts w:ascii="Arial" w:hAnsi="Arial" w:cs="Arial"/>
          <w:sz w:val="24"/>
          <w:szCs w:val="24"/>
        </w:rPr>
        <w:t xml:space="preserve"> en 1972 con la declaración de Estocol</w:t>
      </w:r>
      <w:r w:rsidR="003750D6" w:rsidRPr="00C51E5B">
        <w:rPr>
          <w:rFonts w:ascii="Arial" w:hAnsi="Arial" w:cs="Arial"/>
          <w:sz w:val="24"/>
          <w:szCs w:val="24"/>
        </w:rPr>
        <w:t>m</w:t>
      </w:r>
      <w:r w:rsidR="00FF0B9B" w:rsidRPr="00C51E5B">
        <w:rPr>
          <w:rFonts w:ascii="Arial" w:hAnsi="Arial" w:cs="Arial"/>
          <w:sz w:val="24"/>
          <w:szCs w:val="24"/>
        </w:rPr>
        <w:t>o</w:t>
      </w:r>
      <w:r w:rsidR="003750D6" w:rsidRPr="00C51E5B">
        <w:rPr>
          <w:rFonts w:ascii="Arial" w:hAnsi="Arial" w:cs="Arial"/>
          <w:sz w:val="24"/>
          <w:szCs w:val="24"/>
        </w:rPr>
        <w:t xml:space="preserve"> que responsabiliza a las actividades humanas de contribuir al deterioro del clima, una normativa que se expande para todos los países</w:t>
      </w:r>
      <w:r w:rsidRPr="00C51E5B">
        <w:rPr>
          <w:rFonts w:ascii="Arial" w:hAnsi="Arial" w:cs="Arial"/>
          <w:sz w:val="24"/>
          <w:szCs w:val="24"/>
        </w:rPr>
        <w:t>,</w:t>
      </w:r>
      <w:r w:rsidR="003750D6" w:rsidRPr="00C51E5B">
        <w:rPr>
          <w:rFonts w:ascii="Arial" w:hAnsi="Arial" w:cs="Arial"/>
          <w:sz w:val="24"/>
          <w:szCs w:val="24"/>
        </w:rPr>
        <w:t xml:space="preserve"> sobre la utilización de los recursos sin que deterioren el medio ambiente, </w:t>
      </w:r>
      <w:r w:rsidR="00233FEF" w:rsidRPr="00C51E5B">
        <w:rPr>
          <w:rFonts w:ascii="Arial" w:hAnsi="Arial" w:cs="Arial"/>
          <w:sz w:val="24"/>
          <w:szCs w:val="24"/>
        </w:rPr>
        <w:t>que ayuda a</w:t>
      </w:r>
      <w:r w:rsidRPr="00C51E5B">
        <w:rPr>
          <w:rFonts w:ascii="Arial" w:hAnsi="Arial" w:cs="Arial"/>
          <w:sz w:val="24"/>
          <w:szCs w:val="24"/>
        </w:rPr>
        <w:t xml:space="preserve"> regular la relación entre los hombres y la naturaleza. Desde 1979, en Ginebra,</w:t>
      </w:r>
      <w:r w:rsidR="001D2B2A" w:rsidRPr="00C51E5B">
        <w:rPr>
          <w:rFonts w:ascii="Arial" w:hAnsi="Arial" w:cs="Arial"/>
          <w:sz w:val="24"/>
          <w:szCs w:val="24"/>
        </w:rPr>
        <w:t xml:space="preserve"> </w:t>
      </w:r>
      <w:r w:rsidRPr="00C51E5B">
        <w:rPr>
          <w:rFonts w:ascii="Arial" w:hAnsi="Arial" w:cs="Arial"/>
          <w:sz w:val="24"/>
          <w:szCs w:val="24"/>
        </w:rPr>
        <w:t xml:space="preserve">se manifestó una  preocupación por el calentamiento global, consolidando un programa para la protección del clima, </w:t>
      </w:r>
      <w:r w:rsidR="00E63D98" w:rsidRPr="00C51E5B">
        <w:rPr>
          <w:rFonts w:ascii="Arial" w:hAnsi="Arial" w:cs="Arial"/>
          <w:sz w:val="24"/>
          <w:szCs w:val="24"/>
        </w:rPr>
        <w:t> a la vez estarían vigilados y regulados </w:t>
      </w:r>
      <w:r w:rsidRPr="00C51E5B">
        <w:rPr>
          <w:rFonts w:ascii="Arial" w:hAnsi="Arial" w:cs="Arial"/>
          <w:sz w:val="24"/>
          <w:szCs w:val="24"/>
        </w:rPr>
        <w:t xml:space="preserve"> la Organización Mundial Meteorológica (OMM), </w:t>
      </w:r>
      <w:r w:rsidR="00BD061E" w:rsidRPr="00C51E5B">
        <w:rPr>
          <w:rFonts w:ascii="Arial" w:hAnsi="Arial" w:cs="Arial"/>
          <w:sz w:val="24"/>
          <w:szCs w:val="24"/>
        </w:rPr>
        <w:t xml:space="preserve">para </w:t>
      </w:r>
      <w:r w:rsidRPr="00C51E5B">
        <w:rPr>
          <w:rFonts w:ascii="Arial" w:hAnsi="Arial" w:cs="Arial"/>
          <w:sz w:val="24"/>
          <w:szCs w:val="24"/>
        </w:rPr>
        <w:t xml:space="preserve">el Programa de las Naciones Unidas para el Medio Ambiente </w:t>
      </w:r>
      <w:r w:rsidR="002E0F48" w:rsidRPr="00C51E5B">
        <w:rPr>
          <w:rFonts w:ascii="Arial" w:hAnsi="Arial" w:cs="Arial"/>
          <w:sz w:val="24"/>
          <w:szCs w:val="24"/>
        </w:rPr>
        <w:t xml:space="preserve">PNUMA </w:t>
      </w:r>
      <w:r w:rsidRPr="00C51E5B">
        <w:rPr>
          <w:rFonts w:ascii="Arial" w:hAnsi="Arial" w:cs="Arial"/>
          <w:sz w:val="24"/>
          <w:szCs w:val="24"/>
        </w:rPr>
        <w:t>y el Consejo Internacional para la Cienc</w:t>
      </w:r>
      <w:r w:rsidR="003C1D14" w:rsidRPr="00C51E5B">
        <w:rPr>
          <w:rFonts w:ascii="Arial" w:hAnsi="Arial" w:cs="Arial"/>
          <w:sz w:val="24"/>
          <w:szCs w:val="24"/>
        </w:rPr>
        <w:t>ia</w:t>
      </w:r>
      <w:r w:rsidR="001D2B2A" w:rsidRPr="00C51E5B">
        <w:rPr>
          <w:rFonts w:ascii="Arial" w:hAnsi="Arial" w:cs="Arial"/>
          <w:sz w:val="24"/>
          <w:szCs w:val="24"/>
        </w:rPr>
        <w:t xml:space="preserve">,  en 1988 la OMM y el PNUMA crearon un equipo </w:t>
      </w:r>
      <w:r w:rsidR="001D2B2A" w:rsidRPr="00C51E5B">
        <w:rPr>
          <w:rFonts w:ascii="Arial" w:hAnsi="Arial" w:cs="Arial"/>
          <w:sz w:val="24"/>
          <w:szCs w:val="24"/>
        </w:rPr>
        <w:lastRenderedPageBreak/>
        <w:t xml:space="preserve">intergubernamental </w:t>
      </w:r>
      <w:r w:rsidR="00F11BB6" w:rsidRPr="00C51E5B">
        <w:rPr>
          <w:rFonts w:ascii="Arial" w:hAnsi="Arial" w:cs="Arial"/>
          <w:sz w:val="24"/>
          <w:szCs w:val="24"/>
        </w:rPr>
        <w:t>para</w:t>
      </w:r>
      <w:r w:rsidR="001D2B2A" w:rsidRPr="00C51E5B">
        <w:rPr>
          <w:rFonts w:ascii="Arial" w:hAnsi="Arial" w:cs="Arial"/>
          <w:sz w:val="24"/>
          <w:szCs w:val="24"/>
        </w:rPr>
        <w:t xml:space="preserve">  analizar el cambio climático periódicamente, mediante la emisión de informes sobre aspectos técnicos, científicos y socioeconómicos para el ideal abordaje de parte de los Estados.</w:t>
      </w:r>
      <w:r w:rsidR="003B76B8" w:rsidRPr="00C51E5B">
        <w:rPr>
          <w:rFonts w:ascii="Arial" w:hAnsi="Arial" w:cs="Arial"/>
          <w:sz w:val="24"/>
          <w:szCs w:val="24"/>
        </w:rPr>
        <w:t xml:space="preserve"> </w:t>
      </w:r>
      <w:r w:rsidR="007C6DDD" w:rsidRPr="00C51E5B">
        <w:rPr>
          <w:rFonts w:ascii="Arial" w:hAnsi="Arial" w:cs="Arial"/>
          <w:sz w:val="24"/>
          <w:szCs w:val="24"/>
        </w:rPr>
        <w:t>“</w:t>
      </w:r>
      <w:r w:rsidR="001D2B2A" w:rsidRPr="00C51E5B">
        <w:rPr>
          <w:rFonts w:ascii="Arial" w:hAnsi="Arial" w:cs="Arial"/>
          <w:sz w:val="24"/>
          <w:szCs w:val="24"/>
        </w:rPr>
        <w:t>Por tales motivos, se hace necesaria la adecuación de las normas jurídicas internacionales para la correcta regulación e integración de los distintos problemas producidos </w:t>
      </w:r>
      <w:r w:rsidR="007C6DDD" w:rsidRPr="00C51E5B">
        <w:rPr>
          <w:rFonts w:ascii="Arial" w:hAnsi="Arial" w:cs="Arial"/>
          <w:sz w:val="24"/>
          <w:szCs w:val="24"/>
        </w:rPr>
        <w:t>problemas producidos por el cambio climático al derecho internacional público; todo esto con el propósito de lograr un equilibrio entre el derecho soberano de cada uno de los Estados en la comunidad internacional y el no dañar el medio ambiente de parte de los mismos Estados, creando un derecho de intervención a la comunidad internacional para la protección de los recursos naturales”</w:t>
      </w:r>
      <w:r w:rsidR="007C6DDD" w:rsidRPr="00C51E5B">
        <w:rPr>
          <w:rFonts w:ascii="Arial" w:hAnsi="Arial" w:cs="Arial"/>
          <w:sz w:val="24"/>
          <w:szCs w:val="24"/>
        </w:rPr>
        <w:fldChar w:fldCharType="begin"/>
      </w:r>
      <w:r w:rsidR="007C6DDD" w:rsidRPr="00C51E5B">
        <w:rPr>
          <w:rFonts w:ascii="Arial" w:hAnsi="Arial" w:cs="Arial"/>
          <w:sz w:val="24"/>
          <w:szCs w:val="24"/>
        </w:rPr>
        <w:instrText xml:space="preserve"> ADDIN ZOTERO_ITEM CSL_CITATION {"citationID":"BJVs7jiS","properties":{"formattedCitation":"(Hern\\uc0\\u225{}ndez Palma et\\uc0\\u160{}al., 2022)","plainCitation":"(Hernández Palma et al., 2022)","noteIndex":0},"citationItems":[{"id":1081,"uris":["http://zotero.org/users/9184847/items/BLC8947J"],"itemData":{"id":1081,"type":"article-journal","container-title":"Justicia","DOI":"10.17081/just.27.41.5997","ISSN":"0124-7441","issue":"41","language":"es","note":"publisher: Universidad Simón Bolívar","page":"150-160","source":"SciELO","title":"Energía renovable y el derecho internacional energético","volume":"27","author":[{"family":"Hernández Palma","given":"Hugo"},{"family":"Jiménez Coronado","given":"Angelica"},{"family":"Mendoza Casseres","given":"Daniel"},{"family":"Hernández Palma","given":"Hugo"},{"family":"Jiménez Coronado","given":"Angelica"},{"family":"Mendoza Casseres","given":"Daniel"}],"issued":{"date-parts":[["2022",6]]}}}],"schema":"https://github.com/citation-style-language/schema/raw/master/csl-citation.json"} </w:instrText>
      </w:r>
      <w:r w:rsidR="007C6DDD" w:rsidRPr="00C51E5B">
        <w:rPr>
          <w:rFonts w:ascii="Arial" w:hAnsi="Arial" w:cs="Arial"/>
          <w:sz w:val="24"/>
          <w:szCs w:val="24"/>
        </w:rPr>
        <w:fldChar w:fldCharType="separate"/>
      </w:r>
      <w:r w:rsidR="007C6DDD" w:rsidRPr="00C51E5B">
        <w:rPr>
          <w:rFonts w:ascii="Arial" w:hAnsi="Arial" w:cs="Arial"/>
          <w:kern w:val="0"/>
          <w:sz w:val="24"/>
          <w:szCs w:val="24"/>
        </w:rPr>
        <w:t>(Hernández Palma et al., 2022)</w:t>
      </w:r>
      <w:r w:rsidR="007C6DDD" w:rsidRPr="00C51E5B">
        <w:rPr>
          <w:rFonts w:ascii="Arial" w:hAnsi="Arial" w:cs="Arial"/>
          <w:sz w:val="24"/>
          <w:szCs w:val="24"/>
        </w:rPr>
        <w:fldChar w:fldCharType="end"/>
      </w:r>
      <w:r w:rsidR="007C6DDD" w:rsidRPr="00C51E5B">
        <w:rPr>
          <w:rFonts w:ascii="Arial" w:hAnsi="Arial" w:cs="Arial"/>
          <w:sz w:val="24"/>
          <w:szCs w:val="24"/>
        </w:rPr>
        <w:t>.</w:t>
      </w:r>
    </w:p>
    <w:p w14:paraId="31FF4F92" w14:textId="2A3F86E4" w:rsidR="00214FBD" w:rsidRPr="00C51E5B" w:rsidRDefault="00214FBD" w:rsidP="00905066">
      <w:pPr>
        <w:pStyle w:val="Prrafodelista"/>
        <w:tabs>
          <w:tab w:val="left" w:pos="5245"/>
        </w:tabs>
        <w:spacing w:line="240" w:lineRule="auto"/>
        <w:ind w:left="0" w:firstLine="720"/>
        <w:rPr>
          <w:rFonts w:ascii="Arial" w:hAnsi="Arial" w:cs="Arial"/>
          <w:sz w:val="24"/>
          <w:szCs w:val="24"/>
        </w:rPr>
      </w:pPr>
      <w:r w:rsidRPr="00C51E5B">
        <w:rPr>
          <w:rFonts w:ascii="Arial" w:hAnsi="Arial" w:cs="Arial"/>
          <w:sz w:val="24"/>
          <w:szCs w:val="24"/>
        </w:rPr>
        <w:t>"</w:t>
      </w:r>
      <w:r w:rsidR="00675E1A" w:rsidRPr="00C51E5B">
        <w:rPr>
          <w:rFonts w:ascii="Arial" w:hAnsi="Arial" w:cs="Arial"/>
          <w:sz w:val="24"/>
          <w:szCs w:val="24"/>
        </w:rPr>
        <w:t xml:space="preserve">El concepto de desarrollo sostenible se difundió en 1987 fruto del Informe Brundtland y se convirtió en objetivo global unificado desde la Conferencia de las Naciones Unidas sobre el Medio Ambiente y el Desarrollo en 1992. </w:t>
      </w:r>
      <w:r w:rsidR="00C65962" w:rsidRPr="00C51E5B">
        <w:rPr>
          <w:rFonts w:ascii="Arial" w:hAnsi="Arial" w:cs="Arial"/>
          <w:sz w:val="24"/>
          <w:szCs w:val="24"/>
        </w:rPr>
        <w:t>Ante la</w:t>
      </w:r>
      <w:r w:rsidR="00675E1A" w:rsidRPr="00C51E5B">
        <w:rPr>
          <w:rFonts w:ascii="Arial" w:hAnsi="Arial" w:cs="Arial"/>
          <w:sz w:val="24"/>
          <w:szCs w:val="24"/>
        </w:rPr>
        <w:t xml:space="preserve"> necesidad urgente de evaluar, delimitar y enfocar el impacto que tienen las actividades humanas sobre el medio ambiente surge este concepto, que sirve para la posterior materialización de los ODS.  </w:t>
      </w:r>
      <w:r w:rsidRPr="00C51E5B">
        <w:rPr>
          <w:rFonts w:ascii="Arial" w:hAnsi="Arial" w:cs="Arial"/>
          <w:sz w:val="24"/>
          <w:szCs w:val="24"/>
        </w:rPr>
        <w:t>La economía circular (EC) y los objetivos de desarrollo sostenible (ODS) son iniciativas sostenibles que están siendo promovidas a nivel mundial en el sector público, privado y no gubernamental”</w:t>
      </w:r>
      <w:r w:rsidRPr="00C51E5B">
        <w:rPr>
          <w:rFonts w:ascii="Arial" w:hAnsi="Arial" w:cs="Arial"/>
          <w:sz w:val="24"/>
          <w:szCs w:val="24"/>
        </w:rPr>
        <w:fldChar w:fldCharType="begin"/>
      </w:r>
      <w:r w:rsidRPr="00C51E5B">
        <w:rPr>
          <w:rFonts w:ascii="Arial" w:hAnsi="Arial" w:cs="Arial"/>
          <w:sz w:val="24"/>
          <w:szCs w:val="24"/>
        </w:rPr>
        <w:instrText xml:space="preserve"> ADDIN ZOTERO_ITEM CSL_CITATION {"citationID":"zjp0jB7l","properties":{"formattedCitation":"(Romero Perdomo &amp; Carvajalino Uma\\uc0\\u241{}a, 2021)","plainCitation":"(Romero Perdomo &amp; Carvajalino Umaña, 2021)","noteIndex":0},"citationItems":[{"id":1099,"uris":["http://zotero.org/users/9184847/items/SXR924QU"],"itemData":{"id":1099,"type":"thesis","abstract":"La economía circular (EC) y los objetivos de desarrollo sostenible (ODS) son iniciativas sostenibles que están siendo promovidas a nivel mundial en el sector público, privado y no gubernamental, pero su interacción ha sido escasamente estudiada. Entre las organizaciones no gubernamentales más destacadas en Colombia se encuentra Pacto Global de las Naciones Unidas, la cual lleva más de 16 años en el país promoviendo principios sostenibles. En el presente trabajo de grado de maestría se determinó el impacto de prácticas de EC sobre el desarrollo de las metas de los ODS más representativos en las organizaciones adheridas a Pacto Global Red Colombia. Los resultados permitieron evidenciar que el 70% de las 65 organizaciones estudiadas están alineadas con los ODS e implementan el modelo de EC, siendo la práctica de gestión de residuos la de mayor aplicación. Los sectores más destacados por presentar el mayor uso de prácticas de EC fueron el de transporte y el de bebidas y alimentos. Paralelamente, se evaluó mediante expertos la interacción entre la EC y los ODS. Aquí, los hallazgos mostraron que la EC contribuye positiva y directamente en un 51% al cumplimiento de los ODS e impacta principalmente la dimensión económica y ambiental. Específicamente, los ODS que reciben mayor efecto positivo por parte de la EC son los ODS 9 (industria, innovación e infraestructura), ODS 12 (consumo y producción sostenible) y ODS 13 (acción por el clima). Asimismo, la EC tiene un impacto alto del 46% sobre el avance de las metas de los ODS representativos, principalmente en la meta 9,2 (industria inclusiva y sostenible), 9,4 (infraestructura sostenible y resiliente), 12,5 (reducción, reciclado y reutilización de desechos) y 13,2 (políticas, estrategias y planes nacionales). Por último, el efecto que tiene la aplicación actual de prácticas circulares en las organizaciones adheridas a Pacto Global sobre los ODS y las metas de los ODS representativos es disminuir el impacto potencial de la EC en más del 60%. Aunque la implementación de prácticas de EC no es suficiente para lograr la totalidad del avance de los ODS, su aporte sustancial puede representar una ventaja competitiva sostenible. Adicionalmente, la reducción significativa del impacto potencial de la EC por el bajo uso de prácticas aumenta aún más la necesidad de aplicar el modelo de EC de forma integral en las organizaciones adheridas a Pacto Global.","genre":"Master Thesis","language":"spa","license":"http://creativecommons.org/licenses/by-nd/2.5/co/","note":"Accepted: 2021-01-29T22:03:14Z\nArtwork Medium: Recurso electrónico\nInterview Medium: Recurso electrónico","publisher":"Maestría en Proyectos de Desarrollo Sostenible Virtual","source":"repository.universidadean.edu.co","title":"Impacto de la economía circular en los objetivos de desarrollo sostenible: análisis de organizaciones adheridas a Pacto Global Red Colombia de las Naciones Unidas","title-short":"Impacto de la economía circular en los objetivos de desarrollo sostenible","URL":"https://repository.universidadean.edu.co/handle/10882/10340","author":[{"family":"Romero Perdomo","given":"Felipe Andrés"},{"family":"Carvajalino Umaña","given":"Juan David"}],"accessed":{"date-parts":[["2024",9,26]]},"issued":{"date-parts":[["2021",1,29]]}}}],"schema":"https://github.com/citation-style-language/schema/raw/master/csl-citation.json"} </w:instrText>
      </w:r>
      <w:r w:rsidRPr="00C51E5B">
        <w:rPr>
          <w:rFonts w:ascii="Arial" w:hAnsi="Arial" w:cs="Arial"/>
          <w:sz w:val="24"/>
          <w:szCs w:val="24"/>
        </w:rPr>
        <w:fldChar w:fldCharType="separate"/>
      </w:r>
      <w:r w:rsidRPr="00C51E5B">
        <w:rPr>
          <w:rFonts w:ascii="Arial" w:hAnsi="Arial" w:cs="Arial"/>
          <w:kern w:val="0"/>
          <w:sz w:val="24"/>
          <w:szCs w:val="24"/>
        </w:rPr>
        <w:t>(Romero Perdomo &amp; Carvajalino Umaña, 2021)</w:t>
      </w:r>
      <w:r w:rsidRPr="00C51E5B">
        <w:rPr>
          <w:rFonts w:ascii="Arial" w:hAnsi="Arial" w:cs="Arial"/>
          <w:sz w:val="24"/>
          <w:szCs w:val="24"/>
        </w:rPr>
        <w:fldChar w:fldCharType="end"/>
      </w:r>
      <w:r w:rsidRPr="00C51E5B">
        <w:rPr>
          <w:rFonts w:ascii="Arial" w:hAnsi="Arial" w:cs="Arial"/>
          <w:sz w:val="24"/>
          <w:szCs w:val="24"/>
        </w:rPr>
        <w:t>. Una de ellas es el Pacto Global de las Naciones Unidas, (16 años, promueve principios sostenibles). A su vez, el Pacto Global Red Colombia.  práctica de gestión de residuos, 70% de las organizaciones, aplican la energía circular y están alineadas al cumplimiento de los ODS. transporte y el de bebidas y alimentos he impacta principalmente la dimensión económica y ambiental. </w:t>
      </w:r>
    </w:p>
    <w:p w14:paraId="45BE2992" w14:textId="2972FF79"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La transición hacia energías renovables es una necesidad imperativa para el cumplimiento de los Objetivos de Desarrollo Sostenible (ODS), en particular los ODS 7 y 13, que abogan por la garantía de acceso a energía asequible, fiable, sostenible y moderna para todos, y por la adopción de medidas urgentes para combatir el cambio climático y sus impactos. En este contexto, Colombia se encuentra en un punto crucial de su desarrollo energético, donde la implementación de normativas orientadas a fomentar el uso de energías renovables juega un papel fundamental para alcanzar estos objetivos globales.</w:t>
      </w:r>
      <w:r w:rsidR="00EB36C2" w:rsidRPr="00C51E5B">
        <w:rPr>
          <w:rFonts w:ascii="Arial" w:hAnsi="Arial" w:cs="Arial"/>
        </w:rPr>
        <w:t>”</w:t>
      </w:r>
      <w:r w:rsidR="00EB36C2" w:rsidRPr="00C51E5B">
        <w:rPr>
          <w:rFonts w:ascii="Arial" w:eastAsiaTheme="minorHAnsi" w:hAnsi="Arial" w:cs="Arial"/>
          <w:kern w:val="2"/>
          <w:shd w:val="clear" w:color="auto" w:fill="FFFFFF"/>
          <w:lang w:eastAsia="en-US"/>
          <w14:ligatures w14:val="standardContextual"/>
        </w:rPr>
        <w:t xml:space="preserve"> </w:t>
      </w:r>
      <w:r w:rsidR="00EB36C2" w:rsidRPr="00C51E5B">
        <w:rPr>
          <w:rFonts w:ascii="Arial" w:hAnsi="Arial" w:cs="Arial"/>
        </w:rPr>
        <w:t>En el siglo XX y hasta el día de hoy el mundo utilizó como fuentes energéticas primarias (de manera prioritaria) los denominados combustibles fósiles, a saber, el petróleo, el carbón y el gas natural.  Sin embargo, los efectos sobre el ambiente que han dado lugar al cambio climático, han generado una tendencia cada vez más creciente a reemplazar estas energías por fuentes más limpias como la eólica, la solar o la geotérmica.  Aún se plantean acciones más radicales como reducir el consumo de energía de forma drástica para evitar una catástrofe global de proporciones inimaginables.  Este proceso se ha denominado “la transición energética”</w:t>
      </w:r>
      <w:r w:rsidR="00EB36C2" w:rsidRPr="00C51E5B">
        <w:rPr>
          <w:rFonts w:ascii="Arial" w:hAnsi="Arial" w:cs="Arial"/>
        </w:rPr>
        <w:fldChar w:fldCharType="begin"/>
      </w:r>
      <w:r w:rsidR="00EB36C2" w:rsidRPr="00C51E5B">
        <w:rPr>
          <w:rFonts w:ascii="Arial" w:hAnsi="Arial" w:cs="Arial"/>
        </w:rPr>
        <w:instrText xml:space="preserve"> ADDIN ZOTERO_ITEM CSL_CITATION {"citationID":"XvUrs6Oz","properties":{"formattedCitation":"(Corredor, 2018)","plainCitation":"(Corredor, 2018)","noteIndex":0},"citationItems":[{"id":1076,"uris":["http://zotero.org/users/9184847/items/6V39N3C4"],"itemData":{"id":1076,"type":"article-journal","container-title":"Ciencia Política","DOI":"10.15446/cp.v12n25.70257","ISSN":"1909-230X","issue":"25","journalAbbreviation":"Cienc. politi.","language":"es_ES","page":"107-125","title":"Colombia y la transición energética","volume":"13","author":[{"family":"Corredor","given":"Germán"}],"issued":{"date-parts":[["2018",1,1]]}}}],"schema":"https://github.com/citation-style-language/schema/raw/master/csl-citation.json"} </w:instrText>
      </w:r>
      <w:r w:rsidR="00EB36C2" w:rsidRPr="00C51E5B">
        <w:rPr>
          <w:rFonts w:ascii="Arial" w:hAnsi="Arial" w:cs="Arial"/>
        </w:rPr>
        <w:fldChar w:fldCharType="separate"/>
      </w:r>
      <w:r w:rsidR="00EB36C2" w:rsidRPr="00C51E5B">
        <w:rPr>
          <w:rFonts w:ascii="Arial" w:hAnsi="Arial" w:cs="Arial"/>
        </w:rPr>
        <w:t>(Corredor, 2018)</w:t>
      </w:r>
      <w:r w:rsidR="00EB36C2" w:rsidRPr="00C51E5B">
        <w:rPr>
          <w:rFonts w:ascii="Arial" w:hAnsi="Arial" w:cs="Arial"/>
        </w:rPr>
        <w:fldChar w:fldCharType="end"/>
      </w:r>
      <w:r w:rsidR="00EB36C2" w:rsidRPr="00C51E5B">
        <w:rPr>
          <w:rFonts w:ascii="Arial" w:hAnsi="Arial" w:cs="Arial"/>
        </w:rPr>
        <w:t>.</w:t>
      </w:r>
    </w:p>
    <w:p w14:paraId="35B0779D" w14:textId="11A1835F" w:rsidR="00C95D05" w:rsidRPr="00C51E5B" w:rsidRDefault="00C95D05" w:rsidP="00905066">
      <w:pPr>
        <w:pStyle w:val="NormalWeb"/>
        <w:ind w:firstLine="720"/>
        <w:rPr>
          <w:rFonts w:ascii="Arial" w:hAnsi="Arial" w:cs="Arial"/>
        </w:rPr>
      </w:pPr>
      <w:r w:rsidRPr="00C51E5B">
        <w:rPr>
          <w:rFonts w:ascii="Arial" w:hAnsi="Arial" w:cs="Arial"/>
        </w:rPr>
        <w:t xml:space="preserve">Una transición a la sostenibilidad, “se entiende como el cambio y las adaptaciones consideradas propiedades constitutivas del desarrollo sostenible, que es la capacidad de integración de los sistemas ecológico, económico y social para funcionar sin agotar los recursos disponibles, lo cual implica equilibrios </w:t>
      </w:r>
      <w:r w:rsidRPr="00C51E5B">
        <w:rPr>
          <w:rFonts w:ascii="Arial" w:hAnsi="Arial" w:cs="Arial"/>
        </w:rPr>
        <w:lastRenderedPageBreak/>
        <w:t>dinámicos que exigen autorregulación y autoorganización”</w:t>
      </w:r>
      <w:r w:rsidRPr="00C51E5B">
        <w:rPr>
          <w:rFonts w:ascii="Arial" w:hAnsi="Arial" w:cs="Arial"/>
        </w:rPr>
        <w:fldChar w:fldCharType="begin"/>
      </w:r>
      <w:r w:rsidRPr="00C51E5B">
        <w:rPr>
          <w:rFonts w:ascii="Arial" w:hAnsi="Arial" w:cs="Arial"/>
        </w:rPr>
        <w:instrText xml:space="preserve"> ADDIN ZOTERO_ITEM CSL_CITATION {"citationID":"jtStiOt3","properties":{"formattedCitation":"(Turriago Campuzano &amp; Cardona Acevedo, 2020)","plainCitation":"(Turriago Campuzano &amp; Cardona Acevedo, 2020)","noteIndex":0},"citationItems":[{"id":1095,"uris":["http://zotero.org/users/9184847/items/8WLF7PLR"],"itemData":{"id":1095,"type":"article","abstract":"Resumen en español: El Protocolo Verde es una iniciativa voluntaria del sector financiero liderada por Asobancaria; surge como solución para mitigar el cambio climático, aportar a la sostenibilidad y la responsabilidad social corporativa. En este estudio se propuso el análisis de los aportes de la banca comercial colombiana aplicando los lineamientos del Protocolo y su impacto en los objetivos de desarrollo sostenible (ODS) ambientales. Se elige como metodología el estudio de caso usando información cualitativa y cuantitativa. Inicialmente, se hace una revisión documental de informes de sostenibilidad (2015-2017) que dan cuenta de las acciones ejecutadas por la banca comercial, fundamentada en bases teóricas conceptuales, marco internacional y nacional y conceptos emitidos por expertos en sostenibilidad entrevistados. En los bancos estudiados sobresalen Bancolombia y Davivienda, referentes a nivel mundial, reconocidos por el Índice de Sostenibilidad Dow Jones. Finalmente, por el compromiso de los bancos comerciales en la aplicación de los lineamientos del Protocolo Verde y el aporte a los ocho ODS ambientales, se demuestra el compromiso con la sostenibilidad ambiental. Resumen en inglés: El Protocolo Verde es una iniciativa voluntaria del sector financiero liderada por Asobancaria en Colombia; surge como una solución para mitigar el cambio climático, contribuir a la sostenibilidad y la responsabilidad social empresarial. Este estudio propuso el análisis de la contribución de la banca comercial colombiana aplicando los lineamientos del Protocolo y su impacto en los ODS ambientales. Se aplicó el método de estudio de caso utilizando información cualitativa y cuantitativa. En primer lugar, se realizó una revisión documental de sostenibilidad (2015-2017), que da cuenta de las acciones realizadas Los bancos comerciales realizaron las evaluaciones, luego se aplicaron los fundamentos teóricos y conceptuales, el marco internacional y nacional y los conceptos emitidos por expertos en entrevistas de sostenibilidad. De los bancos estudiados, se destacan Bancolombia y Davivienda, referentes a nivel mundial, reconocidos por el Dow Jones Sustainability Index. Índice. Finalmente, el compromiso de los bancos comerciales con la aplicación de las directrices del Protocolo Verde y la contribución a los 8 ODS ambientales demuestra el compromiso con la sostenibilidad ambiental.","event-place":"Rochester, NY","genre":"SSRN Scholarly Paper","language":"es","number":"3520149","publisher-place":"Rochester, NY","source":"Social Science Research Network","title":"Cumplimiento de los objetivos de desarrollo sostenible ambientales a través de la contribución de la banca comercial colombiana: el caso del Protocolo verde de Asobancaria (Compliance With the Sustainability Development Goals Through the Contribution of the Colombian Banking Sector: The Case of Asobancaria’s Green Protocol)","title-short":"Cumplimiento de los objetivos de desarrollo sostenible ambientales a través de la contribución de la banca comercial colombiana","URL":"https://papers.ssrn.com/abstract=3520149","author":[{"family":"Turriago Campuzano","given":"Andrea Marcela"},{"family":"Cardona Acevedo","given":"Marleny"}],"accessed":{"date-parts":[["2024",9,13]]},"issued":{"date-parts":[["2020",1,15]]}}}],"schema":"https://github.com/citation-style-language/schema/raw/master/csl-citation.json"} </w:instrText>
      </w:r>
      <w:r w:rsidRPr="00C51E5B">
        <w:rPr>
          <w:rFonts w:ascii="Arial" w:hAnsi="Arial" w:cs="Arial"/>
        </w:rPr>
        <w:fldChar w:fldCharType="separate"/>
      </w:r>
      <w:r w:rsidRPr="00C51E5B">
        <w:rPr>
          <w:rFonts w:ascii="Arial" w:hAnsi="Arial" w:cs="Arial"/>
        </w:rPr>
        <w:t>(Turriago Campuzano &amp; Cardona Acevedo, 2020)</w:t>
      </w:r>
      <w:r w:rsidRPr="00C51E5B">
        <w:rPr>
          <w:rFonts w:ascii="Arial" w:hAnsi="Arial" w:cs="Arial"/>
        </w:rPr>
        <w:fldChar w:fldCharType="end"/>
      </w:r>
      <w:r w:rsidRPr="00C51E5B">
        <w:rPr>
          <w:rFonts w:ascii="Arial" w:hAnsi="Arial" w:cs="Arial"/>
        </w:rPr>
        <w:t>.</w:t>
      </w:r>
    </w:p>
    <w:p w14:paraId="7AF270E6" w14:textId="21BDFB65" w:rsidR="00906A7F" w:rsidRPr="00C51E5B" w:rsidRDefault="00906A7F" w:rsidP="00905066">
      <w:pPr>
        <w:pStyle w:val="NormalWeb"/>
        <w:ind w:firstLine="720"/>
        <w:rPr>
          <w:rFonts w:ascii="Arial" w:hAnsi="Arial" w:cs="Arial"/>
        </w:rPr>
      </w:pPr>
      <w:r w:rsidRPr="00C51E5B">
        <w:rPr>
          <w:rFonts w:ascii="Arial" w:hAnsi="Arial" w:cs="Arial"/>
        </w:rPr>
        <w:t> “</w:t>
      </w:r>
      <w:r w:rsidR="00095D94" w:rsidRPr="00C51E5B">
        <w:rPr>
          <w:rFonts w:ascii="Arial" w:hAnsi="Arial" w:cs="Arial"/>
        </w:rPr>
        <w:t>E</w:t>
      </w:r>
      <w:r w:rsidRPr="00C51E5B">
        <w:rPr>
          <w:rFonts w:ascii="Arial" w:hAnsi="Arial" w:cs="Arial"/>
        </w:rPr>
        <w:t>s necesario resaltar que la actual situación del cambio climático exige a la sociedad tomar una postura proactiva sobre este proceso que afecta a toda la sociedad y los ecosistemas.</w:t>
      </w:r>
      <w:r w:rsidRPr="00C51E5B">
        <w:rPr>
          <w:rFonts w:ascii="Arial" w:eastAsiaTheme="minorHAnsi" w:hAnsi="Arial" w:cs="Arial"/>
          <w:color w:val="000000"/>
          <w:kern w:val="2"/>
          <w:shd w:val="clear" w:color="auto" w:fill="FFFFFF"/>
          <w:lang w:eastAsia="en-US"/>
          <w14:ligatures w14:val="standardContextual"/>
        </w:rPr>
        <w:t xml:space="preserve"> </w:t>
      </w:r>
      <w:r w:rsidRPr="00C51E5B">
        <w:rPr>
          <w:rFonts w:ascii="Arial" w:hAnsi="Arial" w:cs="Arial"/>
        </w:rPr>
        <w:t>los Estados tienen la obligación de prever las distintas crisis que pudieran presentarse producto del mal empleo de las políticas públicas al respecto</w:t>
      </w:r>
      <w:r w:rsidR="009E325F" w:rsidRPr="00C51E5B">
        <w:rPr>
          <w:rFonts w:ascii="Arial" w:hAnsi="Arial" w:cs="Arial"/>
        </w:rPr>
        <w:t xml:space="preserve">. </w:t>
      </w:r>
      <w:r w:rsidRPr="00C51E5B">
        <w:rPr>
          <w:rFonts w:ascii="Arial" w:hAnsi="Arial" w:cs="Arial"/>
        </w:rPr>
        <w:t xml:space="preserve">Al hacer referencia a la energía desde el punto de vista jurídico, se debe enmarcar lo conducente a las energías primarias y secundarias </w:t>
      </w:r>
      <w:r w:rsidR="009E325F" w:rsidRPr="00C51E5B">
        <w:rPr>
          <w:rFonts w:ascii="Arial" w:hAnsi="Arial" w:cs="Arial"/>
        </w:rPr>
        <w:t>Lizcano (2019)</w:t>
      </w:r>
      <w:r w:rsidRPr="00C51E5B">
        <w:rPr>
          <w:rFonts w:ascii="Arial" w:hAnsi="Arial" w:cs="Arial"/>
        </w:rPr>
        <w:t xml:space="preserve">. A tal efecto, CEPAL (2015) define las primeras como los recursos naturales disponibles en forma directa o indirecta que no sufren ninguna modificación química o física para su uso, con lo cual, se pueden mencionar entre ellas la energía solar, el petróleo, el gas natural, el carbón mineral, la hidroenergía, entre otros; mientras que las secundarias se obtienen por medio de la transformación química o física de las primarias como la gasolina, el kerosén, electricidad, y otros. Por lo tanto, las organizaciones internacionales como la ONU, el Banco Mundial y la OMC han propuesto homogeneizar dentro de desarrollo sustentable a las energías renovables.  </w:t>
      </w:r>
      <w:r w:rsidR="00EF0425" w:rsidRPr="00C51E5B">
        <w:rPr>
          <w:rFonts w:ascii="Arial" w:hAnsi="Arial" w:cs="Arial"/>
        </w:rPr>
        <w:t>Hay que</w:t>
      </w:r>
      <w:r w:rsidRPr="00C51E5B">
        <w:rPr>
          <w:rFonts w:ascii="Arial" w:hAnsi="Arial" w:cs="Arial"/>
        </w:rPr>
        <w:t xml:space="preserve"> señalar que la ordenación jurídica de las energías renovables debe ser abordada desde un enfoque en el cual se trata al sector energético, el cual se encuentra regido por reglas de mercado y la cual se encuentra apegada a la distribución y comercialización siendo un punto álgido del denominado derecho ambiental, partiendo del hecho de una sostenibilidad ambiental </w:t>
      </w:r>
      <w:r w:rsidR="00205927" w:rsidRPr="00C51E5B">
        <w:rPr>
          <w:rFonts w:ascii="Arial" w:hAnsi="Arial" w:cs="Arial"/>
        </w:rPr>
        <w:fldChar w:fldCharType="begin"/>
      </w:r>
      <w:r w:rsidR="00205927" w:rsidRPr="00C51E5B">
        <w:rPr>
          <w:rFonts w:ascii="Arial" w:hAnsi="Arial" w:cs="Arial"/>
        </w:rPr>
        <w:instrText xml:space="preserve"> ADDIN ZOTERO_ITEM CSL_CITATION {"citationID":"59U00KAW","properties":{"formattedCitation":"(Hern\\uc0\\u225{}ndez Palma et\\uc0\\u160{}al., 2022)","plainCitation":"(Hernández Palma et al., 2022)","noteIndex":0},"citationItems":[{"id":1081,"uris":["http://zotero.org/users/9184847/items/BLC8947J"],"itemData":{"id":1081,"type":"article-journal","container-title":"Justicia","DOI":"10.17081/just.27.41.5997","ISSN":"0124-7441","issue":"41","language":"es","note":"publisher: Universidad Simón Bolívar","page":"150-160","source":"SciELO","title":"Energía renovable y el derecho internacional energético","volume":"27","author":[{"family":"Hernández Palma","given":"Hugo"},{"family":"Jiménez Coronado","given":"Angelica"},{"family":"Mendoza Casseres","given":"Daniel"},{"family":"Hernández Palma","given":"Hugo"},{"family":"Jiménez Coronado","given":"Angelica"},{"family":"Mendoza Casseres","given":"Daniel"}],"issued":{"date-parts":[["2022",6]]}}}],"schema":"https://github.com/citation-style-language/schema/raw/master/csl-citation.json"} </w:instrText>
      </w:r>
      <w:r w:rsidR="00205927" w:rsidRPr="00C51E5B">
        <w:rPr>
          <w:rFonts w:ascii="Arial" w:hAnsi="Arial" w:cs="Arial"/>
        </w:rPr>
        <w:fldChar w:fldCharType="separate"/>
      </w:r>
      <w:r w:rsidR="00205927" w:rsidRPr="00C51E5B">
        <w:rPr>
          <w:rFonts w:ascii="Arial" w:hAnsi="Arial" w:cs="Arial"/>
        </w:rPr>
        <w:t>(Hernández Palma et al., 2022)</w:t>
      </w:r>
      <w:r w:rsidR="00205927" w:rsidRPr="00C51E5B">
        <w:rPr>
          <w:rFonts w:ascii="Arial" w:hAnsi="Arial" w:cs="Arial"/>
        </w:rPr>
        <w:fldChar w:fldCharType="end"/>
      </w:r>
      <w:r w:rsidR="009E325F" w:rsidRPr="00C51E5B">
        <w:rPr>
          <w:rFonts w:ascii="Arial" w:hAnsi="Arial" w:cs="Arial"/>
        </w:rPr>
        <w:t>”</w:t>
      </w:r>
      <w:r w:rsidRPr="00C51E5B">
        <w:rPr>
          <w:rFonts w:ascii="Arial" w:hAnsi="Arial" w:cs="Arial"/>
        </w:rPr>
        <w:t>.</w:t>
      </w:r>
    </w:p>
    <w:p w14:paraId="2B4DA07B" w14:textId="159CC80A" w:rsidR="004F7D70" w:rsidRPr="00C51E5B" w:rsidRDefault="00CD1251" w:rsidP="00905066">
      <w:pPr>
        <w:pStyle w:val="NormalWeb"/>
        <w:rPr>
          <w:rFonts w:ascii="Arial" w:hAnsi="Arial" w:cs="Arial"/>
        </w:rPr>
      </w:pPr>
      <w:r w:rsidRPr="00C51E5B">
        <w:rPr>
          <w:rFonts w:ascii="Arial" w:hAnsi="Arial" w:cs="Arial"/>
        </w:rPr>
        <w:tab/>
      </w:r>
      <w:r w:rsidR="004B3026" w:rsidRPr="00C51E5B">
        <w:rPr>
          <w:rFonts w:ascii="Arial" w:hAnsi="Arial" w:cs="Arial"/>
        </w:rPr>
        <w:t xml:space="preserve">Los supuestos que conforman el régimen jurídico internacional para de un instrumento jurídico general como es la Convención Marco de las Naciones Unidas sobre Cambio Climático (1998) y el Protocolo de Kioto (1997), </w:t>
      </w:r>
      <w:r w:rsidR="004F7D70" w:rsidRPr="00C51E5B">
        <w:rPr>
          <w:rFonts w:ascii="Arial" w:hAnsi="Arial" w:cs="Arial"/>
        </w:rPr>
        <w:t xml:space="preserve">Colombia ha demostrado un compromiso significativo al promulgar leyes y regulaciones destinadas a integrar energías renovables en su matriz energética. Sin embargo, la eficacia de estas normativas en promover una transición energética robusta y en reducir las emisiones de gases de efecto invernadero es un tema que merece un análisis profundo. La pregunta central de esta investigación es: </w:t>
      </w:r>
      <w:r w:rsidR="004F7D70" w:rsidRPr="00C51E5B">
        <w:rPr>
          <w:rFonts w:ascii="Arial" w:hAnsi="Arial" w:cs="Arial"/>
          <w:b/>
          <w:bCs/>
        </w:rPr>
        <w:t>¿En qué medida la implementación de normativa sobre energías renovables en Colombia contribuye al cumplimiento de los ODS 7 y 13?</w:t>
      </w:r>
    </w:p>
    <w:p w14:paraId="5C124B60" w14:textId="43E26DF2"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A través de un enfoque comparativo, este artículo busca examinar la efectividad de la legislación colombiana sobre energías renovables en comparación con las políticas y marcos regulatorios implementados en Europa. Este análisis permitirá identificar similitudes, diferencias y lecciones aprendidas que podrían ser aplicables al contexto colombiano para fortalecer su transición hacia un modelo energético más sostenible.</w:t>
      </w:r>
    </w:p>
    <w:p w14:paraId="44E280A9" w14:textId="60A0AE0F"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 xml:space="preserve">El artículo se estructura en torno a varios objetivos específicos. Primero, se contextualizará la normatividad actual en Colombia relacionada con las energías renovables, evaluando su alineación con los ODS 7 y 13. Luego, se procederá a comparar estas políticas con las adoptadas en Europa, un continente que ha liderado la transición hacia energías sostenibles, lo que permitirá evaluar la </w:t>
      </w:r>
      <w:r w:rsidR="004F7D70" w:rsidRPr="00C51E5B">
        <w:rPr>
          <w:rFonts w:ascii="Arial" w:hAnsi="Arial" w:cs="Arial"/>
        </w:rPr>
        <w:lastRenderedPageBreak/>
        <w:t>eficacia de las estrategias colombianas. Finalmente, se reflexionará sobre las oportunidades y desafíos que enfrenta Colombia en este proceso, considerando las lecciones aprendidas de la experiencia europea.</w:t>
      </w:r>
    </w:p>
    <w:p w14:paraId="406EA49E" w14:textId="0F426ACA"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La hipótesis central de esta investigación sugiere que, aunque Colombia ha logrado avances iniciales hacia el cumplimiento de los ODS 7 y 13 a través de la implementación de normativas sobre energías renovables, dichos esfuerzos aún no son suficientes para generar un impacto significativo en la transformación de su matriz energética y la reducción de emisiones de gases de efecto invernadero. Factores económicos, sociales e infraestructurales, junto con la falta de incentivos efectivos y una coordinación interinstitucional limitada, han restringido el alcance y la efectividad de estas políticas, comprometiendo el pleno logro de los objetivos planteados.</w:t>
      </w:r>
    </w:p>
    <w:p w14:paraId="6FAE1757" w14:textId="02078C19"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Este estudio contribuirá al debate académico y práctico sobre la eficacia de la normativa energética en Colombia y su capacidad para alinearse con los estándares internacionales de sostenibilidad, ofreciendo recomendaciones para fortalecer el marco regulatorio y promover un desarrollo energético más sostenible y equitativo en el país.</w:t>
      </w:r>
    </w:p>
    <w:p w14:paraId="0AEEF7A7" w14:textId="0DE7E5D3" w:rsidR="004F7D70" w:rsidRPr="00C51E5B" w:rsidRDefault="00CD1251" w:rsidP="00905066">
      <w:pPr>
        <w:pStyle w:val="NormalWeb"/>
        <w:rPr>
          <w:rFonts w:ascii="Arial" w:hAnsi="Arial" w:cs="Arial"/>
        </w:rPr>
      </w:pPr>
      <w:r w:rsidRPr="00C51E5B">
        <w:rPr>
          <w:rFonts w:ascii="Arial" w:hAnsi="Arial" w:cs="Arial"/>
        </w:rPr>
        <w:tab/>
      </w:r>
      <w:r w:rsidR="004F7D70" w:rsidRPr="00C51E5B">
        <w:rPr>
          <w:rFonts w:ascii="Arial" w:hAnsi="Arial" w:cs="Arial"/>
        </w:rPr>
        <w:t>Un factor determinante en la contaminación del medio ambiente, y la sobre explotación es el excesivo consumo de energía a nivel  mundial y la aminoración de los recursos naturales no renovables, sobre producción de emisión de gases que causan el efecto invernadero y el cambio climático obligo a la transición energética, al surgimiento de  una normatividad sobre la implementación de estas energías no convencionales a fin de regular y mitigar  los posibles efectos e impactos que puedan generar en el cambio climático, que contribuya al desarrollo sostenible como lo menciona el Gobierno nacional en la página del ministerio de ambiente  (2021), y en su publicación Transición Energética: un legado para el presente y el futuro de Colombia” (2021), donde inicia con la revolución de las energías renovables no convencionales en Colombia, donde señalan que la participación de las ERNC, participan con un 12%, en la producción de energía</w:t>
      </w:r>
      <w:r w:rsidR="00CE1B84" w:rsidRPr="00C51E5B">
        <w:rPr>
          <w:rFonts w:ascii="Arial" w:hAnsi="Arial" w:cs="Arial"/>
        </w:rPr>
        <w:t>.</w:t>
      </w:r>
      <w:r w:rsidR="00564602" w:rsidRPr="00C51E5B">
        <w:rPr>
          <w:rFonts w:ascii="Arial" w:hAnsi="Arial" w:cs="Arial"/>
        </w:rPr>
        <w:t xml:space="preserve"> “la comunidad científica mundial está de acuerdo en que el cambio climático es una realidad y que gran parte de la responsabilidad recae sobre las actividades antropogénicas”</w:t>
      </w:r>
      <w:r w:rsidR="00564602" w:rsidRPr="00C51E5B">
        <w:rPr>
          <w:rFonts w:ascii="Arial" w:hAnsi="Arial" w:cs="Arial"/>
        </w:rPr>
        <w:fldChar w:fldCharType="begin"/>
      </w:r>
      <w:r w:rsidR="00564602" w:rsidRPr="00C51E5B">
        <w:rPr>
          <w:rFonts w:ascii="Arial" w:hAnsi="Arial" w:cs="Arial"/>
        </w:rPr>
        <w:instrText xml:space="preserve"> ADDIN ZOTERO_ITEM CSL_CITATION {"citationID":"fhCJ9tf7","properties":{"formattedCitation":"(Corredor, 2018)","plainCitation":"(Corredor, 2018)","noteIndex":0},"citationItems":[{"id":1076,"uris":["http://zotero.org/users/9184847/items/6V39N3C4"],"itemData":{"id":1076,"type":"article-journal","container-title":"Ciencia Política","DOI":"10.15446/cp.v12n25.70257","ISSN":"1909-230X","issue":"25","journalAbbreviation":"Cienc. politi.","language":"es_ES","page":"107-125","title":"Colombia y la transición energética","volume":"13","author":[{"family":"Corredor","given":"Germán"}],"issued":{"date-parts":[["2018",1,1]]}}}],"schema":"https://github.com/citation-style-language/schema/raw/master/csl-citation.json"} </w:instrText>
      </w:r>
      <w:r w:rsidR="00564602" w:rsidRPr="00C51E5B">
        <w:rPr>
          <w:rFonts w:ascii="Arial" w:hAnsi="Arial" w:cs="Arial"/>
        </w:rPr>
        <w:fldChar w:fldCharType="separate"/>
      </w:r>
      <w:r w:rsidR="00564602" w:rsidRPr="00C51E5B">
        <w:rPr>
          <w:rFonts w:ascii="Arial" w:hAnsi="Arial" w:cs="Arial"/>
        </w:rPr>
        <w:t>(Corredor, 2018)</w:t>
      </w:r>
      <w:r w:rsidR="00564602" w:rsidRPr="00C51E5B">
        <w:rPr>
          <w:rFonts w:ascii="Arial" w:hAnsi="Arial" w:cs="Arial"/>
        </w:rPr>
        <w:fldChar w:fldCharType="end"/>
      </w:r>
      <w:r w:rsidR="00564602" w:rsidRPr="00C51E5B">
        <w:rPr>
          <w:rFonts w:ascii="Arial" w:hAnsi="Arial" w:cs="Arial"/>
        </w:rPr>
        <w:t>.</w:t>
      </w:r>
    </w:p>
    <w:p w14:paraId="5C795648" w14:textId="765A2AFF" w:rsidR="00D42064" w:rsidRPr="00C51E5B" w:rsidRDefault="00CD1251" w:rsidP="00905066">
      <w:pPr>
        <w:pStyle w:val="NormalWeb"/>
        <w:rPr>
          <w:rFonts w:ascii="Arial" w:hAnsi="Arial" w:cs="Arial"/>
        </w:rPr>
      </w:pPr>
      <w:r w:rsidRPr="00C51E5B">
        <w:rPr>
          <w:rFonts w:ascii="Arial" w:hAnsi="Arial" w:cs="Arial"/>
        </w:rPr>
        <w:tab/>
      </w:r>
      <w:r w:rsidR="00CE1B84" w:rsidRPr="00C51E5B">
        <w:rPr>
          <w:rFonts w:ascii="Arial" w:hAnsi="Arial" w:cs="Arial"/>
        </w:rPr>
        <w:t>El exceso en el consumo de energía a nivel mundial y la explotación desmedida de los recursos naturales no renovables han sido factores determinantes en la creciente contaminación ambiental. Esta realidad ha llevado a la producción masiva de emisiones de gases de efecto invernadero, que contribuyen significativamente al cambio climático. Como respuesta a esta crisis, se ha visto la necesidad imperiosa de una transición energética global. Este proceso busca no solo mitigar los impactos negativos del cambio climático, sino también promover un desarrollo más sostenible a través de la implementación y regulación de energías renovables no convencionales (ERNC).</w:t>
      </w:r>
      <w:r w:rsidR="00D42064" w:rsidRPr="00C51E5B">
        <w:rPr>
          <w:rFonts w:ascii="Arial" w:hAnsi="Arial" w:cs="Arial"/>
        </w:rPr>
        <w:t xml:space="preserve"> “Se plantea la necesidad de transformar los hábitos de consumo de la humanidad, eliminando los consumos superfluos y haciendo más eficientes las actividades cotidianas. </w:t>
      </w:r>
      <w:r w:rsidR="00D42064" w:rsidRPr="00C51E5B">
        <w:rPr>
          <w:rFonts w:ascii="Arial" w:hAnsi="Arial" w:cs="Arial"/>
        </w:rPr>
        <w:lastRenderedPageBreak/>
        <w:t xml:space="preserve">Cambios del estilo de vida, de las maneras de producción, y de los patrones de consumo que den prioridad al cuida-do de los bienes comunes y armonía con la naturaleza: el agua, el aire, el sol, el viento, la tierra, la fauna, la flora y la sociedad de manera integral. La transición implica un cambio en el modelo energético mundial, una descarbonización de la matriz energética. Desde el América del Sur se oyen voces que reclaman al Norte la deuda ambiental, lo cual implica que quienes han  producido  el  desastre  actual  paguen  a  los  países  que  no han sido responsables” </w:t>
      </w:r>
      <w:r w:rsidR="00D42064" w:rsidRPr="00C51E5B">
        <w:rPr>
          <w:rFonts w:ascii="Arial" w:hAnsi="Arial" w:cs="Arial"/>
        </w:rPr>
        <w:fldChar w:fldCharType="begin"/>
      </w:r>
      <w:r w:rsidR="0038753F" w:rsidRPr="00C51E5B">
        <w:rPr>
          <w:rFonts w:ascii="Arial" w:hAnsi="Arial" w:cs="Arial"/>
        </w:rPr>
        <w:instrText xml:space="preserve"> ADDIN ZOTERO_ITEM CSL_CITATION {"citationID":"Ty2puTgU","properties":{"formattedCitation":"(Corredor, 2018)","plainCitation":"(Corredor, 2018)","noteIndex":0},"citationItems":[{"id":1076,"uris":["http://zotero.org/users/9184847/items/6V39N3C4"],"itemData":{"id":1076,"type":"article-journal","container-title":"Ciencia Política","DOI":"10.15446/cp.v12n25.70257","ISSN":"1909-230X","issue":"25","journalAbbreviation":"Cienc. politi.","language":"es_ES","page":"107-125","title":"Colombia y la transición energética","volume":"13","author":[{"family":"Corredor","given":"Germán"}],"issued":{"date-parts":[["2018",1,1]]}}}],"schema":"https://github.com/citation-style-language/schema/raw/master/csl-citation.json"} </w:instrText>
      </w:r>
      <w:r w:rsidR="00D42064" w:rsidRPr="00C51E5B">
        <w:rPr>
          <w:rFonts w:ascii="Arial" w:hAnsi="Arial" w:cs="Arial"/>
        </w:rPr>
        <w:fldChar w:fldCharType="separate"/>
      </w:r>
      <w:r w:rsidR="00D42064" w:rsidRPr="00C51E5B">
        <w:rPr>
          <w:rFonts w:ascii="Arial" w:hAnsi="Arial" w:cs="Arial"/>
        </w:rPr>
        <w:t>(Corredor, 2018)</w:t>
      </w:r>
      <w:r w:rsidR="00D42064" w:rsidRPr="00C51E5B">
        <w:rPr>
          <w:rFonts w:ascii="Arial" w:hAnsi="Arial" w:cs="Arial"/>
        </w:rPr>
        <w:fldChar w:fldCharType="end"/>
      </w:r>
      <w:r w:rsidR="00D42064" w:rsidRPr="00C51E5B">
        <w:rPr>
          <w:rFonts w:ascii="Arial" w:hAnsi="Arial" w:cs="Arial"/>
        </w:rPr>
        <w:t>.</w:t>
      </w:r>
    </w:p>
    <w:p w14:paraId="77B9C200" w14:textId="4F9978C4" w:rsidR="00A44B51" w:rsidRPr="00C51E5B" w:rsidRDefault="00A44B51" w:rsidP="00905066">
      <w:pPr>
        <w:pStyle w:val="NormalWeb"/>
        <w:rPr>
          <w:rFonts w:ascii="Arial" w:hAnsi="Arial" w:cs="Arial"/>
        </w:rPr>
      </w:pPr>
      <w:r w:rsidRPr="00C51E5B">
        <w:rPr>
          <w:rFonts w:ascii="Arial" w:hAnsi="Arial" w:cs="Arial"/>
        </w:rPr>
        <w:t xml:space="preserve">Los </w:t>
      </w:r>
      <w:r w:rsidR="00294FC5" w:rsidRPr="00C51E5B">
        <w:rPr>
          <w:rFonts w:ascii="Arial" w:hAnsi="Arial" w:cs="Arial"/>
        </w:rPr>
        <w:t>(</w:t>
      </w:r>
      <w:r w:rsidRPr="00C51E5B">
        <w:rPr>
          <w:rFonts w:ascii="Arial" w:hAnsi="Arial" w:cs="Arial"/>
        </w:rPr>
        <w:t>ODS</w:t>
      </w:r>
      <w:r w:rsidR="00294FC5" w:rsidRPr="00C51E5B">
        <w:rPr>
          <w:rFonts w:ascii="Arial" w:hAnsi="Arial" w:cs="Arial"/>
        </w:rPr>
        <w:t xml:space="preserve">) Objetivos de desarrollo </w:t>
      </w:r>
      <w:r w:rsidR="004E2B80" w:rsidRPr="00C51E5B">
        <w:rPr>
          <w:rFonts w:ascii="Arial" w:hAnsi="Arial" w:cs="Arial"/>
        </w:rPr>
        <w:t>sostenible</w:t>
      </w:r>
      <w:r w:rsidRPr="00C51E5B">
        <w:rPr>
          <w:rFonts w:ascii="Arial" w:hAnsi="Arial" w:cs="Arial"/>
        </w:rPr>
        <w:t xml:space="preserve">, </w:t>
      </w:r>
      <w:r w:rsidR="008E353E" w:rsidRPr="00C51E5B">
        <w:rPr>
          <w:rFonts w:ascii="Arial" w:hAnsi="Arial" w:cs="Arial"/>
        </w:rPr>
        <w:t xml:space="preserve">fueron </w:t>
      </w:r>
      <w:r w:rsidR="005D07A9" w:rsidRPr="00C51E5B">
        <w:rPr>
          <w:rFonts w:ascii="Arial" w:hAnsi="Arial" w:cs="Arial"/>
        </w:rPr>
        <w:t>aprobados por</w:t>
      </w:r>
      <w:r w:rsidRPr="00C51E5B">
        <w:rPr>
          <w:rFonts w:ascii="Arial" w:hAnsi="Arial" w:cs="Arial"/>
        </w:rPr>
        <w:t xml:space="preserve"> las naciones </w:t>
      </w:r>
      <w:r w:rsidR="008E353E" w:rsidRPr="00C51E5B">
        <w:rPr>
          <w:rFonts w:ascii="Arial" w:hAnsi="Arial" w:cs="Arial"/>
        </w:rPr>
        <w:t xml:space="preserve">unidas </w:t>
      </w:r>
      <w:r w:rsidRPr="00C51E5B">
        <w:rPr>
          <w:rFonts w:ascii="Arial" w:hAnsi="Arial" w:cs="Arial"/>
        </w:rPr>
        <w:t xml:space="preserve">en </w:t>
      </w:r>
      <w:r w:rsidR="005D07A9" w:rsidRPr="00C51E5B">
        <w:rPr>
          <w:rFonts w:ascii="Arial" w:hAnsi="Arial" w:cs="Arial"/>
        </w:rPr>
        <w:t>septiembre</w:t>
      </w:r>
      <w:r w:rsidR="009F5330" w:rsidRPr="00C51E5B">
        <w:rPr>
          <w:rFonts w:ascii="Arial" w:hAnsi="Arial" w:cs="Arial"/>
        </w:rPr>
        <w:t xml:space="preserve"> d</w:t>
      </w:r>
      <w:r w:rsidRPr="00C51E5B">
        <w:rPr>
          <w:rFonts w:ascii="Arial" w:hAnsi="Arial" w:cs="Arial"/>
        </w:rPr>
        <w:t xml:space="preserve">el 2015, </w:t>
      </w:r>
      <w:r w:rsidR="00294FC5" w:rsidRPr="00C51E5B">
        <w:rPr>
          <w:rFonts w:ascii="Arial" w:hAnsi="Arial" w:cs="Arial"/>
        </w:rPr>
        <w:t xml:space="preserve">con la firma de 193 jefes de estado, </w:t>
      </w:r>
      <w:r w:rsidRPr="00C51E5B">
        <w:rPr>
          <w:rFonts w:ascii="Arial" w:hAnsi="Arial" w:cs="Arial"/>
        </w:rPr>
        <w:t xml:space="preserve">constituyen una hoja de ruta para </w:t>
      </w:r>
      <w:r w:rsidR="008E353E" w:rsidRPr="00C51E5B">
        <w:rPr>
          <w:rFonts w:ascii="Arial" w:hAnsi="Arial" w:cs="Arial"/>
        </w:rPr>
        <w:t>la articulación</w:t>
      </w:r>
      <w:r w:rsidRPr="00C51E5B">
        <w:rPr>
          <w:rFonts w:ascii="Arial" w:hAnsi="Arial" w:cs="Arial"/>
        </w:rPr>
        <w:t xml:space="preserve"> las políticas mundiales desde tres </w:t>
      </w:r>
      <w:r w:rsidR="008E353E" w:rsidRPr="00C51E5B">
        <w:rPr>
          <w:rFonts w:ascii="Arial" w:hAnsi="Arial" w:cs="Arial"/>
        </w:rPr>
        <w:t>dimensiones, económica social y ambienta</w:t>
      </w:r>
      <w:r w:rsidR="008A637E" w:rsidRPr="00C51E5B">
        <w:rPr>
          <w:rFonts w:ascii="Arial" w:hAnsi="Arial" w:cs="Arial"/>
        </w:rPr>
        <w:t>l</w:t>
      </w:r>
      <w:r w:rsidR="008E353E" w:rsidRPr="00C51E5B">
        <w:rPr>
          <w:rFonts w:ascii="Arial" w:hAnsi="Arial" w:cs="Arial"/>
        </w:rPr>
        <w:t>.</w:t>
      </w:r>
      <w:r w:rsidR="006D4762" w:rsidRPr="00C51E5B">
        <w:rPr>
          <w:rFonts w:ascii="Arial" w:hAnsi="Arial" w:cs="Arial"/>
        </w:rPr>
        <w:t xml:space="preserve"> La Agenda 2030 de los ODS, es la heredera de los compromisos y acuerdos recogidos en los Objetivos de Desarrollo del Milenio que abarcaban desde el año 2000</w:t>
      </w:r>
      <w:r w:rsidR="00AA5656" w:rsidRPr="00C51E5B">
        <w:rPr>
          <w:rFonts w:ascii="Arial" w:hAnsi="Arial" w:cs="Arial"/>
        </w:rPr>
        <w:t xml:space="preserve"> hasta el 2015</w:t>
      </w:r>
      <w:r w:rsidR="006D4762" w:rsidRPr="00C51E5B">
        <w:rPr>
          <w:rFonts w:ascii="Arial" w:hAnsi="Arial" w:cs="Arial"/>
        </w:rPr>
        <w:t xml:space="preserve">, </w:t>
      </w:r>
      <w:r w:rsidR="00AA5656" w:rsidRPr="00C51E5B">
        <w:rPr>
          <w:rFonts w:ascii="Arial" w:hAnsi="Arial" w:cs="Arial"/>
        </w:rPr>
        <w:t>quedaron sin evaluar sus verdaderos alcances.</w:t>
      </w:r>
      <w:r w:rsidR="008A637E" w:rsidRPr="00C51E5B">
        <w:rPr>
          <w:rFonts w:ascii="Arial" w:hAnsi="Arial" w:cs="Arial"/>
        </w:rPr>
        <w:t xml:space="preserve"> “El diseño de los ODS avanzó sobre una nueva categorización de principios que marcan su comprensión, entre los que sobresalen dos por su significado. El primero de ellos se refiere a las llamadas Responsabilidades Comunes pero Diferenciadas, que operarían sobre elementos comunes a nivel global (como la atmósfera, las emisiones de CO2 y su disminución, la conservación de la biodiversidad, entre otros. referencia a las Responsabilidades Internacionales y Obligaciones Extraterritoriales, que se refieren a aquellas responsabilidades que deben entenderse de manera global, exigiendo compromisos de toda la comunidad internacional</w:t>
      </w:r>
      <w:r w:rsidR="00B0266D" w:rsidRPr="00C51E5B">
        <w:rPr>
          <w:rFonts w:ascii="Arial" w:hAnsi="Arial" w:cs="Arial"/>
        </w:rPr>
        <w:t>, buena parte de sus objetivos y metas sustantivas provienen de acuerdos, cumbres y conferencias internacionales fijadas hace años e incumplidos de forma sistemática</w:t>
      </w:r>
      <w:r w:rsidR="008A637E" w:rsidRPr="00C51E5B">
        <w:rPr>
          <w:rFonts w:ascii="Arial" w:hAnsi="Arial" w:cs="Arial"/>
        </w:rPr>
        <w:t>”</w:t>
      </w:r>
      <w:r w:rsidR="008A637E" w:rsidRPr="00C51E5B">
        <w:rPr>
          <w:rFonts w:ascii="Arial" w:hAnsi="Arial" w:cs="Arial"/>
        </w:rPr>
        <w:fldChar w:fldCharType="begin"/>
      </w:r>
      <w:r w:rsidR="008A637E" w:rsidRPr="00C51E5B">
        <w:rPr>
          <w:rFonts w:ascii="Arial" w:hAnsi="Arial" w:cs="Arial"/>
        </w:rPr>
        <w:instrText xml:space="preserve"> ADDIN ZOTERO_ITEM CSL_CITATION {"citationID":"Np8PgTYa","properties":{"formattedCitation":"(G\\uc0\\u243{}mez Gil, 2018)","plainCitation":"(Gómez Gil, 2018)","noteIndex":0},"citationItems":[{"id":1083,"uris":["http://zotero.org/users/9184847/items/H8E35UL4"],"itemData":{"id":1083,"type":"article-journal","abstract":"Los Objetivos de Desarrollo Sostenible (ODS) adoptados por las Naciones Unidas en 2015 contienen la agenda global más ambiciosa aprobada por la comunidad internacional para movilizar la acción colectiva en torno a objetivos comunes. Si bien se proponen luchar contra la pobreza extrema, integran y equilibran tres dimensiones esenciales del desarrollo sostenible como son la económica, la social y la ambiental, proporcionando una valiosa hoja de ruta para articular la formulación de políticas mundiales. Sin embargo, la arquitectura compleja bajo la que se han diseñado, sus limitaciones técnicas y las fundadas críticas de la comunidad internacional proyectan importantes limitaciones para que esta novedosa agenda pueda alcanzar los objetivos previstos de construir un planeta mejor para las generaciones venideras.","container-title":"Papeles de relaciones ecosociales y cambio global","ISSN":"1888-0576","issue":"140","language":"spa","note":"publisher: FUHEM Ecosocial\nsection: Papeles de relaciones ecosociales y cambio global","page":"107-118","source":"dialnet.unirioja.es","title":"Objetivos de Desarrollo Sostenible (ODS): una revisión crítica","title-short":"Objetivos de Desarrollo Sostenible (ODS)","author":[{"family":"Gómez Gil","given":"Carlos"}],"issued":{"date-parts":[["2018"]]}}}],"schema":"https://github.com/citation-style-language/schema/raw/master/csl-citation.json"} </w:instrText>
      </w:r>
      <w:r w:rsidR="008A637E" w:rsidRPr="00C51E5B">
        <w:rPr>
          <w:rFonts w:ascii="Arial" w:hAnsi="Arial" w:cs="Arial"/>
        </w:rPr>
        <w:fldChar w:fldCharType="separate"/>
      </w:r>
      <w:r w:rsidR="008A637E" w:rsidRPr="00C51E5B">
        <w:rPr>
          <w:rFonts w:ascii="Arial" w:hAnsi="Arial" w:cs="Arial"/>
        </w:rPr>
        <w:t>(Gómez Gil, 2018)</w:t>
      </w:r>
      <w:r w:rsidR="008A637E" w:rsidRPr="00C51E5B">
        <w:rPr>
          <w:rFonts w:ascii="Arial" w:hAnsi="Arial" w:cs="Arial"/>
        </w:rPr>
        <w:fldChar w:fldCharType="end"/>
      </w:r>
      <w:r w:rsidR="008A637E" w:rsidRPr="00C51E5B">
        <w:rPr>
          <w:rFonts w:ascii="Arial" w:hAnsi="Arial" w:cs="Arial"/>
        </w:rPr>
        <w:t>.</w:t>
      </w:r>
    </w:p>
    <w:p w14:paraId="090D3418" w14:textId="5C2883CB" w:rsidR="00145766" w:rsidRPr="00C51E5B" w:rsidRDefault="00145766" w:rsidP="00905066">
      <w:pPr>
        <w:pStyle w:val="NormalWeb"/>
        <w:ind w:firstLine="708"/>
        <w:rPr>
          <w:rFonts w:ascii="Arial" w:hAnsi="Arial" w:cs="Arial"/>
        </w:rPr>
      </w:pPr>
      <w:r w:rsidRPr="00C51E5B">
        <w:rPr>
          <w:rFonts w:ascii="Arial" w:hAnsi="Arial" w:cs="Arial"/>
        </w:rPr>
        <w:t>Con el acuerdo de París</w:t>
      </w:r>
      <w:r w:rsidR="00E67226" w:rsidRPr="00C51E5B">
        <w:rPr>
          <w:rFonts w:ascii="Arial" w:hAnsi="Arial" w:cs="Arial"/>
        </w:rPr>
        <w:t xml:space="preserve"> y la agenda 2030 firmada unos meses después</w:t>
      </w:r>
      <w:r w:rsidRPr="00C51E5B">
        <w:rPr>
          <w:rFonts w:ascii="Arial" w:hAnsi="Arial" w:cs="Arial"/>
        </w:rPr>
        <w:t>, los mandatarios de los estados firmantes, se comprometieron con la descarbonización</w:t>
      </w:r>
      <w:r w:rsidR="007F0803" w:rsidRPr="00C51E5B">
        <w:rPr>
          <w:rFonts w:ascii="Arial" w:hAnsi="Arial" w:cs="Arial"/>
        </w:rPr>
        <w:t xml:space="preserve"> estimulado por la transición </w:t>
      </w:r>
      <w:r w:rsidR="00D07100" w:rsidRPr="00C51E5B">
        <w:rPr>
          <w:rFonts w:ascii="Arial" w:hAnsi="Arial" w:cs="Arial"/>
        </w:rPr>
        <w:t>energétic</w:t>
      </w:r>
      <w:r w:rsidR="009A4E21" w:rsidRPr="00C51E5B">
        <w:rPr>
          <w:rFonts w:ascii="Arial" w:hAnsi="Arial" w:cs="Arial"/>
        </w:rPr>
        <w:t>a,</w:t>
      </w:r>
      <w:r w:rsidR="00E67226" w:rsidRPr="00C51E5B">
        <w:rPr>
          <w:rFonts w:ascii="Arial" w:hAnsi="Arial" w:cs="Arial"/>
        </w:rPr>
        <w:t xml:space="preserve"> se propusieron medidas contra el cambio climático y el desarrollo sostenible.</w:t>
      </w:r>
      <w:r w:rsidR="009A4E21" w:rsidRPr="00C51E5B">
        <w:rPr>
          <w:rFonts w:ascii="Arial" w:hAnsi="Arial" w:cs="Arial"/>
        </w:rPr>
        <w:t xml:space="preserve"> “El cambio climático se perfila como una de las principales amenazas a la reproducción social en el planeta. Los patrones de desarrollo actuales intensivos en energía no son sostenibles”</w:t>
      </w:r>
      <w:r w:rsidR="009A4E21" w:rsidRPr="00C51E5B">
        <w:rPr>
          <w:rFonts w:ascii="Arial" w:hAnsi="Arial" w:cs="Arial"/>
        </w:rPr>
        <w:fldChar w:fldCharType="begin"/>
      </w:r>
      <w:r w:rsidR="009A4E21" w:rsidRPr="00C51E5B">
        <w:rPr>
          <w:rFonts w:ascii="Arial" w:hAnsi="Arial" w:cs="Arial"/>
        </w:rPr>
        <w:instrText xml:space="preserve"> ADDIN ZOTERO_ITEM CSL_CITATION {"citationID":"27xgQrQt","properties":{"formattedCitation":"(Rivera Albarrac\\uc0\\u237{}n, 2019)","plainCitation":"(Rivera Albarracín, 2019)","noteIndex":0},"citationItems":[{"id":1085,"uris":["http://zotero.org/users/9184847/items/I4J346ZN"],"itemData":{"id":1085,"type":"article-journal","abstract":"La Agenda de Desarrollo Sostenible 2030 y el Acuerdo de París han establecido el camino a la descarbonización. El recorrido se enfrenta a múltiples desafíos, entre ellos, conciliar los esfuerzos para lidiar  simultáneamente con la lucha contra el cambio climático, el desarrollo energético y la transición justa,  en un escenario caracterizado por la urgencia climática y por profundas desigualdades económicas. El  propósito de este documento es arrojar luz sobre el significado de estos desafíos para América Latina y  el Caribe. Para ello, está dividido en cuatro partes. En la primera se presenta una línea base del escenario  energético y climático de la región. En la segunda, se analiza el potencial de los principales instrumentos  políticos y regulatorios para la transición energética. En una tercera parte se recogen las contribuciones  más destacadas de la región para descarbonizar el mix energético, incentivarla producción y el consumo  eficientes, y el transporte y la movilidad sostenibles. Finalmente, en las conclusiones se presenta una  reflexión sobre las oportunidades para la región derivadas de una transición energética que promueva  un modelo económico ambiental y socialmente sostenible\nThe 2030 Agenda for Sustainable Development and the Paris Agreement have established the path to  decarbonization. Traveling this path faces multiple challenges, including reconciling efforts to simultaneously address the fight against climate change, energy development and fairtransition, in a context  characterized by climate urgency and profound economic inequalities. The purpose of this document  is to shed light on the significance ofthese challenges for LatinAmerica and the Caribbean. To this end,  the document has been divided into four sections. The first presents a baseline of the region's energy  and climate scenario.The second analyzes the potential ofthe main political and regulatory instruments  for energy transition.In a third section,the most outstanding contributions ofthe region to decarbonize  the energy mix, encourage efficient production and consumption, and sustainable transport and mobility are described. Finally,the conclusions present a reflection on the opportunities forthe region arising  from an energy transition that promotes an environmentally and socially sustainable economic model.","container-title":"Documentos de trabajo ( Fundación Carolina ): Segunda época","ISSN":"1885-9119","issue":"15","language":"spa","note":"publisher: Fundación Carolina\nsection: Documentos de trabajo ( Fundación Carolina ): Segunda época","page":"1","source":"dialnet.unirioja.es","title":"El cambio climático y el desarrollo energético sostenible en América Latina y el Caribe al amparo del Acuerdo deParís y de la Agenda 2030","author":[{"family":"Rivera Albarracín","given":"Lennys"}],"issued":{"date-parts":[["2019"]]}}}],"schema":"https://github.com/citation-style-language/schema/raw/master/csl-citation.json"} </w:instrText>
      </w:r>
      <w:r w:rsidR="009A4E21" w:rsidRPr="00C51E5B">
        <w:rPr>
          <w:rFonts w:ascii="Arial" w:hAnsi="Arial" w:cs="Arial"/>
        </w:rPr>
        <w:fldChar w:fldCharType="separate"/>
      </w:r>
      <w:r w:rsidR="009A4E21" w:rsidRPr="00C51E5B">
        <w:rPr>
          <w:rFonts w:ascii="Arial" w:hAnsi="Arial" w:cs="Arial"/>
        </w:rPr>
        <w:t>(Rivera Albarracín, 2019)</w:t>
      </w:r>
      <w:r w:rsidR="009A4E21" w:rsidRPr="00C51E5B">
        <w:rPr>
          <w:rFonts w:ascii="Arial" w:hAnsi="Arial" w:cs="Arial"/>
        </w:rPr>
        <w:fldChar w:fldCharType="end"/>
      </w:r>
      <w:r w:rsidR="009A4E21" w:rsidRPr="00C51E5B">
        <w:rPr>
          <w:rFonts w:ascii="Arial" w:hAnsi="Arial" w:cs="Arial"/>
        </w:rPr>
        <w:t>.</w:t>
      </w:r>
      <w:r w:rsidR="00CF742F" w:rsidRPr="00C51E5B">
        <w:rPr>
          <w:rFonts w:ascii="Arial" w:hAnsi="Arial" w:cs="Arial"/>
        </w:rPr>
        <w:t xml:space="preserve"> Sin </w:t>
      </w:r>
      <w:r w:rsidR="00E67226" w:rsidRPr="00C51E5B">
        <w:rPr>
          <w:rFonts w:ascii="Arial" w:hAnsi="Arial" w:cs="Arial"/>
        </w:rPr>
        <w:t>embargo,</w:t>
      </w:r>
      <w:r w:rsidR="00CF742F" w:rsidRPr="00C51E5B">
        <w:rPr>
          <w:rFonts w:ascii="Arial" w:hAnsi="Arial" w:cs="Arial"/>
        </w:rPr>
        <w:t xml:space="preserve"> son mucho los intereses sobre los recursos y materias primas que generan contradicciones en las </w:t>
      </w:r>
      <w:r w:rsidR="007F2412" w:rsidRPr="00C51E5B">
        <w:rPr>
          <w:rFonts w:ascii="Arial" w:hAnsi="Arial" w:cs="Arial"/>
        </w:rPr>
        <w:t xml:space="preserve">políticas relacionadas con el cambio climático y la transición de las energías no convencionales, la dependencia de la energía y de la economía, </w:t>
      </w:r>
      <w:r w:rsidR="00AD499F" w:rsidRPr="00C51E5B">
        <w:rPr>
          <w:rFonts w:ascii="Arial" w:hAnsi="Arial" w:cs="Arial"/>
        </w:rPr>
        <w:t>hacen vulnerables a unos más que a otros. En cuanto al marco político y regulatorio de la transición energética, se ponen de manifiesto algunos esfuerzos por establecer marcos regulatorios, en el 2010, diecisiete países miembros del OCDE, presentan avances en este campo, hacia el 2017 se incrementan a 59 incluyendo países en desarrollo, según la (ESMAP, 2018: 12), hasta el 2025 se estaría dando un avance significativo incrementando el número de países que fortalezcan este marco normativo y regulatorio</w:t>
      </w:r>
      <w:r w:rsidR="008A4155" w:rsidRPr="00C51E5B">
        <w:rPr>
          <w:rFonts w:ascii="Arial" w:hAnsi="Arial" w:cs="Arial"/>
        </w:rPr>
        <w:t xml:space="preserve">. las políticas actuales de desarrollo energético de ALC resultan insuficientes para alcanzar las metas de reducción planteadas en las NDC. OLADE señala que —una vez realizado el ejercicio de prospectiva a 2030— los porcentajes de reducción de </w:t>
      </w:r>
      <w:r w:rsidR="008A4155" w:rsidRPr="00C51E5B">
        <w:rPr>
          <w:rFonts w:ascii="Arial" w:hAnsi="Arial" w:cs="Arial"/>
        </w:rPr>
        <w:lastRenderedPageBreak/>
        <w:t>emisiones resultan ser modestos y por debajo de las metas planteadas</w:t>
      </w:r>
      <w:r w:rsidR="00AD499F" w:rsidRPr="00C51E5B">
        <w:rPr>
          <w:rFonts w:ascii="Arial" w:hAnsi="Arial" w:cs="Arial"/>
        </w:rPr>
        <w:fldChar w:fldCharType="begin"/>
      </w:r>
      <w:r w:rsidR="00564457" w:rsidRPr="00C51E5B">
        <w:rPr>
          <w:rFonts w:ascii="Arial" w:hAnsi="Arial" w:cs="Arial"/>
        </w:rPr>
        <w:instrText xml:space="preserve"> ADDIN ZOTERO_ITEM CSL_CITATION {"citationID":"9Vu2zI9Z","properties":{"formattedCitation":"(Rivera Albarrac\\uc0\\u237{}n, 2019)","plainCitation":"(Rivera Albarracín, 2019)","noteIndex":0},"citationItems":[{"id":1085,"uris":["http://zotero.org/users/9184847/items/I4J346ZN"],"itemData":{"id":1085,"type":"article-journal","abstract":"La Agenda de Desarrollo Sostenible 2030 y el Acuerdo de París han establecido el camino a la descarbonización. El recorrido se enfrenta a múltiples desafíos, entre ellos, conciliar los esfuerzos para lidiar  simultáneamente con la lucha contra el cambio climático, el desarrollo energético y la transición justa,  en un escenario caracterizado por la urgencia climática y por profundas desigualdades económicas. El  propósito de este documento es arrojar luz sobre el significado de estos desafíos para América Latina y  el Caribe. Para ello, está dividido en cuatro partes. En la primera se presenta una línea base del escenario  energético y climático de la región. En la segunda, se analiza el potencial de los principales instrumentos  políticos y regulatorios para la transición energética. En una tercera parte se recogen las contribuciones  más destacadas de la región para descarbonizar el mix energético, incentivarla producción y el consumo  eficientes, y el transporte y la movilidad sostenibles. Finalmente, en las conclusiones se presenta una  reflexión sobre las oportunidades para la región derivadas de una transición energética que promueva  un modelo económico ambiental y socialmente sostenible\nThe 2030 Agenda for Sustainable Development and the Paris Agreement have established the path to  decarbonization. Traveling this path faces multiple challenges, including reconciling efforts to simultaneously address the fight against climate change, energy development and fairtransition, in a context  characterized by climate urgency and profound economic inequalities. The purpose of this document  is to shed light on the significance ofthese challenges for LatinAmerica and the Caribbean. To this end,  the document has been divided into four sections. The first presents a baseline of the region's energy  and climate scenario.The second analyzes the potential ofthe main political and regulatory instruments  for energy transition.In a third section,the most outstanding contributions ofthe region to decarbonize  the energy mix, encourage efficient production and consumption, and sustainable transport and mobility are described. Finally,the conclusions present a reflection on the opportunities forthe region arising  from an energy transition that promotes an environmentally and socially sustainable economic model.","container-title":"Documentos de trabajo ( Fundación Carolina ): Segunda época","ISSN":"1885-9119","issue":"15","language":"spa","note":"publisher: Fundación Carolina\nsection: Documentos de trabajo ( Fundación Carolina ): Segunda época","page":"1","source":"dialnet.unirioja.es","title":"El cambio climático y el desarrollo energético sostenible en América Latina y el Caribe al amparo del Acuerdo deParís y de la Agenda 2030","author":[{"family":"Rivera Albarracín","given":"Lennys"}],"issued":{"date-parts":[["2019"]]}}}],"schema":"https://github.com/citation-style-language/schema/raw/master/csl-citation.json"} </w:instrText>
      </w:r>
      <w:r w:rsidR="00AD499F" w:rsidRPr="00C51E5B">
        <w:rPr>
          <w:rFonts w:ascii="Arial" w:hAnsi="Arial" w:cs="Arial"/>
        </w:rPr>
        <w:fldChar w:fldCharType="separate"/>
      </w:r>
      <w:r w:rsidR="00AD499F" w:rsidRPr="00C51E5B">
        <w:rPr>
          <w:rFonts w:ascii="Arial" w:hAnsi="Arial" w:cs="Arial"/>
        </w:rPr>
        <w:t>(Rivera Albarracín, 2019)</w:t>
      </w:r>
      <w:r w:rsidR="00AD499F" w:rsidRPr="00C51E5B">
        <w:rPr>
          <w:rFonts w:ascii="Arial" w:hAnsi="Arial" w:cs="Arial"/>
        </w:rPr>
        <w:fldChar w:fldCharType="end"/>
      </w:r>
      <w:r w:rsidR="008A4155" w:rsidRPr="00C51E5B">
        <w:rPr>
          <w:rFonts w:ascii="Arial" w:hAnsi="Arial" w:cs="Arial"/>
        </w:rPr>
        <w:t>”</w:t>
      </w:r>
      <w:r w:rsidR="00AD499F" w:rsidRPr="00C51E5B">
        <w:rPr>
          <w:rFonts w:ascii="Arial" w:hAnsi="Arial" w:cs="Arial"/>
        </w:rPr>
        <w:t>.</w:t>
      </w:r>
    </w:p>
    <w:p w14:paraId="1960C3CB" w14:textId="294111CB" w:rsidR="00CD1251" w:rsidRPr="00C51E5B" w:rsidRDefault="00CD1251" w:rsidP="00905066">
      <w:pPr>
        <w:pStyle w:val="Ttulo1"/>
        <w:rPr>
          <w:rFonts w:ascii="Arial" w:hAnsi="Arial" w:cs="Arial"/>
          <w:color w:val="FF0000"/>
          <w:sz w:val="24"/>
          <w:szCs w:val="24"/>
        </w:rPr>
      </w:pPr>
      <w:r w:rsidRPr="00C51E5B">
        <w:rPr>
          <w:rFonts w:ascii="Arial" w:hAnsi="Arial" w:cs="Arial"/>
          <w:sz w:val="24"/>
          <w:szCs w:val="24"/>
        </w:rPr>
        <w:t xml:space="preserve"> </w:t>
      </w:r>
      <w:bookmarkStart w:id="2" w:name="_Toc178883899"/>
      <w:r w:rsidR="009B7388" w:rsidRPr="00C51E5B">
        <w:rPr>
          <w:rFonts w:ascii="Arial" w:hAnsi="Arial" w:cs="Arial"/>
          <w:sz w:val="24"/>
          <w:szCs w:val="24"/>
        </w:rPr>
        <w:t>N</w:t>
      </w:r>
      <w:r w:rsidRPr="00C51E5B">
        <w:rPr>
          <w:rFonts w:ascii="Arial" w:hAnsi="Arial" w:cs="Arial"/>
          <w:sz w:val="24"/>
          <w:szCs w:val="24"/>
        </w:rPr>
        <w:t>ormatividad actual en Colombia relacionada con las energías renovables o alternativas, que hacen referencia a los Objetivos de desarrollo Sostenible (ODS) 7 y 13)</w:t>
      </w:r>
      <w:r w:rsidR="002613EE" w:rsidRPr="00C51E5B">
        <w:rPr>
          <w:rFonts w:ascii="Arial" w:hAnsi="Arial" w:cs="Arial"/>
          <w:sz w:val="24"/>
          <w:szCs w:val="24"/>
        </w:rPr>
        <w:t xml:space="preserve"> </w:t>
      </w:r>
      <w:bookmarkEnd w:id="2"/>
    </w:p>
    <w:p w14:paraId="2CA935DB" w14:textId="4232A789" w:rsidR="00CE1B84" w:rsidRPr="00C51E5B" w:rsidRDefault="00CD1251" w:rsidP="00905066">
      <w:pPr>
        <w:pStyle w:val="NormalWeb"/>
        <w:rPr>
          <w:rFonts w:ascii="Arial" w:hAnsi="Arial" w:cs="Arial"/>
        </w:rPr>
      </w:pPr>
      <w:r w:rsidRPr="00C51E5B">
        <w:rPr>
          <w:rFonts w:ascii="Arial" w:hAnsi="Arial" w:cs="Arial"/>
        </w:rPr>
        <w:tab/>
      </w:r>
      <w:r w:rsidR="00CE1B84" w:rsidRPr="00C51E5B">
        <w:rPr>
          <w:rFonts w:ascii="Arial" w:hAnsi="Arial" w:cs="Arial"/>
        </w:rPr>
        <w:t>En Colombia, el Gobierno ha reconocido la importancia de esta transición, como se evidencia en la publicación "Transición Energética: un legado para el presente y el futuro de Colombia" (2021), donde se destaca que las ERNC ya contribuyen con un 12% de la producción energética del país. Este enfoque es fundamental para reducir la dependencia de fuentes de energía fósiles y disminuir la huella de carbono nacional. Como lo menciona el Ministerio de Ambiente (2021), la implementación de estas energías es crucial para regular y mitigar los efectos adversos del cambio climático, alineándose con los objetivos globales de sostenibilidad.</w:t>
      </w:r>
    </w:p>
    <w:p w14:paraId="7283EECB" w14:textId="4EA4D85F" w:rsidR="00CE1B84" w:rsidRPr="00C51E5B" w:rsidRDefault="00CE1B84" w:rsidP="00905066">
      <w:pPr>
        <w:pStyle w:val="NormalWeb"/>
        <w:ind w:firstLine="708"/>
        <w:rPr>
          <w:rFonts w:ascii="Arial" w:hAnsi="Arial" w:cs="Arial"/>
        </w:rPr>
      </w:pPr>
      <w:r w:rsidRPr="00C51E5B">
        <w:rPr>
          <w:rFonts w:ascii="Arial" w:hAnsi="Arial" w:cs="Arial"/>
        </w:rPr>
        <w:t>Investigadores como Rodríguez y Sánchez (2020)</w:t>
      </w:r>
      <w:r w:rsidR="009506D6" w:rsidRPr="00C51E5B">
        <w:rPr>
          <w:rFonts w:ascii="Arial" w:hAnsi="Arial" w:cs="Arial"/>
        </w:rPr>
        <w:t>,</w:t>
      </w:r>
      <w:r w:rsidRPr="00C51E5B">
        <w:rPr>
          <w:rFonts w:ascii="Arial" w:hAnsi="Arial" w:cs="Arial"/>
        </w:rPr>
        <w:t xml:space="preserve"> sostienen que la transición hacia las energías renovables es una medida necesaria y urgente, dado que los beneficios superan con creces los costos iniciales de implementación. Según estos autores, la adopción de energías renovables no solo reduce las emisiones de gases de efecto invernadero, sino que también promueve la independencia energética, reduce los costos a largo plazo y genera empleo en sectores innovadores.</w:t>
      </w:r>
      <w:r w:rsidR="003D16C8" w:rsidRPr="00C51E5B">
        <w:rPr>
          <w:rFonts w:ascii="Arial" w:eastAsiaTheme="minorHAnsi" w:hAnsi="Arial" w:cs="Arial"/>
          <w:color w:val="000000"/>
          <w:kern w:val="2"/>
          <w:shd w:val="clear" w:color="auto" w:fill="FFFFFF"/>
          <w:lang w:eastAsia="en-US"/>
          <w14:ligatures w14:val="standardContextual"/>
        </w:rPr>
        <w:t xml:space="preserve"> “</w:t>
      </w:r>
      <w:r w:rsidR="003D16C8" w:rsidRPr="00C51E5B">
        <w:rPr>
          <w:rFonts w:ascii="Arial" w:hAnsi="Arial" w:cs="Arial"/>
        </w:rPr>
        <w:t>cuando las políticas e institucionalidad del sector eléctrico de los países no es sólido, este tipo de tecnologías encuentran barreras o limitaciones para su desarrollo, por lo que es fundamental el establecimiento de políticas, instrumentos legales, estrategias, acciones y esquemas regulatorios estables, que permitan la incorporación de estas tecnologías, bajo las particularidades y realidad de cada mercado energético nacional”</w:t>
      </w:r>
      <w:r w:rsidR="003D16C8" w:rsidRPr="00C51E5B">
        <w:rPr>
          <w:rFonts w:ascii="Arial" w:hAnsi="Arial" w:cs="Arial"/>
        </w:rPr>
        <w:fldChar w:fldCharType="begin"/>
      </w:r>
      <w:r w:rsidR="003D16C8" w:rsidRPr="00C51E5B">
        <w:rPr>
          <w:rFonts w:ascii="Arial" w:hAnsi="Arial" w:cs="Arial"/>
        </w:rPr>
        <w:instrText xml:space="preserve"> ADDIN ZOTERO_ITEM CSL_CITATION {"citationID":"objPrhlY","properties":{"formattedCitation":"(Arias et\\uc0\\u160{}al., 2022)","plainCitation":"(Arias et al., 2022)","noteIndex":0},"citationItems":[{"id":1093,"uris":["http://zotero.org/users/9184847/items/37FD8LNX"],"itemData":{"id":1093,"type":"article-journal","container-title":"Revista Técnica energía","DOI":"10.37116/revistaenergia.v18.n2.2022.494","ISSN":"2602-8492","issue":"2","language":"es","note":"publisher: Operador Nacional de Electricidad CENACE","page":"91-103","source":"SciELO","title":"Estado del Arte: Incentivos y Estrategias para la Penetración de Energía Renovable","title-short":"Estado del Arte","volume":"18","author":[{"family":"Arias","given":"Diego"},{"family":"Gavela","given":"Patricia"},{"family":"Riofrio","given":"Jonathan"},{"family":"Arias","given":"Diego"},{"family":"Gavela","given":"Patricia"},{"family":"Riofrio","given":"Jonathan"}],"issued":{"date-parts":[["2022",6]]}}}],"schema":"https://github.com/citation-style-language/schema/raw/master/csl-citation.json"} </w:instrText>
      </w:r>
      <w:r w:rsidR="003D16C8" w:rsidRPr="00C51E5B">
        <w:rPr>
          <w:rFonts w:ascii="Arial" w:hAnsi="Arial" w:cs="Arial"/>
        </w:rPr>
        <w:fldChar w:fldCharType="separate"/>
      </w:r>
      <w:r w:rsidR="003D16C8" w:rsidRPr="00C51E5B">
        <w:rPr>
          <w:rFonts w:ascii="Arial" w:hAnsi="Arial" w:cs="Arial"/>
        </w:rPr>
        <w:t>(Arias et al., 2022)</w:t>
      </w:r>
      <w:r w:rsidR="003D16C8" w:rsidRPr="00C51E5B">
        <w:rPr>
          <w:rFonts w:ascii="Arial" w:hAnsi="Arial" w:cs="Arial"/>
        </w:rPr>
        <w:fldChar w:fldCharType="end"/>
      </w:r>
      <w:r w:rsidR="003D16C8" w:rsidRPr="00C51E5B">
        <w:rPr>
          <w:rFonts w:ascii="Arial" w:hAnsi="Arial" w:cs="Arial"/>
        </w:rPr>
        <w:t>.</w:t>
      </w:r>
    </w:p>
    <w:p w14:paraId="4A6CD296" w14:textId="10CF57C6" w:rsidR="00CE1B84" w:rsidRPr="00C51E5B" w:rsidRDefault="00CE1B84" w:rsidP="00905066">
      <w:pPr>
        <w:pStyle w:val="NormalWeb"/>
        <w:ind w:firstLine="708"/>
        <w:rPr>
          <w:rFonts w:ascii="Arial" w:hAnsi="Arial" w:cs="Arial"/>
        </w:rPr>
      </w:pPr>
      <w:r w:rsidRPr="00C51E5B">
        <w:rPr>
          <w:rFonts w:ascii="Arial" w:hAnsi="Arial" w:cs="Arial"/>
        </w:rPr>
        <w:t>Además, Gómez (2019)</w:t>
      </w:r>
      <w:r w:rsidR="009506D6" w:rsidRPr="00C51E5B">
        <w:rPr>
          <w:rFonts w:ascii="Arial" w:hAnsi="Arial" w:cs="Arial"/>
        </w:rPr>
        <w:t>,</w:t>
      </w:r>
      <w:r w:rsidRPr="00C51E5B">
        <w:rPr>
          <w:rFonts w:ascii="Arial" w:hAnsi="Arial" w:cs="Arial"/>
        </w:rPr>
        <w:t xml:space="preserve"> destaca que la regulación efectiva de las energías renovables es vital para garantizar su integración en el sistema energético nacional. Sin una normatividad clara y efectiva, existe el riesgo de que las energías renovables no alcancen su máximo potencial para mitigar el cambio climático. Gómez argumenta que es necesario un marco regulatorio robusto que incentive la inversión en tecnologías limpias y asegure que los proyectos de energías renovables cumplan con estándares ambientales estrictos</w:t>
      </w:r>
      <w:r w:rsidR="008C0846" w:rsidRPr="00C51E5B">
        <w:rPr>
          <w:rFonts w:ascii="Arial" w:hAnsi="Arial" w:cs="Arial"/>
        </w:rPr>
        <w:t>, como lo son la energía fotovoltaica, eólica, hidroeléctrica, mareomotriz, geotérmica, biomasa y los biocarburantes, son una solución viable para las ciudades inteligentes.</w:t>
      </w:r>
      <w:r w:rsidR="00F04482" w:rsidRPr="00C51E5B">
        <w:rPr>
          <w:rFonts w:ascii="Arial" w:hAnsi="Arial" w:cs="Arial"/>
        </w:rPr>
        <w:t xml:space="preserve"> De acuerdo con el Plan Energético Nacional, PEN 2050, las energías solar y eólica en Colombia tienen una participación marginal en la canasta de generación eléctrica […], ante esta situación la ley 1715 de 2014 busca promover la inclusión de este tipo de tecnologías (UPME, 2014). Evidencia de esto son los proyectos registrados a febrero de 2018, por un total de 2.075 MW para generación eólica y 3.755 MW para generación solar fotovoltaica (Sistema de Información Eléctrico Colombiano, 2018).</w:t>
      </w:r>
    </w:p>
    <w:p w14:paraId="584A0EE8" w14:textId="4E9727E9" w:rsidR="00795FCB" w:rsidRPr="00C51E5B" w:rsidRDefault="00CE1B84" w:rsidP="00905066">
      <w:pPr>
        <w:pStyle w:val="NormalWeb"/>
        <w:ind w:firstLine="708"/>
        <w:rPr>
          <w:rFonts w:ascii="Arial" w:hAnsi="Arial" w:cs="Arial"/>
        </w:rPr>
      </w:pPr>
      <w:r w:rsidRPr="00C51E5B">
        <w:rPr>
          <w:rFonts w:ascii="Arial" w:hAnsi="Arial" w:cs="Arial"/>
        </w:rPr>
        <w:lastRenderedPageBreak/>
        <w:t>La publicación del Gobierno nacional sobre la transición energética resalta que, aunque se han logrado avances importantes, como la participación del 12% de las ERNC en la matriz energética, aún se necesita un mayor impulso para alcanzar un desarrollo sostenible integral. La transición energética no solo debe enfocarse en aumentar la participación de las ERNC, sino también en asegurar que esta transición sea justa, inclusiva y respetuosa con el medio ambiente.</w:t>
      </w:r>
      <w:r w:rsidR="00A93D9F" w:rsidRPr="00C51E5B">
        <w:rPr>
          <w:rFonts w:ascii="Arial" w:hAnsi="Arial" w:cs="Arial"/>
        </w:rPr>
        <w:t xml:space="preserve"> “El sector del transporte es un gran consumidor de energía, representando el 19% del consumo mundial de energía final en 2013; y el mismo sector representará el 97% del aumento del consumo de petróleo </w:t>
      </w:r>
      <w:r w:rsidR="008473E4" w:rsidRPr="00C51E5B">
        <w:rPr>
          <w:rFonts w:ascii="Arial" w:hAnsi="Arial" w:cs="Arial"/>
        </w:rPr>
        <w:t xml:space="preserve"> </w:t>
      </w:r>
      <w:r w:rsidR="00A93D9F" w:rsidRPr="00C51E5B">
        <w:rPr>
          <w:rFonts w:ascii="Arial" w:hAnsi="Arial" w:cs="Arial"/>
        </w:rPr>
        <w:t>mundial entre 2013 y 2030”</w:t>
      </w:r>
      <w:r w:rsidR="00A93D9F" w:rsidRPr="00C51E5B">
        <w:rPr>
          <w:rFonts w:ascii="Arial" w:hAnsi="Arial" w:cs="Arial"/>
        </w:rPr>
        <w:fldChar w:fldCharType="begin"/>
      </w:r>
      <w:r w:rsidR="00A93D9F" w:rsidRPr="00C51E5B">
        <w:rPr>
          <w:rFonts w:ascii="Arial" w:hAnsi="Arial" w:cs="Arial"/>
        </w:rPr>
        <w:instrText xml:space="preserve"> ADDIN ZOTERO_ITEM CSL_CITATION {"citationID":"iwVKaupz","properties":{"formattedCitation":"(Wilmsmeier &amp; Kreuzer, 2014)","plainCitation":"(Wilmsmeier &amp; Kreuzer, 2014)","noteIndex":0},"citationItems":[{"id":1105,"uris":["http://zotero.org/users/9184847/items/SWSDZL6T"],"itemData":{"id":1105,"type":"article-journal","abstract":"Muchos análisis y propuestas sobre políticas sostenibles de transporte se han desarrollado, en todo el mundo, tanto a nivel de gobierno como de instituciones de investigación. Está claro que ninguna medida proporcionará la solución y que es necesario actuar de forma simultánea en criterios tales como: i) la mejora de la tecnología en vehículos, que conduzca a un aumento de su eficiencia energética; ii) el cambio en el comportamiento del conductor, para utilizar menos combustible por kilómetro recorrido; iii) la reducción de las distancias recorridas por vehículo; y iv) el cambio en la tipología de los viajes, hacia modos de transporte más sostenibles. Por lo general, las recomendaciones de la eficiencia energética en el transporte se centran principalmente en los dos primeros criterios de esta lista, mientras que las carteras de políticas —efectivamente instrumentales a las necesidades de los países— deberían utilizar enfoques de tipo transsectorial y multi-dimensional, como lo son la planificación del transporte público y del uso del suelo. La CEPAL considera que ha llegado el momento de proporcionar a los países latinoamericanos y caribeños una comprensión más profunda y una visión más estratégica (y adaptada a las realidades de la región ) sobre estas cuestiones.Este documento pretende ser una ayuda a los países para que perfeccionen y amplíen aún más sus carteras de políticas de eficiencia energética en el transporte, con el fin de alcanzar los ambiciosos objetivos de la eficiencia energética, necesarios a garantizar un futuro energético sostenible.","language":"spa","note":"publisher: CEPAL","source":"repositorio.cepal.org","title":"Eficiencia energética y movilidad en América Latina y el Caribe: Una hoja de ruta para la sostenibilidad","title-short":"Eficiencia energética y movilidad en América Latina y el Caribe","URL":"https://hdl.handle.net/11362/36798","author":[{"family":"Wilmsmeier","given":"Gordon"},{"family":"Kreuzer","given":"Fabian Maximilian"}],"accessed":{"date-parts":[["2024",9,30]]},"issued":{"date-parts":[["2014",10]]}}}],"schema":"https://github.com/citation-style-language/schema/raw/master/csl-citation.json"} </w:instrText>
      </w:r>
      <w:r w:rsidR="00A93D9F" w:rsidRPr="00C51E5B">
        <w:rPr>
          <w:rFonts w:ascii="Arial" w:hAnsi="Arial" w:cs="Arial"/>
        </w:rPr>
        <w:fldChar w:fldCharType="separate"/>
      </w:r>
      <w:r w:rsidR="00A93D9F" w:rsidRPr="00C51E5B">
        <w:rPr>
          <w:rFonts w:ascii="Arial" w:hAnsi="Arial" w:cs="Arial"/>
        </w:rPr>
        <w:t>(Wilmsmeier &amp; Kreuzer, 2014)</w:t>
      </w:r>
      <w:r w:rsidR="00A93D9F" w:rsidRPr="00C51E5B">
        <w:rPr>
          <w:rFonts w:ascii="Arial" w:hAnsi="Arial" w:cs="Arial"/>
        </w:rPr>
        <w:fldChar w:fldCharType="end"/>
      </w:r>
      <w:r w:rsidR="00A93D9F" w:rsidRPr="00C51E5B">
        <w:rPr>
          <w:rFonts w:ascii="Arial" w:hAnsi="Arial" w:cs="Arial"/>
        </w:rPr>
        <w:t>.</w:t>
      </w:r>
      <w:r w:rsidR="008473E4" w:rsidRPr="00C51E5B">
        <w:rPr>
          <w:rFonts w:ascii="Arial" w:hAnsi="Arial" w:cs="Arial"/>
        </w:rPr>
        <w:t xml:space="preserve"> Para todo ello se han buscado soluciones, que ameritan comprensión profunda y soluciones estratégicas para mejorar las alternativas de movilidad, mediante políticas publicas y normativida</w:t>
      </w:r>
      <w:r w:rsidR="00F43141" w:rsidRPr="00C51E5B">
        <w:rPr>
          <w:rFonts w:ascii="Arial" w:hAnsi="Arial" w:cs="Arial"/>
        </w:rPr>
        <w:t>d para transitar a una eficiencia energética en todos los sectores que la componen</w:t>
      </w:r>
      <w:r w:rsidR="005C10CB" w:rsidRPr="00C51E5B">
        <w:rPr>
          <w:rFonts w:ascii="Arial" w:hAnsi="Arial" w:cs="Arial"/>
        </w:rPr>
        <w:t xml:space="preserve"> como lo propone el enfoque A-S-I: Evitar, Cambiar y Mejorar</w:t>
      </w:r>
      <w:r w:rsidR="00767628" w:rsidRPr="00C51E5B">
        <w:rPr>
          <w:rFonts w:ascii="Arial" w:hAnsi="Arial" w:cs="Arial"/>
        </w:rPr>
        <w:t>, explicado por la CEPAL (Comisión económica para América Latina y el Caribe)</w:t>
      </w:r>
      <w:r w:rsidR="00F2753C" w:rsidRPr="00C51E5B">
        <w:rPr>
          <w:rFonts w:ascii="Arial" w:hAnsi="Arial" w:cs="Arial"/>
        </w:rPr>
        <w:t>, es necesario hacer una transformación de las políticas de transporte hacia una movilidad sostenible mejorada es esencial para el futuro del país.</w:t>
      </w:r>
    </w:p>
    <w:p w14:paraId="7251B22F" w14:textId="77777777" w:rsidR="009C3268" w:rsidRPr="00C51E5B" w:rsidRDefault="009C3268" w:rsidP="00905066">
      <w:pPr>
        <w:pStyle w:val="Ttulo2"/>
        <w:spacing w:line="240" w:lineRule="auto"/>
        <w:rPr>
          <w:rFonts w:ascii="Arial" w:hAnsi="Arial" w:cs="Arial"/>
          <w:b w:val="0"/>
          <w:sz w:val="24"/>
          <w:szCs w:val="24"/>
        </w:rPr>
      </w:pPr>
      <w:bookmarkStart w:id="3" w:name="_Toc178883900"/>
      <w:r w:rsidRPr="00C51E5B">
        <w:rPr>
          <w:rFonts w:ascii="Arial" w:hAnsi="Arial" w:cs="Arial"/>
          <w:sz w:val="24"/>
          <w:szCs w:val="24"/>
        </w:rPr>
        <w:t>Ley 1715 de 2014</w:t>
      </w:r>
      <w:bookmarkEnd w:id="3"/>
    </w:p>
    <w:p w14:paraId="432DAB50" w14:textId="332863EF" w:rsidR="009C3268" w:rsidRPr="00C51E5B" w:rsidRDefault="009C3268" w:rsidP="00905066">
      <w:pPr>
        <w:pStyle w:val="NormalWeb"/>
        <w:rPr>
          <w:rFonts w:ascii="Arial" w:hAnsi="Arial" w:cs="Arial"/>
        </w:rPr>
      </w:pPr>
      <w:r w:rsidRPr="00C51E5B">
        <w:rPr>
          <w:rFonts w:ascii="Arial" w:hAnsi="Arial" w:cs="Arial"/>
        </w:rPr>
        <w:tab/>
      </w:r>
      <w:r w:rsidR="000D57C1" w:rsidRPr="00C51E5B">
        <w:rPr>
          <w:rFonts w:ascii="Arial" w:hAnsi="Arial" w:cs="Arial"/>
        </w:rPr>
        <w:t>“En mayo de 2014 se aprobó la Ley 1715, que desarrolla una política pública para la integración de las energías renovables no convencionales al Sistema Energético Nacional”</w:t>
      </w:r>
      <w:r w:rsidR="000D57C1" w:rsidRPr="00C51E5B">
        <w:rPr>
          <w:rFonts w:ascii="Arial" w:hAnsi="Arial" w:cs="Arial"/>
        </w:rPr>
        <w:fldChar w:fldCharType="begin"/>
      </w:r>
      <w:r w:rsidR="000D57C1" w:rsidRPr="00C51E5B">
        <w:rPr>
          <w:rFonts w:ascii="Arial" w:hAnsi="Arial" w:cs="Arial"/>
        </w:rPr>
        <w:instrText xml:space="preserve"> ADDIN ZOTERO_ITEM CSL_CITATION {"citationID":"p6Ot24kF","properties":{"formattedCitation":"(Gil et\\uc0\\u160{}al., 2023)","plainCitation":"(Gil et al., 2023)","noteIndex":0},"citationItems":[{"id":981,"uris":["http://zotero.org/users/9184847/items/ED4SKDI7"],"itemData":{"id":981,"type":"article-journal","abstract":"The reactivation of industrial activity to recover the post-Covid-19 economy is expected to cause an increase in greenhouse gases because of the use of non-renewable natural resources such as coal, oil, and natural gas. In Colombia, however, the energy matrix has maintained a relatively constant proportion of installed capacity, favoring energy produced from hydroelectric sources (68% of energy from hydroelectric plants, 31% from thermoelectric plants, and 1% from wind and solar energy). Considering the country's potential for the development of non-conventional renewable energies, this research seeks to review current public policies for the adoption and promotion of these forms of energy as part of the energy transition towards energy sources that further minimize the contributions of Colombia to climate change. A documentary and descriptive research was carried out based on the information available in academic and institutional sources reviewed between 2014 and 2022. The results indicate that Colombia has an important regulatory legal framework that begins with Law 1715 of 2014, evolving until the present with the contributions of the regulations generated by the Energy and Gas Regulation Commission (CREG) and the Energy Mining Planning Unit (UPME), among others. As of 2019, decrees or laws have been generated to improve incentives and facilitate the establishment of projects to generate non-conventional renewable energy sources.","container-title":"Cuadernos Latinoamericanos de Administración","DOI":"10.18270/cuaderlam.v19i36.4052","ISSN":"2248-6011","issue":"36","language":"es","license":"Derechos de autor 2023 Cuadernos Latinoamericanos de Administración","note":"number: 36","source":"revistas.unbosque.edu.co","title":"Análisis de Políticas Públicas para la adopción de Energías Renovables No Convencionales en Colombia","URL":"https://revistas.unbosque.edu.co/index.php/cuaderlam/article/view/4052","volume":"19","author":[{"family":"Gil","given":"Rosa Eugenia Reyes"},{"family":"Hoyos","given":"Álvaro Turriago"},{"family":"Piñeros","given":"Mauricio Cárdenas"},{"family":"Buitrago","given":"Jenny Paola Danna"}],"accessed":{"date-parts":[["2024",8,8]]},"issued":{"date-parts":[["2023",2,20]]}}}],"schema":"https://github.com/citation-style-language/schema/raw/master/csl-citation.json"} </w:instrText>
      </w:r>
      <w:r w:rsidR="000D57C1" w:rsidRPr="00C51E5B">
        <w:rPr>
          <w:rFonts w:ascii="Arial" w:hAnsi="Arial" w:cs="Arial"/>
        </w:rPr>
        <w:fldChar w:fldCharType="separate"/>
      </w:r>
      <w:r w:rsidR="000D57C1" w:rsidRPr="00C51E5B">
        <w:rPr>
          <w:rFonts w:ascii="Arial" w:hAnsi="Arial" w:cs="Arial"/>
        </w:rPr>
        <w:t>(Gil et al., 2023)</w:t>
      </w:r>
      <w:r w:rsidR="000D57C1" w:rsidRPr="00C51E5B">
        <w:rPr>
          <w:rFonts w:ascii="Arial" w:hAnsi="Arial" w:cs="Arial"/>
        </w:rPr>
        <w:fldChar w:fldCharType="end"/>
      </w:r>
      <w:r w:rsidR="000D57C1" w:rsidRPr="00C51E5B">
        <w:rPr>
          <w:rFonts w:ascii="Arial" w:hAnsi="Arial" w:cs="Arial"/>
        </w:rPr>
        <w:t>.</w:t>
      </w:r>
      <w:r w:rsidRPr="00C51E5B">
        <w:rPr>
          <w:rFonts w:ascii="Arial" w:hAnsi="Arial" w:cs="Arial"/>
        </w:rPr>
        <w:t>Esta ley tiene como objetivo integrar las energías renovables no convencionales al sistema energético nacional. Establece incentivos para la generación de energía a partir de fuentes renovables, promoviendo así una matriz energética más sostenible y menos contaminante. "La Ley 1715 de 2014 fomenta el uso de fuentes no convencionales de energía, incluyendo las renovables, para transformar el sistema energético colombiano y avanzar hacia una mayor sostenibilidad ambiental" (Congreso de la República de Colombia, 2014).</w:t>
      </w:r>
    </w:p>
    <w:p w14:paraId="7DE4857B" w14:textId="77777777" w:rsidR="00705EAC" w:rsidRPr="00C51E5B" w:rsidRDefault="00705EAC" w:rsidP="00905066">
      <w:pPr>
        <w:pStyle w:val="Ttulo2"/>
        <w:spacing w:line="240" w:lineRule="auto"/>
        <w:rPr>
          <w:rFonts w:ascii="Arial" w:hAnsi="Arial" w:cs="Arial"/>
          <w:sz w:val="24"/>
          <w:szCs w:val="24"/>
        </w:rPr>
      </w:pPr>
      <w:bookmarkStart w:id="4" w:name="_Toc178883901"/>
      <w:r w:rsidRPr="00C51E5B">
        <w:rPr>
          <w:rFonts w:ascii="Arial" w:hAnsi="Arial" w:cs="Arial"/>
          <w:sz w:val="24"/>
          <w:szCs w:val="24"/>
        </w:rPr>
        <w:t>Decreto 2143 de 2015</w:t>
      </w:r>
      <w:bookmarkEnd w:id="4"/>
    </w:p>
    <w:p w14:paraId="6A153300" w14:textId="5A11486B" w:rsidR="00705EAC" w:rsidRPr="00C51E5B" w:rsidRDefault="00705EAC" w:rsidP="00905066">
      <w:pPr>
        <w:pStyle w:val="NormalWeb"/>
        <w:rPr>
          <w:rFonts w:ascii="Arial" w:hAnsi="Arial" w:cs="Arial"/>
        </w:rPr>
      </w:pPr>
      <w:r w:rsidRPr="00C51E5B">
        <w:rPr>
          <w:rFonts w:ascii="Arial" w:hAnsi="Arial" w:cs="Arial"/>
        </w:rPr>
        <w:tab/>
        <w:t>Reglamenta la Ley 1715 de 2014 en aspectos relacionados con los incentivos fiscales para proyectos de energías renovables no convencionales. Este decreto es clave para la promoción de tecnologías limpias y la reducción de las emisiones de gases de efecto invernadero. "El Decreto 2143 de 2015 facilita la adopción de energías renovables en Colombia al ofrecer incentivos fiscales a los proyectos que promueven la sostenibilidad energética y la reducción de la huella de carbono" (Ministerio de Minas y Energía, 2015)</w:t>
      </w:r>
      <w:r w:rsidR="0038753F" w:rsidRPr="00C51E5B">
        <w:rPr>
          <w:rFonts w:ascii="Arial" w:hAnsi="Arial" w:cs="Arial"/>
        </w:rPr>
        <w:fldChar w:fldCharType="begin"/>
      </w:r>
      <w:r w:rsidR="0038753F" w:rsidRPr="00C51E5B">
        <w:rPr>
          <w:rFonts w:ascii="Arial" w:hAnsi="Arial" w:cs="Arial"/>
        </w:rPr>
        <w:instrText xml:space="preserve"> ADDIN ZOTERO_ITEM CSL_CITATION {"citationID":"XNWPVnm8","properties":{"formattedCitation":"(Gil et\\uc0\\u160{}al., 2023)","plainCitation":"(Gil et al., 2023)","noteIndex":0},"citationItems":[{"id":981,"uris":["http://zotero.org/users/9184847/items/ED4SKDI7"],"itemData":{"id":981,"type":"article-journal","abstract":"The reactivation of industrial activity to recover the post-Covid-19 economy is expected to cause an increase in greenhouse gases because of the use of non-renewable natural resources such as coal, oil, and natural gas. In Colombia, however, the energy matrix has maintained a relatively constant proportion of installed capacity, favoring energy produced from hydroelectric sources (68% of energy from hydroelectric plants, 31% from thermoelectric plants, and 1% from wind and solar energy). Considering the country's potential for the development of non-conventional renewable energies, this research seeks to review current public policies for the adoption and promotion of these forms of energy as part of the energy transition towards energy sources that further minimize the contributions of Colombia to climate change. A documentary and descriptive research was carried out based on the information available in academic and institutional sources reviewed between 2014 and 2022. The results indicate that Colombia has an important regulatory legal framework that begins with Law 1715 of 2014, evolving until the present with the contributions of the regulations generated by the Energy and Gas Regulation Commission (CREG) and the Energy Mining Planning Unit (UPME), among others. As of 2019, decrees or laws have been generated to improve incentives and facilitate the establishment of projects to generate non-conventional renewable energy sources.","container-title":"Cuadernos Latinoamericanos de Administración","DOI":"10.18270/cuaderlam.v19i36.4052","ISSN":"2248-6011","issue":"36","language":"es","license":"Derechos de autor 2023 Cuadernos Latinoamericanos de Administración","note":"number: 36","source":"revistas.unbosque.edu.co","title":"Análisis de Políticas Públicas para la adopción de Energías Renovables No Convencionales en Colombia","URL":"https://revistas.unbosque.edu.co/index.php/cuaderlam/article/view/4052","volume":"19","author":[{"family":"Gil","given":"Rosa Eugenia Reyes"},{"family":"Hoyos","given":"Álvaro Turriago"},{"family":"Piñeros","given":"Mauricio Cárdenas"},{"family":"Buitrago","given":"Jenny Paola Danna"}],"accessed":{"date-parts":[["2024",8,8]]},"issued":{"date-parts":[["2023",2,20]]}}}],"schema":"https://github.com/citation-style-language/schema/raw/master/csl-citation.json"} </w:instrText>
      </w:r>
      <w:r w:rsidR="0038753F" w:rsidRPr="00C51E5B">
        <w:rPr>
          <w:rFonts w:ascii="Arial" w:hAnsi="Arial" w:cs="Arial"/>
        </w:rPr>
        <w:fldChar w:fldCharType="separate"/>
      </w:r>
      <w:r w:rsidR="0038753F" w:rsidRPr="00C51E5B">
        <w:rPr>
          <w:rFonts w:ascii="Arial" w:hAnsi="Arial" w:cs="Arial"/>
        </w:rPr>
        <w:t>(Gil et al., 2023)</w:t>
      </w:r>
      <w:r w:rsidR="0038753F" w:rsidRPr="00C51E5B">
        <w:rPr>
          <w:rFonts w:ascii="Arial" w:hAnsi="Arial" w:cs="Arial"/>
        </w:rPr>
        <w:fldChar w:fldCharType="end"/>
      </w:r>
      <w:r w:rsidRPr="00C51E5B">
        <w:rPr>
          <w:rFonts w:ascii="Arial" w:hAnsi="Arial" w:cs="Arial"/>
        </w:rPr>
        <w:t>.</w:t>
      </w:r>
    </w:p>
    <w:p w14:paraId="4F2955BD" w14:textId="77777777" w:rsidR="00705EAC" w:rsidRPr="00C51E5B" w:rsidRDefault="00705EAC" w:rsidP="00905066">
      <w:pPr>
        <w:pStyle w:val="Ttulo2"/>
        <w:spacing w:line="240" w:lineRule="auto"/>
        <w:rPr>
          <w:rFonts w:ascii="Arial" w:hAnsi="Arial" w:cs="Arial"/>
          <w:sz w:val="24"/>
          <w:szCs w:val="24"/>
        </w:rPr>
      </w:pPr>
      <w:bookmarkStart w:id="5" w:name="_Toc178883902"/>
      <w:r w:rsidRPr="00C51E5B">
        <w:rPr>
          <w:rFonts w:ascii="Arial" w:hAnsi="Arial" w:cs="Arial"/>
          <w:sz w:val="24"/>
          <w:szCs w:val="24"/>
        </w:rPr>
        <w:t>Resolución 030 de 2018</w:t>
      </w:r>
      <w:bookmarkEnd w:id="5"/>
    </w:p>
    <w:p w14:paraId="4E6D6E60" w14:textId="099F6923" w:rsidR="00705EAC" w:rsidRPr="00C51E5B" w:rsidRDefault="00705EAC" w:rsidP="00905066">
      <w:pPr>
        <w:pStyle w:val="NormalWeb"/>
        <w:rPr>
          <w:rFonts w:ascii="Arial" w:hAnsi="Arial" w:cs="Arial"/>
        </w:rPr>
      </w:pPr>
      <w:r w:rsidRPr="00C51E5B">
        <w:rPr>
          <w:rFonts w:ascii="Arial" w:hAnsi="Arial" w:cs="Arial"/>
        </w:rPr>
        <w:tab/>
        <w:t xml:space="preserve">Esta resolución establece los lineamientos para el desarrollo de proyectos de energías renovables a pequeña escala, conocidos como proyectos de autogeneración y generación distribuida. Promueve la participación de ciudadanos y empresas en la generación de energía limpia. "La Resolución 030 de 2018 </w:t>
      </w:r>
      <w:r w:rsidRPr="00C51E5B">
        <w:rPr>
          <w:rFonts w:ascii="Arial" w:hAnsi="Arial" w:cs="Arial"/>
        </w:rPr>
        <w:lastRenderedPageBreak/>
        <w:t>facilita la implementación de proyectos de autogeneración de energía limpia, promoviendo la descentralización del sistema energético y la participación de diferentes actores en la transición hacia energías sostenibles" (Comisión de Regulación de Energía y Gas, 2018).</w:t>
      </w:r>
    </w:p>
    <w:p w14:paraId="66BBBA83" w14:textId="2571D69A" w:rsidR="00CA569C" w:rsidRPr="00C51E5B" w:rsidRDefault="00CA569C" w:rsidP="00905066">
      <w:pPr>
        <w:pStyle w:val="Ttulo2"/>
        <w:spacing w:line="240" w:lineRule="auto"/>
        <w:rPr>
          <w:rFonts w:ascii="Arial" w:hAnsi="Arial" w:cs="Arial"/>
          <w:sz w:val="24"/>
          <w:szCs w:val="24"/>
        </w:rPr>
      </w:pPr>
      <w:bookmarkStart w:id="6" w:name="_Toc178883903"/>
      <w:r w:rsidRPr="00C51E5B">
        <w:rPr>
          <w:rFonts w:ascii="Arial" w:hAnsi="Arial" w:cs="Arial"/>
          <w:sz w:val="24"/>
          <w:szCs w:val="24"/>
        </w:rPr>
        <w:t>Resolución 038-2018 CREG.</w:t>
      </w:r>
      <w:bookmarkEnd w:id="6"/>
    </w:p>
    <w:p w14:paraId="68176F1E" w14:textId="77777777" w:rsidR="00B66C7E" w:rsidRPr="00C51E5B" w:rsidRDefault="00B66C7E" w:rsidP="00905066">
      <w:pPr>
        <w:pStyle w:val="NormalWeb"/>
        <w:ind w:firstLine="708"/>
        <w:rPr>
          <w:rFonts w:ascii="Arial" w:hAnsi="Arial" w:cs="Arial"/>
        </w:rPr>
      </w:pPr>
      <w:r w:rsidRPr="00C51E5B">
        <w:rPr>
          <w:rFonts w:ascii="Arial" w:hAnsi="Arial" w:cs="Arial"/>
        </w:rPr>
        <w:t xml:space="preserve">La </w:t>
      </w:r>
      <w:r w:rsidRPr="00C51E5B">
        <w:rPr>
          <w:rFonts w:ascii="Arial" w:hAnsi="Arial" w:cs="Arial"/>
          <w:b/>
          <w:bCs/>
        </w:rPr>
        <w:t>Resolución 038-2018</w:t>
      </w:r>
      <w:r w:rsidRPr="00C51E5B">
        <w:rPr>
          <w:rFonts w:ascii="Arial" w:hAnsi="Arial" w:cs="Arial"/>
        </w:rPr>
        <w:t xml:space="preserve"> de la Comisión de Regulación de Energía y Gas (CREG) de Colombia establece disposiciones relacionadas con la integración de fuentes de energía renovable en el Sistema Interconectado Nacional (SIN). Esta resolución hace parte del marco regulatorio colombiano que busca fomentar el uso de energías renovables no convencionales (como la solar, eólica, biomasa, etc.) dentro de la matriz energética del país.</w:t>
      </w:r>
    </w:p>
    <w:p w14:paraId="660EB57A" w14:textId="77777777" w:rsidR="00B66C7E" w:rsidRPr="00C51E5B" w:rsidRDefault="00B66C7E" w:rsidP="00905066">
      <w:pPr>
        <w:pStyle w:val="Ttulo2"/>
        <w:spacing w:line="240" w:lineRule="auto"/>
        <w:rPr>
          <w:rFonts w:ascii="Arial" w:hAnsi="Arial" w:cs="Arial"/>
          <w:sz w:val="24"/>
          <w:szCs w:val="24"/>
        </w:rPr>
      </w:pPr>
      <w:bookmarkStart w:id="7" w:name="_Toc178883904"/>
      <w:r w:rsidRPr="00C51E5B">
        <w:rPr>
          <w:rFonts w:ascii="Arial" w:hAnsi="Arial" w:cs="Arial"/>
          <w:sz w:val="24"/>
          <w:szCs w:val="24"/>
        </w:rPr>
        <w:t>Aspectos Clave de la Resolución 038-2018 CREG:</w:t>
      </w:r>
      <w:bookmarkEnd w:id="7"/>
    </w:p>
    <w:p w14:paraId="5D54F285" w14:textId="77777777" w:rsidR="00B66C7E" w:rsidRPr="00C51E5B" w:rsidRDefault="00B66C7E" w:rsidP="00905066">
      <w:pPr>
        <w:pStyle w:val="NormalWeb"/>
        <w:numPr>
          <w:ilvl w:val="0"/>
          <w:numId w:val="3"/>
        </w:numPr>
        <w:rPr>
          <w:rFonts w:ascii="Arial" w:hAnsi="Arial" w:cs="Arial"/>
        </w:rPr>
      </w:pPr>
      <w:r w:rsidRPr="00C51E5B">
        <w:rPr>
          <w:rFonts w:ascii="Arial" w:hAnsi="Arial" w:cs="Arial"/>
          <w:b/>
          <w:bCs/>
        </w:rPr>
        <w:t>Integración de energías renovables</w:t>
      </w:r>
      <w:r w:rsidRPr="00C51E5B">
        <w:rPr>
          <w:rFonts w:ascii="Arial" w:hAnsi="Arial" w:cs="Arial"/>
        </w:rPr>
        <w:t>: La resolución establece condiciones y criterios para la conexión y operación de plantas de generación de energía a partir de fuentes renovables no convencionales en el SIN.</w:t>
      </w:r>
    </w:p>
    <w:p w14:paraId="1EE8B30F" w14:textId="77777777" w:rsidR="00B66C7E" w:rsidRPr="00C51E5B" w:rsidRDefault="00B66C7E" w:rsidP="00905066">
      <w:pPr>
        <w:pStyle w:val="NormalWeb"/>
        <w:numPr>
          <w:ilvl w:val="0"/>
          <w:numId w:val="3"/>
        </w:numPr>
        <w:rPr>
          <w:rFonts w:ascii="Arial" w:hAnsi="Arial" w:cs="Arial"/>
        </w:rPr>
      </w:pPr>
      <w:r w:rsidRPr="00C51E5B">
        <w:rPr>
          <w:rFonts w:ascii="Arial" w:hAnsi="Arial" w:cs="Arial"/>
          <w:b/>
          <w:bCs/>
        </w:rPr>
        <w:t>Incentivos</w:t>
      </w:r>
      <w:r w:rsidRPr="00C51E5B">
        <w:rPr>
          <w:rFonts w:ascii="Arial" w:hAnsi="Arial" w:cs="Arial"/>
        </w:rPr>
        <w:t>: Se contemplan incentivos regulatorios para facilitar la incorporación de estas fuentes de energía, como la reducción de barreras técnicas y administrativas para la conexión de estas plantas al sistema.</w:t>
      </w:r>
    </w:p>
    <w:p w14:paraId="6029F8A6" w14:textId="77777777" w:rsidR="00B66C7E" w:rsidRPr="00C51E5B" w:rsidRDefault="00B66C7E" w:rsidP="00905066">
      <w:pPr>
        <w:pStyle w:val="NormalWeb"/>
        <w:numPr>
          <w:ilvl w:val="0"/>
          <w:numId w:val="3"/>
        </w:numPr>
        <w:rPr>
          <w:rFonts w:ascii="Arial" w:hAnsi="Arial" w:cs="Arial"/>
        </w:rPr>
      </w:pPr>
      <w:r w:rsidRPr="00C51E5B">
        <w:rPr>
          <w:rFonts w:ascii="Arial" w:hAnsi="Arial" w:cs="Arial"/>
          <w:b/>
          <w:bCs/>
        </w:rPr>
        <w:t>Cumplimiento con los Objetivos de Desarrollo Sostenible (ODS)</w:t>
      </w:r>
      <w:r w:rsidRPr="00C51E5B">
        <w:rPr>
          <w:rFonts w:ascii="Arial" w:hAnsi="Arial" w:cs="Arial"/>
        </w:rPr>
        <w:t xml:space="preserve">: La resolución está alineada con los </w:t>
      </w:r>
      <w:r w:rsidRPr="00C51E5B">
        <w:rPr>
          <w:rFonts w:ascii="Arial" w:hAnsi="Arial" w:cs="Arial"/>
          <w:b/>
          <w:bCs/>
        </w:rPr>
        <w:t>ODS 7</w:t>
      </w:r>
      <w:r w:rsidRPr="00C51E5B">
        <w:rPr>
          <w:rFonts w:ascii="Arial" w:hAnsi="Arial" w:cs="Arial"/>
        </w:rPr>
        <w:t xml:space="preserve"> (Energía asequible y no contaminante) y </w:t>
      </w:r>
      <w:r w:rsidRPr="00C51E5B">
        <w:rPr>
          <w:rFonts w:ascii="Arial" w:hAnsi="Arial" w:cs="Arial"/>
          <w:b/>
          <w:bCs/>
        </w:rPr>
        <w:t>ODS 13</w:t>
      </w:r>
      <w:r w:rsidRPr="00C51E5B">
        <w:rPr>
          <w:rFonts w:ascii="Arial" w:hAnsi="Arial" w:cs="Arial"/>
        </w:rPr>
        <w:t xml:space="preserve"> (Acción por el clima), ya que promueve el uso de energías limpias y contribuye a la reducción de emisiones de gases de efecto invernadero en el sector energético de Colombia.</w:t>
      </w:r>
    </w:p>
    <w:p w14:paraId="64DF710E" w14:textId="1396E082" w:rsidR="00B66C7E" w:rsidRPr="00C51E5B" w:rsidRDefault="00095D94" w:rsidP="00905066">
      <w:pPr>
        <w:pStyle w:val="NormalWeb"/>
        <w:ind w:firstLine="360"/>
        <w:rPr>
          <w:rFonts w:ascii="Arial" w:hAnsi="Arial" w:cs="Arial"/>
        </w:rPr>
      </w:pPr>
      <w:r w:rsidRPr="00C51E5B">
        <w:rPr>
          <w:rFonts w:ascii="Arial" w:hAnsi="Arial" w:cs="Arial"/>
        </w:rPr>
        <w:t>L</w:t>
      </w:r>
      <w:r w:rsidR="00B66C7E" w:rsidRPr="00C51E5B">
        <w:rPr>
          <w:rFonts w:ascii="Arial" w:hAnsi="Arial" w:cs="Arial"/>
        </w:rPr>
        <w:t>a Resolución 038-2018 CREG</w:t>
      </w:r>
      <w:r w:rsidR="003D67A1" w:rsidRPr="00C51E5B">
        <w:rPr>
          <w:rFonts w:ascii="Arial" w:hAnsi="Arial" w:cs="Arial"/>
        </w:rPr>
        <w:t>,</w:t>
      </w:r>
      <w:r w:rsidR="00B66C7E" w:rsidRPr="00C51E5B">
        <w:rPr>
          <w:rFonts w:ascii="Arial" w:hAnsi="Arial" w:cs="Arial"/>
        </w:rPr>
        <w:t xml:space="preserve"> está directamente relacionada con la promoción de energías renovables en Colombia y apoya el cumplimiento de los ODS relacionados con la energía sostenible y la acción climática</w:t>
      </w:r>
      <w:r w:rsidR="003D67A1" w:rsidRPr="00C51E5B">
        <w:rPr>
          <w:rFonts w:ascii="Arial" w:hAnsi="Arial" w:cs="Arial"/>
        </w:rPr>
        <w:t xml:space="preserve"> Collazos, Esquivel y Paz, 2019)</w:t>
      </w:r>
      <w:r w:rsidR="00B66C7E" w:rsidRPr="00C51E5B">
        <w:rPr>
          <w:rFonts w:ascii="Arial" w:hAnsi="Arial" w:cs="Arial"/>
        </w:rPr>
        <w:t>.</w:t>
      </w:r>
    </w:p>
    <w:p w14:paraId="22ABCCED" w14:textId="25341684" w:rsidR="00021180" w:rsidRPr="00C51E5B" w:rsidRDefault="00021180" w:rsidP="00905066">
      <w:pPr>
        <w:pStyle w:val="NormalWeb"/>
        <w:ind w:firstLine="360"/>
        <w:rPr>
          <w:rFonts w:ascii="Arial" w:hAnsi="Arial" w:cs="Arial"/>
        </w:rPr>
      </w:pPr>
      <w:r w:rsidRPr="00C51E5B">
        <w:rPr>
          <w:rFonts w:ascii="Arial" w:hAnsi="Arial" w:cs="Arial"/>
        </w:rPr>
        <w:t xml:space="preserve">Un estudio sobre el cumplimiento de la banca privada, en cabeza de la </w:t>
      </w:r>
      <w:r w:rsidR="00095D94" w:rsidRPr="00C51E5B">
        <w:rPr>
          <w:rFonts w:ascii="Arial" w:hAnsi="Arial" w:cs="Arial"/>
        </w:rPr>
        <w:t>Asobancaria</w:t>
      </w:r>
      <w:r w:rsidRPr="00C51E5B">
        <w:rPr>
          <w:rFonts w:ascii="Arial" w:hAnsi="Arial" w:cs="Arial"/>
        </w:rPr>
        <w:t xml:space="preserve"> demuestra como desde este sector se da lun cumplimiento a 8 de los objetivos de desarrollo sostenible planteados en su política interna el protocolo verde, encaminado a garantizar la ecoeficiencia, el consumo sostenible, la administración de riesgos ambientales y sociales, haciendo uso de la responsabilidad social ambiental, entre sus estrategias están los bonos verdes, la financiación de proyectos ambientales verificando la administración de los recursos el cumplimiento de la normatividad vigente y haciendo seguimiento para prevenir riesgos ambientales, aportando a la mitigación de los efectos del cambio climático, microfinanzas para la adaptación del cambio climático y uno de sus programas bandera la educación financiera para enseñar a colocar el dinero en el desarrollo sostenible del país, según el trabajo de investigación de </w:t>
      </w:r>
      <w:r w:rsidR="0079719F" w:rsidRPr="00C51E5B">
        <w:rPr>
          <w:rFonts w:ascii="Arial" w:hAnsi="Arial" w:cs="Arial"/>
        </w:rPr>
        <w:fldChar w:fldCharType="begin"/>
      </w:r>
      <w:r w:rsidR="0079719F" w:rsidRPr="00C51E5B">
        <w:rPr>
          <w:rFonts w:ascii="Arial" w:hAnsi="Arial" w:cs="Arial"/>
        </w:rPr>
        <w:instrText xml:space="preserve"> ADDIN ZOTERO_ITEM CSL_CITATION {"citationID":"JPwpXnUT","properties":{"formattedCitation":"(Turriago Campuzano &amp; Cardona Acevedo, 2020)","plainCitation":"(Turriago Campuzano &amp; Cardona Acevedo, 2020)","noteIndex":0},"citationItems":[{"id":1095,"uris":["http://zotero.org/users/9184847/items/8WLF7PLR"],"itemData":{"id":1095,"type":"article","abstract":"Resumen en español: El Protocolo Verde es una iniciativa voluntaria del sector financiero liderada por Asobancaria; surge como solución para mitigar el cambio climático, aportar a la sostenibilidad y la responsabilidad social corporativa. En este estudio se propuso el análisis de los aportes de la banca comercial colombiana aplicando los lineamientos del Protocolo y su impacto en los objetivos de desarrollo sostenible (ODS) ambientales. Se elige como metodología el estudio de caso usando información cualitativa y cuantitativa. Inicialmente, se hace una revisión documental de informes de sostenibilidad (2015-2017) que dan cuenta de las acciones ejecutadas por la banca comercial, fundamentada en bases teóricas conceptuales, marco internacional y nacional y conceptos emitidos por expertos en sostenibilidad entrevistados. En los bancos estudiados sobresalen Bancolombia y Davivienda, referentes a nivel mundial, reconocidos por el Índice de Sostenibilidad Dow Jones. Finalmente, por el compromiso de los bancos comerciales en la aplicación de los lineamientos del Protocolo Verde y el aporte a los ocho ODS ambientales, se demuestra el compromiso con la sostenibilidad ambiental. Resumen en inglés: El Protocolo Verde es una iniciativa voluntaria del sector financiero liderada por Asobancaria en Colombia; surge como una solución para mitigar el cambio climático, contribuir a la sostenibilidad y la responsabilidad social empresarial. Este estudio propuso el análisis de la contribución de la banca comercial colombiana aplicando los lineamientos del Protocolo y su impacto en los ODS ambientales. Se aplicó el método de estudio de caso utilizando información cualitativa y cuantitativa. En primer lugar, se realizó una revisión documental de sostenibilidad (2015-2017), que da cuenta de las acciones realizadas Los bancos comerciales realizaron las evaluaciones, luego se aplicaron los fundamentos teóricos y conceptuales, el marco internacional y nacional y los conceptos emitidos por expertos en entrevistas de sostenibilidad. De los bancos estudiados, se destacan Bancolombia y Davivienda, referentes a nivel mundial, reconocidos por el Dow Jones Sustainability Index. Índice. Finalmente, el compromiso de los bancos comerciales con la aplicación de las directrices del Protocolo Verde y la contribución a los 8 ODS ambientales demuestra el compromiso con la sostenibilidad ambiental.","event-place":"Rochester, NY","genre":"SSRN Scholarly Paper","language":"es","number":"3520149","publisher-place":"Rochester, NY","source":"Social Science Research Network","title":"Cumplimiento de los objetivos de desarrollo sostenible ambientales a través de la contribución de la banca comercial colombiana: el caso del Protocolo verde de Asobancaria (Compliance With the Sustainability Development Goals Through the Contribution of the Colombian Banking Sector: The Case of Asobancaria’s Green Protocol)","title-short":"Cumplimiento de los objetivos de desarrollo sostenible ambientales a través de la contribución de la banca comercial colombiana","URL":"https://papers.ssrn.com/abstract=3520149","author":[{"family":"Turriago Campuzano","given":"Andrea Marcela"},{"family":"Cardona Acevedo","given":"Marleny"}],"accessed":{"date-parts":[["2024",9,13]]},"issued":{"date-parts":[["2020",1,15]]}}}],"schema":"https://github.com/citation-style-language/schema/raw/master/csl-citation.json"} </w:instrText>
      </w:r>
      <w:r w:rsidR="0079719F" w:rsidRPr="00C51E5B">
        <w:rPr>
          <w:rFonts w:ascii="Arial" w:hAnsi="Arial" w:cs="Arial"/>
        </w:rPr>
        <w:fldChar w:fldCharType="separate"/>
      </w:r>
      <w:r w:rsidR="0079719F" w:rsidRPr="00C51E5B">
        <w:rPr>
          <w:rFonts w:ascii="Arial" w:hAnsi="Arial" w:cs="Arial"/>
        </w:rPr>
        <w:t>(Turriago Campuzano &amp; Cardona Acevedo, 2020)</w:t>
      </w:r>
      <w:r w:rsidR="0079719F" w:rsidRPr="00C51E5B">
        <w:rPr>
          <w:rFonts w:ascii="Arial" w:hAnsi="Arial" w:cs="Arial"/>
        </w:rPr>
        <w:fldChar w:fldCharType="end"/>
      </w:r>
      <w:r w:rsidR="0079719F" w:rsidRPr="00C51E5B">
        <w:rPr>
          <w:rFonts w:ascii="Arial" w:hAnsi="Arial" w:cs="Arial"/>
        </w:rPr>
        <w:t xml:space="preserve">, </w:t>
      </w:r>
      <w:r w:rsidR="00966403" w:rsidRPr="00C51E5B">
        <w:rPr>
          <w:rFonts w:ascii="Arial" w:hAnsi="Arial" w:cs="Arial"/>
        </w:rPr>
        <w:t xml:space="preserve">“se requiere fortalecimiento en entrenamiento y conocimientos para promover mercados verdes, prácticas </w:t>
      </w:r>
      <w:r w:rsidR="00966403" w:rsidRPr="00C51E5B">
        <w:rPr>
          <w:rFonts w:ascii="Arial" w:hAnsi="Arial" w:cs="Arial"/>
        </w:rPr>
        <w:lastRenderedPageBreak/>
        <w:t>ambientales y sociales, y desarrollo de proyectos de reducción de emisiones de gases efecto invernadero”</w:t>
      </w:r>
      <w:r w:rsidRPr="00C51E5B">
        <w:rPr>
          <w:rFonts w:ascii="Arial" w:hAnsi="Arial" w:cs="Arial"/>
        </w:rPr>
        <w:t>.</w:t>
      </w:r>
    </w:p>
    <w:p w14:paraId="307303E8" w14:textId="77777777" w:rsidR="000838FA" w:rsidRPr="00C51E5B" w:rsidRDefault="000838FA" w:rsidP="00905066">
      <w:pPr>
        <w:pStyle w:val="Ttulo2"/>
        <w:spacing w:line="240" w:lineRule="auto"/>
        <w:rPr>
          <w:rFonts w:ascii="Arial" w:hAnsi="Arial" w:cs="Arial"/>
          <w:sz w:val="24"/>
          <w:szCs w:val="24"/>
        </w:rPr>
      </w:pPr>
      <w:bookmarkStart w:id="8" w:name="_Toc178883905"/>
      <w:r w:rsidRPr="00C51E5B">
        <w:rPr>
          <w:rFonts w:ascii="Arial" w:hAnsi="Arial" w:cs="Arial"/>
          <w:sz w:val="24"/>
          <w:szCs w:val="24"/>
        </w:rPr>
        <w:t>Ley 2099 de 2021</w:t>
      </w:r>
      <w:bookmarkEnd w:id="8"/>
    </w:p>
    <w:p w14:paraId="3B39D03F" w14:textId="6F8FB2F0" w:rsidR="000838FA" w:rsidRPr="00C51E5B" w:rsidRDefault="000838FA" w:rsidP="00905066">
      <w:pPr>
        <w:pStyle w:val="NormalWeb"/>
        <w:rPr>
          <w:rFonts w:ascii="Arial" w:hAnsi="Arial" w:cs="Arial"/>
        </w:rPr>
      </w:pPr>
      <w:r w:rsidRPr="00C51E5B">
        <w:rPr>
          <w:rFonts w:ascii="Arial" w:hAnsi="Arial" w:cs="Arial"/>
        </w:rPr>
        <w:tab/>
        <w:t xml:space="preserve">Conocida como la "Ley de Transición Energética", esta norma moderniza el sector eléctrico en Colombia, promoviendo el uso de energías renovables y la eficiencia energética. La ley busca acelerar la transición hacia una matriz energética más limpia y sostenible. </w:t>
      </w:r>
      <w:r w:rsidR="004A3568" w:rsidRPr="00C51E5B">
        <w:rPr>
          <w:rFonts w:ascii="Arial" w:hAnsi="Arial" w:cs="Arial"/>
        </w:rPr>
        <w:t>La ley busca acelerar el desarrollo de tecnologías renovables, promover la eficiencia energética y establecer un marco normativo más robusto para la sostenibilidad energética.</w:t>
      </w:r>
    </w:p>
    <w:p w14:paraId="49D5383F" w14:textId="77777777" w:rsidR="009E325F" w:rsidRPr="00C51E5B" w:rsidRDefault="009C3268" w:rsidP="00905066">
      <w:pPr>
        <w:pStyle w:val="NormalWeb"/>
        <w:rPr>
          <w:rFonts w:ascii="Arial" w:hAnsi="Arial" w:cs="Arial"/>
        </w:rPr>
      </w:pPr>
      <w:r w:rsidRPr="00C51E5B">
        <w:rPr>
          <w:rFonts w:ascii="Arial" w:hAnsi="Arial" w:cs="Arial"/>
        </w:rPr>
        <w:tab/>
        <w:t>El ODS 13, "Acción por el Clima", en Colombia se encuentra alineado con diversas normativas y políticas públicas que buscan mitigar los efectos del cambio climático y fortalecer la capacidad del país para enfrentar sus impactos</w:t>
      </w:r>
      <w:r w:rsidR="009E325F" w:rsidRPr="00C51E5B">
        <w:rPr>
          <w:rFonts w:ascii="Arial" w:hAnsi="Arial" w:cs="Arial"/>
        </w:rPr>
        <w:t>.</w:t>
      </w:r>
    </w:p>
    <w:p w14:paraId="466933CE" w14:textId="600AF0B7" w:rsidR="009E325F" w:rsidRPr="00C51E5B" w:rsidRDefault="009E325F" w:rsidP="00905066">
      <w:pPr>
        <w:pStyle w:val="NormalWeb"/>
        <w:ind w:firstLine="708"/>
        <w:rPr>
          <w:rFonts w:ascii="Arial" w:hAnsi="Arial" w:cs="Arial"/>
        </w:rPr>
      </w:pPr>
      <w:r w:rsidRPr="00C51E5B">
        <w:rPr>
          <w:rFonts w:ascii="Arial" w:hAnsi="Arial" w:cs="Arial"/>
        </w:rPr>
        <w:t>Esta normativa no solo impulsa la adopción de energías limpias, sino que también fortalece los avances tecnológicos, regulatorios y de mercado en torno al hidrógeno verde. En ese sentido, la ley contribuye directamente a los Objetivos de Desarrollo Sostenible (ODS), especialmente al ODS 7, que busca garantizar el acceso a una energía asequible, fiable y sostenible, y al ODS 13, que promueve acciones para combatir el cambio climático</w:t>
      </w:r>
      <w:r w:rsidRPr="00C51E5B">
        <w:rPr>
          <w:rFonts w:ascii="Arial" w:hAnsi="Arial" w:cs="Arial"/>
        </w:rPr>
        <w:fldChar w:fldCharType="begin"/>
      </w:r>
      <w:r w:rsidRPr="00C51E5B">
        <w:rPr>
          <w:rFonts w:ascii="Arial" w:hAnsi="Arial" w:cs="Arial"/>
        </w:rPr>
        <w:instrText xml:space="preserve"> ADDIN ZOTERO_ITEM CSL_CITATION {"citationID":"2j7ZjrKx","properties":{"formattedCitation":"(Rosero Rodr\\uc0\\u237{}guez, 2023)","plainCitation":"(Rosero Rodríguez, 2023)","noteIndex":0},"citationItems":[{"id":1109,"uris":["http://zotero.org/users/9184847/items/LR4LQ7AI"],"itemData":{"id":1109,"type":"article-journal","abstract":"RESUMEN : El proyecto tiene como objetivo establecer una base de conocimiento sólida sobre el hidrógeno verde en Colombia y a nivel mundial, con el fin de que CIDET pueda determinar su participación en el desarrollo de esta energía en el país. El enfoque se divide en tres fases principales. En la Fase I, se enfoca en comprender los marcos políticos y los avances tecnológicos relacionados con el hidrógeno verde. Esto implica analizar las políticas, estándares, reglamentos, leyes y políticas públicas existentes en Colombia sobre el hidrógeno verde, así como las tecnologías utilizadas en su producción, almacenamiento y transporte. La idea es proporcionar a las empresas información de referencia para tomar decisiones informadas. En la Fase II, se realiza un análisis de casos de implementación previos. Se caracterizan los proyectos e iniciativas desarrolladas hasta la fecha en Colombia para la producción, almacenamiento y transporte de hidrógeno verde. El objetivo es identificar los desafíos y éxitos desde una perspectiva normativa y tecnológica, y aprender de estas experiencias. Se recopilan recomendaciones y conclusiones de los proyectos implementados en el país. En la Fase III, se aborda la caracterización de los modelos de mercado existentes para el hidrógeno verde a nivel mundial. Se analizan los proyectos e iniciativas previas y se identifican los actores involucrados, las normas y los pasos para implementar estos modelos. Se busca comprender la ubicación, duración y disposiciones normativas de estos mercados. También se recopilan recomendaciones clave para implementar con éxito un mercado de hidrógeno verde.","language":"spa","license":"info:eu-repo/semantics/openAccess","note":"Accepted: 2023-08-04T16:14:19Z\npublisher: Medellín, Colombia","source":"bibliotecadigital.udea.edu.co","title":"Consolidación de la base de conocimiento del hidrógeno verde, comprendiendo los avances tecnológicos, normativos, experiencias(pilotos) y modelos de mercado","URL":"https://bibliotecadigital.udea.edu.co/handle/10495/36151","author":[{"family":"Rosero Rodríguez","given":"Jaime Andrés"}],"accessed":{"date-parts":[["2024",9,30]]},"issued":{"date-parts":[["2023"]]}}}],"schema":"https://github.com/citation-style-language/schema/raw/master/csl-citation.json"} </w:instrText>
      </w:r>
      <w:r w:rsidRPr="00C51E5B">
        <w:rPr>
          <w:rFonts w:ascii="Arial" w:hAnsi="Arial" w:cs="Arial"/>
        </w:rPr>
        <w:fldChar w:fldCharType="separate"/>
      </w:r>
      <w:r w:rsidRPr="00C51E5B">
        <w:rPr>
          <w:rFonts w:ascii="Arial" w:hAnsi="Arial" w:cs="Arial"/>
        </w:rPr>
        <w:t>(Rosero Rodríguez, 2023)</w:t>
      </w:r>
      <w:r w:rsidRPr="00C51E5B">
        <w:rPr>
          <w:rFonts w:ascii="Arial" w:hAnsi="Arial" w:cs="Arial"/>
        </w:rPr>
        <w:fldChar w:fldCharType="end"/>
      </w:r>
      <w:r w:rsidRPr="00C51E5B">
        <w:rPr>
          <w:rFonts w:ascii="Arial" w:hAnsi="Arial" w:cs="Arial"/>
        </w:rPr>
        <w:t>.</w:t>
      </w:r>
    </w:p>
    <w:p w14:paraId="188C12D3" w14:textId="35A9D8EE" w:rsidR="002F1299" w:rsidRPr="00C51E5B" w:rsidRDefault="00CD1251" w:rsidP="00905066">
      <w:pPr>
        <w:pStyle w:val="Ttulo2"/>
        <w:spacing w:line="240" w:lineRule="auto"/>
        <w:rPr>
          <w:rFonts w:ascii="Arial" w:hAnsi="Arial" w:cs="Arial"/>
          <w:sz w:val="24"/>
          <w:szCs w:val="24"/>
        </w:rPr>
      </w:pPr>
      <w:bookmarkStart w:id="9" w:name="_Toc178883906"/>
      <w:r w:rsidRPr="00C51E5B">
        <w:rPr>
          <w:rFonts w:ascii="Arial" w:hAnsi="Arial" w:cs="Arial"/>
          <w:sz w:val="24"/>
          <w:szCs w:val="24"/>
        </w:rPr>
        <w:t>Decreto 1476 de 2022</w:t>
      </w:r>
      <w:r w:rsidR="002F1299" w:rsidRPr="00C51E5B">
        <w:rPr>
          <w:rFonts w:ascii="Arial" w:hAnsi="Arial" w:cs="Arial"/>
          <w:sz w:val="24"/>
          <w:szCs w:val="24"/>
        </w:rPr>
        <w:t>.</w:t>
      </w:r>
      <w:bookmarkEnd w:id="9"/>
    </w:p>
    <w:p w14:paraId="634E2563" w14:textId="2B22F518" w:rsidR="00CD1251" w:rsidRPr="00C51E5B" w:rsidRDefault="002F1299" w:rsidP="00905066">
      <w:pPr>
        <w:pStyle w:val="NormalWeb"/>
        <w:ind w:firstLine="709"/>
        <w:rPr>
          <w:rFonts w:ascii="Arial" w:hAnsi="Arial" w:cs="Arial"/>
        </w:rPr>
      </w:pPr>
      <w:r w:rsidRPr="00C51E5B">
        <w:rPr>
          <w:rFonts w:ascii="Arial" w:hAnsi="Arial" w:cs="Arial"/>
        </w:rPr>
        <w:t>E</w:t>
      </w:r>
      <w:r w:rsidR="00CD1251" w:rsidRPr="00C51E5B">
        <w:rPr>
          <w:rFonts w:ascii="Arial" w:hAnsi="Arial" w:cs="Arial"/>
        </w:rPr>
        <w:t>xpedido por el Ministerio de Minas y Energía, establece lineamientos específicos para el desarrollo del hidrógeno verde y azul en el país. Este decreto es un esfuerzo por consolidar las energías renovables como pilar fundamental en la descarbonización de sectores estratégicos como el transporte, la industria, y los hidrocarburos. La norma también promueve el uso de fuentes no convencionales de energía renovable (FNCER) para respaldar los proyectos de hidrógeno, alineándose con el ODS 7, que busca garantizar el acceso a una energía asequible, segura, sostenible y moderna para todos, y con el ODS 13, que se enfoca en tomar medidas urgentes para combatir el cambio climático y sus impactos​(</w:t>
      </w:r>
      <w:r w:rsidR="005536DD" w:rsidRPr="00C51E5B">
        <w:rPr>
          <w:rStyle w:val="Hipervnculo"/>
          <w:rFonts w:ascii="Arial" w:hAnsi="Arial" w:cs="Arial"/>
          <w:color w:val="auto"/>
          <w:u w:val="none"/>
        </w:rPr>
        <w:fldChar w:fldCharType="begin"/>
      </w:r>
      <w:r w:rsidR="005536DD" w:rsidRPr="00C51E5B">
        <w:rPr>
          <w:rStyle w:val="Hipervnculo"/>
          <w:rFonts w:ascii="Arial" w:hAnsi="Arial" w:cs="Arial"/>
          <w:color w:val="auto"/>
          <w:u w:val="none"/>
        </w:rPr>
        <w:instrText xml:space="preserve"> HYPERLINK "https://www.minenergia.gov.co/es/sala-de-prensa/noticias-index/ministerio-de-minas-y-energ%C3%ADa-entrega-nuevos-lineamientos-para-la-prestaci%C3%B3n-del-servicio-de-energ%C3%ADa-el%C3%A9ctrica-en-el-pa%C3%ADs/" \t "_blank" </w:instrText>
      </w:r>
      <w:r w:rsidR="005536DD" w:rsidRPr="00C51E5B">
        <w:rPr>
          <w:rStyle w:val="Hipervnculo"/>
          <w:rFonts w:ascii="Arial" w:hAnsi="Arial" w:cs="Arial"/>
          <w:color w:val="auto"/>
          <w:u w:val="none"/>
        </w:rPr>
        <w:fldChar w:fldCharType="separate"/>
      </w:r>
      <w:r w:rsidR="00CD1251" w:rsidRPr="00C51E5B">
        <w:rPr>
          <w:rStyle w:val="Hipervnculo"/>
          <w:rFonts w:ascii="Arial" w:hAnsi="Arial" w:cs="Arial"/>
          <w:color w:val="auto"/>
          <w:u w:val="none"/>
        </w:rPr>
        <w:t>Ministerio de Minas y Energía</w:t>
      </w:r>
      <w:r w:rsidR="005536DD" w:rsidRPr="00C51E5B">
        <w:rPr>
          <w:rStyle w:val="Hipervnculo"/>
          <w:rFonts w:ascii="Arial" w:hAnsi="Arial" w:cs="Arial"/>
          <w:color w:val="auto"/>
          <w:u w:val="none"/>
        </w:rPr>
        <w:fldChar w:fldCharType="end"/>
      </w:r>
      <w:r w:rsidR="00CD1251" w:rsidRPr="00C51E5B">
        <w:rPr>
          <w:rFonts w:ascii="Arial" w:hAnsi="Arial" w:cs="Arial"/>
        </w:rPr>
        <w:t xml:space="preserve"> </w:t>
      </w:r>
      <w:hyperlink r:id="rId8" w:tgtFrame="_blank" w:history="1">
        <w:r w:rsidR="00CD1251" w:rsidRPr="00C51E5B">
          <w:rPr>
            <w:rStyle w:val="Hipervnculo"/>
            <w:rFonts w:ascii="Arial" w:hAnsi="Arial" w:cs="Arial"/>
            <w:color w:val="auto"/>
            <w:u w:val="none"/>
          </w:rPr>
          <w:t>Función Pública</w:t>
        </w:r>
      </w:hyperlink>
      <w:r w:rsidR="00CD1251" w:rsidRPr="00C51E5B">
        <w:rPr>
          <w:rFonts w:ascii="Arial" w:hAnsi="Arial" w:cs="Arial"/>
        </w:rPr>
        <w:t>).</w:t>
      </w:r>
    </w:p>
    <w:p w14:paraId="56D6A94B" w14:textId="4FF40358" w:rsidR="002F1299" w:rsidRPr="00C51E5B" w:rsidRDefault="00CD1251" w:rsidP="00905066">
      <w:pPr>
        <w:pStyle w:val="Ttulo2"/>
        <w:spacing w:line="240" w:lineRule="auto"/>
        <w:rPr>
          <w:rFonts w:ascii="Arial" w:hAnsi="Arial" w:cs="Arial"/>
          <w:sz w:val="24"/>
          <w:szCs w:val="24"/>
        </w:rPr>
      </w:pPr>
      <w:bookmarkStart w:id="10" w:name="_Toc178883907"/>
      <w:r w:rsidRPr="00C51E5B">
        <w:rPr>
          <w:rFonts w:ascii="Arial" w:hAnsi="Arial" w:cs="Arial"/>
          <w:sz w:val="24"/>
          <w:szCs w:val="24"/>
        </w:rPr>
        <w:t>Ley 2162 de 2021</w:t>
      </w:r>
      <w:bookmarkEnd w:id="10"/>
      <w:r w:rsidRPr="00C51E5B">
        <w:rPr>
          <w:rFonts w:ascii="Arial" w:hAnsi="Arial" w:cs="Arial"/>
          <w:sz w:val="24"/>
          <w:szCs w:val="24"/>
        </w:rPr>
        <w:t xml:space="preserve"> </w:t>
      </w:r>
    </w:p>
    <w:p w14:paraId="47FD4585" w14:textId="4886F2C6" w:rsidR="00CD1251" w:rsidRPr="00C51E5B" w:rsidRDefault="002F1299" w:rsidP="00905066">
      <w:pPr>
        <w:pStyle w:val="NormalWeb"/>
        <w:ind w:firstLine="709"/>
        <w:rPr>
          <w:rFonts w:ascii="Arial" w:hAnsi="Arial" w:cs="Arial"/>
        </w:rPr>
      </w:pPr>
      <w:r w:rsidRPr="00C51E5B">
        <w:rPr>
          <w:rFonts w:ascii="Arial" w:hAnsi="Arial" w:cs="Arial"/>
        </w:rPr>
        <w:t>R</w:t>
      </w:r>
      <w:r w:rsidR="00CD1251" w:rsidRPr="00C51E5B">
        <w:rPr>
          <w:rFonts w:ascii="Arial" w:hAnsi="Arial" w:cs="Arial"/>
        </w:rPr>
        <w:t>efuerza la necesidad de adoptar tecnologías que reduzcan las emisiones y promuevan un uso más eficiente de la energía, en línea con los objetivos de desarrollo sostenible mencionados. Esta legislación establece el marco para que el Ministerio de Ciencia, Tecnología e Innovación fomente la innovación en energías limpias, facilitando la transición hacia un sistema energético más sostenible.</w:t>
      </w:r>
    </w:p>
    <w:p w14:paraId="62E29233" w14:textId="1C4F7F69" w:rsidR="00746781" w:rsidRPr="00C51E5B" w:rsidRDefault="00746781" w:rsidP="00905066">
      <w:pPr>
        <w:pStyle w:val="Ttulo2"/>
        <w:spacing w:line="240" w:lineRule="auto"/>
        <w:rPr>
          <w:rFonts w:ascii="Arial" w:hAnsi="Arial" w:cs="Arial"/>
          <w:sz w:val="24"/>
          <w:szCs w:val="24"/>
        </w:rPr>
      </w:pPr>
      <w:bookmarkStart w:id="11" w:name="_Toc178883908"/>
      <w:r w:rsidRPr="00C51E5B">
        <w:rPr>
          <w:rFonts w:ascii="Arial" w:hAnsi="Arial" w:cs="Arial"/>
          <w:sz w:val="24"/>
          <w:szCs w:val="24"/>
        </w:rPr>
        <w:lastRenderedPageBreak/>
        <w:t>Ley 1931 de 2018</w:t>
      </w:r>
      <w:bookmarkEnd w:id="11"/>
    </w:p>
    <w:p w14:paraId="58789B92" w14:textId="5BF2F0E0" w:rsidR="00746781" w:rsidRPr="00C51E5B" w:rsidRDefault="008913BA" w:rsidP="00905066">
      <w:pPr>
        <w:pStyle w:val="NormalWeb"/>
        <w:rPr>
          <w:rFonts w:ascii="Arial" w:hAnsi="Arial" w:cs="Arial"/>
        </w:rPr>
      </w:pPr>
      <w:r w:rsidRPr="00C51E5B">
        <w:rPr>
          <w:rFonts w:ascii="Arial" w:hAnsi="Arial" w:cs="Arial"/>
        </w:rPr>
        <w:tab/>
      </w:r>
      <w:r w:rsidR="00746781" w:rsidRPr="00C51E5B">
        <w:rPr>
          <w:rFonts w:ascii="Arial" w:hAnsi="Arial" w:cs="Arial"/>
        </w:rPr>
        <w:t>Esta ley establece disposiciones para la gestión del cambio climático en Colombia, creando el marco institucional para el manejo de este tema y asegurando la coherencia de las políticas públicas en la materia. La ley promueve acciones de mitigación y adaptación al cambio climático, involucrando tanto al gobierno como a la sociedad civil. "La Ley 1931 de 2018 busca fortalecer la resiliencia del país frente al cambio climático, mediante la implementación de acciones de adaptación y mitigación, promoviendo la participación activa de todos los sectores de la sociedad" (Congreso de la República de Colombia, 2018).</w:t>
      </w:r>
    </w:p>
    <w:p w14:paraId="47ECE75B" w14:textId="0405CF57" w:rsidR="00746781" w:rsidRPr="00C51E5B" w:rsidRDefault="00746781" w:rsidP="00905066">
      <w:pPr>
        <w:pStyle w:val="NormalWeb"/>
        <w:rPr>
          <w:rFonts w:ascii="Arial" w:hAnsi="Arial" w:cs="Arial"/>
          <w:b/>
          <w:bCs/>
        </w:rPr>
      </w:pPr>
      <w:r w:rsidRPr="00C51E5B">
        <w:rPr>
          <w:rFonts w:ascii="Arial" w:hAnsi="Arial" w:cs="Arial"/>
          <w:b/>
          <w:bCs/>
        </w:rPr>
        <w:t xml:space="preserve"> Política Nacional de Cambio Climático (PNCC)</w:t>
      </w:r>
    </w:p>
    <w:p w14:paraId="4AB8F7D3" w14:textId="0BE06615" w:rsidR="00746781" w:rsidRPr="00C51E5B" w:rsidRDefault="008913BA" w:rsidP="00905066">
      <w:pPr>
        <w:pStyle w:val="NormalWeb"/>
        <w:rPr>
          <w:rFonts w:ascii="Arial" w:hAnsi="Arial" w:cs="Arial"/>
        </w:rPr>
      </w:pPr>
      <w:r w:rsidRPr="00C51E5B">
        <w:rPr>
          <w:rFonts w:ascii="Arial" w:hAnsi="Arial" w:cs="Arial"/>
        </w:rPr>
        <w:tab/>
      </w:r>
      <w:r w:rsidR="00746781" w:rsidRPr="00C51E5B">
        <w:rPr>
          <w:rFonts w:ascii="Arial" w:hAnsi="Arial" w:cs="Arial"/>
        </w:rPr>
        <w:t>La PNCC es la estrategia principal del Gobierno Nacional para enfrentar el cambio climático. Busca integrar acciones de mitigación y adaptación en todos los niveles de gobierno y en todos los sectores de la economía, promoviendo prácticas sostenibles desde el hogar hasta la industria. "La Política Nacional de Cambio Climático de Colombia fomenta la reducción de emisiones de gases de efecto invernadero y el fortalecimiento de la capacidad de adaptación de las comunidades, mediante la promoción de soluciones sostenibles en la producción y el consumo" (Ministerio de Ambiente y Desarrollo Sostenible, 2017</w:t>
      </w:r>
      <w:r w:rsidR="009C3268" w:rsidRPr="00C51E5B">
        <w:rPr>
          <w:rFonts w:ascii="Arial" w:hAnsi="Arial" w:cs="Arial"/>
        </w:rPr>
        <w:t>)</w:t>
      </w:r>
      <w:r w:rsidR="00746781" w:rsidRPr="00C51E5B">
        <w:rPr>
          <w:rFonts w:ascii="Arial" w:hAnsi="Arial" w:cs="Arial"/>
        </w:rPr>
        <w:t>.</w:t>
      </w:r>
    </w:p>
    <w:p w14:paraId="3508440D" w14:textId="4D46D0D6" w:rsidR="00746781" w:rsidRPr="00C51E5B" w:rsidRDefault="00746781" w:rsidP="00905066">
      <w:pPr>
        <w:pStyle w:val="Ttulo2"/>
        <w:spacing w:line="240" w:lineRule="auto"/>
        <w:rPr>
          <w:rFonts w:ascii="Arial" w:hAnsi="Arial" w:cs="Arial"/>
          <w:sz w:val="24"/>
          <w:szCs w:val="24"/>
        </w:rPr>
      </w:pPr>
      <w:bookmarkStart w:id="12" w:name="_Toc178883909"/>
      <w:r w:rsidRPr="00C51E5B">
        <w:rPr>
          <w:rFonts w:ascii="Arial" w:hAnsi="Arial" w:cs="Arial"/>
          <w:sz w:val="24"/>
          <w:szCs w:val="24"/>
        </w:rPr>
        <w:t>Ley 1753 de 2015 (Plan Nacional de Desarrollo 2014-2018)</w:t>
      </w:r>
      <w:bookmarkEnd w:id="12"/>
    </w:p>
    <w:p w14:paraId="7CD5DFB9" w14:textId="3AB8EDB3" w:rsidR="008913BA" w:rsidRPr="00C51E5B" w:rsidRDefault="009C3268" w:rsidP="00905066">
      <w:pPr>
        <w:pStyle w:val="NormalWeb"/>
        <w:rPr>
          <w:rFonts w:ascii="Arial" w:hAnsi="Arial" w:cs="Arial"/>
        </w:rPr>
      </w:pPr>
      <w:r w:rsidRPr="00C51E5B">
        <w:rPr>
          <w:rFonts w:ascii="Arial" w:hAnsi="Arial" w:cs="Arial"/>
        </w:rPr>
        <w:tab/>
      </w:r>
      <w:r w:rsidR="00746781" w:rsidRPr="00C51E5B">
        <w:rPr>
          <w:rFonts w:ascii="Arial" w:hAnsi="Arial" w:cs="Arial"/>
        </w:rPr>
        <w:t>Este plan de desarrollo incluye disposiciones que abordan el cambio climático, enfocándose en la reducción de emisiones y la adaptación al cambio climático. Contempla la implementación de políticas de desarrollo bajo en carbono y resiliencia climática. "El Plan Nacional de Desarrollo 2014-2018 establece lineamientos para la implementación de un modelo de desarrollo sostenible en Colombia, con énfasis en la reducción de emisiones de gases de efecto invernadero y la adaptación al cambio climático" (Congreso de la República de Colombia, 2015)</w:t>
      </w:r>
      <w:r w:rsidR="008913BA" w:rsidRPr="00C51E5B">
        <w:rPr>
          <w:rFonts w:ascii="Arial" w:hAnsi="Arial" w:cs="Arial"/>
        </w:rPr>
        <w:t>.</w:t>
      </w:r>
    </w:p>
    <w:p w14:paraId="7057F71C" w14:textId="59FD65A6" w:rsidR="00746781" w:rsidRPr="00C51E5B" w:rsidRDefault="00746781" w:rsidP="00905066">
      <w:pPr>
        <w:pStyle w:val="Ttulo2"/>
        <w:spacing w:line="240" w:lineRule="auto"/>
        <w:rPr>
          <w:rFonts w:ascii="Arial" w:hAnsi="Arial" w:cs="Arial"/>
          <w:sz w:val="24"/>
          <w:szCs w:val="24"/>
        </w:rPr>
      </w:pPr>
      <w:r w:rsidRPr="00C51E5B">
        <w:rPr>
          <w:rFonts w:ascii="Arial" w:hAnsi="Arial" w:cs="Arial"/>
          <w:sz w:val="24"/>
          <w:szCs w:val="24"/>
        </w:rPr>
        <w:t xml:space="preserve"> </w:t>
      </w:r>
      <w:bookmarkStart w:id="13" w:name="_Toc178883910"/>
      <w:r w:rsidRPr="00C51E5B">
        <w:rPr>
          <w:rFonts w:ascii="Arial" w:hAnsi="Arial" w:cs="Arial"/>
          <w:sz w:val="24"/>
          <w:szCs w:val="24"/>
        </w:rPr>
        <w:t>Decreto 926 de 2017</w:t>
      </w:r>
      <w:bookmarkEnd w:id="13"/>
    </w:p>
    <w:p w14:paraId="6CD651C2" w14:textId="5E9CBFF2" w:rsidR="00746781" w:rsidRPr="00C51E5B" w:rsidRDefault="005A6D40" w:rsidP="00905066">
      <w:pPr>
        <w:pStyle w:val="NormalWeb"/>
        <w:rPr>
          <w:rFonts w:ascii="Arial" w:hAnsi="Arial" w:cs="Arial"/>
        </w:rPr>
      </w:pPr>
      <w:r w:rsidRPr="00C51E5B">
        <w:rPr>
          <w:rFonts w:ascii="Arial" w:hAnsi="Arial" w:cs="Arial"/>
        </w:rPr>
        <w:tab/>
      </w:r>
      <w:r w:rsidR="00746781" w:rsidRPr="00C51E5B">
        <w:rPr>
          <w:rFonts w:ascii="Arial" w:hAnsi="Arial" w:cs="Arial"/>
        </w:rPr>
        <w:t>Regula el impuesto al carbono en Colombia, incentivando la reducción de emisiones de gases de efecto invernadero mediante la imposición de un gravamen sobre el carbono emitido por la combustión de combustibles fósiles. "El Decreto 926 de 2017 establece el impuesto al carbono como una medida para incentivar la disminución de emisiones de gases de efecto invernadero en Colombia, alineándose con los compromisos del país frente al cambio climático" (Ministerio de Hacienda y Crédito Público, 2017).</w:t>
      </w:r>
    </w:p>
    <w:p w14:paraId="440A4D22" w14:textId="4CA2F869" w:rsidR="00564457" w:rsidRPr="00C51E5B" w:rsidRDefault="00564457" w:rsidP="00905066">
      <w:pPr>
        <w:pStyle w:val="NormalWeb"/>
        <w:rPr>
          <w:rFonts w:ascii="Arial" w:hAnsi="Arial" w:cs="Arial"/>
        </w:rPr>
      </w:pPr>
      <w:r w:rsidRPr="00C51E5B">
        <w:rPr>
          <w:rFonts w:ascii="Arial" w:hAnsi="Arial" w:cs="Arial"/>
        </w:rPr>
        <w:tab/>
        <w:t xml:space="preserve">“Castaño (2020) refiere que en Colombia existe muy poca normativa asociada a energías renovables no convencionales. Se deberá legislar, para que la normatividad ambiental aplicable a dichos procesos se flexibilice, o en su defecto, se estandarice, debido a que procesos de esta índole ante las </w:t>
      </w:r>
      <w:r w:rsidRPr="00C51E5B">
        <w:rPr>
          <w:rFonts w:ascii="Arial" w:hAnsi="Arial" w:cs="Arial"/>
        </w:rPr>
        <w:lastRenderedPageBreak/>
        <w:t>autoridades competentes son engorrosos y requiere de trámites largos”</w:t>
      </w:r>
      <w:r w:rsidRPr="00C51E5B">
        <w:rPr>
          <w:rFonts w:ascii="Arial" w:hAnsi="Arial" w:cs="Arial"/>
        </w:rPr>
        <w:fldChar w:fldCharType="begin"/>
      </w:r>
      <w:r w:rsidRPr="00C51E5B">
        <w:rPr>
          <w:rFonts w:ascii="Arial" w:hAnsi="Arial" w:cs="Arial"/>
        </w:rPr>
        <w:instrText xml:space="preserve"> ADDIN ZOTERO_ITEM CSL_CITATION {"citationID":"D4WaXKw0","properties":{"formattedCitation":"(Gil et\\uc0\\u160{}al., 2023)","plainCitation":"(Gil et al., 2023)","noteIndex":0},"citationItems":[{"id":981,"uris":["http://zotero.org/users/9184847/items/ED4SKDI7"],"itemData":{"id":981,"type":"article-journal","abstract":"The reactivation of industrial activity to recover the post-Covid-19 economy is expected to cause an increase in greenhouse gases because of the use of non-renewable natural resources such as coal, oil, and natural gas. In Colombia, however, the energy matrix has maintained a relatively constant proportion of installed capacity, favoring energy produced from hydroelectric sources (68% of energy from hydroelectric plants, 31% from thermoelectric plants, and 1% from wind and solar energy). Considering the country's potential for the development of non-conventional renewable energies, this research seeks to review current public policies for the adoption and promotion of these forms of energy as part of the energy transition towards energy sources that further minimize the contributions of Colombia to climate change. A documentary and descriptive research was carried out based on the information available in academic and institutional sources reviewed between 2014 and 2022. The results indicate that Colombia has an important regulatory legal framework that begins with Law 1715 of 2014, evolving until the present with the contributions of the regulations generated by the Energy and Gas Regulation Commission (CREG) and the Energy Mining Planning Unit (UPME), among others. As of 2019, decrees or laws have been generated to improve incentives and facilitate the establishment of projects to generate non-conventional renewable energy sources.","container-title":"Cuadernos Latinoamericanos de Administración","DOI":"10.18270/cuaderlam.v19i36.4052","ISSN":"2248-6011","issue":"36","language":"es","license":"Derechos de autor 2023 Cuadernos Latinoamericanos de Administración","note":"number: 36","source":"revistas.unbosque.edu.co","title":"Análisis de Políticas Públicas para la adopción de Energías Renovables No Convencionales en Colombia","URL":"https://revistas.unbosque.edu.co/index.php/cuaderlam/article/view/4052","volume":"19","author":[{"family":"Gil","given":"Rosa Eugenia Reyes"},{"family":"Hoyos","given":"Álvaro Turriago"},{"family":"Piñeros","given":"Mauricio Cárdenas"},{"family":"Buitrago","given":"Jenny Paola Danna"}],"accessed":{"date-parts":[["2024",8,8]]},"issued":{"date-parts":[["2023",2,20]]}}}],"schema":"https://github.com/citation-style-language/schema/raw/master/csl-citation.json"} </w:instrText>
      </w:r>
      <w:r w:rsidRPr="00C51E5B">
        <w:rPr>
          <w:rFonts w:ascii="Arial" w:hAnsi="Arial" w:cs="Arial"/>
        </w:rPr>
        <w:fldChar w:fldCharType="separate"/>
      </w:r>
      <w:r w:rsidRPr="00C51E5B">
        <w:rPr>
          <w:rFonts w:ascii="Arial" w:hAnsi="Arial" w:cs="Arial"/>
        </w:rPr>
        <w:t>(Gil et al., 2023)</w:t>
      </w:r>
      <w:r w:rsidRPr="00C51E5B">
        <w:rPr>
          <w:rFonts w:ascii="Arial" w:hAnsi="Arial" w:cs="Arial"/>
        </w:rPr>
        <w:fldChar w:fldCharType="end"/>
      </w:r>
      <w:r w:rsidRPr="00C51E5B">
        <w:rPr>
          <w:rFonts w:ascii="Arial" w:hAnsi="Arial" w:cs="Arial"/>
        </w:rPr>
        <w:t>.</w:t>
      </w:r>
    </w:p>
    <w:p w14:paraId="67471A95" w14:textId="15096E87" w:rsidR="002F2BE1" w:rsidRPr="00C51E5B" w:rsidRDefault="002F2BE1" w:rsidP="00905066">
      <w:pPr>
        <w:pStyle w:val="NormalWeb"/>
        <w:ind w:firstLine="708"/>
        <w:rPr>
          <w:rFonts w:ascii="Arial" w:hAnsi="Arial" w:cs="Arial"/>
        </w:rPr>
      </w:pPr>
      <w:r w:rsidRPr="00C51E5B">
        <w:rPr>
          <w:rFonts w:ascii="Arial" w:hAnsi="Arial" w:cs="Arial"/>
        </w:rPr>
        <w:t>“Colombia como país en vía de desarrollo, no cuenta con la regulación suficiente para adjudicar incentivos a los proveedores de servicios y demás actores involucrados, para el desarrollo de instrumentos que fomentan la utilización de fuentes alternativas de energía como parte del compromiso con la agenda ambiental y el cumplimiento del artículo 79 de la Constitución Política de 1991”</w:t>
      </w:r>
      <w:r w:rsidR="00BB0D44" w:rsidRPr="00C51E5B">
        <w:rPr>
          <w:rFonts w:ascii="Arial" w:hAnsi="Arial" w:cs="Arial"/>
        </w:rPr>
        <w:fldChar w:fldCharType="begin"/>
      </w:r>
      <w:r w:rsidR="00BB0D44" w:rsidRPr="00C51E5B">
        <w:rPr>
          <w:rFonts w:ascii="Arial" w:hAnsi="Arial" w:cs="Arial"/>
        </w:rPr>
        <w:instrText xml:space="preserve"> ADDIN ZOTERO_ITEM CSL_CITATION {"citationID":"aMSaqusE","properties":{"formattedCitation":"(Landines-Parra et\\uc0\\u160{}al., 2019)","plainCitation":"(Landines-Parra et al., 2019)","noteIndex":0},"citationItems":[{"id":1087,"uris":["http://zotero.org/users/9184847/items/L2Q83LT5"],"itemData":{"id":1087,"type":"article-journal","abstract":"En el Repositorio Institucional Universidad Católica de Colombia - RIUCaC están depositados materiales en formato digital fruto de la producción científica o académica, de esta manera permite almacenar, difundir y preservar información de vital importancia.","language":"spa","source":"repository.ucatolica.edu.co","title":"Diagnóstico de las energías renovables empleadas en Estados Unidos y Colombia para el año 2018 en el marco de los objetivos del desarrollo sostenible","URL":"https://repository.ucatolica.edu.co/entities/publication/6f819a99-dd45-4eab-b343-32e8e34ee8e0","author":[{"family":"Landines-Parra","given":"Martha Lucia"},{"family":"Mayorga-Castellanos","given":"Erika Lorena"},{"family":"Suárez-Alarcón","given":"Karen Yamile"}],"accessed":{"date-parts":[["2024",9,6]]},"issued":{"date-parts":[["2019"]]}}}],"schema":"https://github.com/citation-style-language/schema/raw/master/csl-citation.json"} </w:instrText>
      </w:r>
      <w:r w:rsidR="00BB0D44" w:rsidRPr="00C51E5B">
        <w:rPr>
          <w:rFonts w:ascii="Arial" w:hAnsi="Arial" w:cs="Arial"/>
        </w:rPr>
        <w:fldChar w:fldCharType="separate"/>
      </w:r>
      <w:r w:rsidR="00BB0D44" w:rsidRPr="00C51E5B">
        <w:rPr>
          <w:rFonts w:ascii="Arial" w:hAnsi="Arial" w:cs="Arial"/>
        </w:rPr>
        <w:t>(Landines-Parra et al., 2019)</w:t>
      </w:r>
      <w:r w:rsidR="00BB0D44" w:rsidRPr="00C51E5B">
        <w:rPr>
          <w:rFonts w:ascii="Arial" w:hAnsi="Arial" w:cs="Arial"/>
        </w:rPr>
        <w:fldChar w:fldCharType="end"/>
      </w:r>
      <w:r w:rsidRPr="00C51E5B">
        <w:rPr>
          <w:rFonts w:ascii="Arial" w:hAnsi="Arial" w:cs="Arial"/>
        </w:rPr>
        <w:t>.</w:t>
      </w:r>
    </w:p>
    <w:p w14:paraId="30B7A770" w14:textId="24514B17" w:rsidR="00BA7020" w:rsidRPr="00C51E5B" w:rsidRDefault="00BA7020" w:rsidP="00905066">
      <w:pPr>
        <w:pStyle w:val="NormalWeb"/>
        <w:ind w:firstLine="708"/>
        <w:rPr>
          <w:rFonts w:ascii="Arial" w:hAnsi="Arial" w:cs="Arial"/>
        </w:rPr>
      </w:pPr>
      <w:r w:rsidRPr="00C51E5B">
        <w:rPr>
          <w:rFonts w:ascii="Arial" w:hAnsi="Arial" w:cs="Arial"/>
        </w:rPr>
        <w:t>Frente a la transición energética, se hace necesario incorporar normativas, regulaciones, leyes y políticas públicas en el país que permitan cumplir con la agenda internacional y los Objetivos de Desarrollo Sostenible (ODS) 7 y 13. Además, países como los de Europa, Australia y Estados Unidos ya han desarrollado y establecido políticas y jurisprudencia en torno a la transición energética, lo que plantea grandes desafíos jurídicos para Colombia.</w:t>
      </w:r>
    </w:p>
    <w:p w14:paraId="217D4944" w14:textId="1BECBF73" w:rsidR="00C51E5B" w:rsidRPr="00C51E5B" w:rsidRDefault="00191AE8" w:rsidP="00905066">
      <w:pPr>
        <w:pStyle w:val="Ttulo1"/>
        <w:rPr>
          <w:rFonts w:ascii="Arial" w:eastAsia="Times New Roman" w:hAnsi="Arial" w:cs="Arial"/>
          <w:color w:val="FF0000"/>
          <w:sz w:val="24"/>
          <w:szCs w:val="24"/>
          <w:lang w:eastAsia="es-ES_tradnl"/>
        </w:rPr>
      </w:pPr>
      <w:bookmarkStart w:id="14" w:name="_Toc178883911"/>
      <w:r w:rsidRPr="00C51E5B">
        <w:rPr>
          <w:rFonts w:ascii="Arial" w:eastAsia="Times New Roman" w:hAnsi="Arial" w:cs="Arial"/>
          <w:sz w:val="24"/>
          <w:szCs w:val="24"/>
          <w:lang w:eastAsia="es-ES_tradnl"/>
        </w:rPr>
        <w:t>Panorama Global de la Transición Energética y su Influencia en la Legislación Colombiana</w:t>
      </w:r>
      <w:r w:rsidR="002613EE" w:rsidRPr="00C51E5B">
        <w:rPr>
          <w:rFonts w:ascii="Arial" w:eastAsia="Times New Roman" w:hAnsi="Arial" w:cs="Arial"/>
          <w:sz w:val="24"/>
          <w:szCs w:val="24"/>
          <w:lang w:eastAsia="es-ES_tradnl"/>
        </w:rPr>
        <w:t xml:space="preserve"> </w:t>
      </w:r>
      <w:bookmarkEnd w:id="14"/>
    </w:p>
    <w:p w14:paraId="533BE9E4" w14:textId="77777777" w:rsidR="00795FCB" w:rsidRPr="00C51E5B" w:rsidRDefault="00795FCB" w:rsidP="00905066">
      <w:pPr>
        <w:pStyle w:val="NormalWeb"/>
        <w:ind w:firstLine="708"/>
        <w:rPr>
          <w:rFonts w:ascii="Arial" w:hAnsi="Arial" w:cs="Arial"/>
        </w:rPr>
      </w:pPr>
      <w:r w:rsidRPr="00C51E5B">
        <w:rPr>
          <w:rFonts w:ascii="Arial" w:hAnsi="Arial" w:cs="Arial"/>
        </w:rPr>
        <w:t>El ámbito energético global, impulsado por elementos como el aumento constante de la demanda, los avances tecnológicos, pactos internacionales y corrientes ecológicas enfocadas en la preservación y protección del entorno natural, está experimentando una etapa crucial de cambio y transición hacia sistemas energéticos de mayor alcance en cuanto a cobertura, pero con la meta continua de reducir las emisiones globales de CO2</w:t>
      </w:r>
    </w:p>
    <w:p w14:paraId="3C88B834" w14:textId="77777777" w:rsidR="00795FCB" w:rsidRPr="00C51E5B" w:rsidRDefault="00795FCB" w:rsidP="00905066">
      <w:pPr>
        <w:pStyle w:val="NormalWeb"/>
        <w:rPr>
          <w:rFonts w:ascii="Arial" w:hAnsi="Arial" w:cs="Arial"/>
        </w:rPr>
      </w:pPr>
      <w:r w:rsidRPr="00C51E5B">
        <w:rPr>
          <w:rFonts w:ascii="Arial" w:hAnsi="Arial" w:cs="Arial"/>
        </w:rPr>
        <w:tab/>
        <w:t>En Colombia, la transición hacia un sistema energético más sostenible está enmarcada dentro de la legislación que apoya el Objetivo de Desarrollo Sostenible (ODS) 7, que busca garantizar el acceso a una energía asequible, fiable, sostenible y moderna para todos. Uno de los principales avances normativos es la Ley 2099 de 2021, también conocida como la Ley de Transición Energética, que amplía y fortalece el marco legal previamente establecido por la Ley 1715 de 2014.</w:t>
      </w:r>
    </w:p>
    <w:p w14:paraId="640F7DB4" w14:textId="77777777" w:rsidR="00795FCB" w:rsidRPr="00C51E5B" w:rsidRDefault="00795FCB" w:rsidP="00905066">
      <w:pPr>
        <w:pStyle w:val="NormalWeb"/>
        <w:rPr>
          <w:rFonts w:ascii="Arial" w:hAnsi="Arial" w:cs="Arial"/>
        </w:rPr>
      </w:pPr>
      <w:r w:rsidRPr="00C51E5B">
        <w:rPr>
          <w:rFonts w:ascii="Arial" w:hAnsi="Arial" w:cs="Arial"/>
        </w:rPr>
        <w:tab/>
        <w:t xml:space="preserve">Esta legislación promueve el desarrollo de proyectos de energías renovables no convencionales (ERNC), incluyendo la energía solar, eólica, geotérmica y biomasa, con el objetivo de diversificar la matriz energética del país y reducir la dependencia de fuentes de energía fósil. La Ley 2099 establece incentivos fiscales significativos, como deducciones en el impuesto sobre la renta y exclusiones del IVA para inversiones en tecnologías limpias, lo cual busca fomentar la adopción de fuentes de energía más sostenibles y contribuir a la reducción de emisiones de gases de efecto invernadero. Con la implementación de los Objetivos de Desarrollo Sostenible (ODS), establecidos en la Agenda 2030 para el Desarrollo Sostenible de las Naciones Unidas, dentro de un enfoque económico que redefine el papel de las corporaciones en la sociedad, </w:t>
      </w:r>
      <w:r w:rsidRPr="00C51E5B">
        <w:rPr>
          <w:rFonts w:ascii="Arial" w:hAnsi="Arial" w:cs="Arial"/>
        </w:rPr>
        <w:lastRenderedPageBreak/>
        <w:t>otorgándoles objetivos que trascienden la mera ganancia financiera y promueven una visión estratégica a largo plazo (Bastida &amp; Molas, 2022).</w:t>
      </w:r>
    </w:p>
    <w:p w14:paraId="415641ED" w14:textId="77777777" w:rsidR="00795FCB" w:rsidRPr="00C51E5B" w:rsidRDefault="00795FCB" w:rsidP="00905066">
      <w:pPr>
        <w:pStyle w:val="NormalWeb"/>
        <w:rPr>
          <w:rFonts w:ascii="Arial" w:hAnsi="Arial" w:cs="Arial"/>
        </w:rPr>
      </w:pPr>
      <w:r w:rsidRPr="00C51E5B">
        <w:rPr>
          <w:rFonts w:ascii="Arial" w:hAnsi="Arial" w:cs="Arial"/>
        </w:rPr>
        <w:tab/>
        <w:t>Además, se han implementado medidas específicas para agilizar los trámites y licencias necesarias para el desarrollo de proyectos de ERNC, y se han creado mecanismos como el registro geotérmico para regular y controlar el uso de la energía geotérmica en la generación eléctrica.</w:t>
      </w:r>
    </w:p>
    <w:p w14:paraId="252BEB47" w14:textId="77777777" w:rsidR="00795FCB" w:rsidRPr="00C51E5B" w:rsidRDefault="00795FCB" w:rsidP="00905066">
      <w:pPr>
        <w:pStyle w:val="NormalWeb"/>
        <w:rPr>
          <w:rFonts w:ascii="Arial" w:hAnsi="Arial" w:cs="Arial"/>
        </w:rPr>
      </w:pPr>
      <w:r w:rsidRPr="00C51E5B">
        <w:rPr>
          <w:rFonts w:ascii="Arial" w:hAnsi="Arial" w:cs="Arial"/>
        </w:rPr>
        <w:tab/>
        <w:t>Estos esfuerzos están alineados con la meta de Colombia de cumplir con los ODS 7 y 13, los cuales se enfocan en garantizar el acceso universal a servicios de energía moderna y en adoptar medidas urgentes para combatir el cambio climático y sus impactos. Sin embargo, a pesar de estos avances, persisten desafíos significativos, como la necesidad de mejorar la coordinación interinstitucional y de fortalecer los incentivos para que estos proyectos sean más accesibles y eficientes en todo el territorio nacional.</w:t>
      </w:r>
    </w:p>
    <w:p w14:paraId="5DBA8114" w14:textId="5F335029" w:rsidR="00795FCB" w:rsidRPr="00C51E5B" w:rsidRDefault="00795FCB" w:rsidP="00905066">
      <w:pPr>
        <w:pStyle w:val="NormalWeb"/>
        <w:ind w:firstLine="708"/>
        <w:rPr>
          <w:rFonts w:ascii="Arial" w:hAnsi="Arial" w:cs="Arial"/>
        </w:rPr>
      </w:pPr>
      <w:r w:rsidRPr="00C51E5B">
        <w:rPr>
          <w:rFonts w:ascii="Arial" w:hAnsi="Arial" w:cs="Arial"/>
        </w:rPr>
        <w:t xml:space="preserve">El ODS 7, "Energía Asequible y No Contaminante", se refiere a garantizar el acceso a una energía asequible, fiable, sostenible y moderna para todos. En Colombia, varias normativas abordan la promoción de energías limpias, la sostenibilidad del sistema energético y la protección del medio ambiente. </w:t>
      </w:r>
    </w:p>
    <w:p w14:paraId="656E45F5" w14:textId="0945399F" w:rsidR="00BA7020" w:rsidRPr="00C51E5B" w:rsidRDefault="00191AE8" w:rsidP="00905066">
      <w:pPr>
        <w:pStyle w:val="Ttulo1"/>
        <w:rPr>
          <w:rFonts w:ascii="Arial" w:eastAsia="Times New Roman" w:hAnsi="Arial" w:cs="Arial"/>
          <w:color w:val="FF0000"/>
          <w:sz w:val="24"/>
          <w:szCs w:val="24"/>
          <w:lang w:eastAsia="es-ES_tradnl"/>
        </w:rPr>
      </w:pPr>
      <w:bookmarkStart w:id="15" w:name="_Toc178883912"/>
      <w:r w:rsidRPr="00C51E5B">
        <w:rPr>
          <w:rFonts w:ascii="Arial" w:eastAsia="Times New Roman" w:hAnsi="Arial" w:cs="Arial"/>
          <w:sz w:val="24"/>
          <w:szCs w:val="24"/>
          <w:lang w:eastAsia="es-ES_tradnl"/>
        </w:rPr>
        <w:t>Políticas y Mecanismos Regulatorios para el Fomento de Energías Renovables en Colombia y Europa</w:t>
      </w:r>
      <w:r w:rsidR="002613EE" w:rsidRPr="00C51E5B">
        <w:rPr>
          <w:rFonts w:ascii="Arial" w:eastAsia="Times New Roman" w:hAnsi="Arial" w:cs="Arial"/>
          <w:sz w:val="24"/>
          <w:szCs w:val="24"/>
          <w:lang w:eastAsia="es-ES_tradnl"/>
        </w:rPr>
        <w:t xml:space="preserve"> </w:t>
      </w:r>
      <w:bookmarkEnd w:id="15"/>
    </w:p>
    <w:p w14:paraId="59FEECE1" w14:textId="42ECBC45" w:rsidR="00BA7020" w:rsidRPr="00C51E5B" w:rsidRDefault="00BA7020" w:rsidP="00905066">
      <w:pPr>
        <w:pStyle w:val="NormalWeb"/>
        <w:rPr>
          <w:rFonts w:ascii="Arial" w:hAnsi="Arial" w:cs="Arial"/>
        </w:rPr>
      </w:pPr>
      <w:r w:rsidRPr="00C51E5B">
        <w:rPr>
          <w:rFonts w:ascii="Arial" w:hAnsi="Arial" w:cs="Arial"/>
          <w:lang w:val="en-US"/>
        </w:rPr>
        <w:t xml:space="preserve"> </w:t>
      </w:r>
      <w:r w:rsidR="00095D94" w:rsidRPr="00C51E5B">
        <w:rPr>
          <w:rFonts w:ascii="Arial" w:hAnsi="Arial" w:cs="Arial"/>
          <w:lang w:val="en-US"/>
        </w:rPr>
        <w:tab/>
      </w:r>
      <w:r w:rsidRPr="00C51E5B">
        <w:rPr>
          <w:rFonts w:ascii="Arial" w:hAnsi="Arial" w:cs="Arial"/>
          <w:lang w:val="en-US"/>
        </w:rPr>
        <w:t xml:space="preserve">Feed-in tariff -Pago Premium. </w:t>
      </w:r>
      <w:r w:rsidRPr="00C51E5B">
        <w:rPr>
          <w:rFonts w:ascii="Arial" w:hAnsi="Arial" w:cs="Arial"/>
        </w:rPr>
        <w:t>En</w:t>
      </w:r>
      <w:r w:rsidR="0094011A" w:rsidRPr="00C51E5B">
        <w:rPr>
          <w:rFonts w:ascii="Arial" w:hAnsi="Arial" w:cs="Arial"/>
        </w:rPr>
        <w:t xml:space="preserve"> lo que respecta a </w:t>
      </w:r>
      <w:r w:rsidRPr="00C51E5B">
        <w:rPr>
          <w:rFonts w:ascii="Arial" w:hAnsi="Arial" w:cs="Arial"/>
        </w:rPr>
        <w:t xml:space="preserve">Europa, se ha implementado la promoción de fuentes renovables de energía mediante el mecanismo de </w:t>
      </w:r>
      <w:r w:rsidRPr="00C51E5B">
        <w:rPr>
          <w:rFonts w:ascii="Arial" w:hAnsi="Arial" w:cs="Arial"/>
          <w:b/>
          <w:bCs/>
        </w:rPr>
        <w:t>Feed-in Tariff (FIT)</w:t>
      </w:r>
      <w:r w:rsidRPr="00C51E5B">
        <w:rPr>
          <w:rFonts w:ascii="Arial" w:hAnsi="Arial" w:cs="Arial"/>
        </w:rPr>
        <w:t>, el cual garantiza a los productores de energía renovable una tarifa fija por la electricidad que generan, incentivando la inversión en este tipo de energías. Este esquema ha sido adoptado por países como Alemania, que ha sido pionero en la materia desde la implementación de la Ley de Energía Renovable (EEG) en 2000, permitiendo un crecimiento significativo en la capacidad de generación de energías renovables.</w:t>
      </w:r>
      <w:r w:rsidR="00E0397F" w:rsidRPr="00C51E5B">
        <w:rPr>
          <w:rFonts w:ascii="Arial" w:hAnsi="Arial" w:cs="Arial"/>
        </w:rPr>
        <w:t xml:space="preserve"> En Colombia, esta política no tiene avances, debido a los lineamientos de la política energética nacional, incorporados en la ley 1715 del 2014, donde se regula la integración de las energías no convencionales al sistema energético convencional</w:t>
      </w:r>
      <w:r w:rsidR="00E0397F" w:rsidRPr="00C51E5B">
        <w:rPr>
          <w:rFonts w:ascii="Arial" w:hAnsi="Arial" w:cs="Arial"/>
        </w:rPr>
        <w:fldChar w:fldCharType="begin"/>
      </w:r>
      <w:r w:rsidR="003D16C8" w:rsidRPr="00C51E5B">
        <w:rPr>
          <w:rFonts w:ascii="Arial" w:hAnsi="Arial" w:cs="Arial"/>
        </w:rPr>
        <w:instrText xml:space="preserve"> ADDIN ZOTERO_ITEM CSL_CITATION {"citationID":"64kA4YCh","properties":{"formattedCitation":"(Landines-Parra et\\uc0\\u160{}al., 2019)","plainCitation":"(Landines-Parra et al., 2019)","noteIndex":0},"citationItems":[{"id":1087,"uris":["http://zotero.org/users/9184847/items/L2Q83LT5"],"itemData":{"id":1087,"type":"article-journal","abstract":"En el Repositorio Institucional Universidad Católica de Colombia - RIUCaC están depositados materiales en formato digital fruto de la producción científica o académica, de esta manera permite almacenar, difundir y preservar información de vital importancia.","language":"spa","source":"repository.ucatolica.edu.co","title":"Diagnóstico de las energías renovables empleadas en Estados Unidos y Colombia para el año 2018 en el marco de los objetivos del desarrollo sostenible","URL":"https://repository.ucatolica.edu.co/entities/publication/6f819a99-dd45-4eab-b343-32e8e34ee8e0","author":[{"family":"Landines-Parra","given":"Martha Lucia"},{"family":"Mayorga-Castellanos","given":"Erika Lorena"},{"family":"Suárez-Alarcón","given":"Karen Yamile"}],"accessed":{"date-parts":[["2024",9,6]]},"issued":{"date-parts":[["2019"]]}}}],"schema":"https://github.com/citation-style-language/schema/raw/master/csl-citation.json"} </w:instrText>
      </w:r>
      <w:r w:rsidR="00E0397F" w:rsidRPr="00C51E5B">
        <w:rPr>
          <w:rFonts w:ascii="Arial" w:hAnsi="Arial" w:cs="Arial"/>
        </w:rPr>
        <w:fldChar w:fldCharType="separate"/>
      </w:r>
      <w:r w:rsidR="00E0397F" w:rsidRPr="00C51E5B">
        <w:rPr>
          <w:rFonts w:ascii="Arial" w:hAnsi="Arial" w:cs="Arial"/>
        </w:rPr>
        <w:t>(Landines-Parra et al., 2019)</w:t>
      </w:r>
      <w:r w:rsidR="00E0397F" w:rsidRPr="00C51E5B">
        <w:rPr>
          <w:rFonts w:ascii="Arial" w:hAnsi="Arial" w:cs="Arial"/>
        </w:rPr>
        <w:fldChar w:fldCharType="end"/>
      </w:r>
      <w:r w:rsidR="00E0397F" w:rsidRPr="00C51E5B">
        <w:rPr>
          <w:rFonts w:ascii="Arial" w:hAnsi="Arial" w:cs="Arial"/>
        </w:rPr>
        <w:t>.</w:t>
      </w:r>
    </w:p>
    <w:p w14:paraId="1ECF263E" w14:textId="77777777" w:rsidR="00C86AD0" w:rsidRPr="00C51E5B" w:rsidRDefault="00C86AD0" w:rsidP="00905066">
      <w:pPr>
        <w:pStyle w:val="NormalWeb"/>
        <w:ind w:firstLine="708"/>
        <w:rPr>
          <w:rFonts w:ascii="Arial" w:hAnsi="Arial" w:cs="Arial"/>
        </w:rPr>
      </w:pPr>
      <w:r w:rsidRPr="00C51E5B">
        <w:rPr>
          <w:rFonts w:ascii="Arial" w:hAnsi="Arial" w:cs="Arial"/>
        </w:rPr>
        <w:t xml:space="preserve">En la Unión Europea, además de mecanismos como las </w:t>
      </w:r>
      <w:r w:rsidRPr="00C51E5B">
        <w:rPr>
          <w:rFonts w:ascii="Arial" w:hAnsi="Arial" w:cs="Arial"/>
          <w:b/>
          <w:bCs/>
        </w:rPr>
        <w:t>Feed-in Tariffs (FITs)</w:t>
      </w:r>
      <w:r w:rsidRPr="00C51E5B">
        <w:rPr>
          <w:rFonts w:ascii="Arial" w:hAnsi="Arial" w:cs="Arial"/>
        </w:rPr>
        <w:t xml:space="preserve">, otro esquema utilizado para incentivar el uso de energías renovables es la </w:t>
      </w:r>
      <w:r w:rsidRPr="00C51E5B">
        <w:rPr>
          <w:rFonts w:ascii="Arial" w:hAnsi="Arial" w:cs="Arial"/>
          <w:b/>
          <w:bCs/>
        </w:rPr>
        <w:t>obligación de cuota de servicio eléctrico</w:t>
      </w:r>
      <w:r w:rsidRPr="00C51E5B">
        <w:rPr>
          <w:rFonts w:ascii="Arial" w:hAnsi="Arial" w:cs="Arial"/>
        </w:rPr>
        <w:t xml:space="preserve">, también conocida como </w:t>
      </w:r>
      <w:r w:rsidRPr="00C51E5B">
        <w:rPr>
          <w:rFonts w:ascii="Arial" w:hAnsi="Arial" w:cs="Arial"/>
          <w:b/>
          <w:bCs/>
        </w:rPr>
        <w:t>Renewable Portfolio Standards (RPS)</w:t>
      </w:r>
      <w:r w:rsidRPr="00C51E5B">
        <w:rPr>
          <w:rFonts w:ascii="Arial" w:hAnsi="Arial" w:cs="Arial"/>
        </w:rPr>
        <w:t xml:space="preserve">. Este mecanismo obliga a los proveedores de electricidad a garantizar que un porcentaje mínimo de su energía provenga de fuentes renovables, lo que impulsa el crecimiento de estas energías. Los </w:t>
      </w:r>
      <w:r w:rsidRPr="00C51E5B">
        <w:rPr>
          <w:rFonts w:ascii="Arial" w:hAnsi="Arial" w:cs="Arial"/>
          <w:b/>
          <w:bCs/>
        </w:rPr>
        <w:t>RPS</w:t>
      </w:r>
      <w:r w:rsidRPr="00C51E5B">
        <w:rPr>
          <w:rFonts w:ascii="Arial" w:hAnsi="Arial" w:cs="Arial"/>
        </w:rPr>
        <w:t xml:space="preserve"> funcionan en combinación con </w:t>
      </w:r>
      <w:r w:rsidRPr="00C51E5B">
        <w:rPr>
          <w:rFonts w:ascii="Arial" w:hAnsi="Arial" w:cs="Arial"/>
          <w:b/>
          <w:bCs/>
        </w:rPr>
        <w:t>mercados de certificados verdes</w:t>
      </w:r>
      <w:r w:rsidRPr="00C51E5B">
        <w:rPr>
          <w:rFonts w:ascii="Arial" w:hAnsi="Arial" w:cs="Arial"/>
        </w:rPr>
        <w:t>, los cuales permiten a los proveedores cumplir con sus cuotas al adquirir certificados que representan una cierta cantidad de energía renovable producida.</w:t>
      </w:r>
    </w:p>
    <w:p w14:paraId="0BFADB70" w14:textId="77777777" w:rsidR="00C86AD0" w:rsidRPr="00C51E5B" w:rsidRDefault="00C86AD0" w:rsidP="00905066">
      <w:pPr>
        <w:pStyle w:val="NormalWeb"/>
        <w:ind w:firstLine="708"/>
        <w:rPr>
          <w:rFonts w:ascii="Arial" w:hAnsi="Arial" w:cs="Arial"/>
        </w:rPr>
      </w:pPr>
      <w:r w:rsidRPr="00C51E5B">
        <w:rPr>
          <w:rFonts w:ascii="Arial" w:hAnsi="Arial" w:cs="Arial"/>
        </w:rPr>
        <w:lastRenderedPageBreak/>
        <w:t>Según Kindermann (2012), "los RPS imponen un crecimiento mínimo en el uso de energías renovables, y junto con la incorporación de mercados de certificados verdes, logran influir de manera significativa en la seguridad de las inversiones en energía renovable" (p. 33). Este sistema asegura que los productores de energía inviertan en tecnologías limpias al tiempo que promueve un mercado competitivo de certificados de energía renovable</w:t>
      </w:r>
    </w:p>
    <w:p w14:paraId="52E2F82E" w14:textId="4036DFAB" w:rsidR="00C86AD0" w:rsidRPr="00C51E5B" w:rsidRDefault="00427395" w:rsidP="00905066">
      <w:pPr>
        <w:pStyle w:val="NormalWeb"/>
        <w:ind w:firstLine="708"/>
        <w:rPr>
          <w:rFonts w:ascii="Arial" w:hAnsi="Arial" w:cs="Arial"/>
        </w:rPr>
      </w:pPr>
      <w:r w:rsidRPr="00C51E5B">
        <w:rPr>
          <w:rFonts w:ascii="Arial" w:hAnsi="Arial" w:cs="Arial"/>
        </w:rPr>
        <w:t xml:space="preserve">Para el caso </w:t>
      </w:r>
      <w:r w:rsidR="00B74C78" w:rsidRPr="00C51E5B">
        <w:rPr>
          <w:rFonts w:ascii="Arial" w:hAnsi="Arial" w:cs="Arial"/>
        </w:rPr>
        <w:t>C</w:t>
      </w:r>
      <w:r w:rsidRPr="00C51E5B">
        <w:rPr>
          <w:rFonts w:ascii="Arial" w:hAnsi="Arial" w:cs="Arial"/>
        </w:rPr>
        <w:t>olombiano, la generación de energía renovable está supeditada a la ley 697 de 2001 “Mediante la cual se fomenta el uso racional y eficiente de la energía, se promueve la utilización de energías alternativas y se dictan otras disposiciones.</w:t>
      </w:r>
      <w:r w:rsidR="004E30DE" w:rsidRPr="00C51E5B">
        <w:rPr>
          <w:rFonts w:ascii="Arial" w:hAnsi="Arial" w:cs="Arial"/>
        </w:rPr>
        <w:t xml:space="preserve"> Siendo 14 el Ministerio de Minas y Energía, la autoridad competente para adelantar las actuaciones pertinentes en la materia. Al respecto se puede enunciar que según Kindermann (2012) “Colombia posee un incentivo del tipo RPS, es decir un “Sistema de Cuotas” (sin certificados de Energía renovable), ya que se impone una cuota obligatoria de participación de las energías renovables dentro del mercado colombiano, y además se verifica que esta se cumpla a cabalidad” (pág. 61) De lo planteado anteriormente, se puede evidenciar que ambos países cuentan con modelos de cuotas de electricidad </w:t>
      </w:r>
      <w:r w:rsidRPr="00C51E5B">
        <w:rPr>
          <w:rFonts w:ascii="Arial" w:hAnsi="Arial" w:cs="Arial"/>
        </w:rPr>
        <w:t xml:space="preserve"> </w:t>
      </w:r>
      <w:r w:rsidR="00C86AD0" w:rsidRPr="00C51E5B">
        <w:rPr>
          <w:rFonts w:ascii="Arial" w:hAnsi="Arial" w:cs="Arial"/>
        </w:rPr>
        <w:t xml:space="preserve">El desarrollo de mecanismos que promuevan el uso de energías renovables ha avanzado de manera significativa, especialmente con la implementación de la Ley 1715 de 2014, que busca integrar energías renovables no convencionales al sistema energético del país. Si bien en Colombia no se ha implementado un sistema de </w:t>
      </w:r>
      <w:r w:rsidR="00C86AD0" w:rsidRPr="00C51E5B">
        <w:rPr>
          <w:rFonts w:ascii="Arial" w:hAnsi="Arial" w:cs="Arial"/>
          <w:b/>
          <w:bCs/>
        </w:rPr>
        <w:t>Renewable Portfolio Standards (RPS)</w:t>
      </w:r>
      <w:r w:rsidR="00C86AD0" w:rsidRPr="00C51E5B">
        <w:rPr>
          <w:rFonts w:ascii="Arial" w:hAnsi="Arial" w:cs="Arial"/>
        </w:rPr>
        <w:t xml:space="preserve"> tan robusto como en la Unión Europea, la Ley 1715 establece incentivos fiscales, acceso a mercados de energía y promoción de inversión en energías limpias, fomentando un entorno favorable para su desarrollo.</w:t>
      </w:r>
    </w:p>
    <w:p w14:paraId="6857DD84" w14:textId="77777777" w:rsidR="00C86AD0" w:rsidRPr="00C51E5B" w:rsidRDefault="00C86AD0" w:rsidP="00905066">
      <w:pPr>
        <w:pStyle w:val="NormalWeb"/>
        <w:ind w:firstLine="708"/>
        <w:rPr>
          <w:rFonts w:ascii="Arial" w:hAnsi="Arial" w:cs="Arial"/>
        </w:rPr>
      </w:pPr>
      <w:r w:rsidRPr="00C51E5B">
        <w:rPr>
          <w:rFonts w:ascii="Arial" w:hAnsi="Arial" w:cs="Arial"/>
        </w:rPr>
        <w:t xml:space="preserve">En contraste, la </w:t>
      </w:r>
      <w:r w:rsidRPr="00C51E5B">
        <w:rPr>
          <w:rFonts w:ascii="Arial" w:hAnsi="Arial" w:cs="Arial"/>
          <w:b/>
          <w:bCs/>
        </w:rPr>
        <w:t>Unión Europea</w:t>
      </w:r>
      <w:r w:rsidRPr="00C51E5B">
        <w:rPr>
          <w:rFonts w:ascii="Arial" w:hAnsi="Arial" w:cs="Arial"/>
        </w:rPr>
        <w:t xml:space="preserve"> ha sido pionera en la implementación de mecanismos de obligación de cuota como los </w:t>
      </w:r>
      <w:r w:rsidRPr="00C51E5B">
        <w:rPr>
          <w:rFonts w:ascii="Arial" w:hAnsi="Arial" w:cs="Arial"/>
          <w:b/>
          <w:bCs/>
        </w:rPr>
        <w:t>RPS</w:t>
      </w:r>
      <w:r w:rsidRPr="00C51E5B">
        <w:rPr>
          <w:rFonts w:ascii="Arial" w:hAnsi="Arial" w:cs="Arial"/>
        </w:rPr>
        <w:t xml:space="preserve">, que se han consolidado en países como el Reino Unido y Suecia, donde el sistema de </w:t>
      </w:r>
      <w:r w:rsidRPr="00C51E5B">
        <w:rPr>
          <w:rFonts w:ascii="Arial" w:hAnsi="Arial" w:cs="Arial"/>
          <w:b/>
          <w:bCs/>
        </w:rPr>
        <w:t>certificados verdes</w:t>
      </w:r>
      <w:r w:rsidRPr="00C51E5B">
        <w:rPr>
          <w:rFonts w:ascii="Arial" w:hAnsi="Arial" w:cs="Arial"/>
        </w:rPr>
        <w:t xml:space="preserve"> ha permitido una mayor seguridad en las inversiones en energía renovable y un crecimiento sostenido en su producción.</w:t>
      </w:r>
    </w:p>
    <w:p w14:paraId="43396198" w14:textId="365E4D3C" w:rsidR="0003451F" w:rsidRPr="00C51E5B" w:rsidRDefault="0003451F" w:rsidP="00905066">
      <w:pPr>
        <w:pStyle w:val="NormalWeb"/>
        <w:ind w:firstLine="708"/>
        <w:rPr>
          <w:rFonts w:ascii="Arial" w:hAnsi="Arial" w:cs="Arial"/>
        </w:rPr>
      </w:pPr>
      <w:r w:rsidRPr="00C51E5B">
        <w:rPr>
          <w:rFonts w:ascii="Arial" w:hAnsi="Arial" w:cs="Arial"/>
        </w:rPr>
        <w:t xml:space="preserve">En la Unión Europea, la </w:t>
      </w:r>
      <w:r w:rsidRPr="00C51E5B">
        <w:rPr>
          <w:rFonts w:ascii="Arial" w:hAnsi="Arial" w:cs="Arial"/>
          <w:b/>
          <w:bCs/>
        </w:rPr>
        <w:t>medición neta</w:t>
      </w:r>
      <w:r w:rsidRPr="00C51E5B">
        <w:rPr>
          <w:rFonts w:ascii="Arial" w:hAnsi="Arial" w:cs="Arial"/>
        </w:rPr>
        <w:t xml:space="preserve"> o </w:t>
      </w:r>
      <w:r w:rsidRPr="00C51E5B">
        <w:rPr>
          <w:rFonts w:ascii="Arial" w:hAnsi="Arial" w:cs="Arial"/>
          <w:b/>
          <w:bCs/>
        </w:rPr>
        <w:t>net metering</w:t>
      </w:r>
      <w:r w:rsidRPr="00C51E5B">
        <w:rPr>
          <w:rFonts w:ascii="Arial" w:hAnsi="Arial" w:cs="Arial"/>
        </w:rPr>
        <w:t xml:space="preserve"> es un mecanismo que permite a los usuarios que generan su propia electricidad a partir de fuentes renovables, como paneles solares, enviar el excedente de energía a la red y recibir crédito por ello. Este sistema</w:t>
      </w:r>
      <w:r w:rsidR="00296AC5" w:rsidRPr="00C51E5B">
        <w:rPr>
          <w:rFonts w:ascii="Arial" w:hAnsi="Arial" w:cs="Arial"/>
        </w:rPr>
        <w:t xml:space="preserve"> </w:t>
      </w:r>
      <w:r w:rsidRPr="00C51E5B">
        <w:rPr>
          <w:rFonts w:ascii="Arial" w:hAnsi="Arial" w:cs="Arial"/>
        </w:rPr>
        <w:t xml:space="preserve"> incentiva a los hogares y empresas a invertir en generación distribuida de energía renovable. En países como Bélgica, España e Italia, la medición neta ha sido clave para la expansión de instalaciones solares residenciales.</w:t>
      </w:r>
    </w:p>
    <w:p w14:paraId="0B61CE8D" w14:textId="77777777" w:rsidR="0003451F" w:rsidRPr="00C51E5B" w:rsidRDefault="0003451F" w:rsidP="00905066">
      <w:pPr>
        <w:pStyle w:val="NormalWeb"/>
        <w:ind w:firstLine="708"/>
        <w:rPr>
          <w:rFonts w:ascii="Arial" w:hAnsi="Arial" w:cs="Arial"/>
        </w:rPr>
      </w:pPr>
      <w:r w:rsidRPr="00C51E5B">
        <w:rPr>
          <w:rFonts w:ascii="Arial" w:hAnsi="Arial" w:cs="Arial"/>
        </w:rPr>
        <w:t xml:space="preserve">El enfoque varía entre los países miembros. En Italia, por ejemplo, el esquema conocido como </w:t>
      </w:r>
      <w:r w:rsidRPr="00C51E5B">
        <w:rPr>
          <w:rFonts w:ascii="Arial" w:hAnsi="Arial" w:cs="Arial"/>
          <w:b/>
          <w:bCs/>
        </w:rPr>
        <w:t>Scambio sul Posto</w:t>
      </w:r>
      <w:r w:rsidRPr="00C51E5B">
        <w:rPr>
          <w:rFonts w:ascii="Arial" w:hAnsi="Arial" w:cs="Arial"/>
        </w:rPr>
        <w:t xml:space="preserve"> permite a los generadores pequeños compensar el consumo eléctrico con la producción propia de energía renovable, ajustando la facturación. Mientras tanto, en España, tras la reforma de 2019, se introdujo la medición neta con compensación simplificada, donde los </w:t>
      </w:r>
      <w:r w:rsidRPr="00C51E5B">
        <w:rPr>
          <w:rFonts w:ascii="Arial" w:hAnsi="Arial" w:cs="Arial"/>
        </w:rPr>
        <w:lastRenderedPageBreak/>
        <w:t>consumidores reciben un descuento en la factura por el excedente de energía renovable que inyectan a la red.</w:t>
      </w:r>
    </w:p>
    <w:p w14:paraId="423DB1E4" w14:textId="77777777" w:rsidR="0003451F" w:rsidRPr="00C51E5B" w:rsidRDefault="0003451F" w:rsidP="00905066">
      <w:pPr>
        <w:pStyle w:val="NormalWeb"/>
        <w:ind w:firstLine="708"/>
        <w:rPr>
          <w:rFonts w:ascii="Arial" w:hAnsi="Arial" w:cs="Arial"/>
        </w:rPr>
      </w:pPr>
      <w:r w:rsidRPr="00C51E5B">
        <w:rPr>
          <w:rFonts w:ascii="Arial" w:hAnsi="Arial" w:cs="Arial"/>
        </w:rPr>
        <w:t>Según Menanteau et al. (2003), la medición neta en la UE ha jugado un papel crucial en la transición hacia energías limpias, ya que facilita la inversión doméstica y empresarial en generación renovable, especialmente solar.</w:t>
      </w:r>
    </w:p>
    <w:p w14:paraId="60830844" w14:textId="77777777" w:rsidR="0003451F" w:rsidRPr="00C51E5B" w:rsidRDefault="0003451F" w:rsidP="00905066">
      <w:pPr>
        <w:pStyle w:val="NormalWeb"/>
        <w:ind w:firstLine="708"/>
        <w:rPr>
          <w:rFonts w:ascii="Arial" w:hAnsi="Arial" w:cs="Arial"/>
        </w:rPr>
      </w:pPr>
      <w:r w:rsidRPr="00C51E5B">
        <w:rPr>
          <w:rFonts w:ascii="Arial" w:hAnsi="Arial" w:cs="Arial"/>
        </w:rPr>
        <w:t xml:space="preserve">En Colombia, la </w:t>
      </w:r>
      <w:r w:rsidRPr="00C51E5B">
        <w:rPr>
          <w:rFonts w:ascii="Arial" w:hAnsi="Arial" w:cs="Arial"/>
          <w:b/>
          <w:bCs/>
        </w:rPr>
        <w:t>medición neta</w:t>
      </w:r>
      <w:r w:rsidRPr="00C51E5B">
        <w:rPr>
          <w:rFonts w:ascii="Arial" w:hAnsi="Arial" w:cs="Arial"/>
        </w:rPr>
        <w:t xml:space="preserve"> (o </w:t>
      </w:r>
      <w:r w:rsidRPr="00C51E5B">
        <w:rPr>
          <w:rFonts w:ascii="Arial" w:hAnsi="Arial" w:cs="Arial"/>
          <w:b/>
          <w:bCs/>
        </w:rPr>
        <w:t>net metering</w:t>
      </w:r>
      <w:r w:rsidRPr="00C51E5B">
        <w:rPr>
          <w:rFonts w:ascii="Arial" w:hAnsi="Arial" w:cs="Arial"/>
        </w:rPr>
        <w:t xml:space="preserve">) fue establecida a través de la </w:t>
      </w:r>
      <w:r w:rsidRPr="00C51E5B">
        <w:rPr>
          <w:rFonts w:ascii="Arial" w:hAnsi="Arial" w:cs="Arial"/>
          <w:b/>
          <w:bCs/>
        </w:rPr>
        <w:t>Ley 1715 de 2014</w:t>
      </w:r>
      <w:r w:rsidRPr="00C51E5B">
        <w:rPr>
          <w:rFonts w:ascii="Arial" w:hAnsi="Arial" w:cs="Arial"/>
        </w:rPr>
        <w:t>, la cual regula la integración de energías renovables no convencionales al sistema energético nacional. Este mecanismo permite a los usuarios que generan energía a partir de fuentes renovables, como paneles solares o pequeños aerogeneradores, inyectar el excedente de electricidad a la red y recibir compensación en su factura eléctrica por ello.</w:t>
      </w:r>
    </w:p>
    <w:p w14:paraId="1DE0F624" w14:textId="77777777" w:rsidR="0003451F" w:rsidRPr="00C51E5B" w:rsidRDefault="0003451F" w:rsidP="00905066">
      <w:pPr>
        <w:pStyle w:val="NormalWeb"/>
        <w:ind w:firstLine="708"/>
        <w:rPr>
          <w:rFonts w:ascii="Arial" w:hAnsi="Arial" w:cs="Arial"/>
        </w:rPr>
      </w:pPr>
      <w:r w:rsidRPr="00C51E5B">
        <w:rPr>
          <w:rFonts w:ascii="Arial" w:hAnsi="Arial" w:cs="Arial"/>
        </w:rPr>
        <w:t xml:space="preserve">La resolución CREG 030 de 2018, emitida por la </w:t>
      </w:r>
      <w:r w:rsidRPr="00C51E5B">
        <w:rPr>
          <w:rFonts w:ascii="Arial" w:hAnsi="Arial" w:cs="Arial"/>
          <w:b/>
          <w:bCs/>
        </w:rPr>
        <w:t>Comisión de Regulación de Energía y Gas (CREG)</w:t>
      </w:r>
      <w:r w:rsidRPr="00C51E5B">
        <w:rPr>
          <w:rFonts w:ascii="Arial" w:hAnsi="Arial" w:cs="Arial"/>
        </w:rPr>
        <w:t xml:space="preserve">, especifica los procedimientos técnicos y comerciales para la implementación de este esquema en el país. En este contexto, los usuarios generadores (también conocidos como </w:t>
      </w:r>
      <w:r w:rsidRPr="00C51E5B">
        <w:rPr>
          <w:rFonts w:ascii="Arial" w:hAnsi="Arial" w:cs="Arial"/>
          <w:b/>
          <w:bCs/>
        </w:rPr>
        <w:t>autogeneradores a pequeña escala</w:t>
      </w:r>
      <w:r w:rsidRPr="00C51E5B">
        <w:rPr>
          <w:rFonts w:ascii="Arial" w:hAnsi="Arial" w:cs="Arial"/>
        </w:rPr>
        <w:t>) pueden instalar sistemas de energía renovable en sus propiedades, y cuando generan más de lo que consumen, el excedente es enviado a la red y se les otorga un crédito o descuento en su factura de energía.</w:t>
      </w:r>
    </w:p>
    <w:p w14:paraId="5A4F89F6" w14:textId="6B12E55C" w:rsidR="0003451F" w:rsidRPr="00C51E5B" w:rsidRDefault="0003451F" w:rsidP="00905066">
      <w:pPr>
        <w:pStyle w:val="NormalWeb"/>
        <w:ind w:firstLine="708"/>
        <w:rPr>
          <w:rFonts w:ascii="Arial" w:hAnsi="Arial" w:cs="Arial"/>
        </w:rPr>
      </w:pPr>
      <w:r w:rsidRPr="00C51E5B">
        <w:rPr>
          <w:rFonts w:ascii="Arial" w:hAnsi="Arial" w:cs="Arial"/>
        </w:rPr>
        <w:t>Este sistema tiene como objetivo incentivar la producción de energía renovable a nivel residencial y empresarial, contribuyendo a la diversificación de la matriz energética y a la reducción de las emisiones de carbono en Colombia.</w:t>
      </w:r>
      <w:r w:rsidR="008A0C97" w:rsidRPr="00C51E5B">
        <w:rPr>
          <w:rFonts w:ascii="Arial" w:hAnsi="Arial" w:cs="Arial"/>
        </w:rPr>
        <w:t xml:space="preserve"> en Colombia  no existen compañías que tengan acuerdos con generadores independientes que contemplen la posibilidad de utilizar medición neta.</w:t>
      </w:r>
    </w:p>
    <w:p w14:paraId="09C1BAA2" w14:textId="77777777" w:rsidR="00810C18" w:rsidRPr="00C51E5B" w:rsidRDefault="00810C18"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la </w:t>
      </w:r>
      <w:r w:rsidRPr="00C51E5B">
        <w:rPr>
          <w:rFonts w:ascii="Arial" w:hAnsi="Arial" w:cs="Arial"/>
          <w:b/>
          <w:bCs/>
        </w:rPr>
        <w:t>obligación de mezcla de biocombustibles</w:t>
      </w:r>
      <w:r w:rsidRPr="00C51E5B">
        <w:rPr>
          <w:rFonts w:ascii="Arial" w:hAnsi="Arial" w:cs="Arial"/>
        </w:rPr>
        <w:t xml:space="preserve"> se rige por la </w:t>
      </w:r>
      <w:r w:rsidRPr="00C51E5B">
        <w:rPr>
          <w:rFonts w:ascii="Arial" w:hAnsi="Arial" w:cs="Arial"/>
          <w:b/>
          <w:bCs/>
        </w:rPr>
        <w:t>Directiva de Energías Renovables (RED II)</w:t>
      </w:r>
      <w:r w:rsidRPr="00C51E5B">
        <w:rPr>
          <w:rFonts w:ascii="Arial" w:hAnsi="Arial" w:cs="Arial"/>
        </w:rPr>
        <w:t>, que establece objetivos vinculantes para los Estados miembros en cuanto a la participación de energías renovables en el transporte. Esta directiva requiere que, para 2030, al menos el 14% del combustible utilizado en el transporte provenga de fuentes renovables, incluidos los biocombustibles. Esto incluye la mezcla obligatoria de biocombustibles, como el bioetanol y el biodiésel, con combustibles fósiles tradicionales.</w:t>
      </w:r>
    </w:p>
    <w:p w14:paraId="68218343" w14:textId="77777777" w:rsidR="00810C18" w:rsidRPr="00C51E5B" w:rsidRDefault="00810C18" w:rsidP="00905066">
      <w:pPr>
        <w:pStyle w:val="NormalWeb"/>
        <w:ind w:firstLine="708"/>
        <w:rPr>
          <w:rFonts w:ascii="Arial" w:hAnsi="Arial" w:cs="Arial"/>
        </w:rPr>
      </w:pPr>
      <w:r w:rsidRPr="00C51E5B">
        <w:rPr>
          <w:rFonts w:ascii="Arial" w:hAnsi="Arial" w:cs="Arial"/>
        </w:rPr>
        <w:t xml:space="preserve">Países como </w:t>
      </w:r>
      <w:r w:rsidRPr="00C51E5B">
        <w:rPr>
          <w:rFonts w:ascii="Arial" w:hAnsi="Arial" w:cs="Arial"/>
          <w:b/>
          <w:bCs/>
        </w:rPr>
        <w:t>Alemania</w:t>
      </w:r>
      <w:r w:rsidRPr="00C51E5B">
        <w:rPr>
          <w:rFonts w:ascii="Arial" w:hAnsi="Arial" w:cs="Arial"/>
        </w:rPr>
        <w:t xml:space="preserve"> y </w:t>
      </w:r>
      <w:r w:rsidRPr="00C51E5B">
        <w:rPr>
          <w:rFonts w:ascii="Arial" w:hAnsi="Arial" w:cs="Arial"/>
          <w:b/>
          <w:bCs/>
        </w:rPr>
        <w:t>Francia</w:t>
      </w:r>
      <w:r w:rsidRPr="00C51E5B">
        <w:rPr>
          <w:rFonts w:ascii="Arial" w:hAnsi="Arial" w:cs="Arial"/>
        </w:rPr>
        <w:t xml:space="preserve"> han implementado mandatos específicos que obligan a las compañías distribuidoras de combustibles a incorporar biocombustibles en sus mezclas. En Alemania, la cuota de mezcla está en torno al 6% de biocombustibles, mientras que Francia ha establecido un mandato del 7.5%. Además, la </w:t>
      </w:r>
      <w:r w:rsidRPr="00C51E5B">
        <w:rPr>
          <w:rFonts w:ascii="Arial" w:hAnsi="Arial" w:cs="Arial"/>
          <w:b/>
          <w:bCs/>
        </w:rPr>
        <w:t>certificación de sostenibilidad</w:t>
      </w:r>
      <w:r w:rsidRPr="00C51E5B">
        <w:rPr>
          <w:rFonts w:ascii="Arial" w:hAnsi="Arial" w:cs="Arial"/>
        </w:rPr>
        <w:t xml:space="preserve"> es un requisito clave para los biocombustibles, con el fin de garantizar que no contribuyan a la deforestación u otros impactos ambientales adversos.</w:t>
      </w:r>
    </w:p>
    <w:p w14:paraId="179BCE58" w14:textId="0F6E4148" w:rsidR="00810C18" w:rsidRPr="00C51E5B" w:rsidRDefault="00810C18"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xml:space="preserve">, la mezcla obligatoria de biocombustibles está regulada principalmente por la </w:t>
      </w:r>
      <w:r w:rsidRPr="00C51E5B">
        <w:rPr>
          <w:rFonts w:ascii="Arial" w:hAnsi="Arial" w:cs="Arial"/>
          <w:b/>
          <w:bCs/>
        </w:rPr>
        <w:t>Ley 939 de 2004</w:t>
      </w:r>
      <w:r w:rsidRPr="00C51E5B">
        <w:rPr>
          <w:rFonts w:ascii="Arial" w:hAnsi="Arial" w:cs="Arial"/>
        </w:rPr>
        <w:t xml:space="preserve">, que promovió el uso de etanol a base de </w:t>
      </w:r>
      <w:r w:rsidRPr="00C51E5B">
        <w:rPr>
          <w:rFonts w:ascii="Arial" w:hAnsi="Arial" w:cs="Arial"/>
        </w:rPr>
        <w:lastRenderedPageBreak/>
        <w:t xml:space="preserve">caña de azúcar, y posteriormente se amplió con el </w:t>
      </w:r>
      <w:r w:rsidRPr="00C51E5B">
        <w:rPr>
          <w:rFonts w:ascii="Arial" w:hAnsi="Arial" w:cs="Arial"/>
          <w:b/>
          <w:bCs/>
        </w:rPr>
        <w:t>Decreto 1135 de 2009</w:t>
      </w:r>
      <w:r w:rsidRPr="00C51E5B">
        <w:rPr>
          <w:rFonts w:ascii="Arial" w:hAnsi="Arial" w:cs="Arial"/>
        </w:rPr>
        <w:t xml:space="preserve"> para incluir el biodiésel a partir de aceite de palma. Actualmente, Colombia cuenta con un mandato de mezcla del </w:t>
      </w:r>
      <w:r w:rsidRPr="00C51E5B">
        <w:rPr>
          <w:rFonts w:ascii="Arial" w:hAnsi="Arial" w:cs="Arial"/>
          <w:b/>
          <w:bCs/>
        </w:rPr>
        <w:t>10% de etanol en la gasolina</w:t>
      </w:r>
      <w:r w:rsidRPr="00C51E5B">
        <w:rPr>
          <w:rFonts w:ascii="Arial" w:hAnsi="Arial" w:cs="Arial"/>
        </w:rPr>
        <w:t xml:space="preserve"> (E10) y hasta un </w:t>
      </w:r>
      <w:r w:rsidRPr="00C51E5B">
        <w:rPr>
          <w:rFonts w:ascii="Arial" w:hAnsi="Arial" w:cs="Arial"/>
          <w:b/>
          <w:bCs/>
        </w:rPr>
        <w:t>12% de biodiésel en el diésel</w:t>
      </w:r>
      <w:r w:rsidRPr="00C51E5B">
        <w:rPr>
          <w:rFonts w:ascii="Arial" w:hAnsi="Arial" w:cs="Arial"/>
        </w:rPr>
        <w:t xml:space="preserve"> (B12), con el objetivo de reducir las emisiones de gases de efecto invernadero y disminuir la dependencia del petróleo.</w:t>
      </w:r>
      <w:r w:rsidR="009C2581" w:rsidRPr="00C51E5B">
        <w:rPr>
          <w:rFonts w:ascii="Arial" w:hAnsi="Arial" w:cs="Arial"/>
        </w:rPr>
        <w:t xml:space="preserve"> dentro de la normatividad colombiana con respecto a este aspecto se destaca la Resolución del Ministerio de Minas y Energía 4-0666 de agosto de 2019.</w:t>
      </w:r>
    </w:p>
    <w:p w14:paraId="4F47CBF3" w14:textId="77777777" w:rsidR="00810C18" w:rsidRPr="00C51E5B" w:rsidRDefault="00810C18" w:rsidP="00905066">
      <w:pPr>
        <w:pStyle w:val="NormalWeb"/>
        <w:ind w:firstLine="708"/>
        <w:rPr>
          <w:rFonts w:ascii="Arial" w:hAnsi="Arial" w:cs="Arial"/>
        </w:rPr>
      </w:pPr>
      <w:r w:rsidRPr="00C51E5B">
        <w:rPr>
          <w:rFonts w:ascii="Arial" w:hAnsi="Arial" w:cs="Arial"/>
        </w:rPr>
        <w:t xml:space="preserve">El cumplimiento de estos mandatos en Colombia ha sido variable, y las políticas buscan fortalecer el uso de biocombustibles como parte de la estrategia nacional de transición energética, alineándose con los </w:t>
      </w:r>
      <w:r w:rsidRPr="00C51E5B">
        <w:rPr>
          <w:rFonts w:ascii="Arial" w:hAnsi="Arial" w:cs="Arial"/>
          <w:b/>
          <w:bCs/>
        </w:rPr>
        <w:t>Objetivos de Desarrollo Sostenible (ODS) 7 y 13</w:t>
      </w:r>
      <w:r w:rsidRPr="00C51E5B">
        <w:rPr>
          <w:rFonts w:ascii="Arial" w:hAnsi="Arial" w:cs="Arial"/>
        </w:rPr>
        <w:t>, que promueven el acceso a energía asequible y limpia, y la acción por el clima. Sin embargo, uno de los desafíos en el país es garantizar que la producción de biocombustibles no compita con el uso de la tierra para la producción de alimentos, una preocupación también presente a nivel global.</w:t>
      </w:r>
    </w:p>
    <w:p w14:paraId="1FB93E91" w14:textId="5AB9C439" w:rsidR="006D0B40" w:rsidRPr="00C51E5B" w:rsidRDefault="006D0B40" w:rsidP="00905066">
      <w:pPr>
        <w:pStyle w:val="NormalWeb"/>
        <w:ind w:firstLine="708"/>
        <w:rPr>
          <w:rFonts w:ascii="Arial" w:hAnsi="Arial" w:cs="Arial"/>
        </w:rPr>
      </w:pPr>
      <w:r w:rsidRPr="00C51E5B">
        <w:rPr>
          <w:rFonts w:ascii="Arial" w:hAnsi="Arial" w:cs="Arial"/>
        </w:rPr>
        <w:t xml:space="preserve">El </w:t>
      </w:r>
      <w:r w:rsidRPr="00C51E5B">
        <w:rPr>
          <w:rFonts w:ascii="Arial" w:hAnsi="Arial" w:cs="Arial"/>
          <w:b/>
          <w:bCs/>
        </w:rPr>
        <w:t>Plan Nacional de Energía Renovable y Eficiencia Energética (PROURE)</w:t>
      </w:r>
      <w:r w:rsidRPr="00C51E5B">
        <w:rPr>
          <w:rFonts w:ascii="Arial" w:hAnsi="Arial" w:cs="Arial"/>
        </w:rPr>
        <w:t xml:space="preserve">, respaldado por la </w:t>
      </w:r>
      <w:r w:rsidRPr="00C51E5B">
        <w:rPr>
          <w:rFonts w:ascii="Arial" w:hAnsi="Arial" w:cs="Arial"/>
          <w:b/>
          <w:bCs/>
        </w:rPr>
        <w:t>Ley 1715 de 2014</w:t>
      </w:r>
      <w:r w:rsidRPr="00C51E5B">
        <w:rPr>
          <w:rFonts w:ascii="Arial" w:hAnsi="Arial" w:cs="Arial"/>
        </w:rPr>
        <w:t xml:space="preserve">, fomenta el uso de energías renovables, incluidas las tecnologías solares para calefacción de agua, como una alternativa para reducir el uso de gas natural y electricidad en el calentamiento de agua. No obstante, Colombia aún no cuenta con un mandato formal a nivel nacional que exija el uso de energías renovables específicamente para calefacción en edificios, como lo hacen algunos países europeos. “En  Colombia, en la ciudad de Bogotá se ha planteado una política de construcción eficiente en términos energéticos reduciendo la energía usada en el sector construcción en un 20%.(REN21, 2018)” </w:t>
      </w:r>
      <w:r w:rsidRPr="00C51E5B">
        <w:rPr>
          <w:rFonts w:ascii="Arial" w:hAnsi="Arial" w:cs="Arial"/>
        </w:rPr>
        <w:fldChar w:fldCharType="begin"/>
      </w:r>
      <w:r w:rsidR="003D16C8" w:rsidRPr="00C51E5B">
        <w:rPr>
          <w:rFonts w:ascii="Arial" w:hAnsi="Arial" w:cs="Arial"/>
        </w:rPr>
        <w:instrText xml:space="preserve"> ADDIN ZOTERO_ITEM CSL_CITATION {"citationID":"s38Im4vX","properties":{"formattedCitation":"(Landines-Parra et\\uc0\\u160{}al., 2019)","plainCitation":"(Landines-Parra et al., 2019)","noteIndex":0},"citationItems":[{"id":1087,"uris":["http://zotero.org/users/9184847/items/L2Q83LT5"],"itemData":{"id":1087,"type":"article-journal","abstract":"En el Repositorio Institucional Universidad Católica de Colombia - RIUCaC están depositados materiales en formato digital fruto de la producción científica o académica, de esta manera permite almacenar, difundir y preservar información de vital importancia.","language":"spa","source":"repository.ucatolica.edu.co","title":"Diagnóstico de las energías renovables empleadas en Estados Unidos y Colombia para el año 2018 en el marco de los objetivos del desarrollo sostenible","URL":"https://repository.ucatolica.edu.co/entities/publication/6f819a99-dd45-4eab-b343-32e8e34ee8e0","author":[{"family":"Landines-Parra","given":"Martha Lucia"},{"family":"Mayorga-Castellanos","given":"Erika Lorena"},{"family":"Suárez-Alarcón","given":"Karen Yamile"}],"accessed":{"date-parts":[["2024",9,6]]},"issued":{"date-parts":[["2019"]]}}}],"schema":"https://github.com/citation-style-language/schema/raw/master/csl-citation.json"} </w:instrText>
      </w:r>
      <w:r w:rsidRPr="00C51E5B">
        <w:rPr>
          <w:rFonts w:ascii="Arial" w:hAnsi="Arial" w:cs="Arial"/>
        </w:rPr>
        <w:fldChar w:fldCharType="separate"/>
      </w:r>
      <w:r w:rsidRPr="00C51E5B">
        <w:rPr>
          <w:rFonts w:ascii="Arial" w:hAnsi="Arial" w:cs="Arial"/>
        </w:rPr>
        <w:t>(Landines-Parra et al., 2019)</w:t>
      </w:r>
      <w:r w:rsidRPr="00C51E5B">
        <w:rPr>
          <w:rFonts w:ascii="Arial" w:hAnsi="Arial" w:cs="Arial"/>
        </w:rPr>
        <w:fldChar w:fldCharType="end"/>
      </w:r>
      <w:r w:rsidRPr="00C51E5B">
        <w:rPr>
          <w:rFonts w:ascii="Arial" w:hAnsi="Arial" w:cs="Arial"/>
        </w:rPr>
        <w:t>.</w:t>
      </w:r>
    </w:p>
    <w:p w14:paraId="20E2C71B" w14:textId="77777777" w:rsidR="006D0B40" w:rsidRPr="00C51E5B" w:rsidRDefault="006D0B40"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la obligación de calefacción renovable se promueve a través de la </w:t>
      </w:r>
      <w:r w:rsidRPr="00C51E5B">
        <w:rPr>
          <w:rFonts w:ascii="Arial" w:hAnsi="Arial" w:cs="Arial"/>
          <w:b/>
          <w:bCs/>
        </w:rPr>
        <w:t>Directiva de Energías Renovables (RED II)</w:t>
      </w:r>
      <w:r w:rsidRPr="00C51E5B">
        <w:rPr>
          <w:rFonts w:ascii="Arial" w:hAnsi="Arial" w:cs="Arial"/>
        </w:rPr>
        <w:t xml:space="preserve"> y la </w:t>
      </w:r>
      <w:r w:rsidRPr="00C51E5B">
        <w:rPr>
          <w:rFonts w:ascii="Arial" w:hAnsi="Arial" w:cs="Arial"/>
          <w:b/>
          <w:bCs/>
        </w:rPr>
        <w:t>Directiva de Eficiencia Energética de los Edificios (EPBD)</w:t>
      </w:r>
      <w:r w:rsidRPr="00C51E5B">
        <w:rPr>
          <w:rFonts w:ascii="Arial" w:hAnsi="Arial" w:cs="Arial"/>
        </w:rPr>
        <w:t>. Estas normativas requieren que los Estados miembros integren energías renovables en los sistemas de calefacción y refrigeración, buscando reducir el uso de combustibles fósiles en edificios residenciales y comerciales.</w:t>
      </w:r>
    </w:p>
    <w:p w14:paraId="36FD24E2" w14:textId="24E6363A" w:rsidR="006D0B40" w:rsidRPr="00C51E5B" w:rsidRDefault="006D0B40" w:rsidP="00905066">
      <w:pPr>
        <w:pStyle w:val="NormalWeb"/>
        <w:ind w:firstLine="708"/>
        <w:rPr>
          <w:rFonts w:ascii="Arial" w:hAnsi="Arial" w:cs="Arial"/>
        </w:rPr>
      </w:pPr>
      <w:r w:rsidRPr="00C51E5B">
        <w:rPr>
          <w:rFonts w:ascii="Arial" w:hAnsi="Arial" w:cs="Arial"/>
        </w:rPr>
        <w:t xml:space="preserve">La </w:t>
      </w:r>
      <w:r w:rsidRPr="00C51E5B">
        <w:rPr>
          <w:rFonts w:ascii="Arial" w:hAnsi="Arial" w:cs="Arial"/>
          <w:b/>
          <w:bCs/>
        </w:rPr>
        <w:t>RED II</w:t>
      </w:r>
      <w:r w:rsidRPr="00C51E5B">
        <w:rPr>
          <w:rFonts w:ascii="Arial" w:hAnsi="Arial" w:cs="Arial"/>
        </w:rPr>
        <w:t xml:space="preserve"> establece que, para 2030, al menos un 1.3% anual del consumo de energía para calefacción y refrigeración debe provenir de fuentes renovables. Países como </w:t>
      </w:r>
      <w:r w:rsidRPr="00C51E5B">
        <w:rPr>
          <w:rFonts w:ascii="Arial" w:hAnsi="Arial" w:cs="Arial"/>
          <w:b/>
          <w:bCs/>
        </w:rPr>
        <w:t>Suecia</w:t>
      </w:r>
      <w:r w:rsidRPr="00C51E5B">
        <w:rPr>
          <w:rFonts w:ascii="Arial" w:hAnsi="Arial" w:cs="Arial"/>
        </w:rPr>
        <w:t xml:space="preserve">, </w:t>
      </w:r>
      <w:r w:rsidRPr="00C51E5B">
        <w:rPr>
          <w:rFonts w:ascii="Arial" w:hAnsi="Arial" w:cs="Arial"/>
          <w:b/>
          <w:bCs/>
        </w:rPr>
        <w:t>Dinamarca</w:t>
      </w:r>
      <w:r w:rsidRPr="00C51E5B">
        <w:rPr>
          <w:rFonts w:ascii="Arial" w:hAnsi="Arial" w:cs="Arial"/>
        </w:rPr>
        <w:t xml:space="preserve"> y </w:t>
      </w:r>
      <w:r w:rsidRPr="00C51E5B">
        <w:rPr>
          <w:rFonts w:ascii="Arial" w:hAnsi="Arial" w:cs="Arial"/>
          <w:b/>
          <w:bCs/>
        </w:rPr>
        <w:t>Alemania</w:t>
      </w:r>
      <w:r w:rsidRPr="00C51E5B">
        <w:rPr>
          <w:rFonts w:ascii="Arial" w:hAnsi="Arial" w:cs="Arial"/>
        </w:rPr>
        <w:t xml:space="preserve"> han sido líderes en la implementación de sistemas de calefacción renovable a través de tecnologías como bombas de calor geotérmicas y </w:t>
      </w:r>
      <w:r w:rsidR="00E32638" w:rsidRPr="00C51E5B">
        <w:rPr>
          <w:rFonts w:ascii="Arial" w:hAnsi="Arial" w:cs="Arial"/>
        </w:rPr>
        <w:t>solares térmicos</w:t>
      </w:r>
      <w:r w:rsidRPr="00C51E5B">
        <w:rPr>
          <w:rFonts w:ascii="Arial" w:hAnsi="Arial" w:cs="Arial"/>
        </w:rPr>
        <w:t xml:space="preserve">. En </w:t>
      </w:r>
      <w:r w:rsidRPr="00C51E5B">
        <w:rPr>
          <w:rFonts w:ascii="Arial" w:hAnsi="Arial" w:cs="Arial"/>
          <w:b/>
          <w:bCs/>
        </w:rPr>
        <w:t>Dinamarca</w:t>
      </w:r>
      <w:r w:rsidRPr="00C51E5B">
        <w:rPr>
          <w:rFonts w:ascii="Arial" w:hAnsi="Arial" w:cs="Arial"/>
        </w:rPr>
        <w:t>, por ejemplo, el uso de energía renovable para calefacción en distritos urbanos ha crecido considerablemente debido a mandatos que promueven el uso de fuentes como biomasa, biogás y calor residual en la generación de calor para hogares.</w:t>
      </w:r>
    </w:p>
    <w:p w14:paraId="287CD648" w14:textId="77777777" w:rsidR="006D0B40" w:rsidRPr="00C51E5B" w:rsidRDefault="006D0B40" w:rsidP="00905066">
      <w:pPr>
        <w:pStyle w:val="NormalWeb"/>
        <w:ind w:firstLine="708"/>
        <w:rPr>
          <w:rFonts w:ascii="Arial" w:hAnsi="Arial" w:cs="Arial"/>
        </w:rPr>
      </w:pPr>
      <w:r w:rsidRPr="00C51E5B">
        <w:rPr>
          <w:rFonts w:ascii="Arial" w:hAnsi="Arial" w:cs="Arial"/>
        </w:rPr>
        <w:t xml:space="preserve">Además, los Estados miembros están obligados a fomentar la instalación de sistemas de calefacción renovable en nuevos edificios y en renovaciones importantes. La EPBD también establece que los edificios deben cumplir con estándares de eficiencia energética y tener un consumo de energía casi nulo, </w:t>
      </w:r>
      <w:r w:rsidRPr="00C51E5B">
        <w:rPr>
          <w:rFonts w:ascii="Arial" w:hAnsi="Arial" w:cs="Arial"/>
        </w:rPr>
        <w:lastRenderedPageBreak/>
        <w:t>donde la energía restante proviene de fuentes renovables, incluidas las usadas para calefacción.</w:t>
      </w:r>
    </w:p>
    <w:p w14:paraId="5170A515" w14:textId="77777777" w:rsidR="006E0461" w:rsidRPr="00C51E5B" w:rsidRDefault="006E0461"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los </w:t>
      </w:r>
      <w:r w:rsidRPr="00C51E5B">
        <w:rPr>
          <w:rFonts w:ascii="Arial" w:hAnsi="Arial" w:cs="Arial"/>
          <w:b/>
          <w:bCs/>
        </w:rPr>
        <w:t>Certificados de Energías Renovables (Renewable Energy Certificates, RECs)</w:t>
      </w:r>
      <w:r w:rsidRPr="00C51E5B">
        <w:rPr>
          <w:rFonts w:ascii="Arial" w:hAnsi="Arial" w:cs="Arial"/>
        </w:rPr>
        <w:t xml:space="preserve"> son instrumentos clave para fomentar el uso de energías limpias y cumplir con los objetivos de energía renovable establecidos por la </w:t>
      </w:r>
      <w:r w:rsidRPr="00C51E5B">
        <w:rPr>
          <w:rFonts w:ascii="Arial" w:hAnsi="Arial" w:cs="Arial"/>
          <w:b/>
          <w:bCs/>
        </w:rPr>
        <w:t>Directiva de Energías Renovables (RED II)</w:t>
      </w:r>
      <w:r w:rsidRPr="00C51E5B">
        <w:rPr>
          <w:rFonts w:ascii="Arial" w:hAnsi="Arial" w:cs="Arial"/>
        </w:rPr>
        <w:t xml:space="preserve">. Estos certificados, también conocidos como </w:t>
      </w:r>
      <w:r w:rsidRPr="00C51E5B">
        <w:rPr>
          <w:rFonts w:ascii="Arial" w:hAnsi="Arial" w:cs="Arial"/>
          <w:b/>
          <w:bCs/>
        </w:rPr>
        <w:t>Garantías de Origen (GOs)</w:t>
      </w:r>
      <w:r w:rsidRPr="00C51E5B">
        <w:rPr>
          <w:rFonts w:ascii="Arial" w:hAnsi="Arial" w:cs="Arial"/>
        </w:rPr>
        <w:t>, son títulos no tangibles que acreditan que una cierta cantidad de energía ha sido producida a partir de fuentes renovables como la eólica, solar o biomasa.</w:t>
      </w:r>
    </w:p>
    <w:p w14:paraId="6979F5C9" w14:textId="77777777" w:rsidR="006E0461" w:rsidRPr="00C51E5B" w:rsidRDefault="006E0461" w:rsidP="00905066">
      <w:pPr>
        <w:pStyle w:val="NormalWeb"/>
        <w:ind w:firstLine="708"/>
        <w:rPr>
          <w:rFonts w:ascii="Arial" w:hAnsi="Arial" w:cs="Arial"/>
        </w:rPr>
      </w:pPr>
      <w:r w:rsidRPr="00C51E5B">
        <w:rPr>
          <w:rFonts w:ascii="Arial" w:hAnsi="Arial" w:cs="Arial"/>
        </w:rPr>
        <w:t xml:space="preserve">Los GOs se utilizan para garantizar la trazabilidad de la energía verde en el mercado eléctrico europeo. Cada certificado equivale a 1 MWh de electricidad renovable producida y puede ser comercializado entre los productores y los consumidores de energía, o las empresas que deseen demostrar que utilizan energía verde. Países como </w:t>
      </w:r>
      <w:r w:rsidRPr="00C51E5B">
        <w:rPr>
          <w:rFonts w:ascii="Arial" w:hAnsi="Arial" w:cs="Arial"/>
          <w:b/>
          <w:bCs/>
        </w:rPr>
        <w:t>Suecia</w:t>
      </w:r>
      <w:r w:rsidRPr="00C51E5B">
        <w:rPr>
          <w:rFonts w:ascii="Arial" w:hAnsi="Arial" w:cs="Arial"/>
        </w:rPr>
        <w:t xml:space="preserve">, </w:t>
      </w:r>
      <w:r w:rsidRPr="00C51E5B">
        <w:rPr>
          <w:rFonts w:ascii="Arial" w:hAnsi="Arial" w:cs="Arial"/>
          <w:b/>
          <w:bCs/>
        </w:rPr>
        <w:t>Noruega</w:t>
      </w:r>
      <w:r w:rsidRPr="00C51E5B">
        <w:rPr>
          <w:rFonts w:ascii="Arial" w:hAnsi="Arial" w:cs="Arial"/>
        </w:rPr>
        <w:t xml:space="preserve"> y </w:t>
      </w:r>
      <w:r w:rsidRPr="00C51E5B">
        <w:rPr>
          <w:rFonts w:ascii="Arial" w:hAnsi="Arial" w:cs="Arial"/>
          <w:b/>
          <w:bCs/>
        </w:rPr>
        <w:t>Alemania</w:t>
      </w:r>
      <w:r w:rsidRPr="00C51E5B">
        <w:rPr>
          <w:rFonts w:ascii="Arial" w:hAnsi="Arial" w:cs="Arial"/>
        </w:rPr>
        <w:t xml:space="preserve"> han liderado en la implementación de mercados de certificados de energía renovable. Además, en estos países, los certificados están integrados con los </w:t>
      </w:r>
      <w:r w:rsidRPr="00C51E5B">
        <w:rPr>
          <w:rFonts w:ascii="Arial" w:hAnsi="Arial" w:cs="Arial"/>
          <w:b/>
          <w:bCs/>
        </w:rPr>
        <w:t>sistemas de cuotas obligatorias</w:t>
      </w:r>
      <w:r w:rsidRPr="00C51E5B">
        <w:rPr>
          <w:rFonts w:ascii="Arial" w:hAnsi="Arial" w:cs="Arial"/>
        </w:rPr>
        <w:t xml:space="preserve"> que requieren que un porcentaje de la energía distribuida provenga de fuentes renovables, creando un mercado robusto para los GOs.</w:t>
      </w:r>
    </w:p>
    <w:p w14:paraId="06D71416" w14:textId="2320FC84" w:rsidR="006E0461" w:rsidRPr="00C51E5B" w:rsidRDefault="006E0461" w:rsidP="00905066">
      <w:pPr>
        <w:pStyle w:val="NormalWeb"/>
        <w:ind w:firstLine="708"/>
        <w:rPr>
          <w:rFonts w:ascii="Arial" w:hAnsi="Arial" w:cs="Arial"/>
        </w:rPr>
      </w:pPr>
      <w:r w:rsidRPr="00C51E5B">
        <w:rPr>
          <w:rFonts w:ascii="Arial" w:hAnsi="Arial" w:cs="Arial"/>
        </w:rPr>
        <w:t xml:space="preserve">La </w:t>
      </w:r>
      <w:r w:rsidRPr="00C51E5B">
        <w:rPr>
          <w:rFonts w:ascii="Arial" w:hAnsi="Arial" w:cs="Arial"/>
          <w:b/>
          <w:bCs/>
        </w:rPr>
        <w:t>Plataforma de Garantías de Origen (AIB)</w:t>
      </w:r>
      <w:r w:rsidRPr="00C51E5B">
        <w:rPr>
          <w:rFonts w:ascii="Arial" w:hAnsi="Arial" w:cs="Arial"/>
        </w:rPr>
        <w:t xml:space="preserve"> coordina el comercio de certificados entre los países europeos, asegurando la transparencia y evitando el doble conteo de la energía verde. Esto ayuda a cumplir con los objetivos climáticos de la UE y facilita que las empresas y los consumidores contribuyan al uso de energías limpias</w:t>
      </w:r>
      <w:r w:rsidR="00600E4E" w:rsidRPr="00C51E5B">
        <w:rPr>
          <w:rFonts w:ascii="Arial" w:hAnsi="Arial" w:cs="Arial"/>
        </w:rPr>
        <w:t xml:space="preserve"> Unión Europea. (2018)</w:t>
      </w:r>
      <w:r w:rsidRPr="00C51E5B">
        <w:rPr>
          <w:rFonts w:ascii="Arial" w:hAnsi="Arial" w:cs="Arial"/>
        </w:rPr>
        <w:t>.</w:t>
      </w:r>
    </w:p>
    <w:p w14:paraId="667EEC57" w14:textId="77777777" w:rsidR="006E0461" w:rsidRPr="00C51E5B" w:rsidRDefault="006E0461"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xml:space="preserve">, los </w:t>
      </w:r>
      <w:r w:rsidRPr="00C51E5B">
        <w:rPr>
          <w:rFonts w:ascii="Arial" w:hAnsi="Arial" w:cs="Arial"/>
          <w:b/>
          <w:bCs/>
        </w:rPr>
        <w:t>Certificados de Energías Renovables (CERs)</w:t>
      </w:r>
      <w:r w:rsidRPr="00C51E5B">
        <w:rPr>
          <w:rFonts w:ascii="Arial" w:hAnsi="Arial" w:cs="Arial"/>
        </w:rPr>
        <w:t xml:space="preserve"> fueron introducidos como parte del marco de la </w:t>
      </w:r>
      <w:r w:rsidRPr="00C51E5B">
        <w:rPr>
          <w:rFonts w:ascii="Arial" w:hAnsi="Arial" w:cs="Arial"/>
          <w:b/>
          <w:bCs/>
        </w:rPr>
        <w:t>Ley 1715 de 2014</w:t>
      </w:r>
      <w:r w:rsidRPr="00C51E5B">
        <w:rPr>
          <w:rFonts w:ascii="Arial" w:hAnsi="Arial" w:cs="Arial"/>
        </w:rPr>
        <w:t>, la cual regula la integración de energías renovables no convencionales al sistema eléctrico. Los CERs permiten a los generadores de energía renovable acreditar que su producción proviene de fuentes limpias, y estos certificados pueden ser vendidos a consumidores o empresas que busquen cumplir con sus metas de sostenibilidad o reducir su huella de carbono.</w:t>
      </w:r>
    </w:p>
    <w:p w14:paraId="2E3DA3DE" w14:textId="77777777" w:rsidR="006E0461" w:rsidRPr="00C51E5B" w:rsidRDefault="006E0461" w:rsidP="00905066">
      <w:pPr>
        <w:pStyle w:val="NormalWeb"/>
        <w:ind w:firstLine="708"/>
        <w:rPr>
          <w:rFonts w:ascii="Arial" w:hAnsi="Arial" w:cs="Arial"/>
        </w:rPr>
      </w:pPr>
      <w:r w:rsidRPr="00C51E5B">
        <w:rPr>
          <w:rFonts w:ascii="Arial" w:hAnsi="Arial" w:cs="Arial"/>
        </w:rPr>
        <w:t xml:space="preserve">Los CERs en Colombia son parte de un mecanismo voluntario que ha sido utilizado principalmente por grandes empresas interesadas en mejorar su perfil ambiental o en cumplir con estándares internacionales de sostenibilidad, como el </w:t>
      </w:r>
      <w:r w:rsidRPr="00C51E5B">
        <w:rPr>
          <w:rFonts w:ascii="Arial" w:hAnsi="Arial" w:cs="Arial"/>
          <w:b/>
          <w:bCs/>
        </w:rPr>
        <w:t>Acuerdo de París</w:t>
      </w:r>
      <w:r w:rsidRPr="00C51E5B">
        <w:rPr>
          <w:rFonts w:ascii="Arial" w:hAnsi="Arial" w:cs="Arial"/>
        </w:rPr>
        <w:t xml:space="preserve"> o las certificaciones de </w:t>
      </w:r>
      <w:r w:rsidRPr="00C51E5B">
        <w:rPr>
          <w:rFonts w:ascii="Arial" w:hAnsi="Arial" w:cs="Arial"/>
          <w:b/>
          <w:bCs/>
        </w:rPr>
        <w:t>Carbono Neutral</w:t>
      </w:r>
      <w:r w:rsidRPr="00C51E5B">
        <w:rPr>
          <w:rFonts w:ascii="Arial" w:hAnsi="Arial" w:cs="Arial"/>
        </w:rPr>
        <w:t>. Aunque la infraestructura para el mercado de certificados aún está en desarrollo, Colombia ha realizado avances significativos en la promoción de la energía renovable, y los CERs se están convirtiendo en una herramienta útil para atraer inversión y generar confianza en el uso de energías limpias.</w:t>
      </w:r>
    </w:p>
    <w:p w14:paraId="0DC44276" w14:textId="77777777" w:rsidR="006E0461" w:rsidRPr="00C51E5B" w:rsidRDefault="006E0461" w:rsidP="00905066">
      <w:pPr>
        <w:pStyle w:val="NormalWeb"/>
        <w:ind w:firstLine="708"/>
        <w:rPr>
          <w:rFonts w:ascii="Arial" w:hAnsi="Arial" w:cs="Arial"/>
        </w:rPr>
      </w:pPr>
      <w:r w:rsidRPr="00C51E5B">
        <w:rPr>
          <w:rFonts w:ascii="Arial" w:hAnsi="Arial" w:cs="Arial"/>
        </w:rPr>
        <w:t xml:space="preserve">El </w:t>
      </w:r>
      <w:r w:rsidRPr="00C51E5B">
        <w:rPr>
          <w:rFonts w:ascii="Arial" w:hAnsi="Arial" w:cs="Arial"/>
          <w:b/>
          <w:bCs/>
        </w:rPr>
        <w:t>Ministerio de Minas y Energía</w:t>
      </w:r>
      <w:r w:rsidRPr="00C51E5B">
        <w:rPr>
          <w:rFonts w:ascii="Arial" w:hAnsi="Arial" w:cs="Arial"/>
        </w:rPr>
        <w:t xml:space="preserve"> y la </w:t>
      </w:r>
      <w:r w:rsidRPr="00C51E5B">
        <w:rPr>
          <w:rFonts w:ascii="Arial" w:hAnsi="Arial" w:cs="Arial"/>
          <w:b/>
          <w:bCs/>
        </w:rPr>
        <w:t>Unidad de Planeación Minero Energética (UPME)</w:t>
      </w:r>
      <w:r w:rsidRPr="00C51E5B">
        <w:rPr>
          <w:rFonts w:ascii="Arial" w:hAnsi="Arial" w:cs="Arial"/>
        </w:rPr>
        <w:t xml:space="preserve"> son los encargados de supervisar la emisión y el comercio de estos certificados, asegurando que los proyectos de energía renovable cumplan </w:t>
      </w:r>
      <w:r w:rsidRPr="00C51E5B">
        <w:rPr>
          <w:rFonts w:ascii="Arial" w:hAnsi="Arial" w:cs="Arial"/>
        </w:rPr>
        <w:lastRenderedPageBreak/>
        <w:t>con los requisitos para acceder a los beneficios regulatorios y económicos que los CERs ofrecen.</w:t>
      </w:r>
    </w:p>
    <w:p w14:paraId="16DDBD54" w14:textId="77777777" w:rsidR="00F56516" w:rsidRPr="00C51E5B" w:rsidRDefault="00F56516"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las licitaciones para proyectos de energías renovables han sido uno de los principales instrumentos de política para incentivar la inversión en este sector. Muchos países europeos han adoptado este modelo de </w:t>
      </w:r>
      <w:r w:rsidRPr="00C51E5B">
        <w:rPr>
          <w:rFonts w:ascii="Arial" w:hAnsi="Arial" w:cs="Arial"/>
          <w:b/>
          <w:bCs/>
        </w:rPr>
        <w:t>subastas competitivas</w:t>
      </w:r>
      <w:r w:rsidRPr="00C51E5B">
        <w:rPr>
          <w:rFonts w:ascii="Arial" w:hAnsi="Arial" w:cs="Arial"/>
        </w:rPr>
        <w:t xml:space="preserve"> como una forma de asignar contratos a los proyectos que ofrezcan la energía renovable a los precios más competitivos. Las licitaciones se han utilizado para tecnologías como la eólica, solar fotovoltaica y biomasa.</w:t>
      </w:r>
    </w:p>
    <w:p w14:paraId="53B5074C" w14:textId="6D21CCA9" w:rsidR="00F56516" w:rsidRPr="00C51E5B" w:rsidRDefault="00F56516" w:rsidP="00905066">
      <w:pPr>
        <w:pStyle w:val="NormalWeb"/>
        <w:ind w:firstLine="708"/>
        <w:rPr>
          <w:rFonts w:ascii="Arial" w:hAnsi="Arial" w:cs="Arial"/>
        </w:rPr>
      </w:pPr>
      <w:r w:rsidRPr="00C51E5B">
        <w:rPr>
          <w:rFonts w:ascii="Arial" w:hAnsi="Arial" w:cs="Arial"/>
        </w:rPr>
        <w:t>Alemania, a través de su Ley de Energía Renovable (</w:t>
      </w:r>
      <w:r w:rsidRPr="00C51E5B">
        <w:rPr>
          <w:rFonts w:ascii="Arial" w:hAnsi="Arial" w:cs="Arial"/>
          <w:b/>
          <w:bCs/>
        </w:rPr>
        <w:t>EEG</w:t>
      </w:r>
      <w:r w:rsidRPr="00C51E5B">
        <w:rPr>
          <w:rFonts w:ascii="Arial" w:hAnsi="Arial" w:cs="Arial"/>
        </w:rPr>
        <w:t xml:space="preserve">), ha sido un ejemplo destacado en el uso de licitaciones para la energía eólica terrestre y solar. Las subastas permiten que los proyectos más eficientes reciban apoyo, reduciendo así los costos para los consumidores. La </w:t>
      </w:r>
      <w:r w:rsidRPr="00C51E5B">
        <w:rPr>
          <w:rFonts w:ascii="Arial" w:hAnsi="Arial" w:cs="Arial"/>
          <w:b/>
          <w:bCs/>
        </w:rPr>
        <w:t>Directiva de Energías Renovables (RED II)</w:t>
      </w:r>
      <w:r w:rsidRPr="00C51E5B">
        <w:rPr>
          <w:rFonts w:ascii="Arial" w:hAnsi="Arial" w:cs="Arial"/>
        </w:rPr>
        <w:t xml:space="preserve"> también fomenta el uso de estas subastas competitivas en toda Europa para garantizar un crecimiento eficiente y económico de las energías limpias Unión Europea (2018).</w:t>
      </w:r>
    </w:p>
    <w:p w14:paraId="2458F4AD" w14:textId="39AD1AC0" w:rsidR="00F56516" w:rsidRPr="00C51E5B" w:rsidRDefault="00F56516"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las licitaciones públicas para energías renovables fueron implementadas a partir de 2019 como parte de la estrategia para diversificar la matriz energética del país. Estas subastas permiten que proyectos de energía solar y eólica compitan por contratos a largo plazo para vender electricidad al sistema eléctrico nacional. La primera subasta de energías renovables realizada en octubre de 2019 fue un hito, permitiendo que Colombia adjudicara más de 1.3 GW de capacidad en proyectos solares y eólicosREN21. (2019).</w:t>
      </w:r>
    </w:p>
    <w:p w14:paraId="03AF5184" w14:textId="77777777" w:rsidR="00F56516" w:rsidRPr="00C51E5B" w:rsidRDefault="00F56516" w:rsidP="00905066">
      <w:pPr>
        <w:pStyle w:val="NormalWeb"/>
        <w:ind w:firstLine="708"/>
        <w:rPr>
          <w:rFonts w:ascii="Arial" w:hAnsi="Arial" w:cs="Arial"/>
        </w:rPr>
      </w:pPr>
      <w:r w:rsidRPr="00C51E5B">
        <w:rPr>
          <w:rFonts w:ascii="Arial" w:hAnsi="Arial" w:cs="Arial"/>
        </w:rPr>
        <w:t xml:space="preserve">El éxito de las subastas ha sido impulsado por el gobierno y regulado por la </w:t>
      </w:r>
      <w:r w:rsidRPr="00C51E5B">
        <w:rPr>
          <w:rFonts w:ascii="Arial" w:hAnsi="Arial" w:cs="Arial"/>
          <w:b/>
          <w:bCs/>
        </w:rPr>
        <w:t>Comisión de Regulación de Energía y Gas (CREG)</w:t>
      </w:r>
      <w:r w:rsidRPr="00C51E5B">
        <w:rPr>
          <w:rFonts w:ascii="Arial" w:hAnsi="Arial" w:cs="Arial"/>
        </w:rPr>
        <w:t xml:space="preserve">, como parte de la implementación de la </w:t>
      </w:r>
      <w:r w:rsidRPr="00C51E5B">
        <w:rPr>
          <w:rFonts w:ascii="Arial" w:hAnsi="Arial" w:cs="Arial"/>
          <w:b/>
          <w:bCs/>
        </w:rPr>
        <w:t>Ley 1715 de 2014</w:t>
      </w:r>
      <w:r w:rsidRPr="00C51E5B">
        <w:rPr>
          <w:rFonts w:ascii="Arial" w:hAnsi="Arial" w:cs="Arial"/>
        </w:rPr>
        <w:t>, que regula la integración de energías renovables no convencionales. Estas licitaciones han sido clave para atraer inversiones extranjeras y nacionales, y ayudar a Colombia a cumplir con sus objetivos de reducción de emisiones de carbono.</w:t>
      </w:r>
    </w:p>
    <w:p w14:paraId="35687C4B" w14:textId="146B9A60" w:rsidR="00D66D3A" w:rsidRPr="00C51E5B" w:rsidRDefault="00D66D3A" w:rsidP="00905066">
      <w:pPr>
        <w:pStyle w:val="NormalWeb"/>
        <w:rPr>
          <w:rFonts w:ascii="Arial" w:hAnsi="Arial" w:cs="Arial"/>
        </w:rPr>
      </w:pPr>
      <w:r w:rsidRPr="00C51E5B">
        <w:rPr>
          <w:rFonts w:ascii="Arial" w:hAnsi="Arial" w:cs="Arial"/>
        </w:rPr>
        <w:tab/>
        <w:t>En Colombia se avanza con la estrategia de la economía circular, como herramienta para acercarse al cumplimiento de los ODS:</w:t>
      </w:r>
      <w:r w:rsidRPr="00C51E5B">
        <w:rPr>
          <w:rFonts w:ascii="Arial" w:eastAsiaTheme="minorHAnsi" w:hAnsi="Arial" w:cs="Arial"/>
          <w:kern w:val="2"/>
          <w:lang w:eastAsia="en-US"/>
          <w14:ligatures w14:val="standardContextual"/>
        </w:rPr>
        <w:t xml:space="preserve"> </w:t>
      </w:r>
      <w:r w:rsidRPr="00C51E5B">
        <w:rPr>
          <w:rFonts w:ascii="Arial" w:hAnsi="Arial" w:cs="Arial"/>
        </w:rPr>
        <w:t>En 2018, el Ministerio de Ambiente y Desarrollo Sostenible (MADS) lanzó la Estrategia Nacional de Economía Circular. Esta iniciativa busca fomentar el emprendimiento, agregar valor y atraer inversiones a través de nuevas formas de producción, consumo y manejo de residuos, con el objetivo de disminuir la carga sobre los rellenos sanitarios. Este aspecto es crucial, ya que, según el Departamento Nacional de Planeación (DNP) en 2016, la vida útil de los rellenos sanitarios de 321 municipios de Colombia se agotará en cinco años. La estrategia cuenta con la participación de gremios del sector productivo, más de 50 empresarios y el sector académico. Además, el DNP publicó el documento del Consejo Nacional de Política Económica y Social (Conpes) No. 3918, donde se detallan los lineamientos para la implementación de los Objetivos de Desarrollo Sostenible (ODS) en Colombia, fijando metas para cumplir con la Agenda 2030.</w:t>
      </w:r>
    </w:p>
    <w:p w14:paraId="59798866" w14:textId="72044D55" w:rsidR="0064531F" w:rsidRPr="00C51E5B" w:rsidRDefault="0064531F" w:rsidP="00905066">
      <w:pPr>
        <w:pStyle w:val="NormalWeb"/>
        <w:ind w:firstLine="708"/>
        <w:rPr>
          <w:rFonts w:ascii="Arial" w:hAnsi="Arial" w:cs="Arial"/>
        </w:rPr>
      </w:pPr>
      <w:r w:rsidRPr="00C51E5B">
        <w:rPr>
          <w:rFonts w:ascii="Arial" w:hAnsi="Arial" w:cs="Arial"/>
        </w:rPr>
        <w:lastRenderedPageBreak/>
        <w:t>"El concepto de desarrollo sostenible se difundió en 1987 fruto del Informe Brundtland y se convirtió en objetivo global unificado desde la Conferencia de las Naciones Unidas sobre el Medio Ambiente y el Desarrollo en 1992. Ante la necesidad urgente de evaluar, delimitar y enfocar el impacto que tienen las actividades humanas sobre el medio ambiente surge este concepto, que sirve para la posterior materialización de los ODS.  La economía circular (EC) y los objetivos de desarrollo sostenible (ODS) son iniciativas sostenibles que están siendo promovidas a nivel mundial en el sector público, privado y no gubernamental”</w:t>
      </w:r>
      <w:r w:rsidR="00296AC5" w:rsidRPr="00C51E5B">
        <w:rPr>
          <w:rFonts w:ascii="Arial" w:hAnsi="Arial" w:cs="Arial"/>
        </w:rPr>
        <w:t xml:space="preserve"> </w:t>
      </w:r>
      <w:r w:rsidRPr="00C51E5B">
        <w:rPr>
          <w:rFonts w:ascii="Arial" w:hAnsi="Arial" w:cs="Arial"/>
        </w:rPr>
        <w:t>(Romero Perdomo &amp; Carvajalino Umaña, 2021). Una de ellas es el Pacto Global de las Naciones Unidas, (16 años, promueve principios sostenibles). A su vez, el Pacto Global Red Colombia.  Práctica de gestión de residuos, 70% de las organizaciones, aplican la energía circular y están alineadas al cumplimiento de los ODS. transporte y el de bebidas y alimentos he impactado principalmente la dimensión económica y ambiental. “Según Ashby (2016) una EC no se centra en adquirir recursos, sino en conservarlos mediante la gestión de las existencias existentes, manteniéndolas en uso activo y minimizando la "fuga" de existencias a desperdicio”</w:t>
      </w:r>
      <w:r w:rsidRPr="00C51E5B">
        <w:rPr>
          <w:rFonts w:ascii="Arial" w:hAnsi="Arial" w:cs="Arial"/>
        </w:rPr>
        <w:fldChar w:fldCharType="begin"/>
      </w:r>
      <w:r w:rsidRPr="00C51E5B">
        <w:rPr>
          <w:rFonts w:ascii="Arial" w:hAnsi="Arial" w:cs="Arial"/>
        </w:rPr>
        <w:instrText xml:space="preserve"> ADDIN ZOTERO_ITEM CSL_CITATION {"citationID":"1JCdgr2Z","properties":{"formattedCitation":"(Dangond Carre\\uc0\\u241{}o, 2019)","plainCitation":"(Dangond Carreño, 2019)","noteIndex":0},"citationItems":[{"id":1101,"uris":["http://zotero.org/users/9184847/items/9W2LK8PR"],"itemData":{"id":1101,"type":"article-journal","abstract":"Los límites del crecimiento es el informe del club de roma publicado en 1972, donde se concluyó que el actual incremento de la población mundial, la industrialización, la contaminación y la explotación de los recursos naturales (RN), alcanzarán los límites absolutos de crecimiento en la Tierra durante los próximos cien años (Naciones Unidas, 1987). Lo anterior es soportado con el cambio climático, el calentamiento global y la contaminación de los recursos naturales Renovables (RNR). En busca de soluciones preventivas y correctivas la Organización de las Naciones Unidas (ONU) ha desarrollado grandes cumbres de la tierra, como la cumbre de las Naciones Unidas sobre el Desarrollo Sostenible donde se aprobó la agenda 2030, los estados pertenecientes a las Naciones Unidas deberán para el 2030 presentar el cumplimiento de las metas consignadas dentro de los Objetivos del Desarrollo Sostenible ODS, compromiso adquirido en pro de tres dimensiones importantes la económica, la social y la ambiental, estas representan las brechas actuales de desigualdad dentro y entre los países. La actual investigación busca describir la relevancia de la economía circular (EC) como herramienta para el logro de los objetivos de desarrollo sostenible en diversos sectores productivos, mediante una revisión documental narrativa. Para lo cual se analizó el progreso del modelo económico circular, su contribución directa a los objetivos No. 6, 7, 8, 9, 12 y 13 del Desarrollo Sostenible y se establecieron las estrategias innovadoras propuestas más importantes en la actualidad que se sujetan a los principios de preservación, optimización y de eficacia en la utilización de los recursos.","language":"spa","note":"publisher: Universidad Militar Nueva Granada","source":"repository.unimilitar.edu.co","title":"Economía circular (EC), una herramienta para el logro de los objetivos del desarrollo sostenible (ODS)","URL":"http://hdl.handle.net/10654/35782","author":[{"family":"Dangond Carreño","given":"Silena"}],"accessed":{"date-parts":[["2024",9,26]]},"issued":{"date-parts":[["2019",12,5]]}}}],"schema":"https://github.com/citation-style-language/schema/raw/master/csl-citation.json"} </w:instrText>
      </w:r>
      <w:r w:rsidRPr="00C51E5B">
        <w:rPr>
          <w:rFonts w:ascii="Arial" w:hAnsi="Arial" w:cs="Arial"/>
        </w:rPr>
        <w:fldChar w:fldCharType="separate"/>
      </w:r>
      <w:r w:rsidRPr="00C51E5B">
        <w:rPr>
          <w:rFonts w:ascii="Arial" w:hAnsi="Arial" w:cs="Arial"/>
        </w:rPr>
        <w:t>(Dangond Carreño, 2019)</w:t>
      </w:r>
      <w:r w:rsidRPr="00C51E5B">
        <w:rPr>
          <w:rFonts w:ascii="Arial" w:hAnsi="Arial" w:cs="Arial"/>
        </w:rPr>
        <w:fldChar w:fldCharType="end"/>
      </w:r>
      <w:r w:rsidRPr="00C51E5B">
        <w:rPr>
          <w:rFonts w:ascii="Arial" w:hAnsi="Arial" w:cs="Arial"/>
        </w:rPr>
        <w:t>.</w:t>
      </w:r>
    </w:p>
    <w:p w14:paraId="0970EDB3" w14:textId="77777777" w:rsidR="001D4ABA" w:rsidRPr="00C51E5B" w:rsidRDefault="001D4ABA"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los incentivos fiscales y el financiamiento público han sido fundamentales para impulsar la adopción de energías renovables y avanzar en el cumplimiento de los </w:t>
      </w:r>
      <w:r w:rsidRPr="00C51E5B">
        <w:rPr>
          <w:rFonts w:ascii="Arial" w:hAnsi="Arial" w:cs="Arial"/>
          <w:b/>
          <w:bCs/>
        </w:rPr>
        <w:t>Objetivos de Desarrollo Sostenible (ODS) 7 y 13</w:t>
      </w:r>
      <w:r w:rsidRPr="00C51E5B">
        <w:rPr>
          <w:rFonts w:ascii="Arial" w:hAnsi="Arial" w:cs="Arial"/>
        </w:rPr>
        <w:t xml:space="preserve">, que buscan garantizar acceso a energía asequible y limpia y combatir el cambio climático. La UE, a través de su </w:t>
      </w:r>
      <w:r w:rsidRPr="00C51E5B">
        <w:rPr>
          <w:rFonts w:ascii="Arial" w:hAnsi="Arial" w:cs="Arial"/>
          <w:b/>
          <w:bCs/>
        </w:rPr>
        <w:t>Pacto Verde Europeo</w:t>
      </w:r>
      <w:r w:rsidRPr="00C51E5B">
        <w:rPr>
          <w:rFonts w:ascii="Arial" w:hAnsi="Arial" w:cs="Arial"/>
        </w:rPr>
        <w:t xml:space="preserve"> y la </w:t>
      </w:r>
      <w:r w:rsidRPr="00C51E5B">
        <w:rPr>
          <w:rFonts w:ascii="Arial" w:hAnsi="Arial" w:cs="Arial"/>
          <w:b/>
          <w:bCs/>
        </w:rPr>
        <w:t>Directiva de Energías Renovables (RED II)</w:t>
      </w:r>
      <w:r w:rsidRPr="00C51E5B">
        <w:rPr>
          <w:rFonts w:ascii="Arial" w:hAnsi="Arial" w:cs="Arial"/>
        </w:rPr>
        <w:t>, ha promovido una serie de incentivos financieros, fiscales y mecanismos de financiamiento público que varían según el país.</w:t>
      </w:r>
    </w:p>
    <w:p w14:paraId="4C5BACC4" w14:textId="77777777" w:rsidR="001D4ABA" w:rsidRPr="00C51E5B" w:rsidRDefault="001D4ABA" w:rsidP="00905066">
      <w:pPr>
        <w:pStyle w:val="NormalWeb"/>
        <w:numPr>
          <w:ilvl w:val="0"/>
          <w:numId w:val="4"/>
        </w:numPr>
        <w:rPr>
          <w:rFonts w:ascii="Arial" w:hAnsi="Arial" w:cs="Arial"/>
        </w:rPr>
      </w:pPr>
      <w:r w:rsidRPr="00C51E5B">
        <w:rPr>
          <w:rFonts w:ascii="Arial" w:hAnsi="Arial" w:cs="Arial"/>
          <w:b/>
          <w:bCs/>
        </w:rPr>
        <w:t>Incentivos fiscales</w:t>
      </w:r>
      <w:r w:rsidRPr="00C51E5B">
        <w:rPr>
          <w:rFonts w:ascii="Arial" w:hAnsi="Arial" w:cs="Arial"/>
        </w:rPr>
        <w:t xml:space="preserve">: En países como </w:t>
      </w:r>
      <w:r w:rsidRPr="00C51E5B">
        <w:rPr>
          <w:rFonts w:ascii="Arial" w:hAnsi="Arial" w:cs="Arial"/>
          <w:b/>
          <w:bCs/>
        </w:rPr>
        <w:t>Alemania</w:t>
      </w:r>
      <w:r w:rsidRPr="00C51E5B">
        <w:rPr>
          <w:rFonts w:ascii="Arial" w:hAnsi="Arial" w:cs="Arial"/>
        </w:rPr>
        <w:t xml:space="preserve">, los propietarios de sistemas solares y eólicos pueden beneficiarse de deducciones fiscales y exenciones de impuestos sobre las ganancias obtenidas por la venta de electricidad generada. Además, muchos países europeos ofrecen </w:t>
      </w:r>
      <w:r w:rsidRPr="00C51E5B">
        <w:rPr>
          <w:rFonts w:ascii="Arial" w:hAnsi="Arial" w:cs="Arial"/>
          <w:b/>
          <w:bCs/>
        </w:rPr>
        <w:t>reducciones del IVA</w:t>
      </w:r>
      <w:r w:rsidRPr="00C51E5B">
        <w:rPr>
          <w:rFonts w:ascii="Arial" w:hAnsi="Arial" w:cs="Arial"/>
        </w:rPr>
        <w:t xml:space="preserve"> en la compra de equipos de energía renovable.</w:t>
      </w:r>
    </w:p>
    <w:p w14:paraId="73FFB2A4" w14:textId="77777777" w:rsidR="001D4ABA" w:rsidRPr="00C51E5B" w:rsidRDefault="001D4ABA" w:rsidP="00905066">
      <w:pPr>
        <w:pStyle w:val="NormalWeb"/>
        <w:numPr>
          <w:ilvl w:val="0"/>
          <w:numId w:val="4"/>
        </w:numPr>
        <w:rPr>
          <w:rFonts w:ascii="Arial" w:hAnsi="Arial" w:cs="Arial"/>
        </w:rPr>
      </w:pPr>
      <w:r w:rsidRPr="00C51E5B">
        <w:rPr>
          <w:rFonts w:ascii="Arial" w:hAnsi="Arial" w:cs="Arial"/>
          <w:b/>
          <w:bCs/>
        </w:rPr>
        <w:t>Financiamiento público</w:t>
      </w:r>
      <w:r w:rsidRPr="00C51E5B">
        <w:rPr>
          <w:rFonts w:ascii="Arial" w:hAnsi="Arial" w:cs="Arial"/>
        </w:rPr>
        <w:t xml:space="preserve">: La </w:t>
      </w:r>
      <w:r w:rsidRPr="00C51E5B">
        <w:rPr>
          <w:rFonts w:ascii="Arial" w:hAnsi="Arial" w:cs="Arial"/>
          <w:b/>
          <w:bCs/>
        </w:rPr>
        <w:t>UE</w:t>
      </w:r>
      <w:r w:rsidRPr="00C51E5B">
        <w:rPr>
          <w:rFonts w:ascii="Arial" w:hAnsi="Arial" w:cs="Arial"/>
        </w:rPr>
        <w:t xml:space="preserve"> ha destinado fondos significativos a través del programa </w:t>
      </w:r>
      <w:r w:rsidRPr="00C51E5B">
        <w:rPr>
          <w:rFonts w:ascii="Arial" w:hAnsi="Arial" w:cs="Arial"/>
          <w:b/>
          <w:bCs/>
        </w:rPr>
        <w:t>Horizonte 2020</w:t>
      </w:r>
      <w:r w:rsidRPr="00C51E5B">
        <w:rPr>
          <w:rFonts w:ascii="Arial" w:hAnsi="Arial" w:cs="Arial"/>
        </w:rPr>
        <w:t xml:space="preserve"> y su sucesor, </w:t>
      </w:r>
      <w:r w:rsidRPr="00C51E5B">
        <w:rPr>
          <w:rFonts w:ascii="Arial" w:hAnsi="Arial" w:cs="Arial"/>
          <w:b/>
          <w:bCs/>
        </w:rPr>
        <w:t>Horizonte Europa</w:t>
      </w:r>
      <w:r w:rsidRPr="00C51E5B">
        <w:rPr>
          <w:rFonts w:ascii="Arial" w:hAnsi="Arial" w:cs="Arial"/>
        </w:rPr>
        <w:t xml:space="preserve">, para la investigación y desarrollo de tecnologías limpias. También el </w:t>
      </w:r>
      <w:r w:rsidRPr="00C51E5B">
        <w:rPr>
          <w:rFonts w:ascii="Arial" w:hAnsi="Arial" w:cs="Arial"/>
          <w:b/>
          <w:bCs/>
        </w:rPr>
        <w:t>Fondo Europeo de Desarrollo Regional (FEDER)</w:t>
      </w:r>
      <w:r w:rsidRPr="00C51E5B">
        <w:rPr>
          <w:rFonts w:ascii="Arial" w:hAnsi="Arial" w:cs="Arial"/>
        </w:rPr>
        <w:t xml:space="preserve"> y el </w:t>
      </w:r>
      <w:r w:rsidRPr="00C51E5B">
        <w:rPr>
          <w:rFonts w:ascii="Arial" w:hAnsi="Arial" w:cs="Arial"/>
          <w:b/>
          <w:bCs/>
        </w:rPr>
        <w:t>Fondo de Innovación</w:t>
      </w:r>
      <w:r w:rsidRPr="00C51E5B">
        <w:rPr>
          <w:rFonts w:ascii="Arial" w:hAnsi="Arial" w:cs="Arial"/>
        </w:rPr>
        <w:t xml:space="preserve"> brindan apoyo financiero a proyectos de energía renovable, y el </w:t>
      </w:r>
      <w:r w:rsidRPr="00C51E5B">
        <w:rPr>
          <w:rFonts w:ascii="Arial" w:hAnsi="Arial" w:cs="Arial"/>
          <w:b/>
          <w:bCs/>
        </w:rPr>
        <w:t>Banco Europeo de Inversiones (BEI)</w:t>
      </w:r>
      <w:r w:rsidRPr="00C51E5B">
        <w:rPr>
          <w:rFonts w:ascii="Arial" w:hAnsi="Arial" w:cs="Arial"/>
        </w:rPr>
        <w:t xml:space="preserve"> ha sido un actor clave en el financiamiento de grandes proyectos de energías limpias.</w:t>
      </w:r>
    </w:p>
    <w:p w14:paraId="33753CCF" w14:textId="77777777" w:rsidR="001D4ABA" w:rsidRPr="00C51E5B" w:rsidRDefault="001D4ABA" w:rsidP="00905066">
      <w:pPr>
        <w:pStyle w:val="NormalWeb"/>
        <w:ind w:firstLine="708"/>
        <w:rPr>
          <w:rFonts w:ascii="Arial" w:hAnsi="Arial" w:cs="Arial"/>
        </w:rPr>
      </w:pPr>
      <w:r w:rsidRPr="00C51E5B">
        <w:rPr>
          <w:rFonts w:ascii="Arial" w:hAnsi="Arial" w:cs="Arial"/>
        </w:rPr>
        <w:t xml:space="preserve">Además, las políticas de </w:t>
      </w:r>
      <w:r w:rsidRPr="00C51E5B">
        <w:rPr>
          <w:rFonts w:ascii="Arial" w:hAnsi="Arial" w:cs="Arial"/>
          <w:b/>
          <w:bCs/>
        </w:rPr>
        <w:t>jurisdicción ambiental</w:t>
      </w:r>
      <w:r w:rsidRPr="00C51E5B">
        <w:rPr>
          <w:rFonts w:ascii="Arial" w:hAnsi="Arial" w:cs="Arial"/>
        </w:rPr>
        <w:t xml:space="preserve"> en Europa están orientadas a promover prácticas sostenibles, con mecanismos regulatorios y financieros que buscan reducir las emisiones de carbono y cumplir los objetivos del </w:t>
      </w:r>
      <w:r w:rsidRPr="00C51E5B">
        <w:rPr>
          <w:rFonts w:ascii="Arial" w:hAnsi="Arial" w:cs="Arial"/>
          <w:b/>
          <w:bCs/>
        </w:rPr>
        <w:t>Acuerdo de París</w:t>
      </w:r>
      <w:r w:rsidRPr="00C51E5B">
        <w:rPr>
          <w:rFonts w:ascii="Arial" w:hAnsi="Arial" w:cs="Arial"/>
        </w:rPr>
        <w:t>. Estas políticas se implementan a nivel nacional y europeo, con especial atención a la transición energética y la mitigación del cambio climático.</w:t>
      </w:r>
    </w:p>
    <w:p w14:paraId="33AA9529" w14:textId="77777777" w:rsidR="001D4ABA" w:rsidRPr="00C51E5B" w:rsidRDefault="001D4ABA" w:rsidP="00905066">
      <w:pPr>
        <w:pStyle w:val="NormalWeb"/>
        <w:ind w:firstLine="708"/>
        <w:rPr>
          <w:rFonts w:ascii="Arial" w:hAnsi="Arial" w:cs="Arial"/>
          <w:b/>
          <w:bCs/>
        </w:rPr>
      </w:pPr>
      <w:r w:rsidRPr="00C51E5B">
        <w:rPr>
          <w:rFonts w:ascii="Arial" w:hAnsi="Arial" w:cs="Arial"/>
          <w:b/>
          <w:bCs/>
        </w:rPr>
        <w:lastRenderedPageBreak/>
        <w:t>Incentivos Fiscales y Financiamiento Público para Energías Renovables en Colombia</w:t>
      </w:r>
    </w:p>
    <w:p w14:paraId="32291612" w14:textId="49F0103E" w:rsidR="001D4ABA" w:rsidRPr="00C51E5B" w:rsidRDefault="001D4ABA" w:rsidP="00905066">
      <w:pPr>
        <w:pStyle w:val="NormalWeb"/>
        <w:ind w:firstLine="708"/>
        <w:rPr>
          <w:rFonts w:ascii="Arial" w:hAnsi="Arial" w:cs="Arial"/>
        </w:rPr>
      </w:pPr>
      <w:r w:rsidRPr="00C51E5B">
        <w:rPr>
          <w:rFonts w:ascii="Arial" w:hAnsi="Arial" w:cs="Arial"/>
        </w:rPr>
        <w:t>En Colombia se encuentra vigente el Artículo 11 de la Ley 1715 de 2014, (modificado por el Artículo174 de la Ley 1955 de 2019- Plan nacional de Desarrollo 2018-2022), regula los incentivos fiscales y el financiamiento público para la implementación de energías renovables, alineándose con los ODS 7 y 13. Esta ley ofrece beneficios fiscales para proyectos de energías renovables no convencionales, entre los cuales destacan:</w:t>
      </w:r>
    </w:p>
    <w:p w14:paraId="6D4071A6" w14:textId="77777777" w:rsidR="001D4ABA" w:rsidRPr="00C51E5B" w:rsidRDefault="001D4ABA" w:rsidP="00905066">
      <w:pPr>
        <w:pStyle w:val="NormalWeb"/>
        <w:numPr>
          <w:ilvl w:val="0"/>
          <w:numId w:val="5"/>
        </w:numPr>
        <w:rPr>
          <w:rFonts w:ascii="Arial" w:hAnsi="Arial" w:cs="Arial"/>
        </w:rPr>
      </w:pPr>
      <w:r w:rsidRPr="00C51E5B">
        <w:rPr>
          <w:rFonts w:ascii="Arial" w:hAnsi="Arial" w:cs="Arial"/>
          <w:b/>
          <w:bCs/>
        </w:rPr>
        <w:t>Exenciones fiscales</w:t>
      </w:r>
      <w:r w:rsidRPr="00C51E5B">
        <w:rPr>
          <w:rFonts w:ascii="Arial" w:hAnsi="Arial" w:cs="Arial"/>
        </w:rPr>
        <w:t xml:space="preserve">: Los proyectos que implementen tecnologías de energías renovables pueden acceder a una </w:t>
      </w:r>
      <w:r w:rsidRPr="00C51E5B">
        <w:rPr>
          <w:rFonts w:ascii="Arial" w:hAnsi="Arial" w:cs="Arial"/>
          <w:b/>
          <w:bCs/>
        </w:rPr>
        <w:t>exención del impuesto sobre la renta hasta por 15 años</w:t>
      </w:r>
      <w:r w:rsidRPr="00C51E5B">
        <w:rPr>
          <w:rFonts w:ascii="Arial" w:hAnsi="Arial" w:cs="Arial"/>
        </w:rPr>
        <w:t xml:space="preserve">, según lo dispuesto por la Ley 1715. Además, los equipos de energías renovables están exentos del </w:t>
      </w:r>
      <w:r w:rsidRPr="00C51E5B">
        <w:rPr>
          <w:rFonts w:ascii="Arial" w:hAnsi="Arial" w:cs="Arial"/>
          <w:b/>
          <w:bCs/>
        </w:rPr>
        <w:t>IVA y de aranceles de importación</w:t>
      </w:r>
      <w:r w:rsidRPr="00C51E5B">
        <w:rPr>
          <w:rFonts w:ascii="Arial" w:hAnsi="Arial" w:cs="Arial"/>
        </w:rPr>
        <w:t>.</w:t>
      </w:r>
    </w:p>
    <w:p w14:paraId="5C54E796" w14:textId="77777777" w:rsidR="001D4ABA" w:rsidRPr="00C51E5B" w:rsidRDefault="001D4ABA" w:rsidP="00905066">
      <w:pPr>
        <w:pStyle w:val="NormalWeb"/>
        <w:numPr>
          <w:ilvl w:val="0"/>
          <w:numId w:val="5"/>
        </w:numPr>
        <w:rPr>
          <w:rFonts w:ascii="Arial" w:hAnsi="Arial" w:cs="Arial"/>
        </w:rPr>
      </w:pPr>
      <w:r w:rsidRPr="00C51E5B">
        <w:rPr>
          <w:rFonts w:ascii="Arial" w:hAnsi="Arial" w:cs="Arial"/>
          <w:b/>
          <w:bCs/>
        </w:rPr>
        <w:t>Deducciones fiscales</w:t>
      </w:r>
      <w:r w:rsidRPr="00C51E5B">
        <w:rPr>
          <w:rFonts w:ascii="Arial" w:hAnsi="Arial" w:cs="Arial"/>
        </w:rPr>
        <w:t>: Las empresas que invierten en energías renovables pueden deducir hasta el 50% del valor de la inversión durante un periodo de 5 años. Este incentivo ha sido clave para atraer inversiones privadas en proyectos de generación solar y eólica.</w:t>
      </w:r>
    </w:p>
    <w:p w14:paraId="4045501E" w14:textId="77777777" w:rsidR="001D4ABA" w:rsidRPr="00C51E5B" w:rsidRDefault="001D4ABA" w:rsidP="00905066">
      <w:pPr>
        <w:pStyle w:val="NormalWeb"/>
        <w:numPr>
          <w:ilvl w:val="0"/>
          <w:numId w:val="5"/>
        </w:numPr>
        <w:rPr>
          <w:rFonts w:ascii="Arial" w:hAnsi="Arial" w:cs="Arial"/>
        </w:rPr>
      </w:pPr>
      <w:r w:rsidRPr="00C51E5B">
        <w:rPr>
          <w:rFonts w:ascii="Arial" w:hAnsi="Arial" w:cs="Arial"/>
          <w:b/>
          <w:bCs/>
        </w:rPr>
        <w:t>Financiamiento público</w:t>
      </w:r>
      <w:r w:rsidRPr="00C51E5B">
        <w:rPr>
          <w:rFonts w:ascii="Arial" w:hAnsi="Arial" w:cs="Arial"/>
        </w:rPr>
        <w:t xml:space="preserve">: El gobierno colombiano ha promovido programas de financiamiento para proyectos de energías renovables a través de entidades como el </w:t>
      </w:r>
      <w:r w:rsidRPr="00C51E5B">
        <w:rPr>
          <w:rFonts w:ascii="Arial" w:hAnsi="Arial" w:cs="Arial"/>
          <w:b/>
          <w:bCs/>
        </w:rPr>
        <w:t>Fondo de Energías No Convencionales y Gestión Eficiente de la Energía (FENOGE)</w:t>
      </w:r>
      <w:r w:rsidRPr="00C51E5B">
        <w:rPr>
          <w:rFonts w:ascii="Arial" w:hAnsi="Arial" w:cs="Arial"/>
        </w:rPr>
        <w:t xml:space="preserve">. Además, el </w:t>
      </w:r>
      <w:r w:rsidRPr="00C51E5B">
        <w:rPr>
          <w:rFonts w:ascii="Arial" w:hAnsi="Arial" w:cs="Arial"/>
          <w:b/>
          <w:bCs/>
        </w:rPr>
        <w:t>Banco de Desarrollo de América Latina (CAF)</w:t>
      </w:r>
      <w:r w:rsidRPr="00C51E5B">
        <w:rPr>
          <w:rFonts w:ascii="Arial" w:hAnsi="Arial" w:cs="Arial"/>
        </w:rPr>
        <w:t xml:space="preserve"> y el </w:t>
      </w:r>
      <w:r w:rsidRPr="00C51E5B">
        <w:rPr>
          <w:rFonts w:ascii="Arial" w:hAnsi="Arial" w:cs="Arial"/>
          <w:b/>
          <w:bCs/>
        </w:rPr>
        <w:t>Banco Interamericano de Desarrollo (BID)</w:t>
      </w:r>
      <w:r w:rsidRPr="00C51E5B">
        <w:rPr>
          <w:rFonts w:ascii="Arial" w:hAnsi="Arial" w:cs="Arial"/>
        </w:rPr>
        <w:t xml:space="preserve"> han proporcionado fondos para el desarrollo de infraestructura de energía limpia en el país.</w:t>
      </w:r>
    </w:p>
    <w:p w14:paraId="3E1F5495" w14:textId="77777777" w:rsidR="001D4ABA" w:rsidRPr="00C51E5B" w:rsidRDefault="001D4ABA" w:rsidP="00905066">
      <w:pPr>
        <w:pStyle w:val="NormalWeb"/>
        <w:ind w:firstLine="708"/>
        <w:rPr>
          <w:rFonts w:ascii="Arial" w:hAnsi="Arial" w:cs="Arial"/>
        </w:rPr>
      </w:pPr>
      <w:r w:rsidRPr="00C51E5B">
        <w:rPr>
          <w:rFonts w:ascii="Arial" w:hAnsi="Arial" w:cs="Arial"/>
        </w:rPr>
        <w:t xml:space="preserve">Las políticas de </w:t>
      </w:r>
      <w:r w:rsidRPr="00C51E5B">
        <w:rPr>
          <w:rFonts w:ascii="Arial" w:hAnsi="Arial" w:cs="Arial"/>
          <w:b/>
          <w:bCs/>
        </w:rPr>
        <w:t>jurisdicción ambiental</w:t>
      </w:r>
      <w:r w:rsidRPr="00C51E5B">
        <w:rPr>
          <w:rFonts w:ascii="Arial" w:hAnsi="Arial" w:cs="Arial"/>
        </w:rPr>
        <w:t xml:space="preserve"> en Colombia también se están fortaleciendo con regulaciones más estrictas sobre el impacto ambiental de los proyectos energéticos, como la obligación de realizar estudios de impacto ambiental para proyectos de gran escala, con el fin de asegurar su sostenibilidad y alineación con los ODS 7 y 13.</w:t>
      </w:r>
    </w:p>
    <w:p w14:paraId="71FEB6B4" w14:textId="4CE173D1" w:rsidR="005E20DB" w:rsidRPr="00C51E5B" w:rsidRDefault="005E20DB" w:rsidP="00905066">
      <w:pPr>
        <w:pStyle w:val="NormalWeb"/>
        <w:ind w:firstLine="708"/>
        <w:rPr>
          <w:rFonts w:ascii="Arial" w:hAnsi="Arial" w:cs="Arial"/>
        </w:rPr>
      </w:pPr>
      <w:r w:rsidRPr="00C51E5B">
        <w:rPr>
          <w:rFonts w:ascii="Arial" w:hAnsi="Arial" w:cs="Arial"/>
        </w:rPr>
        <w:t xml:space="preserve">En la </w:t>
      </w:r>
      <w:r w:rsidRPr="00C51E5B">
        <w:rPr>
          <w:rFonts w:ascii="Arial" w:hAnsi="Arial" w:cs="Arial"/>
          <w:b/>
          <w:bCs/>
        </w:rPr>
        <w:t>Unión Europea</w:t>
      </w:r>
      <w:r w:rsidRPr="00C51E5B">
        <w:rPr>
          <w:rFonts w:ascii="Arial" w:hAnsi="Arial" w:cs="Arial"/>
        </w:rPr>
        <w:t xml:space="preserve">, los </w:t>
      </w:r>
      <w:r w:rsidRPr="00C51E5B">
        <w:rPr>
          <w:rFonts w:ascii="Arial" w:hAnsi="Arial" w:cs="Arial"/>
          <w:b/>
          <w:bCs/>
        </w:rPr>
        <w:t>créditos fiscales de inversión o producción</w:t>
      </w:r>
      <w:r w:rsidRPr="00C51E5B">
        <w:rPr>
          <w:rFonts w:ascii="Arial" w:hAnsi="Arial" w:cs="Arial"/>
        </w:rPr>
        <w:t xml:space="preserve"> son un incentivo clave para fomentar la transición hacia las energías renovables. Estos créditos permiten a las empresas o individuos deducir parte del costo de sus inversiones en tecnologías limpias de su obligación tributaria, o bien, recibir incentivos fiscales por la energía renovable que producen. Comisión Europea. (2020).</w:t>
      </w:r>
    </w:p>
    <w:p w14:paraId="53B3FA72" w14:textId="77777777" w:rsidR="005E20DB" w:rsidRPr="00C51E5B" w:rsidRDefault="005E20DB"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Alemania</w:t>
      </w:r>
      <w:r w:rsidRPr="00C51E5B">
        <w:rPr>
          <w:rFonts w:ascii="Arial" w:hAnsi="Arial" w:cs="Arial"/>
        </w:rPr>
        <w:t xml:space="preserve">, por ejemplo, los proyectos de energías renovables, como la energía solar y eólica, son elegibles para recibir </w:t>
      </w:r>
      <w:r w:rsidRPr="00C51E5B">
        <w:rPr>
          <w:rFonts w:ascii="Arial" w:hAnsi="Arial" w:cs="Arial"/>
          <w:b/>
          <w:bCs/>
        </w:rPr>
        <w:t>créditos fiscales de inversión</w:t>
      </w:r>
      <w:r w:rsidRPr="00C51E5B">
        <w:rPr>
          <w:rFonts w:ascii="Arial" w:hAnsi="Arial" w:cs="Arial"/>
        </w:rPr>
        <w:t xml:space="preserve"> que cubren una parte significativa del costo inicial de la instalación. Estos créditos se pueden aplicar directamente a los impuestos que deben pagar las empresas o los propietarios de proyectos energéticos, lo que reduce la carga fiscal y acelera la adopción de tecnologías renovables. En países como </w:t>
      </w:r>
      <w:r w:rsidRPr="00C51E5B">
        <w:rPr>
          <w:rFonts w:ascii="Arial" w:hAnsi="Arial" w:cs="Arial"/>
          <w:b/>
          <w:bCs/>
        </w:rPr>
        <w:t>Francia</w:t>
      </w:r>
      <w:r w:rsidRPr="00C51E5B">
        <w:rPr>
          <w:rFonts w:ascii="Arial" w:hAnsi="Arial" w:cs="Arial"/>
        </w:rPr>
        <w:t xml:space="preserve">, los créditos fiscales </w:t>
      </w:r>
      <w:r w:rsidRPr="00C51E5B">
        <w:rPr>
          <w:rFonts w:ascii="Arial" w:hAnsi="Arial" w:cs="Arial"/>
        </w:rPr>
        <w:lastRenderedPageBreak/>
        <w:t>también están disponibles para las personas y empresas que instalan sistemas de calefacción o electricidad renovable en sus hogares o negocios.</w:t>
      </w:r>
    </w:p>
    <w:p w14:paraId="3A9BC659" w14:textId="77777777" w:rsidR="005E20DB" w:rsidRPr="00C51E5B" w:rsidRDefault="005E20DB" w:rsidP="00905066">
      <w:pPr>
        <w:pStyle w:val="NormalWeb"/>
        <w:ind w:firstLine="708"/>
        <w:rPr>
          <w:rFonts w:ascii="Arial" w:hAnsi="Arial" w:cs="Arial"/>
        </w:rPr>
      </w:pPr>
      <w:r w:rsidRPr="00C51E5B">
        <w:rPr>
          <w:rFonts w:ascii="Arial" w:hAnsi="Arial" w:cs="Arial"/>
        </w:rPr>
        <w:t xml:space="preserve">Adicionalmente, muchos países europeos ofrecen </w:t>
      </w:r>
      <w:r w:rsidRPr="00C51E5B">
        <w:rPr>
          <w:rFonts w:ascii="Arial" w:hAnsi="Arial" w:cs="Arial"/>
          <w:b/>
          <w:bCs/>
        </w:rPr>
        <w:t>subsidios de producción</w:t>
      </w:r>
      <w:r w:rsidRPr="00C51E5B">
        <w:rPr>
          <w:rFonts w:ascii="Arial" w:hAnsi="Arial" w:cs="Arial"/>
        </w:rPr>
        <w:t xml:space="preserve"> que otorgan incentivos financieros a las empresas por cada unidad de energía renovable que producen, ayudando a reducir los costos operativos y a aumentar la competitividad de la energía limpia frente a los combustibles fósiles.</w:t>
      </w:r>
    </w:p>
    <w:p w14:paraId="16FF667A" w14:textId="37552E84" w:rsidR="005E20DB" w:rsidRPr="00C51E5B" w:rsidRDefault="00742798" w:rsidP="00905066">
      <w:pPr>
        <w:pStyle w:val="NormalWeb"/>
        <w:ind w:firstLine="708"/>
        <w:rPr>
          <w:rFonts w:ascii="Arial" w:hAnsi="Arial" w:cs="Arial"/>
        </w:rPr>
      </w:pPr>
      <w:r w:rsidRPr="00C51E5B">
        <w:rPr>
          <w:rFonts w:ascii="Arial" w:hAnsi="Arial" w:cs="Arial"/>
        </w:rPr>
        <w:t>Para Colombia, no se tienen créditos fiscales de inversión o producción que sean aplicables directamente, sin embargo existen cuatro beneficios principales a los que pueden aplicar quienes posean equipos de generación de energías no convencionales</w:t>
      </w:r>
      <w:r w:rsidR="005E20DB" w:rsidRPr="00C51E5B">
        <w:rPr>
          <w:rFonts w:ascii="Arial" w:hAnsi="Arial" w:cs="Arial"/>
        </w:rPr>
        <w:t xml:space="preserve">, los </w:t>
      </w:r>
      <w:r w:rsidR="005E20DB" w:rsidRPr="00C51E5B">
        <w:rPr>
          <w:rFonts w:ascii="Arial" w:hAnsi="Arial" w:cs="Arial"/>
          <w:b/>
          <w:bCs/>
        </w:rPr>
        <w:t>créditos fiscales</w:t>
      </w:r>
      <w:r w:rsidR="005E20DB" w:rsidRPr="00C51E5B">
        <w:rPr>
          <w:rFonts w:ascii="Arial" w:hAnsi="Arial" w:cs="Arial"/>
        </w:rPr>
        <w:t xml:space="preserve"> se aplican principalmente a través de los incentivos previstos en la </w:t>
      </w:r>
      <w:r w:rsidR="005E20DB" w:rsidRPr="00C51E5B">
        <w:rPr>
          <w:rFonts w:ascii="Arial" w:hAnsi="Arial" w:cs="Arial"/>
          <w:b/>
          <w:bCs/>
        </w:rPr>
        <w:t>Ley 1715 de 2014</w:t>
      </w:r>
      <w:r w:rsidR="005E20DB" w:rsidRPr="00C51E5B">
        <w:rPr>
          <w:rFonts w:ascii="Arial" w:hAnsi="Arial" w:cs="Arial"/>
        </w:rPr>
        <w:t xml:space="preserve">, que regula la integración de las energías renovables no convencionales en el sistema energético nacional. Esta ley permite a las empresas que invierten en proyectos de energías renovables acceder a importantes </w:t>
      </w:r>
      <w:r w:rsidR="005E20DB" w:rsidRPr="00C51E5B">
        <w:rPr>
          <w:rFonts w:ascii="Arial" w:hAnsi="Arial" w:cs="Arial"/>
          <w:b/>
          <w:bCs/>
        </w:rPr>
        <w:t>deducciones fiscales</w:t>
      </w:r>
      <w:r w:rsidR="005E20DB" w:rsidRPr="00C51E5B">
        <w:rPr>
          <w:rFonts w:ascii="Arial" w:hAnsi="Arial" w:cs="Arial"/>
        </w:rPr>
        <w:t xml:space="preserve"> sobre el impuesto de renta. Las inversiones en infraestructura de energías limpias, como paneles solares, parques eólicos y plantas de biomasa, pueden deducir hasta el </w:t>
      </w:r>
      <w:r w:rsidR="005E20DB" w:rsidRPr="00C51E5B">
        <w:rPr>
          <w:rFonts w:ascii="Arial" w:hAnsi="Arial" w:cs="Arial"/>
          <w:b/>
          <w:bCs/>
        </w:rPr>
        <w:t>50% de la inversión realizada</w:t>
      </w:r>
      <w:r w:rsidR="005E20DB" w:rsidRPr="00C51E5B">
        <w:rPr>
          <w:rFonts w:ascii="Arial" w:hAnsi="Arial" w:cs="Arial"/>
        </w:rPr>
        <w:t xml:space="preserve"> en un período de cinco años.</w:t>
      </w:r>
    </w:p>
    <w:p w14:paraId="5F0B17A8" w14:textId="77777777" w:rsidR="005E20DB" w:rsidRPr="00C51E5B" w:rsidRDefault="005E20DB" w:rsidP="00905066">
      <w:pPr>
        <w:pStyle w:val="NormalWeb"/>
        <w:ind w:firstLine="708"/>
        <w:rPr>
          <w:rFonts w:ascii="Arial" w:hAnsi="Arial" w:cs="Arial"/>
        </w:rPr>
      </w:pPr>
      <w:r w:rsidRPr="00C51E5B">
        <w:rPr>
          <w:rFonts w:ascii="Arial" w:hAnsi="Arial" w:cs="Arial"/>
        </w:rPr>
        <w:t xml:space="preserve">Además, el gobierno ofrece </w:t>
      </w:r>
      <w:r w:rsidRPr="00C51E5B">
        <w:rPr>
          <w:rFonts w:ascii="Arial" w:hAnsi="Arial" w:cs="Arial"/>
          <w:b/>
          <w:bCs/>
        </w:rPr>
        <w:t>exenciones del IVA</w:t>
      </w:r>
      <w:r w:rsidRPr="00C51E5B">
        <w:rPr>
          <w:rFonts w:ascii="Arial" w:hAnsi="Arial" w:cs="Arial"/>
        </w:rPr>
        <w:t xml:space="preserve"> y </w:t>
      </w:r>
      <w:r w:rsidRPr="00C51E5B">
        <w:rPr>
          <w:rFonts w:ascii="Arial" w:hAnsi="Arial" w:cs="Arial"/>
          <w:b/>
          <w:bCs/>
        </w:rPr>
        <w:t>exoneración de derechos de aduana</w:t>
      </w:r>
      <w:r w:rsidRPr="00C51E5B">
        <w:rPr>
          <w:rFonts w:ascii="Arial" w:hAnsi="Arial" w:cs="Arial"/>
        </w:rPr>
        <w:t xml:space="preserve"> para la importación de tecnologías y equipos que se utilizan en la producción de energía renovable. Esto reduce considerablemente los costos de implementación de nuevos proyectos y fomenta la inversión en el sector energético.</w:t>
      </w:r>
    </w:p>
    <w:p w14:paraId="479770DB" w14:textId="77777777" w:rsidR="005E20DB" w:rsidRPr="00C51E5B" w:rsidRDefault="005E20DB" w:rsidP="00905066">
      <w:pPr>
        <w:pStyle w:val="NormalWeb"/>
        <w:ind w:firstLine="708"/>
        <w:rPr>
          <w:rFonts w:ascii="Arial" w:hAnsi="Arial" w:cs="Arial"/>
        </w:rPr>
      </w:pPr>
      <w:r w:rsidRPr="00C51E5B">
        <w:rPr>
          <w:rFonts w:ascii="Arial" w:hAnsi="Arial" w:cs="Arial"/>
        </w:rPr>
        <w:t xml:space="preserve">A pesar de que en Colombia no se han implementado ampliamente </w:t>
      </w:r>
      <w:r w:rsidRPr="00C51E5B">
        <w:rPr>
          <w:rFonts w:ascii="Arial" w:hAnsi="Arial" w:cs="Arial"/>
          <w:b/>
          <w:bCs/>
        </w:rPr>
        <w:t>créditos fiscales por producción</w:t>
      </w:r>
      <w:r w:rsidRPr="00C51E5B">
        <w:rPr>
          <w:rFonts w:ascii="Arial" w:hAnsi="Arial" w:cs="Arial"/>
        </w:rPr>
        <w:t xml:space="preserve">, el </w:t>
      </w:r>
      <w:r w:rsidRPr="00C51E5B">
        <w:rPr>
          <w:rFonts w:ascii="Arial" w:hAnsi="Arial" w:cs="Arial"/>
          <w:b/>
          <w:bCs/>
        </w:rPr>
        <w:t>Fondo de Energías No Convencionales y Gestión Eficiente de la Energía (FENOGE)</w:t>
      </w:r>
      <w:r w:rsidRPr="00C51E5B">
        <w:rPr>
          <w:rFonts w:ascii="Arial" w:hAnsi="Arial" w:cs="Arial"/>
        </w:rPr>
        <w:t xml:space="preserve"> y otras entidades están trabajando para desarrollar más mecanismos financieros que incluyan compensaciones fiscales por la producción de energías limpias a largo plazo.</w:t>
      </w:r>
    </w:p>
    <w:p w14:paraId="4A706CD7" w14:textId="77777777" w:rsidR="00E16B64" w:rsidRPr="00C51E5B" w:rsidRDefault="00E16B64" w:rsidP="00905066">
      <w:pPr>
        <w:pStyle w:val="NormalWeb"/>
        <w:ind w:firstLine="708"/>
        <w:rPr>
          <w:rFonts w:ascii="Arial" w:hAnsi="Arial" w:cs="Arial"/>
          <w:b/>
          <w:bCs/>
        </w:rPr>
      </w:pPr>
      <w:r w:rsidRPr="00C51E5B">
        <w:rPr>
          <w:rFonts w:ascii="Arial" w:hAnsi="Arial" w:cs="Arial"/>
          <w:b/>
          <w:bCs/>
        </w:rPr>
        <w:t>Reducción en Ventas, Energía, CO2, IVA y Otros Impuestos en Europa y Colombia</w:t>
      </w:r>
    </w:p>
    <w:p w14:paraId="3413AC30" w14:textId="77777777" w:rsidR="00E16B64" w:rsidRPr="00C51E5B" w:rsidRDefault="00E16B64"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Europa</w:t>
      </w:r>
      <w:r w:rsidRPr="00C51E5B">
        <w:rPr>
          <w:rFonts w:ascii="Arial" w:hAnsi="Arial" w:cs="Arial"/>
        </w:rPr>
        <w:t xml:space="preserve">, las políticas de incentivos fiscales para la energía solar incluyen una variedad de medidas que buscan reducir los costos asociados con la instalación y operación de sistemas de energía solar. Estas medidas son cruciales para alcanzar los objetivos de energía limpia y sostenibilidad establecidos por la </w:t>
      </w:r>
      <w:r w:rsidRPr="00C51E5B">
        <w:rPr>
          <w:rFonts w:ascii="Arial" w:hAnsi="Arial" w:cs="Arial"/>
          <w:b/>
          <w:bCs/>
        </w:rPr>
        <w:t>Directiva de Energías Renovables (RED II)</w:t>
      </w:r>
      <w:r w:rsidRPr="00C51E5B">
        <w:rPr>
          <w:rFonts w:ascii="Arial" w:hAnsi="Arial" w:cs="Arial"/>
        </w:rPr>
        <w:t>.</w:t>
      </w:r>
    </w:p>
    <w:p w14:paraId="71C170CC" w14:textId="77777777" w:rsidR="00E16B64" w:rsidRPr="00C51E5B" w:rsidRDefault="00E16B64" w:rsidP="00905066">
      <w:pPr>
        <w:pStyle w:val="NormalWeb"/>
        <w:ind w:firstLine="360"/>
        <w:rPr>
          <w:rFonts w:ascii="Arial" w:hAnsi="Arial" w:cs="Arial"/>
        </w:rPr>
      </w:pPr>
      <w:r w:rsidRPr="00C51E5B">
        <w:rPr>
          <w:rFonts w:ascii="Arial" w:hAnsi="Arial" w:cs="Arial"/>
          <w:b/>
          <w:bCs/>
        </w:rPr>
        <w:t>Reducción del IVA</w:t>
      </w:r>
      <w:r w:rsidRPr="00C51E5B">
        <w:rPr>
          <w:rFonts w:ascii="Arial" w:hAnsi="Arial" w:cs="Arial"/>
        </w:rPr>
        <w:t xml:space="preserve">: Muchos países europeos, como </w:t>
      </w:r>
      <w:r w:rsidRPr="00C51E5B">
        <w:rPr>
          <w:rFonts w:ascii="Arial" w:hAnsi="Arial" w:cs="Arial"/>
          <w:b/>
          <w:bCs/>
        </w:rPr>
        <w:t>Alemania</w:t>
      </w:r>
      <w:r w:rsidRPr="00C51E5B">
        <w:rPr>
          <w:rFonts w:ascii="Arial" w:hAnsi="Arial" w:cs="Arial"/>
        </w:rPr>
        <w:t xml:space="preserve"> y </w:t>
      </w:r>
      <w:r w:rsidRPr="00C51E5B">
        <w:rPr>
          <w:rFonts w:ascii="Arial" w:hAnsi="Arial" w:cs="Arial"/>
          <w:b/>
          <w:bCs/>
        </w:rPr>
        <w:t>Francia</w:t>
      </w:r>
      <w:r w:rsidRPr="00C51E5B">
        <w:rPr>
          <w:rFonts w:ascii="Arial" w:hAnsi="Arial" w:cs="Arial"/>
        </w:rPr>
        <w:t xml:space="preserve">, han implementado </w:t>
      </w:r>
      <w:r w:rsidRPr="00C51E5B">
        <w:rPr>
          <w:rFonts w:ascii="Arial" w:hAnsi="Arial" w:cs="Arial"/>
          <w:b/>
          <w:bCs/>
        </w:rPr>
        <w:t>reducciones del IVA</w:t>
      </w:r>
      <w:r w:rsidRPr="00C51E5B">
        <w:rPr>
          <w:rFonts w:ascii="Arial" w:hAnsi="Arial" w:cs="Arial"/>
        </w:rPr>
        <w:t xml:space="preserve"> para la instalación de sistemas solares. En Alemania, por ejemplo, el IVA para la instalación de paneles solares en viviendas puede ser reducido al 7% en lugar del tipo estándar del 19% (KfW, 2020).</w:t>
      </w:r>
    </w:p>
    <w:p w14:paraId="25112744" w14:textId="77777777" w:rsidR="00E16B64" w:rsidRPr="00C51E5B" w:rsidRDefault="00E16B64" w:rsidP="00905066">
      <w:pPr>
        <w:pStyle w:val="NormalWeb"/>
        <w:ind w:firstLine="360"/>
        <w:rPr>
          <w:rFonts w:ascii="Arial" w:hAnsi="Arial" w:cs="Arial"/>
        </w:rPr>
      </w:pPr>
      <w:r w:rsidRPr="00C51E5B">
        <w:rPr>
          <w:rFonts w:ascii="Arial" w:hAnsi="Arial" w:cs="Arial"/>
          <w:b/>
          <w:bCs/>
        </w:rPr>
        <w:lastRenderedPageBreak/>
        <w:t>Exenciones y reducciones fiscales</w:t>
      </w:r>
      <w:r w:rsidRPr="00C51E5B">
        <w:rPr>
          <w:rFonts w:ascii="Arial" w:hAnsi="Arial" w:cs="Arial"/>
        </w:rPr>
        <w:t xml:space="preserve">: Los propietarios de sistemas solares en </w:t>
      </w:r>
      <w:r w:rsidRPr="00C51E5B">
        <w:rPr>
          <w:rFonts w:ascii="Arial" w:hAnsi="Arial" w:cs="Arial"/>
          <w:b/>
          <w:bCs/>
        </w:rPr>
        <w:t>Reino Unido</w:t>
      </w:r>
      <w:r w:rsidRPr="00C51E5B">
        <w:rPr>
          <w:rFonts w:ascii="Arial" w:hAnsi="Arial" w:cs="Arial"/>
        </w:rPr>
        <w:t xml:space="preserve"> pueden beneficiarse de una </w:t>
      </w:r>
      <w:r w:rsidRPr="00C51E5B">
        <w:rPr>
          <w:rFonts w:ascii="Arial" w:hAnsi="Arial" w:cs="Arial"/>
          <w:b/>
          <w:bCs/>
        </w:rPr>
        <w:t>exención del impuesto sobre las ganancias</w:t>
      </w:r>
      <w:r w:rsidRPr="00C51E5B">
        <w:rPr>
          <w:rFonts w:ascii="Arial" w:hAnsi="Arial" w:cs="Arial"/>
        </w:rPr>
        <w:t xml:space="preserve"> que provienen de la venta de electricidad generada por sus paneles solares bajo el programa de </w:t>
      </w:r>
      <w:r w:rsidRPr="00C51E5B">
        <w:rPr>
          <w:rFonts w:ascii="Arial" w:hAnsi="Arial" w:cs="Arial"/>
          <w:b/>
          <w:bCs/>
        </w:rPr>
        <w:t>Feed-in Tariff (FiT)</w:t>
      </w:r>
      <w:r w:rsidRPr="00C51E5B">
        <w:rPr>
          <w:rFonts w:ascii="Arial" w:hAnsi="Arial" w:cs="Arial"/>
        </w:rPr>
        <w:t xml:space="preserve">. Además, </w:t>
      </w:r>
      <w:r w:rsidRPr="00C51E5B">
        <w:rPr>
          <w:rFonts w:ascii="Arial" w:hAnsi="Arial" w:cs="Arial"/>
          <w:b/>
          <w:bCs/>
        </w:rPr>
        <w:t>España</w:t>
      </w:r>
      <w:r w:rsidRPr="00C51E5B">
        <w:rPr>
          <w:rFonts w:ascii="Arial" w:hAnsi="Arial" w:cs="Arial"/>
        </w:rPr>
        <w:t xml:space="preserve"> ofrece deducciones fiscales regionales para instalaciones solares, como la deducción del 20% en el IRPF en algunas comunidades autónomas (IDAE, 2021).</w:t>
      </w:r>
    </w:p>
    <w:p w14:paraId="1E1C1793" w14:textId="77777777" w:rsidR="00E16B64" w:rsidRPr="00C51E5B" w:rsidRDefault="00E16B64" w:rsidP="00905066">
      <w:pPr>
        <w:pStyle w:val="NormalWeb"/>
        <w:ind w:firstLine="360"/>
        <w:rPr>
          <w:rFonts w:ascii="Arial" w:hAnsi="Arial" w:cs="Arial"/>
        </w:rPr>
      </w:pPr>
      <w:r w:rsidRPr="00C51E5B">
        <w:rPr>
          <w:rFonts w:ascii="Arial" w:hAnsi="Arial" w:cs="Arial"/>
          <w:b/>
          <w:bCs/>
        </w:rPr>
        <w:t>Reducción de CO2</w:t>
      </w:r>
      <w:r w:rsidRPr="00C51E5B">
        <w:rPr>
          <w:rFonts w:ascii="Arial" w:hAnsi="Arial" w:cs="Arial"/>
        </w:rPr>
        <w:t xml:space="preserve">: Las políticas de reducción de CO2 están integradas en el esquema de comercio de emisiones de la </w:t>
      </w:r>
      <w:r w:rsidRPr="00C51E5B">
        <w:rPr>
          <w:rFonts w:ascii="Arial" w:hAnsi="Arial" w:cs="Arial"/>
          <w:b/>
          <w:bCs/>
        </w:rPr>
        <w:t>Unión Europea (EU ETS)</w:t>
      </w:r>
      <w:r w:rsidRPr="00C51E5B">
        <w:rPr>
          <w:rFonts w:ascii="Arial" w:hAnsi="Arial" w:cs="Arial"/>
        </w:rPr>
        <w:t>, que permite a las empresas vender permisos de emisión excedentes si implementan tecnologías limpias, incluidas las energías renovables.</w:t>
      </w:r>
    </w:p>
    <w:p w14:paraId="7A964DB4" w14:textId="21D8E54C" w:rsidR="00185E53" w:rsidRPr="00C51E5B" w:rsidRDefault="00185E53" w:rsidP="00905066">
      <w:pPr>
        <w:pStyle w:val="Ttulo1"/>
        <w:rPr>
          <w:rFonts w:ascii="Arial" w:eastAsia="Times New Roman" w:hAnsi="Arial" w:cs="Arial"/>
          <w:color w:val="FF0000"/>
          <w:sz w:val="24"/>
          <w:szCs w:val="24"/>
          <w:lang w:eastAsia="es-ES_tradnl"/>
        </w:rPr>
      </w:pPr>
      <w:bookmarkStart w:id="16" w:name="_Toc178883913"/>
      <w:r w:rsidRPr="00C51E5B">
        <w:rPr>
          <w:rFonts w:ascii="Arial" w:eastAsia="Times New Roman" w:hAnsi="Arial" w:cs="Arial"/>
          <w:sz w:val="24"/>
          <w:szCs w:val="24"/>
          <w:lang w:eastAsia="es-ES_tradnl"/>
        </w:rPr>
        <w:t>Compromisos Ambientales de Colombia: Políticas Nacionales y Comparación Internacional en Energías Renovables</w:t>
      </w:r>
      <w:r w:rsidR="001306BE" w:rsidRPr="00C51E5B">
        <w:rPr>
          <w:rFonts w:ascii="Arial" w:eastAsia="Times New Roman" w:hAnsi="Arial" w:cs="Arial"/>
          <w:sz w:val="24"/>
          <w:szCs w:val="24"/>
          <w:lang w:eastAsia="es-ES_tradnl"/>
        </w:rPr>
        <w:t xml:space="preserve"> </w:t>
      </w:r>
      <w:bookmarkEnd w:id="16"/>
    </w:p>
    <w:p w14:paraId="3749E676" w14:textId="77777777" w:rsidR="00185E53" w:rsidRPr="00C51E5B" w:rsidRDefault="00185E53" w:rsidP="00905066">
      <w:pPr>
        <w:pStyle w:val="NormalWeb"/>
        <w:ind w:firstLine="708"/>
        <w:rPr>
          <w:rFonts w:ascii="Arial" w:hAnsi="Arial" w:cs="Arial"/>
        </w:rPr>
      </w:pPr>
      <w:r w:rsidRPr="00C51E5B">
        <w:rPr>
          <w:rFonts w:ascii="Arial" w:hAnsi="Arial" w:cs="Arial"/>
        </w:rPr>
        <w:t>En relación con la posición de Colombia respecto a sus compromisos ambientales a nivel internacional, se destaca el Sistema Nacional de Coordinación de Políticas de Cambio Climático (SISCLIMA). Este sistema fue formalizado mediante un decreto en 2016 y se encarga de supervisar el cumplimiento de los compromisos internacionales asumidos por el país. Los principales actores involucrados en este monitoreo son el Ministerio de Ambiente y el Ministerio de Relaciones. Colombia, siendo el segundo país más biodiverso del mundo y con grandes reservas de agua, presenta bajos niveles de emisiones de CO2, pero una alta intensidad de gases de efecto invernadero debido a la actividad agropecuaria. Problemas como la contaminación del aire, minería ilegal, cultivos ilícitos, deforestación e inundaciones son preocupantes (OCDE,</w:t>
      </w:r>
    </w:p>
    <w:p w14:paraId="291B1536" w14:textId="77777777" w:rsidR="00185E53" w:rsidRPr="00C51E5B" w:rsidRDefault="00185E53" w:rsidP="00905066">
      <w:pPr>
        <w:pStyle w:val="NormalWeb"/>
        <w:ind w:firstLine="708"/>
        <w:rPr>
          <w:rFonts w:ascii="Arial" w:hAnsi="Arial" w:cs="Arial"/>
        </w:rPr>
      </w:pPr>
      <w:r w:rsidRPr="00C51E5B">
        <w:rPr>
          <w:rFonts w:ascii="Arial" w:hAnsi="Arial" w:cs="Arial"/>
        </w:rPr>
        <w:t>Para enfrentar estos desafíos, el país ha implementado varias normativas y creado instituciones como el Ministerio de Ambiente, la Autoridad Nacional de Licencias Ambientales y 33 Corporaciones Autónomas Regionales. No obstante, estas últimas carecen de un control efectivo en la rendición de cuentas, lo que dificulta el desarrollo del Sistema Nacional de Información Ambiental y la correcta aplicación de las Evaluaciones de Impacto Ambiental (EIA). También sigue siendo un reto incluir a la población en las actividades de sostenibilidad ambiental (OCDE, 2014. “La normativa colombiana en materia ambiental ha sido extensa, en ese sentido, se menciona, al Ministerio de Ambiente y Desarrollo Sostenible-MADS, quien es la entidad encargada de actuar como ente rector de la política ambiental y del Sistema Nacional Ambiental -SINA. El MADS, promovió la expedición de 15 leyes, 117 decretos, un acto legislativo y 3 Directivas presidenciales y generó 449 resoluciones para un total de más de 593 normas en el periodo. Además de ello, expidió o contribuyó a la adopción por parte del Consejo Nacional de Política Económica y Social de 13 políticas ambientales y la estrategia para el logro de los objetivos de desarrollo sostenible (ODS) en Colombia”</w:t>
      </w:r>
      <w:r w:rsidRPr="00C51E5B">
        <w:rPr>
          <w:rFonts w:ascii="Arial" w:hAnsi="Arial" w:cs="Arial"/>
        </w:rPr>
        <w:fldChar w:fldCharType="begin"/>
      </w:r>
      <w:r w:rsidRPr="00C51E5B">
        <w:rPr>
          <w:rFonts w:ascii="Arial" w:hAnsi="Arial" w:cs="Arial"/>
        </w:rPr>
        <w:instrText xml:space="preserve"> ADDIN ZOTERO_ITEM CSL_CITATION {"citationID":"sQRmkIEx","properties":{"formattedCitation":"(P\\uc0\\u233{}rez V\\uc0\\u225{}squez, 2020)","plainCitation":"(Pérez Vásquez, 2020)","noteIndex":0},"citationItems":[{"id":1103,"uris":["http://zotero.org/users/9184847/items/7PWV4SPC"],"itemData":{"id":1103,"type":"article-journal","container-title":"Análisis Político","DOI":"10.15446/anpol.v33n99.90970","ISSN":"0121-4705","issue":"99","language":"es","note":"publisher: Instituto de Estudios Políticos y Relaciones Internacionales (IEPRI), Universidad Nacional de Colombia","page":"101-120","source":"SciELO","title":"RETOS DE LA POLÍTICA AMBIENTAL COLOMBIANA FRENTE A LOS DESAFÍOS DE LA OCDE Y LOS ODS","volume":"33","author":[{"family":"Pérez Vásquez","given":"Manuel Antonio"}],"issued":{"date-parts":[["2020",8]]}}}],"schema":"https://github.com/citation-style-language/schema/raw/master/csl-citation.json"} </w:instrText>
      </w:r>
      <w:r w:rsidRPr="00C51E5B">
        <w:rPr>
          <w:rFonts w:ascii="Arial" w:hAnsi="Arial" w:cs="Arial"/>
        </w:rPr>
        <w:fldChar w:fldCharType="separate"/>
      </w:r>
      <w:r w:rsidRPr="00C51E5B">
        <w:rPr>
          <w:rFonts w:ascii="Arial" w:hAnsi="Arial" w:cs="Arial"/>
        </w:rPr>
        <w:t>(Pérez Vásquez, 2020)</w:t>
      </w:r>
      <w:r w:rsidRPr="00C51E5B">
        <w:rPr>
          <w:rFonts w:ascii="Arial" w:hAnsi="Arial" w:cs="Arial"/>
        </w:rPr>
        <w:fldChar w:fldCharType="end"/>
      </w:r>
      <w:r w:rsidRPr="00C51E5B">
        <w:rPr>
          <w:rFonts w:ascii="Arial" w:hAnsi="Arial" w:cs="Arial"/>
        </w:rPr>
        <w:t>.</w:t>
      </w:r>
    </w:p>
    <w:p w14:paraId="0F097204" w14:textId="77777777" w:rsidR="00185E53" w:rsidRPr="00C51E5B" w:rsidRDefault="00185E53" w:rsidP="00905066">
      <w:pPr>
        <w:pStyle w:val="NormalWeb"/>
        <w:ind w:firstLine="708"/>
        <w:rPr>
          <w:rFonts w:ascii="Arial" w:hAnsi="Arial" w:cs="Arial"/>
        </w:rPr>
      </w:pPr>
      <w:r w:rsidRPr="00C51E5B">
        <w:rPr>
          <w:rFonts w:ascii="Arial" w:hAnsi="Arial" w:cs="Arial"/>
        </w:rPr>
        <w:t xml:space="preserve">El Gobierno de Colombia, liderado por el Presidente Gustavo Petro desde agosto de 2022, ha enfatizado la necesidad de transformar el modelo actual y convertir al país en una "potencia mundial de la vida". Esto implica alinear </w:t>
      </w:r>
      <w:r w:rsidRPr="00C51E5B">
        <w:rPr>
          <w:rFonts w:ascii="Arial" w:hAnsi="Arial" w:cs="Arial"/>
        </w:rPr>
        <w:lastRenderedPageBreak/>
        <w:t>acciones, programas y políticas con la Agenda 2030 de la ONU y los Objetivos de Desarrollo Sostenible (ODS), priorizando un crecimiento económico basado en una economía productiva y sostenible, así como la lucha contra el cambio climático, uno de los ejes clave de su plan de gobierno 2022-2026 (Petro, 2022).</w:t>
      </w:r>
    </w:p>
    <w:p w14:paraId="7867BC2C" w14:textId="77777777" w:rsidR="00185E53" w:rsidRPr="00C51E5B" w:rsidRDefault="00185E53" w:rsidP="00905066">
      <w:pPr>
        <w:pStyle w:val="NormalWeb"/>
        <w:ind w:firstLine="708"/>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con la aprobación del Plan Nacional de Desarrollo 2018-2022, y la política gubernamental, la Ley 1715 de 2014 proporciona un marco robusto para la promoción de energías renovables, incluyendo la energía solar, a través de varios incentivos fiscales y reducciones impositivas.</w:t>
      </w:r>
    </w:p>
    <w:p w14:paraId="3EAAD115" w14:textId="77777777" w:rsidR="00185E53" w:rsidRPr="00C51E5B" w:rsidRDefault="00185E53" w:rsidP="00905066">
      <w:pPr>
        <w:pStyle w:val="NormalWeb"/>
        <w:ind w:firstLine="360"/>
        <w:rPr>
          <w:rFonts w:ascii="Arial" w:hAnsi="Arial" w:cs="Arial"/>
        </w:rPr>
      </w:pPr>
      <w:bookmarkStart w:id="17" w:name="_Toc178883914"/>
      <w:r w:rsidRPr="00C51E5B">
        <w:rPr>
          <w:rStyle w:val="Ttulo2Car"/>
          <w:rFonts w:ascii="Arial" w:hAnsi="Arial" w:cs="Arial"/>
          <w:szCs w:val="24"/>
        </w:rPr>
        <w:t>Exención del IVA</w:t>
      </w:r>
      <w:bookmarkEnd w:id="17"/>
      <w:r w:rsidRPr="00C51E5B">
        <w:rPr>
          <w:rFonts w:ascii="Arial" w:hAnsi="Arial" w:cs="Arial"/>
        </w:rPr>
        <w:t xml:space="preserve">: La Ley 1715 establece que los equipos y componentes para la generación de energía solar están </w:t>
      </w:r>
      <w:r w:rsidRPr="00C51E5B">
        <w:rPr>
          <w:rFonts w:ascii="Arial" w:hAnsi="Arial" w:cs="Arial"/>
          <w:b/>
          <w:bCs/>
        </w:rPr>
        <w:t>exentos del IVA</w:t>
      </w:r>
      <w:r w:rsidRPr="00C51E5B">
        <w:rPr>
          <w:rFonts w:ascii="Arial" w:hAnsi="Arial" w:cs="Arial"/>
        </w:rPr>
        <w:t>. Esta medida reduce significativamente el costo de adquisición e instalación de paneles solares para hogares y empresas (Congreso de Colombia, 2014).</w:t>
      </w:r>
    </w:p>
    <w:p w14:paraId="3A23D817" w14:textId="77777777" w:rsidR="00185E53" w:rsidRPr="00C51E5B" w:rsidRDefault="00185E53" w:rsidP="00905066">
      <w:pPr>
        <w:pStyle w:val="NormalWeb"/>
        <w:ind w:firstLine="360"/>
        <w:rPr>
          <w:rFonts w:ascii="Arial" w:hAnsi="Arial" w:cs="Arial"/>
        </w:rPr>
      </w:pPr>
      <w:bookmarkStart w:id="18" w:name="_Toc178883915"/>
      <w:r w:rsidRPr="00C51E5B">
        <w:rPr>
          <w:rStyle w:val="Ttulo2Car"/>
          <w:rFonts w:ascii="Arial" w:hAnsi="Arial" w:cs="Arial"/>
          <w:szCs w:val="24"/>
        </w:rPr>
        <w:t>Deducciones fiscales</w:t>
      </w:r>
      <w:bookmarkEnd w:id="18"/>
      <w:r w:rsidRPr="00C51E5B">
        <w:rPr>
          <w:rFonts w:ascii="Arial" w:hAnsi="Arial" w:cs="Arial"/>
        </w:rPr>
        <w:t xml:space="preserve">: Las inversiones en proyectos de energía solar pueden beneficiarse de una </w:t>
      </w:r>
      <w:r w:rsidRPr="00C51E5B">
        <w:rPr>
          <w:rFonts w:ascii="Arial" w:hAnsi="Arial" w:cs="Arial"/>
          <w:b/>
          <w:bCs/>
        </w:rPr>
        <w:t>deducción del 50% del valor de la inversión</w:t>
      </w:r>
      <w:r w:rsidRPr="00C51E5B">
        <w:rPr>
          <w:rFonts w:ascii="Arial" w:hAnsi="Arial" w:cs="Arial"/>
        </w:rPr>
        <w:t xml:space="preserve"> durante un período de cinco años en el impuesto sobre la renta. Esta deducción incentiva la adopción de tecnología solar y apoya financieramente a los inversores en energías limpias (Ministerio de Minas y Energía, 2022).</w:t>
      </w:r>
    </w:p>
    <w:p w14:paraId="0C25AC72" w14:textId="77777777" w:rsidR="00185E53" w:rsidRPr="00C51E5B" w:rsidRDefault="00185E53" w:rsidP="00905066">
      <w:pPr>
        <w:pStyle w:val="NormalWeb"/>
        <w:ind w:firstLine="360"/>
        <w:rPr>
          <w:rFonts w:ascii="Arial" w:hAnsi="Arial" w:cs="Arial"/>
        </w:rPr>
      </w:pPr>
      <w:bookmarkStart w:id="19" w:name="_Toc178883916"/>
      <w:r w:rsidRPr="00C51E5B">
        <w:rPr>
          <w:rStyle w:val="Ttulo2Car"/>
          <w:rFonts w:ascii="Arial" w:hAnsi="Arial" w:cs="Arial"/>
          <w:szCs w:val="24"/>
        </w:rPr>
        <w:t>Reducción de CO2</w:t>
      </w:r>
      <w:bookmarkEnd w:id="19"/>
      <w:r w:rsidRPr="00C51E5B">
        <w:rPr>
          <w:rFonts w:ascii="Arial" w:hAnsi="Arial" w:cs="Arial"/>
        </w:rPr>
        <w:t xml:space="preserve">: Los proyectos de energía solar en Colombia pueden contribuir a la reducción de emisiones de CO2, lo cual está alineado con las metas nacionales para mitigar el cambio climático, reflejadas en el </w:t>
      </w:r>
      <w:r w:rsidRPr="00C51E5B">
        <w:rPr>
          <w:rFonts w:ascii="Arial" w:hAnsi="Arial" w:cs="Arial"/>
          <w:b/>
          <w:bCs/>
        </w:rPr>
        <w:t>Contribución Nacional Determinada (NDC)</w:t>
      </w:r>
      <w:r w:rsidRPr="00C51E5B">
        <w:rPr>
          <w:rFonts w:ascii="Arial" w:hAnsi="Arial" w:cs="Arial"/>
        </w:rPr>
        <w:t xml:space="preserve"> bajo el </w:t>
      </w:r>
      <w:r w:rsidRPr="00C51E5B">
        <w:rPr>
          <w:rFonts w:ascii="Arial" w:hAnsi="Arial" w:cs="Arial"/>
          <w:b/>
          <w:bCs/>
        </w:rPr>
        <w:t>Acuerdo de París</w:t>
      </w:r>
      <w:r w:rsidRPr="00C51E5B">
        <w:rPr>
          <w:rFonts w:ascii="Arial" w:hAnsi="Arial" w:cs="Arial"/>
        </w:rPr>
        <w:t>.</w:t>
      </w:r>
    </w:p>
    <w:p w14:paraId="1C554CD6" w14:textId="77777777" w:rsidR="00185E53" w:rsidRPr="00C51E5B" w:rsidRDefault="00185E53" w:rsidP="00905066">
      <w:pPr>
        <w:pStyle w:val="NormalWeb"/>
        <w:ind w:firstLine="360"/>
        <w:rPr>
          <w:rFonts w:ascii="Arial" w:hAnsi="Arial" w:cs="Arial"/>
        </w:rPr>
      </w:pPr>
      <w:r w:rsidRPr="00C51E5B">
        <w:rPr>
          <w:rFonts w:ascii="Arial" w:hAnsi="Arial" w:cs="Arial"/>
        </w:rPr>
        <w:t xml:space="preserve">“A pesar del progreso en la absorción de energías renovables, la eficiencia energética y acceso a la energía, el mundo no está en camino de cumplir los objetivos del Acuerdo de París o del Objetivo de Desarrollo Sostenible 7 y 13” </w:t>
      </w:r>
      <w:r w:rsidRPr="00C51E5B">
        <w:rPr>
          <w:rFonts w:ascii="Arial" w:hAnsi="Arial" w:cs="Arial"/>
        </w:rPr>
        <w:fldChar w:fldCharType="begin"/>
      </w:r>
      <w:r w:rsidRPr="00C51E5B">
        <w:rPr>
          <w:rFonts w:ascii="Arial" w:hAnsi="Arial" w:cs="Arial"/>
        </w:rPr>
        <w:instrText xml:space="preserve"> ADDIN ZOTERO_ITEM CSL_CITATION {"citationID":"9UklBZqv","properties":{"formattedCitation":"(Landines-Parra et\\uc0\\u160{}al., 2019)","plainCitation":"(Landines-Parra et al., 2019)","noteIndex":0},"citationItems":[{"id":1087,"uris":["http://zotero.org/users/9184847/items/L2Q83LT5"],"itemData":{"id":1087,"type":"article-journal","abstract":"En el Repositorio Institucional Universidad Católica de Colombia - RIUCaC están depositados materiales en formato digital fruto de la producción científica o académica, de esta manera permite almacenar, difundir y preservar información de vital importancia.","language":"spa","source":"repository.ucatolica.edu.co","title":"Diagnóstico de las energías renovables empleadas en Estados Unidos y Colombia para el año 2018 en el marco de los objetivos del desarrollo sostenible","URL":"https://repository.ucatolica.edu.co/entities/publication/6f819a99-dd45-4eab-b343-32e8e34ee8e0","author":[{"family":"Landines-Parra","given":"Martha Lucia"},{"family":"Mayorga-Castellanos","given":"Erika Lorena"},{"family":"Suárez-Alarcón","given":"Karen Yamile"}],"accessed":{"date-parts":[["2024",9,6]]},"issued":{"date-parts":[["2019"]]}}}],"schema":"https://github.com/citation-style-language/schema/raw/master/csl-citation.json"} </w:instrText>
      </w:r>
      <w:r w:rsidRPr="00C51E5B">
        <w:rPr>
          <w:rFonts w:ascii="Arial" w:hAnsi="Arial" w:cs="Arial"/>
        </w:rPr>
        <w:fldChar w:fldCharType="separate"/>
      </w:r>
      <w:r w:rsidRPr="00C51E5B">
        <w:rPr>
          <w:rFonts w:ascii="Arial" w:hAnsi="Arial" w:cs="Arial"/>
        </w:rPr>
        <w:t>(Landines-Parra et al., 2019)</w:t>
      </w:r>
      <w:r w:rsidRPr="00C51E5B">
        <w:rPr>
          <w:rFonts w:ascii="Arial" w:hAnsi="Arial" w:cs="Arial"/>
        </w:rPr>
        <w:fldChar w:fldCharType="end"/>
      </w:r>
      <w:r w:rsidRPr="00C51E5B">
        <w:rPr>
          <w:rFonts w:ascii="Arial" w:hAnsi="Arial" w:cs="Arial"/>
        </w:rPr>
        <w:t>.</w:t>
      </w:r>
    </w:p>
    <w:p w14:paraId="62770265" w14:textId="77777777" w:rsidR="00185E53" w:rsidRPr="00C51E5B" w:rsidRDefault="00185E53" w:rsidP="00905066">
      <w:pPr>
        <w:pStyle w:val="Ttulo1"/>
        <w:rPr>
          <w:rFonts w:ascii="Arial" w:hAnsi="Arial" w:cs="Arial"/>
          <w:sz w:val="24"/>
          <w:szCs w:val="24"/>
        </w:rPr>
      </w:pPr>
      <w:bookmarkStart w:id="20" w:name="_Toc178883917"/>
      <w:r w:rsidRPr="00C51E5B">
        <w:rPr>
          <w:rFonts w:ascii="Arial" w:hAnsi="Arial" w:cs="Arial"/>
          <w:sz w:val="24"/>
          <w:szCs w:val="24"/>
        </w:rPr>
        <w:t>Pago por Producción de Energía en Europa y Colombia</w:t>
      </w:r>
      <w:bookmarkEnd w:id="20"/>
    </w:p>
    <w:p w14:paraId="0AA3D302" w14:textId="77777777" w:rsidR="00185E53" w:rsidRPr="00C51E5B" w:rsidRDefault="00185E53" w:rsidP="00905066">
      <w:pPr>
        <w:pStyle w:val="NormalWeb"/>
        <w:ind w:firstLine="360"/>
        <w:rPr>
          <w:rFonts w:ascii="Arial" w:hAnsi="Arial" w:cs="Arial"/>
        </w:rPr>
      </w:pPr>
      <w:r w:rsidRPr="00C51E5B">
        <w:rPr>
          <w:rFonts w:ascii="Arial" w:hAnsi="Arial" w:cs="Arial"/>
        </w:rPr>
        <w:t xml:space="preserve">En </w:t>
      </w:r>
      <w:r w:rsidRPr="00C51E5B">
        <w:rPr>
          <w:rStyle w:val="Ttulo2Car"/>
          <w:rFonts w:ascii="Arial" w:hAnsi="Arial" w:cs="Arial"/>
          <w:szCs w:val="24"/>
        </w:rPr>
        <w:t>Europa</w:t>
      </w:r>
      <w:r w:rsidRPr="00C51E5B">
        <w:rPr>
          <w:rFonts w:ascii="Arial" w:hAnsi="Arial" w:cs="Arial"/>
        </w:rPr>
        <w:t>, el pago por la producción de energía renovable varía según el país, pero en general se basa en mecanismos de tarifas fijas o subastas.</w:t>
      </w:r>
    </w:p>
    <w:p w14:paraId="49E29FEF" w14:textId="77777777" w:rsidR="00185E53" w:rsidRPr="00C51E5B" w:rsidRDefault="00185E53" w:rsidP="00905066">
      <w:pPr>
        <w:pStyle w:val="NormalWeb"/>
        <w:ind w:firstLine="360"/>
        <w:rPr>
          <w:rFonts w:ascii="Arial" w:hAnsi="Arial" w:cs="Arial"/>
        </w:rPr>
      </w:pPr>
      <w:r w:rsidRPr="00C51E5B">
        <w:rPr>
          <w:rFonts w:ascii="Arial" w:hAnsi="Arial" w:cs="Arial"/>
          <w:b/>
          <w:bCs/>
        </w:rPr>
        <w:t>Alemania</w:t>
      </w:r>
      <w:r w:rsidRPr="00C51E5B">
        <w:rPr>
          <w:rFonts w:ascii="Arial" w:hAnsi="Arial" w:cs="Arial"/>
        </w:rPr>
        <w:t xml:space="preserve">: Bajo el sistema de </w:t>
      </w:r>
      <w:r w:rsidRPr="00C51E5B">
        <w:rPr>
          <w:rFonts w:ascii="Arial" w:hAnsi="Arial" w:cs="Arial"/>
          <w:b/>
          <w:bCs/>
        </w:rPr>
        <w:t>Feed-in Tariffs (FiT)</w:t>
      </w:r>
      <w:r w:rsidRPr="00C51E5B">
        <w:rPr>
          <w:rFonts w:ascii="Arial" w:hAnsi="Arial" w:cs="Arial"/>
        </w:rPr>
        <w:t xml:space="preserve"> y </w:t>
      </w:r>
      <w:r w:rsidRPr="00C51E5B">
        <w:rPr>
          <w:rFonts w:ascii="Arial" w:hAnsi="Arial" w:cs="Arial"/>
          <w:b/>
          <w:bCs/>
        </w:rPr>
        <w:t>Feed-in Premiums (FiP)</w:t>
      </w:r>
      <w:r w:rsidRPr="00C51E5B">
        <w:rPr>
          <w:rFonts w:ascii="Arial" w:hAnsi="Arial" w:cs="Arial"/>
        </w:rPr>
        <w:t xml:space="preserve">, los productores de energía renovable reciben pagos garantizados por cada unidad de electricidad generada a partir de fuentes limpias. Estos pagos están establecidos por el </w:t>
      </w:r>
      <w:r w:rsidRPr="00C51E5B">
        <w:rPr>
          <w:rFonts w:ascii="Arial" w:hAnsi="Arial" w:cs="Arial"/>
          <w:b/>
          <w:bCs/>
        </w:rPr>
        <w:t>Renewable Energy Sources Act (EEG)</w:t>
      </w:r>
      <w:r w:rsidRPr="00C51E5B">
        <w:rPr>
          <w:rFonts w:ascii="Arial" w:hAnsi="Arial" w:cs="Arial"/>
        </w:rPr>
        <w:t xml:space="preserve"> y se ajustan periódicamente para reflejar los costos de producción y los precios del mercado eléctrico (BMWi, 2020).</w:t>
      </w:r>
    </w:p>
    <w:p w14:paraId="161E741C" w14:textId="77777777" w:rsidR="00185E53" w:rsidRPr="00C51E5B" w:rsidRDefault="00185E53" w:rsidP="00905066">
      <w:pPr>
        <w:pStyle w:val="NormalWeb"/>
        <w:ind w:firstLine="360"/>
        <w:rPr>
          <w:rFonts w:ascii="Arial" w:hAnsi="Arial" w:cs="Arial"/>
        </w:rPr>
      </w:pPr>
      <w:r w:rsidRPr="00C51E5B">
        <w:rPr>
          <w:rFonts w:ascii="Arial" w:hAnsi="Arial" w:cs="Arial"/>
          <w:b/>
          <w:bCs/>
        </w:rPr>
        <w:t>Reino Unido</w:t>
      </w:r>
      <w:r w:rsidRPr="00C51E5B">
        <w:rPr>
          <w:rFonts w:ascii="Arial" w:hAnsi="Arial" w:cs="Arial"/>
        </w:rPr>
        <w:t xml:space="preserve">: Los pagos por producción de energía renovable se realizan a través del programa de </w:t>
      </w:r>
      <w:r w:rsidRPr="00C51E5B">
        <w:rPr>
          <w:rFonts w:ascii="Arial" w:hAnsi="Arial" w:cs="Arial"/>
          <w:b/>
          <w:bCs/>
        </w:rPr>
        <w:t>Contracts for Difference (CfD)</w:t>
      </w:r>
      <w:r w:rsidRPr="00C51E5B">
        <w:rPr>
          <w:rFonts w:ascii="Arial" w:hAnsi="Arial" w:cs="Arial"/>
        </w:rPr>
        <w:t xml:space="preserve">, donde los productores </w:t>
      </w:r>
      <w:r w:rsidRPr="00C51E5B">
        <w:rPr>
          <w:rFonts w:ascii="Arial" w:hAnsi="Arial" w:cs="Arial"/>
        </w:rPr>
        <w:lastRenderedPageBreak/>
        <w:t>reciben un precio fijo por su electricidad, compensando cualquier diferencia entre el precio del mercado y el precio acordado en el contrato (BEIS, 2021).</w:t>
      </w:r>
    </w:p>
    <w:p w14:paraId="2959194F" w14:textId="77777777" w:rsidR="00185E53" w:rsidRPr="00C51E5B" w:rsidRDefault="00185E53" w:rsidP="00905066">
      <w:pPr>
        <w:spacing w:line="240" w:lineRule="auto"/>
        <w:rPr>
          <w:rFonts w:ascii="Arial" w:hAnsi="Arial" w:cs="Arial"/>
          <w:b/>
          <w:sz w:val="24"/>
          <w:szCs w:val="24"/>
        </w:rPr>
      </w:pPr>
      <w:r w:rsidRPr="00C51E5B">
        <w:rPr>
          <w:rFonts w:ascii="Arial" w:hAnsi="Arial" w:cs="Arial"/>
          <w:b/>
          <w:sz w:val="24"/>
          <w:szCs w:val="24"/>
        </w:rPr>
        <w:t>Colombia</w:t>
      </w:r>
    </w:p>
    <w:p w14:paraId="5A2CBBF2" w14:textId="77777777" w:rsidR="00185E53" w:rsidRPr="00C51E5B" w:rsidRDefault="00185E53" w:rsidP="00905066">
      <w:pPr>
        <w:pStyle w:val="NormalWeb"/>
        <w:ind w:firstLine="360"/>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xml:space="preserve">, el marco para el pago por la producción de energía renovable está regulado por la </w:t>
      </w:r>
      <w:r w:rsidRPr="00C51E5B">
        <w:rPr>
          <w:rFonts w:ascii="Arial" w:hAnsi="Arial" w:cs="Arial"/>
          <w:b/>
          <w:bCs/>
        </w:rPr>
        <w:t>Ley 1715 de 2014</w:t>
      </w:r>
      <w:r w:rsidRPr="00C51E5B">
        <w:rPr>
          <w:rFonts w:ascii="Arial" w:hAnsi="Arial" w:cs="Arial"/>
        </w:rPr>
        <w:t xml:space="preserve"> y la </w:t>
      </w:r>
      <w:r w:rsidRPr="00C51E5B">
        <w:rPr>
          <w:rFonts w:ascii="Arial" w:hAnsi="Arial" w:cs="Arial"/>
          <w:b/>
          <w:bCs/>
        </w:rPr>
        <w:t>Resolución CREG 030 de 2018</w:t>
      </w:r>
      <w:r w:rsidRPr="00C51E5B">
        <w:rPr>
          <w:rFonts w:ascii="Arial" w:hAnsi="Arial" w:cs="Arial"/>
        </w:rPr>
        <w:t xml:space="preserve">. Estas normativas establecen un mecanismo específico para que los usuarios, comerciales y pequeños industriales puedan producir energía para satisfacer sus propias necesidades y vender el excedente al </w:t>
      </w:r>
      <w:r w:rsidRPr="00C51E5B">
        <w:rPr>
          <w:rFonts w:ascii="Arial" w:hAnsi="Arial" w:cs="Arial"/>
          <w:b/>
          <w:bCs/>
        </w:rPr>
        <w:t>Sistema Interconectado Nacional (SIN)</w:t>
      </w:r>
      <w:r w:rsidRPr="00C51E5B">
        <w:rPr>
          <w:rFonts w:ascii="Arial" w:hAnsi="Arial" w:cs="Arial"/>
        </w:rPr>
        <w:t>.</w:t>
      </w:r>
    </w:p>
    <w:p w14:paraId="0133215D" w14:textId="77777777" w:rsidR="00185E53" w:rsidRPr="00C51E5B" w:rsidRDefault="00185E53" w:rsidP="00905066">
      <w:pPr>
        <w:pStyle w:val="NormalWeb"/>
        <w:ind w:firstLine="360"/>
        <w:rPr>
          <w:rFonts w:ascii="Arial" w:hAnsi="Arial" w:cs="Arial"/>
        </w:rPr>
      </w:pPr>
      <w:r w:rsidRPr="00C51E5B">
        <w:rPr>
          <w:rFonts w:ascii="Arial" w:hAnsi="Arial" w:cs="Arial"/>
          <w:b/>
          <w:bCs/>
        </w:rPr>
        <w:t>Ley 1715 de 2014</w:t>
      </w:r>
      <w:r w:rsidRPr="00C51E5B">
        <w:rPr>
          <w:rFonts w:ascii="Arial" w:hAnsi="Arial" w:cs="Arial"/>
        </w:rPr>
        <w:t>: Establece los incentivos y los mecanismos para la integración de energías renovables no convencionales en el sistema eléctrico nacional. Permite que los productores de energía renovable reciban pagos por los excedentes de energía que inyectan al SIN, regulando el proceso de compensación y los precios de compra (Congreso de Colombia, 2014).</w:t>
      </w:r>
    </w:p>
    <w:p w14:paraId="21939639" w14:textId="77777777" w:rsidR="00185E53" w:rsidRPr="00C51E5B" w:rsidRDefault="00185E53" w:rsidP="00905066">
      <w:pPr>
        <w:pStyle w:val="NormalWeb"/>
        <w:ind w:firstLine="360"/>
        <w:rPr>
          <w:rFonts w:ascii="Arial" w:hAnsi="Arial" w:cs="Arial"/>
        </w:rPr>
      </w:pPr>
      <w:r w:rsidRPr="00C51E5B">
        <w:rPr>
          <w:rFonts w:ascii="Arial" w:hAnsi="Arial" w:cs="Arial"/>
          <w:b/>
          <w:bCs/>
        </w:rPr>
        <w:t>Resolución CREG 030 de 2018</w:t>
      </w:r>
      <w:r w:rsidRPr="00C51E5B">
        <w:rPr>
          <w:rFonts w:ascii="Arial" w:hAnsi="Arial" w:cs="Arial"/>
        </w:rPr>
        <w:t xml:space="preserve">: Define las condiciones técnicas y comerciales para el </w:t>
      </w:r>
      <w:r w:rsidRPr="00C51E5B">
        <w:rPr>
          <w:rFonts w:ascii="Arial" w:hAnsi="Arial" w:cs="Arial"/>
          <w:b/>
          <w:bCs/>
        </w:rPr>
        <w:t>net metering</w:t>
      </w:r>
      <w:r w:rsidRPr="00C51E5B">
        <w:rPr>
          <w:rFonts w:ascii="Arial" w:hAnsi="Arial" w:cs="Arial"/>
        </w:rPr>
        <w:t xml:space="preserve"> o </w:t>
      </w:r>
      <w:r w:rsidRPr="00C51E5B">
        <w:rPr>
          <w:rFonts w:ascii="Arial" w:hAnsi="Arial" w:cs="Arial"/>
          <w:b/>
          <w:bCs/>
        </w:rPr>
        <w:t>medición neta</w:t>
      </w:r>
      <w:r w:rsidRPr="00C51E5B">
        <w:rPr>
          <w:rFonts w:ascii="Arial" w:hAnsi="Arial" w:cs="Arial"/>
        </w:rPr>
        <w:t>, permitiendo a los usuarios de sistemas de energía renovable vender el excedente de energía generada al SIN. Esta resolución establece cómo se calculan los pagos por la energía excedente y las tarifas aplicables para garantizar una compensación justa para los pequeños productores (CREG, 2018).</w:t>
      </w:r>
    </w:p>
    <w:p w14:paraId="35F6CD58" w14:textId="77777777" w:rsidR="00185E53" w:rsidRPr="00C51E5B" w:rsidRDefault="00185E53" w:rsidP="00905066">
      <w:pPr>
        <w:pStyle w:val="NormalWeb"/>
        <w:ind w:firstLine="360"/>
        <w:rPr>
          <w:rFonts w:ascii="Arial" w:hAnsi="Arial" w:cs="Arial"/>
        </w:rPr>
      </w:pPr>
      <w:r w:rsidRPr="00C51E5B">
        <w:rPr>
          <w:rFonts w:ascii="Arial" w:hAnsi="Arial" w:cs="Arial"/>
        </w:rPr>
        <w:t xml:space="preserve">“La Ley 633 de 2000, cuyo objetivo es financiar los planes, programas y proyectos de inversión en infraestructura energética en las zonas no interconectadas (ZNI), Asimismo, Colombia cuenta con el Fondo de Energías No Convencionales y Gestión Eficiente de la Energía (FENOGE). Creado en el artículo 10 la Ley 1715 de 2014, para financiar programas de Fuentes No Convencionales de Energía (FNCE) y gestión eficiente de la energía. Los recursos de este Fondo podrán ser aportados por la Nación, entidades públicas o privadas, así como por organismos de carácter multilateral e Internacional </w:t>
      </w:r>
      <w:r w:rsidRPr="00C51E5B">
        <w:rPr>
          <w:rFonts w:ascii="Arial" w:hAnsi="Arial" w:cs="Arial"/>
        </w:rPr>
        <w:fldChar w:fldCharType="begin"/>
      </w:r>
      <w:r w:rsidRPr="00C51E5B">
        <w:rPr>
          <w:rFonts w:ascii="Arial" w:hAnsi="Arial" w:cs="Arial"/>
        </w:rPr>
        <w:instrText xml:space="preserve"> ADDIN ZOTERO_ITEM CSL_CITATION {"citationID":"zxPUw4uC","properties":{"formattedCitation":"(Landines-Parra et\\uc0\\u160{}al., 2019)","plainCitation":"(Landines-Parra et al., 2019)","noteIndex":0},"citationItems":[{"id":1087,"uris":["http://zotero.org/users/9184847/items/L2Q83LT5"],"itemData":{"id":1087,"type":"article-journal","abstract":"En el Repositorio Institucional Universidad Católica de Colombia - RIUCaC están depositados materiales en formato digital fruto de la producción científica o académica, de esta manera permite almacenar, difundir y preservar información de vital importancia.","language":"spa","source":"repository.ucatolica.edu.co","title":"Diagnóstico de las energías renovables empleadas en Estados Unidos y Colombia para el año 2018 en el marco de los objetivos del desarrollo sostenible","URL":"https://repository.ucatolica.edu.co/entities/publication/6f819a99-dd45-4eab-b343-32e8e34ee8e0","author":[{"family":"Landines-Parra","given":"Martha Lucia"},{"family":"Mayorga-Castellanos","given":"Erika Lorena"},{"family":"Suárez-Alarcón","given":"Karen Yamile"}],"accessed":{"date-parts":[["2024",9,6]]},"issued":{"date-parts":[["2019"]]}}}],"schema":"https://github.com/citation-style-language/schema/raw/master/csl-citation.json"} </w:instrText>
      </w:r>
      <w:r w:rsidRPr="00C51E5B">
        <w:rPr>
          <w:rFonts w:ascii="Arial" w:hAnsi="Arial" w:cs="Arial"/>
        </w:rPr>
        <w:fldChar w:fldCharType="separate"/>
      </w:r>
      <w:r w:rsidRPr="00C51E5B">
        <w:rPr>
          <w:rFonts w:ascii="Arial" w:hAnsi="Arial" w:cs="Arial"/>
        </w:rPr>
        <w:t>(Landines-Parra et al., 2019)</w:t>
      </w:r>
      <w:r w:rsidRPr="00C51E5B">
        <w:rPr>
          <w:rFonts w:ascii="Arial" w:hAnsi="Arial" w:cs="Arial"/>
        </w:rPr>
        <w:fldChar w:fldCharType="end"/>
      </w:r>
      <w:r w:rsidRPr="00C51E5B">
        <w:rPr>
          <w:rFonts w:ascii="Arial" w:hAnsi="Arial" w:cs="Arial"/>
        </w:rPr>
        <w:t>”.</w:t>
      </w:r>
    </w:p>
    <w:p w14:paraId="74DD1CF3" w14:textId="6EFA116D" w:rsidR="00C55A0F" w:rsidRPr="00C51E5B" w:rsidRDefault="00C55A0F" w:rsidP="00905066">
      <w:pPr>
        <w:pStyle w:val="Ttulo2"/>
        <w:spacing w:line="240" w:lineRule="auto"/>
        <w:rPr>
          <w:rFonts w:ascii="Arial" w:hAnsi="Arial" w:cs="Arial"/>
          <w:sz w:val="24"/>
          <w:szCs w:val="24"/>
        </w:rPr>
      </w:pPr>
      <w:bookmarkStart w:id="21" w:name="_Toc178883918"/>
      <w:r w:rsidRPr="00C51E5B">
        <w:rPr>
          <w:rFonts w:ascii="Arial" w:hAnsi="Arial" w:cs="Arial"/>
          <w:sz w:val="24"/>
          <w:szCs w:val="24"/>
        </w:rPr>
        <w:t>Subsidios o Rebajas de Inversión Pública en Europa y Colombia para Energías Renovables</w:t>
      </w:r>
      <w:r w:rsidR="00296AC5" w:rsidRPr="00C51E5B">
        <w:rPr>
          <w:rFonts w:ascii="Arial" w:hAnsi="Arial" w:cs="Arial"/>
          <w:sz w:val="24"/>
          <w:szCs w:val="24"/>
        </w:rPr>
        <w:t>.</w:t>
      </w:r>
      <w:bookmarkEnd w:id="21"/>
    </w:p>
    <w:p w14:paraId="61AC8864" w14:textId="77777777" w:rsidR="00C55A0F" w:rsidRPr="00C51E5B" w:rsidRDefault="00C55A0F" w:rsidP="00905066">
      <w:pPr>
        <w:pStyle w:val="NormalWeb"/>
        <w:ind w:firstLine="360"/>
        <w:rPr>
          <w:rFonts w:ascii="Arial" w:hAnsi="Arial" w:cs="Arial"/>
        </w:rPr>
      </w:pPr>
      <w:r w:rsidRPr="00C51E5B">
        <w:rPr>
          <w:rFonts w:ascii="Arial" w:hAnsi="Arial" w:cs="Arial"/>
        </w:rPr>
        <w:t xml:space="preserve">En </w:t>
      </w:r>
      <w:r w:rsidRPr="00C51E5B">
        <w:rPr>
          <w:rFonts w:ascii="Arial" w:hAnsi="Arial" w:cs="Arial"/>
          <w:b/>
          <w:bCs/>
        </w:rPr>
        <w:t>Europa</w:t>
      </w:r>
      <w:r w:rsidRPr="00C51E5B">
        <w:rPr>
          <w:rFonts w:ascii="Arial" w:hAnsi="Arial" w:cs="Arial"/>
        </w:rPr>
        <w:t xml:space="preserve">, los gobiernos de la </w:t>
      </w:r>
      <w:r w:rsidRPr="00C51E5B">
        <w:rPr>
          <w:rFonts w:ascii="Arial" w:hAnsi="Arial" w:cs="Arial"/>
          <w:b/>
          <w:bCs/>
        </w:rPr>
        <w:t>Unión Europea (UE)</w:t>
      </w:r>
      <w:r w:rsidRPr="00C51E5B">
        <w:rPr>
          <w:rFonts w:ascii="Arial" w:hAnsi="Arial" w:cs="Arial"/>
        </w:rPr>
        <w:t xml:space="preserve"> han implementado una amplia variedad de subsidios, incentivos fiscales y programas de apoyo financiero para promover las energías renovables y reducir las emisiones de dióxido de carbono, en línea con el </w:t>
      </w:r>
      <w:r w:rsidRPr="00C51E5B">
        <w:rPr>
          <w:rFonts w:ascii="Arial" w:hAnsi="Arial" w:cs="Arial"/>
          <w:b/>
          <w:bCs/>
        </w:rPr>
        <w:t>Pacto Verde Europeo</w:t>
      </w:r>
      <w:r w:rsidRPr="00C51E5B">
        <w:rPr>
          <w:rFonts w:ascii="Arial" w:hAnsi="Arial" w:cs="Arial"/>
        </w:rPr>
        <w:t xml:space="preserve"> y el compromiso con los </w:t>
      </w:r>
      <w:r w:rsidRPr="00C51E5B">
        <w:rPr>
          <w:rFonts w:ascii="Arial" w:hAnsi="Arial" w:cs="Arial"/>
          <w:b/>
          <w:bCs/>
        </w:rPr>
        <w:t>Objetivos de Desarrollo Sostenible (ODS)</w:t>
      </w:r>
      <w:r w:rsidRPr="00C51E5B">
        <w:rPr>
          <w:rFonts w:ascii="Arial" w:hAnsi="Arial" w:cs="Arial"/>
        </w:rPr>
        <w:t>.</w:t>
      </w:r>
    </w:p>
    <w:p w14:paraId="32F956BF" w14:textId="1E13D504" w:rsidR="00C55A0F" w:rsidRPr="00C51E5B" w:rsidRDefault="00C55A0F" w:rsidP="00905066">
      <w:pPr>
        <w:pStyle w:val="NormalWeb"/>
        <w:ind w:firstLine="360"/>
        <w:rPr>
          <w:rFonts w:ascii="Arial" w:hAnsi="Arial" w:cs="Arial"/>
        </w:rPr>
      </w:pPr>
      <w:r w:rsidRPr="00C51E5B">
        <w:rPr>
          <w:rFonts w:ascii="Arial" w:hAnsi="Arial" w:cs="Arial"/>
          <w:b/>
          <w:bCs/>
        </w:rPr>
        <w:t>Subsidios e incentivos fiscales</w:t>
      </w:r>
      <w:r w:rsidRPr="00C51E5B">
        <w:rPr>
          <w:rFonts w:ascii="Arial" w:hAnsi="Arial" w:cs="Arial"/>
        </w:rPr>
        <w:t xml:space="preserve">: En </w:t>
      </w:r>
      <w:r w:rsidRPr="00C51E5B">
        <w:rPr>
          <w:rFonts w:ascii="Arial" w:hAnsi="Arial" w:cs="Arial"/>
          <w:b/>
          <w:bCs/>
        </w:rPr>
        <w:t>Alemania</w:t>
      </w:r>
      <w:r w:rsidRPr="00C51E5B">
        <w:rPr>
          <w:rFonts w:ascii="Arial" w:hAnsi="Arial" w:cs="Arial"/>
        </w:rPr>
        <w:t xml:space="preserve">, el </w:t>
      </w:r>
      <w:r w:rsidRPr="00C51E5B">
        <w:rPr>
          <w:rFonts w:ascii="Arial" w:hAnsi="Arial" w:cs="Arial"/>
          <w:b/>
          <w:bCs/>
        </w:rPr>
        <w:t>KfW Bank</w:t>
      </w:r>
      <w:r w:rsidRPr="00C51E5B">
        <w:rPr>
          <w:rFonts w:ascii="Arial" w:hAnsi="Arial" w:cs="Arial"/>
        </w:rPr>
        <w:t xml:space="preserve"> ofrece préstamos a bajo interés y subvenciones directas para proyectos de energía renovable, incluyendo energía solar y eólica. Los propietarios de viviendas y </w:t>
      </w:r>
      <w:r w:rsidRPr="00C51E5B">
        <w:rPr>
          <w:rFonts w:ascii="Arial" w:hAnsi="Arial" w:cs="Arial"/>
        </w:rPr>
        <w:lastRenderedPageBreak/>
        <w:t xml:space="preserve">empresas pueden beneficiarse de subvenciones para la instalación de sistemas fotovoltaicos y para la modernización de edificios hacia estándares de eficiencia energética (KfW, 2020). Además, muchos países de la UE, como </w:t>
      </w:r>
      <w:r w:rsidRPr="00C51E5B">
        <w:rPr>
          <w:rFonts w:ascii="Arial" w:hAnsi="Arial" w:cs="Arial"/>
          <w:b/>
          <w:bCs/>
        </w:rPr>
        <w:t>España</w:t>
      </w:r>
      <w:r w:rsidRPr="00C51E5B">
        <w:rPr>
          <w:rFonts w:ascii="Arial" w:hAnsi="Arial" w:cs="Arial"/>
        </w:rPr>
        <w:t xml:space="preserve">, ofrecen </w:t>
      </w:r>
      <w:r w:rsidRPr="00C51E5B">
        <w:rPr>
          <w:rFonts w:ascii="Arial" w:hAnsi="Arial" w:cs="Arial"/>
          <w:b/>
          <w:bCs/>
        </w:rPr>
        <w:t>reducciones fiscales</w:t>
      </w:r>
      <w:r w:rsidRPr="00C51E5B">
        <w:rPr>
          <w:rFonts w:ascii="Arial" w:hAnsi="Arial" w:cs="Arial"/>
        </w:rPr>
        <w:t xml:space="preserve"> y </w:t>
      </w:r>
      <w:r w:rsidRPr="00C51E5B">
        <w:rPr>
          <w:rFonts w:ascii="Arial" w:hAnsi="Arial" w:cs="Arial"/>
          <w:b/>
          <w:bCs/>
        </w:rPr>
        <w:t>subvenciones</w:t>
      </w:r>
      <w:r w:rsidRPr="00C51E5B">
        <w:rPr>
          <w:rFonts w:ascii="Arial" w:hAnsi="Arial" w:cs="Arial"/>
        </w:rPr>
        <w:t xml:space="preserve"> para la instalación de tecnologías limpias, en particular en el sector de la construcción sostenible.</w:t>
      </w:r>
    </w:p>
    <w:p w14:paraId="22819EE0" w14:textId="77777777" w:rsidR="00C55A0F" w:rsidRPr="00C51E5B" w:rsidRDefault="00C55A0F" w:rsidP="00905066">
      <w:pPr>
        <w:pStyle w:val="NormalWeb"/>
        <w:ind w:left="360" w:firstLine="348"/>
        <w:rPr>
          <w:rFonts w:ascii="Arial" w:hAnsi="Arial" w:cs="Arial"/>
        </w:rPr>
      </w:pPr>
      <w:r w:rsidRPr="00C51E5B">
        <w:rPr>
          <w:rFonts w:ascii="Arial" w:hAnsi="Arial" w:cs="Arial"/>
          <w:b/>
          <w:bCs/>
        </w:rPr>
        <w:t>Programas de financiamiento público</w:t>
      </w:r>
      <w:r w:rsidRPr="00C51E5B">
        <w:rPr>
          <w:rFonts w:ascii="Arial" w:hAnsi="Arial" w:cs="Arial"/>
        </w:rPr>
        <w:t xml:space="preserve">: A nivel europeo, el programa </w:t>
      </w:r>
      <w:r w:rsidRPr="00C51E5B">
        <w:rPr>
          <w:rFonts w:ascii="Arial" w:hAnsi="Arial" w:cs="Arial"/>
          <w:b/>
          <w:bCs/>
        </w:rPr>
        <w:t>Horizon Europe</w:t>
      </w:r>
      <w:r w:rsidRPr="00C51E5B">
        <w:rPr>
          <w:rFonts w:ascii="Arial" w:hAnsi="Arial" w:cs="Arial"/>
        </w:rPr>
        <w:t xml:space="preserve"> y los </w:t>
      </w:r>
      <w:r w:rsidRPr="00C51E5B">
        <w:rPr>
          <w:rFonts w:ascii="Arial" w:hAnsi="Arial" w:cs="Arial"/>
          <w:b/>
          <w:bCs/>
        </w:rPr>
        <w:t>Fondos de Cohesión</w:t>
      </w:r>
      <w:r w:rsidRPr="00C51E5B">
        <w:rPr>
          <w:rFonts w:ascii="Arial" w:hAnsi="Arial" w:cs="Arial"/>
        </w:rPr>
        <w:t xml:space="preserve"> proporcionan miles de millones de euros en apoyo a la investigación y el desarrollo de nuevas tecnologías energéticas limpias. Los </w:t>
      </w:r>
      <w:r w:rsidRPr="00C51E5B">
        <w:rPr>
          <w:rFonts w:ascii="Arial" w:hAnsi="Arial" w:cs="Arial"/>
          <w:b/>
          <w:bCs/>
        </w:rPr>
        <w:t>Fondos de Innovación</w:t>
      </w:r>
      <w:r w:rsidRPr="00C51E5B">
        <w:rPr>
          <w:rFonts w:ascii="Arial" w:hAnsi="Arial" w:cs="Arial"/>
        </w:rPr>
        <w:t xml:space="preserve"> de la UE también se han enfocado en apoyar la comercialización de soluciones de baja emisión de carbono en la industria y la generación de energía (Comisión Europea, 2021).</w:t>
      </w:r>
    </w:p>
    <w:p w14:paraId="08D4CCF3" w14:textId="77777777" w:rsidR="00C55A0F" w:rsidRPr="00C51E5B" w:rsidRDefault="00C55A0F" w:rsidP="00905066">
      <w:pPr>
        <w:pStyle w:val="NormalWeb"/>
        <w:ind w:firstLine="360"/>
        <w:rPr>
          <w:rFonts w:ascii="Arial" w:hAnsi="Arial" w:cs="Arial"/>
        </w:rPr>
      </w:pPr>
      <w:r w:rsidRPr="00C51E5B">
        <w:rPr>
          <w:rFonts w:ascii="Arial" w:hAnsi="Arial" w:cs="Arial"/>
        </w:rPr>
        <w:t xml:space="preserve">En </w:t>
      </w:r>
      <w:r w:rsidRPr="00C51E5B">
        <w:rPr>
          <w:rFonts w:ascii="Arial" w:hAnsi="Arial" w:cs="Arial"/>
          <w:b/>
          <w:bCs/>
        </w:rPr>
        <w:t>Colombia</w:t>
      </w:r>
      <w:r w:rsidRPr="00C51E5B">
        <w:rPr>
          <w:rFonts w:ascii="Arial" w:hAnsi="Arial" w:cs="Arial"/>
        </w:rPr>
        <w:t xml:space="preserve">, los incentivos para la inversión en energías renovables son promovidos principalmente a través de la </w:t>
      </w:r>
      <w:r w:rsidRPr="00C51E5B">
        <w:rPr>
          <w:rFonts w:ascii="Arial" w:hAnsi="Arial" w:cs="Arial"/>
          <w:b/>
          <w:bCs/>
        </w:rPr>
        <w:t>Ley 1715 de 2014</w:t>
      </w:r>
      <w:r w:rsidRPr="00C51E5B">
        <w:rPr>
          <w:rFonts w:ascii="Arial" w:hAnsi="Arial" w:cs="Arial"/>
        </w:rPr>
        <w:t xml:space="preserve"> y otros mecanismos que buscan impulsar la transición energética hacia fuentes renovables y cumplir con los compromisos adquiridos en el </w:t>
      </w:r>
      <w:r w:rsidRPr="00C51E5B">
        <w:rPr>
          <w:rFonts w:ascii="Arial" w:hAnsi="Arial" w:cs="Arial"/>
          <w:b/>
          <w:bCs/>
        </w:rPr>
        <w:t>Acuerdo de París</w:t>
      </w:r>
      <w:r w:rsidRPr="00C51E5B">
        <w:rPr>
          <w:rFonts w:ascii="Arial" w:hAnsi="Arial" w:cs="Arial"/>
        </w:rPr>
        <w:t>.</w:t>
      </w:r>
    </w:p>
    <w:p w14:paraId="66C74DD5" w14:textId="77777777" w:rsidR="00C55A0F" w:rsidRPr="00C51E5B" w:rsidRDefault="00C55A0F" w:rsidP="00905066">
      <w:pPr>
        <w:pStyle w:val="NormalWeb"/>
        <w:ind w:firstLine="360"/>
        <w:rPr>
          <w:rFonts w:ascii="Arial" w:hAnsi="Arial" w:cs="Arial"/>
        </w:rPr>
      </w:pPr>
      <w:r w:rsidRPr="00C51E5B">
        <w:rPr>
          <w:rFonts w:ascii="Arial" w:hAnsi="Arial" w:cs="Arial"/>
          <w:b/>
          <w:bCs/>
        </w:rPr>
        <w:t>Subsidios y deducciones fiscales</w:t>
      </w:r>
      <w:r w:rsidRPr="00C51E5B">
        <w:rPr>
          <w:rFonts w:ascii="Arial" w:hAnsi="Arial" w:cs="Arial"/>
        </w:rPr>
        <w:t xml:space="preserve">: La </w:t>
      </w:r>
      <w:r w:rsidRPr="00C51E5B">
        <w:rPr>
          <w:rFonts w:ascii="Arial" w:hAnsi="Arial" w:cs="Arial"/>
          <w:b/>
          <w:bCs/>
        </w:rPr>
        <w:t>Ley 1715 de 2014</w:t>
      </w:r>
      <w:r w:rsidRPr="00C51E5B">
        <w:rPr>
          <w:rFonts w:ascii="Arial" w:hAnsi="Arial" w:cs="Arial"/>
        </w:rPr>
        <w:t xml:space="preserve"> establece una serie de </w:t>
      </w:r>
      <w:r w:rsidRPr="00C51E5B">
        <w:rPr>
          <w:rFonts w:ascii="Arial" w:hAnsi="Arial" w:cs="Arial"/>
          <w:b/>
          <w:bCs/>
        </w:rPr>
        <w:t>incentivos fiscales</w:t>
      </w:r>
      <w:r w:rsidRPr="00C51E5B">
        <w:rPr>
          <w:rFonts w:ascii="Arial" w:hAnsi="Arial" w:cs="Arial"/>
        </w:rPr>
        <w:t xml:space="preserve">, incluyendo la </w:t>
      </w:r>
      <w:r w:rsidRPr="00C51E5B">
        <w:rPr>
          <w:rFonts w:ascii="Arial" w:hAnsi="Arial" w:cs="Arial"/>
          <w:b/>
          <w:bCs/>
        </w:rPr>
        <w:t>deducción de impuestos sobre la renta</w:t>
      </w:r>
      <w:r w:rsidRPr="00C51E5B">
        <w:rPr>
          <w:rFonts w:ascii="Arial" w:hAnsi="Arial" w:cs="Arial"/>
        </w:rPr>
        <w:t xml:space="preserve"> del 50% de la inversión en proyectos de energías renovables durante un período de cinco años. También, los equipos de generación de energía limpia están </w:t>
      </w:r>
      <w:r w:rsidRPr="00C51E5B">
        <w:rPr>
          <w:rFonts w:ascii="Arial" w:hAnsi="Arial" w:cs="Arial"/>
          <w:b/>
          <w:bCs/>
        </w:rPr>
        <w:t>exentos de IVA y de aranceles de importación</w:t>
      </w:r>
      <w:r w:rsidRPr="00C51E5B">
        <w:rPr>
          <w:rFonts w:ascii="Arial" w:hAnsi="Arial" w:cs="Arial"/>
        </w:rPr>
        <w:t>, lo que reduce considerablemente los costos de inversión (Congreso de Colombia, 2014).</w:t>
      </w:r>
    </w:p>
    <w:p w14:paraId="0701D021" w14:textId="77777777" w:rsidR="00C55A0F" w:rsidRPr="00C51E5B" w:rsidRDefault="00C55A0F" w:rsidP="00905066">
      <w:pPr>
        <w:pStyle w:val="NormalWeb"/>
        <w:ind w:firstLine="348"/>
        <w:rPr>
          <w:rFonts w:ascii="Arial" w:hAnsi="Arial" w:cs="Arial"/>
        </w:rPr>
      </w:pPr>
      <w:r w:rsidRPr="00C51E5B">
        <w:rPr>
          <w:rFonts w:ascii="Arial" w:hAnsi="Arial" w:cs="Arial"/>
          <w:b/>
          <w:bCs/>
        </w:rPr>
        <w:t>Programas de apoyo financiero</w:t>
      </w:r>
      <w:r w:rsidRPr="00C51E5B">
        <w:rPr>
          <w:rFonts w:ascii="Arial" w:hAnsi="Arial" w:cs="Arial"/>
        </w:rPr>
        <w:t xml:space="preserve">: El </w:t>
      </w:r>
      <w:r w:rsidRPr="00C51E5B">
        <w:rPr>
          <w:rFonts w:ascii="Arial" w:hAnsi="Arial" w:cs="Arial"/>
          <w:b/>
          <w:bCs/>
        </w:rPr>
        <w:t>Fondo de Energías No Convencionales y Gestión Eficiente de la Energía (FENOGE)</w:t>
      </w:r>
      <w:r w:rsidRPr="00C51E5B">
        <w:rPr>
          <w:rFonts w:ascii="Arial" w:hAnsi="Arial" w:cs="Arial"/>
        </w:rPr>
        <w:t xml:space="preserve"> es un instrumento financiero que otorga recursos a proyectos de energías renovables, eficiencia energética y reducción de emisiones. Este fondo proporciona </w:t>
      </w:r>
      <w:r w:rsidRPr="00C51E5B">
        <w:rPr>
          <w:rFonts w:ascii="Arial" w:hAnsi="Arial" w:cs="Arial"/>
          <w:b/>
          <w:bCs/>
        </w:rPr>
        <w:t>subvenciones y líneas de crédito</w:t>
      </w:r>
      <w:r w:rsidRPr="00C51E5B">
        <w:rPr>
          <w:rFonts w:ascii="Arial" w:hAnsi="Arial" w:cs="Arial"/>
        </w:rPr>
        <w:t xml:space="preserve"> para iniciativas en el sector público y privado, apoyando especialmente a las pequeñas y medianas empresas en su transición energética (Ministerio de Minas y Energía, 2022).</w:t>
      </w:r>
    </w:p>
    <w:p w14:paraId="2BBADA37" w14:textId="7B94B940" w:rsidR="00A55CEE" w:rsidRPr="00C51E5B" w:rsidRDefault="004B1813" w:rsidP="00905066">
      <w:pPr>
        <w:pStyle w:val="NormalWeb"/>
        <w:ind w:firstLine="348"/>
        <w:rPr>
          <w:rFonts w:ascii="Arial" w:hAnsi="Arial" w:cs="Arial"/>
        </w:rPr>
      </w:pPr>
      <w:r w:rsidRPr="00C51E5B">
        <w:rPr>
          <w:rFonts w:ascii="Arial" w:hAnsi="Arial" w:cs="Arial"/>
        </w:rPr>
        <w:t>El Gobierno Nacional mediante las Leyes 142 de 1994 y 286 de 1996, creó el Fondo de Solidaridad para Subsidios y Redistribución de Ingresos - FSSRI como un fondo cuenta para administrar y distribuir los recursos asignados del Presupuesto Nacional y del mismo fondo, destinados a cubrir los subsidios del servicio público domiciliario de energía eléctrica a los usuarios de menores ingresos</w:t>
      </w:r>
      <w:r w:rsidR="00012C8D" w:rsidRPr="00C51E5B">
        <w:rPr>
          <w:rFonts w:ascii="Arial" w:hAnsi="Arial" w:cs="Arial"/>
        </w:rPr>
        <w:t>.</w:t>
      </w:r>
      <w:r w:rsidR="00A55CEE" w:rsidRPr="00C51E5B">
        <w:rPr>
          <w:rFonts w:ascii="Arial" w:hAnsi="Arial" w:cs="Arial"/>
        </w:rPr>
        <w:t xml:space="preserve"> Para energías renovables , al 7 de noviembre de 2019, se encontraba en consulta ciudadana el proyecto de Resolución “ Por la cual se adopta el procedimiento para otorgar subsidios a usuarios del sector eléctrico en las Zonas No Interconectadas para el caso de la prestación del servicio de energía eléctrica mediante soluciones solares foto voltaicos individuales”.</w:t>
      </w:r>
    </w:p>
    <w:p w14:paraId="44DAB308" w14:textId="233E08C2" w:rsidR="00B20929" w:rsidRPr="00C51E5B" w:rsidRDefault="00C95D05" w:rsidP="00905066">
      <w:pPr>
        <w:pStyle w:val="NormalWeb"/>
        <w:ind w:firstLine="348"/>
        <w:rPr>
          <w:rFonts w:ascii="Arial" w:hAnsi="Arial" w:cs="Arial"/>
        </w:rPr>
      </w:pPr>
      <w:r w:rsidRPr="00C51E5B">
        <w:rPr>
          <w:rFonts w:ascii="Arial" w:hAnsi="Arial" w:cs="Arial"/>
          <w:b/>
          <w:bCs/>
        </w:rPr>
        <w:t>E</w:t>
      </w:r>
      <w:r w:rsidR="00B20929" w:rsidRPr="00C51E5B">
        <w:rPr>
          <w:rFonts w:ascii="Arial" w:hAnsi="Arial" w:cs="Arial"/>
          <w:b/>
          <w:bCs/>
        </w:rPr>
        <w:t>n Europa,</w:t>
      </w:r>
      <w:r w:rsidR="00B20929" w:rsidRPr="00C51E5B">
        <w:rPr>
          <w:rFonts w:ascii="Arial" w:hAnsi="Arial" w:cs="Arial"/>
        </w:rPr>
        <w:t xml:space="preserve"> la normativa relacionada con las energías renovables y la sostenibilidad energética está profundamente alineada con el ODS 7. Las </w:t>
      </w:r>
      <w:r w:rsidR="00B20929" w:rsidRPr="00C51E5B">
        <w:rPr>
          <w:rFonts w:ascii="Arial" w:hAnsi="Arial" w:cs="Arial"/>
        </w:rPr>
        <w:lastRenderedPageBreak/>
        <w:t>principales normativas vigentes en la Unión Europea (UE) que promueven la energía asequible, sostenible y no contaminante:</w:t>
      </w:r>
    </w:p>
    <w:p w14:paraId="65408697" w14:textId="77777777" w:rsidR="00B20929" w:rsidRPr="00C51E5B" w:rsidRDefault="00B20929" w:rsidP="00905066">
      <w:pPr>
        <w:pStyle w:val="Ttulo2"/>
        <w:spacing w:line="240" w:lineRule="auto"/>
        <w:rPr>
          <w:rFonts w:ascii="Arial" w:hAnsi="Arial" w:cs="Arial"/>
          <w:sz w:val="24"/>
          <w:szCs w:val="24"/>
        </w:rPr>
      </w:pPr>
      <w:bookmarkStart w:id="22" w:name="_Toc178883919"/>
      <w:r w:rsidRPr="00C51E5B">
        <w:rPr>
          <w:rFonts w:ascii="Arial" w:hAnsi="Arial" w:cs="Arial"/>
          <w:sz w:val="24"/>
          <w:szCs w:val="24"/>
        </w:rPr>
        <w:t>Directiva (UE) 2018/2001 sobre Energías Renovables</w:t>
      </w:r>
      <w:bookmarkEnd w:id="22"/>
    </w:p>
    <w:p w14:paraId="5AA3A4F8" w14:textId="38D5BEB9" w:rsidR="00B20929" w:rsidRPr="00C51E5B" w:rsidRDefault="00B20929" w:rsidP="00905066">
      <w:pPr>
        <w:pStyle w:val="NormalWeb"/>
        <w:rPr>
          <w:rFonts w:ascii="Arial" w:hAnsi="Arial" w:cs="Arial"/>
        </w:rPr>
      </w:pPr>
      <w:r w:rsidRPr="00C51E5B">
        <w:rPr>
          <w:rFonts w:ascii="Arial" w:hAnsi="Arial" w:cs="Arial"/>
        </w:rPr>
        <w:tab/>
        <w:t>La Directiva (UE) 2018/2001, también conocida como la "Directiva de Energías Renovables II", establece un marco para la promoción del uso de energía procedente de fuentes renovables en la UE. Fija un objetivo vinculante de al menos un 32% de consumo final bruto de energía a partir de fuentes renovables para 2030, promoviendo la sostenibilidad y la seguridad energética en Europa. "La Directiva (UE) 2018/2001 impulsa a los Estados miembros de la Unión Europea a aumentar la cuota de energías renovables en su matriz energética, estableciendo un objetivo vinculante del 32% para 2030, en línea con los compromisos del ODS 7" (Parlamento Europeo y Consejo de la Unión Europea, 2018).</w:t>
      </w:r>
    </w:p>
    <w:p w14:paraId="0CB3F655" w14:textId="17AE5C2A" w:rsidR="00B20929" w:rsidRPr="00C51E5B" w:rsidRDefault="00B20929" w:rsidP="00905066">
      <w:pPr>
        <w:pStyle w:val="Ttulo2"/>
        <w:spacing w:line="240" w:lineRule="auto"/>
        <w:rPr>
          <w:rFonts w:ascii="Arial" w:hAnsi="Arial" w:cs="Arial"/>
          <w:sz w:val="24"/>
          <w:szCs w:val="24"/>
        </w:rPr>
      </w:pPr>
      <w:bookmarkStart w:id="23" w:name="_Toc178883920"/>
      <w:r w:rsidRPr="00C51E5B">
        <w:rPr>
          <w:rFonts w:ascii="Arial" w:hAnsi="Arial" w:cs="Arial"/>
          <w:sz w:val="24"/>
          <w:szCs w:val="24"/>
        </w:rPr>
        <w:t>Reglamento (UE) 2019/941 sobre la Preparación ante los Riesgos en el Sector de la Electricidad</w:t>
      </w:r>
      <w:bookmarkEnd w:id="23"/>
    </w:p>
    <w:p w14:paraId="19892EBE" w14:textId="1A325332" w:rsidR="00B20929" w:rsidRPr="00C51E5B" w:rsidRDefault="00B20929" w:rsidP="00905066">
      <w:pPr>
        <w:pStyle w:val="NormalWeb"/>
        <w:rPr>
          <w:rFonts w:ascii="Arial" w:hAnsi="Arial" w:cs="Arial"/>
        </w:rPr>
      </w:pPr>
      <w:r w:rsidRPr="00C51E5B">
        <w:rPr>
          <w:rFonts w:ascii="Arial" w:hAnsi="Arial" w:cs="Arial"/>
        </w:rPr>
        <w:tab/>
        <w:t>Este reglamento establece medidas para prevenir y gestionar crisis en el suministro de electricidad, asegurando que los Estados miembros adopten planes de preparación y respuesta. Además, fomenta la resiliencia del sistema eléctrico frente a situaciones adversas, como parte de la transición hacia una energía más limpia y sostenible. "El Reglamento (UE) 2019/941 refuerza la seguridad energética de la Unión Europea al exigir a los Estados miembros la implementación de planes de preparación para garantizar un suministro eléctrico estable y sostenible, en sintonía con los objetivos del ODS 7" (Parlamento Europeo y Consejo de la Unión Europea, 2019).</w:t>
      </w:r>
    </w:p>
    <w:p w14:paraId="47DD5657" w14:textId="77777777" w:rsidR="00B20929" w:rsidRPr="00C51E5B" w:rsidRDefault="00B20929" w:rsidP="00905066">
      <w:pPr>
        <w:pStyle w:val="Ttulo2"/>
        <w:spacing w:line="240" w:lineRule="auto"/>
        <w:rPr>
          <w:rFonts w:ascii="Arial" w:hAnsi="Arial" w:cs="Arial"/>
          <w:sz w:val="24"/>
          <w:szCs w:val="24"/>
        </w:rPr>
      </w:pPr>
      <w:bookmarkStart w:id="24" w:name="_Toc178883921"/>
      <w:r w:rsidRPr="00C51E5B">
        <w:rPr>
          <w:rFonts w:ascii="Arial" w:hAnsi="Arial" w:cs="Arial"/>
          <w:sz w:val="24"/>
          <w:szCs w:val="24"/>
        </w:rPr>
        <w:t>Pacto Verde Europeo (European Green Deal)</w:t>
      </w:r>
      <w:bookmarkEnd w:id="24"/>
    </w:p>
    <w:p w14:paraId="496430C2" w14:textId="5DE85BEC" w:rsidR="00B20929" w:rsidRPr="00C51E5B" w:rsidRDefault="00B20929" w:rsidP="00905066">
      <w:pPr>
        <w:pStyle w:val="NormalWeb"/>
        <w:rPr>
          <w:rFonts w:ascii="Arial" w:hAnsi="Arial" w:cs="Arial"/>
        </w:rPr>
      </w:pPr>
      <w:r w:rsidRPr="00C51E5B">
        <w:rPr>
          <w:rFonts w:ascii="Arial" w:hAnsi="Arial" w:cs="Arial"/>
        </w:rPr>
        <w:tab/>
        <w:t>El Pacto Verde Europeo, aunque no es una ley específica, es una estrategia integral que guía las políticas de la UE hacia la neutralidad climática para 2050. Incluye una serie de iniciativas legislativas y no legislativas que buscan acelerar la transición hacia energías renovables, promover la eficiencia energética y reducir las emisiones de gases de efecto invernadero, en concordancia con el ODS 7. "El Pacto Verde Europeo representa el compromiso más ambicioso de la Unión Europea para alcanzar la neutralidad climática, promoviendo una transformación del sistema energético hacia fuentes renovables y sostenibles, en línea con los objetivos del ODS 7" (Comisión Europea, 2019).</w:t>
      </w:r>
    </w:p>
    <w:p w14:paraId="77767B5E" w14:textId="77777777" w:rsidR="00B20929" w:rsidRPr="00C51E5B" w:rsidRDefault="00B20929" w:rsidP="00905066">
      <w:pPr>
        <w:pStyle w:val="Ttulo2"/>
        <w:spacing w:line="240" w:lineRule="auto"/>
        <w:rPr>
          <w:rFonts w:ascii="Arial" w:hAnsi="Arial" w:cs="Arial"/>
          <w:sz w:val="24"/>
          <w:szCs w:val="24"/>
        </w:rPr>
      </w:pPr>
      <w:bookmarkStart w:id="25" w:name="_Toc178883922"/>
      <w:r w:rsidRPr="00C51E5B">
        <w:rPr>
          <w:rFonts w:ascii="Arial" w:hAnsi="Arial" w:cs="Arial"/>
          <w:sz w:val="24"/>
          <w:szCs w:val="24"/>
        </w:rPr>
        <w:t>Reglamento (UE) 2020/852 sobre la Taxonomía de las Inversiones Sostenibles</w:t>
      </w:r>
      <w:bookmarkEnd w:id="25"/>
    </w:p>
    <w:p w14:paraId="0280E5A7" w14:textId="5064A543" w:rsidR="00B20929" w:rsidRPr="00C51E5B" w:rsidRDefault="00B20929" w:rsidP="00905066">
      <w:pPr>
        <w:pStyle w:val="NormalWeb"/>
        <w:rPr>
          <w:rFonts w:ascii="Arial" w:hAnsi="Arial" w:cs="Arial"/>
        </w:rPr>
      </w:pPr>
      <w:r w:rsidRPr="00C51E5B">
        <w:rPr>
          <w:rFonts w:ascii="Arial" w:hAnsi="Arial" w:cs="Arial"/>
        </w:rPr>
        <w:tab/>
        <w:t xml:space="preserve">Este reglamento establece un sistema de clasificación para determinar qué actividades económicas pueden considerarse sostenibles desde el punto de vista ambiental, incentivando la inversión en proyectos que favorezcan la transición energética hacia fuentes renovables. "El Reglamento (UE) 2020/852 proporciona </w:t>
      </w:r>
      <w:r w:rsidRPr="00C51E5B">
        <w:rPr>
          <w:rFonts w:ascii="Arial" w:hAnsi="Arial" w:cs="Arial"/>
        </w:rPr>
        <w:lastRenderedPageBreak/>
        <w:t>una base sólida para identificar y promover inversiones sostenibles en el sector de las energías renovables, apoyando la consecución de los objetivos del ODS 7" (Parlamento Europeo y Consejo de la Unión Europea, 2020).</w:t>
      </w:r>
    </w:p>
    <w:p w14:paraId="4FFC2B0F" w14:textId="0A52909D" w:rsidR="00BD6E6D" w:rsidRPr="00C51E5B" w:rsidRDefault="00BD6E6D" w:rsidP="00905066">
      <w:pPr>
        <w:pStyle w:val="NormalWeb"/>
        <w:rPr>
          <w:rFonts w:ascii="Arial" w:hAnsi="Arial" w:cs="Arial"/>
        </w:rPr>
      </w:pPr>
      <w:r w:rsidRPr="00C51E5B">
        <w:rPr>
          <w:rFonts w:ascii="Arial" w:hAnsi="Arial" w:cs="Arial"/>
        </w:rPr>
        <w:tab/>
        <w:t>El ODS 13, "Acción por el Clima", está estrechamente relacionado con las políticas y normativas europeas que promueven la reducción de emisiones de gases de efecto invernadero y la adaptación al cambio climático. A continuación, se presentan algunas normativas clave en Europa que abordan la acción climática y están alineadas con el ODS 13:</w:t>
      </w:r>
    </w:p>
    <w:p w14:paraId="180CBD89" w14:textId="4A264267" w:rsidR="00BD6E6D" w:rsidRPr="00C51E5B" w:rsidRDefault="00BD6E6D" w:rsidP="00905066">
      <w:pPr>
        <w:pStyle w:val="Ttulo2"/>
        <w:spacing w:line="240" w:lineRule="auto"/>
        <w:rPr>
          <w:rFonts w:ascii="Arial" w:hAnsi="Arial" w:cs="Arial"/>
          <w:sz w:val="24"/>
          <w:szCs w:val="24"/>
        </w:rPr>
      </w:pPr>
      <w:r w:rsidRPr="00C51E5B">
        <w:rPr>
          <w:rFonts w:ascii="Arial" w:hAnsi="Arial" w:cs="Arial"/>
          <w:sz w:val="24"/>
          <w:szCs w:val="24"/>
        </w:rPr>
        <w:t xml:space="preserve"> </w:t>
      </w:r>
      <w:bookmarkStart w:id="26" w:name="_Toc178883923"/>
      <w:r w:rsidRPr="00C51E5B">
        <w:rPr>
          <w:rFonts w:ascii="Arial" w:hAnsi="Arial" w:cs="Arial"/>
          <w:sz w:val="24"/>
          <w:szCs w:val="24"/>
        </w:rPr>
        <w:t>Reglamento (UE) 2018/842 sobre las Reducciones Anuales Vinculantes de las Emisiones de Gases de Efecto Invernadero</w:t>
      </w:r>
      <w:bookmarkEnd w:id="26"/>
    </w:p>
    <w:p w14:paraId="3456D553" w14:textId="088E2412" w:rsidR="00BD6E6D" w:rsidRPr="00C51E5B" w:rsidRDefault="00BD6E6D" w:rsidP="00905066">
      <w:pPr>
        <w:pStyle w:val="NormalWeb"/>
        <w:rPr>
          <w:rFonts w:ascii="Arial" w:hAnsi="Arial" w:cs="Arial"/>
        </w:rPr>
      </w:pPr>
      <w:r w:rsidRPr="00C51E5B">
        <w:rPr>
          <w:rFonts w:ascii="Arial" w:hAnsi="Arial" w:cs="Arial"/>
        </w:rPr>
        <w:tab/>
        <w:t>Este reglamento establece objetivos nacionales vinculantes de reducción de emisiones de gases de efecto invernadero para los Estados miembros de la UE en sectores no cubiertos por el Sistema de Comercio de Emisiones de la UE (EU ETS), como el transporte, la agricultura, la construcción y la gestión de residuos, con el fin de cumplir los compromisos del Acuerdo de París. "El Reglamento (UE) 2018/842 establece metas vinculantes para que los Estados miembros reduzcan sus emisiones de gases de efecto invernadero en sectores clave, contribuyendo significativamente a los objetivos del ODS 13 y al cumplimiento del Acuerdo de París" (Parlamento Europeo y Consejo de la Unión Europea, 2018).</w:t>
      </w:r>
    </w:p>
    <w:p w14:paraId="263F4530" w14:textId="77777777" w:rsidR="007A2012" w:rsidRPr="00C51E5B" w:rsidRDefault="007A2012" w:rsidP="00905066">
      <w:pPr>
        <w:pStyle w:val="Ttulo2"/>
        <w:spacing w:line="240" w:lineRule="auto"/>
        <w:rPr>
          <w:rFonts w:ascii="Arial" w:hAnsi="Arial" w:cs="Arial"/>
          <w:sz w:val="24"/>
          <w:szCs w:val="24"/>
        </w:rPr>
      </w:pPr>
      <w:bookmarkStart w:id="27" w:name="_Toc178883924"/>
      <w:r w:rsidRPr="00C51E5B">
        <w:rPr>
          <w:rFonts w:ascii="Arial" w:hAnsi="Arial" w:cs="Arial"/>
          <w:sz w:val="24"/>
          <w:szCs w:val="24"/>
        </w:rPr>
        <w:t>Reglamento (UE) 2021/1119 sobre la Ley del Clima Europea</w:t>
      </w:r>
      <w:bookmarkEnd w:id="27"/>
    </w:p>
    <w:p w14:paraId="20C58251" w14:textId="707BC8E5" w:rsidR="007A2012" w:rsidRPr="00C51E5B" w:rsidRDefault="007A2012" w:rsidP="00905066">
      <w:pPr>
        <w:pStyle w:val="NormalWeb"/>
        <w:rPr>
          <w:rFonts w:ascii="Arial" w:hAnsi="Arial" w:cs="Arial"/>
        </w:rPr>
      </w:pPr>
      <w:r w:rsidRPr="00C51E5B">
        <w:rPr>
          <w:rFonts w:ascii="Arial" w:hAnsi="Arial" w:cs="Arial"/>
        </w:rPr>
        <w:tab/>
        <w:t>La Ley del Clima Europea establece el marco legal para lograr la neutralidad climática en la UE para 2050, fijando el objetivo de reducir las emisiones netas de gases de efecto invernadero en al menos un 55% para 2030 en comparación con los niveles de 1990. Este reglamento refuerza el compromiso de la UE con el ODS 13 y el Acuerdo de París. "El Reglamento (UE) 2021/1119 formaliza el objetivo de la neutralidad climática de la Unión Europea para 2050, impulsando políticas y medidas concretas para la mitigación del cambio climático, en consonancia con los objetivos del ODS 13" (Parlamento Europeo y Consejo de la Unión Europea, 2021).</w:t>
      </w:r>
    </w:p>
    <w:p w14:paraId="28678788" w14:textId="77777777" w:rsidR="00517836" w:rsidRPr="00C51E5B" w:rsidRDefault="00517836" w:rsidP="00905066">
      <w:pPr>
        <w:pStyle w:val="Ttulo2"/>
        <w:spacing w:line="240" w:lineRule="auto"/>
        <w:rPr>
          <w:rFonts w:ascii="Arial" w:hAnsi="Arial" w:cs="Arial"/>
          <w:sz w:val="24"/>
          <w:szCs w:val="24"/>
        </w:rPr>
      </w:pPr>
      <w:bookmarkStart w:id="28" w:name="_Toc178883925"/>
      <w:r w:rsidRPr="00C51E5B">
        <w:rPr>
          <w:rFonts w:ascii="Arial" w:hAnsi="Arial" w:cs="Arial"/>
          <w:sz w:val="24"/>
          <w:szCs w:val="24"/>
        </w:rPr>
        <w:t>Directiva (UE) 2018/410 que Modifica la Directiva 2003/87/CE (EU ETS)</w:t>
      </w:r>
      <w:bookmarkEnd w:id="28"/>
    </w:p>
    <w:p w14:paraId="45773537" w14:textId="4845F332" w:rsidR="00517836" w:rsidRPr="00C51E5B" w:rsidRDefault="00517836" w:rsidP="00905066">
      <w:pPr>
        <w:pStyle w:val="NormalWeb"/>
        <w:rPr>
          <w:rFonts w:ascii="Arial" w:hAnsi="Arial" w:cs="Arial"/>
        </w:rPr>
      </w:pPr>
      <w:r w:rsidRPr="00C51E5B">
        <w:rPr>
          <w:rFonts w:ascii="Arial" w:hAnsi="Arial" w:cs="Arial"/>
        </w:rPr>
        <w:tab/>
        <w:t>Esta directiva modifica el Sistema de Comercio de Emisiones de la UE (EU ETS) para reforzar la reducción de emisiones de gases de efecto invernadero mediante el establecimiento de un marco para el período 2021-2030. Introduce una reserva de estabilidad del mercado para abordar el exceso de derechos de emisión y fomentar la inversión en tecnologías bajas en carbono. "La Directiva (UE) 2018/410 ajusta el Sistema de Comercio de Emisiones de la UE, fortaleciendo los mecanismos para reducir las emisiones y acelerando la transición hacia una economía baja en carbono, en línea con el ODS 13" (Parlamento Europeo y Consejo de la Unión Europea, 2018).</w:t>
      </w:r>
    </w:p>
    <w:p w14:paraId="737A0B6D" w14:textId="77777777" w:rsidR="00517836" w:rsidRPr="00C51E5B" w:rsidRDefault="00517836" w:rsidP="00905066">
      <w:pPr>
        <w:pStyle w:val="Ttulo2"/>
        <w:spacing w:line="240" w:lineRule="auto"/>
        <w:rPr>
          <w:rFonts w:ascii="Arial" w:hAnsi="Arial" w:cs="Arial"/>
          <w:sz w:val="24"/>
          <w:szCs w:val="24"/>
        </w:rPr>
      </w:pPr>
      <w:bookmarkStart w:id="29" w:name="_Toc178883926"/>
      <w:r w:rsidRPr="00C51E5B">
        <w:rPr>
          <w:rFonts w:ascii="Arial" w:hAnsi="Arial" w:cs="Arial"/>
          <w:sz w:val="24"/>
          <w:szCs w:val="24"/>
        </w:rPr>
        <w:lastRenderedPageBreak/>
        <w:t>Pacto Verde Europeo (European Green Deal)</w:t>
      </w:r>
      <w:bookmarkEnd w:id="29"/>
    </w:p>
    <w:p w14:paraId="45669C0E" w14:textId="054A5E44" w:rsidR="00517836" w:rsidRPr="00C51E5B" w:rsidRDefault="00517836" w:rsidP="00905066">
      <w:pPr>
        <w:pStyle w:val="NormalWeb"/>
        <w:rPr>
          <w:rFonts w:ascii="Arial" w:hAnsi="Arial" w:cs="Arial"/>
        </w:rPr>
      </w:pPr>
      <w:r w:rsidRPr="00C51E5B">
        <w:rPr>
          <w:rFonts w:ascii="Arial" w:hAnsi="Arial" w:cs="Arial"/>
        </w:rPr>
        <w:t>El Pacto Verde Europeo es una estrategia integral de la Unión Europea que busca convertir a Europa en el primer continente climáticamente neutro para 2050. Incluye una serie de políticas y medidas para reducir las emisiones de gases de efecto invernadero, mejorar la eficiencia energética y fomentar la economía circular. "El Pacto Verde Europeo es la piedra angular de las políticas climáticas de la UE, orientando la acción hacia la reducción de emisiones y la adaptación al cambio climático, en cumplimiento de los objetivos del ODS 13" (Comisión Europea, 2019).</w:t>
      </w:r>
    </w:p>
    <w:p w14:paraId="7E4498BD" w14:textId="1A379062" w:rsidR="00E04517" w:rsidRPr="00C51E5B" w:rsidRDefault="00E04517" w:rsidP="00905066">
      <w:pPr>
        <w:pStyle w:val="Ttulo1"/>
        <w:rPr>
          <w:rFonts w:ascii="Arial" w:hAnsi="Arial" w:cs="Arial"/>
          <w:color w:val="FF0000"/>
          <w:sz w:val="24"/>
          <w:szCs w:val="24"/>
        </w:rPr>
      </w:pPr>
      <w:bookmarkStart w:id="30" w:name="_Toc178883927"/>
      <w:r w:rsidRPr="00C51E5B">
        <w:rPr>
          <w:rFonts w:ascii="Arial" w:hAnsi="Arial" w:cs="Arial"/>
          <w:sz w:val="24"/>
          <w:szCs w:val="24"/>
        </w:rPr>
        <w:t>Innovaciones y Desafíos Regulatorios en la Transición Energética: Un Análisis Comparativo entre Europa y Colombia</w:t>
      </w:r>
      <w:r w:rsidR="00885A02" w:rsidRPr="00C51E5B">
        <w:rPr>
          <w:rFonts w:ascii="Arial" w:hAnsi="Arial" w:cs="Arial"/>
          <w:sz w:val="24"/>
          <w:szCs w:val="24"/>
        </w:rPr>
        <w:t xml:space="preserve"> </w:t>
      </w:r>
      <w:bookmarkEnd w:id="30"/>
    </w:p>
    <w:p w14:paraId="1BA8F82C" w14:textId="28A48000" w:rsidR="00EF7FA5" w:rsidRPr="00C51E5B" w:rsidRDefault="00E04517" w:rsidP="00905066">
      <w:pPr>
        <w:pStyle w:val="NormalWeb"/>
        <w:ind w:firstLine="708"/>
        <w:rPr>
          <w:rFonts w:ascii="Arial" w:hAnsi="Arial" w:cs="Arial"/>
        </w:rPr>
      </w:pPr>
      <w:r w:rsidRPr="00C51E5B">
        <w:rPr>
          <w:rFonts w:ascii="Arial" w:hAnsi="Arial" w:cs="Arial"/>
        </w:rPr>
        <w:t xml:space="preserve"> </w:t>
      </w:r>
      <w:r w:rsidR="00EF7FA5" w:rsidRPr="00C51E5B">
        <w:rPr>
          <w:rFonts w:ascii="Arial" w:hAnsi="Arial" w:cs="Arial"/>
        </w:rPr>
        <w:t>“La transformación de los sistemas energéticos exige nuevas formas de pensar y nuevos enfoques para el suministro de energía. Las nuevas tecnologías, las soluciones innovadoras de software y los modelos de negocio orientados al futuro permiten actuar con rapidez y de forma específica en el mercado energético”</w:t>
      </w:r>
      <w:r w:rsidR="00EF7FA5" w:rsidRPr="00C51E5B">
        <w:rPr>
          <w:rFonts w:ascii="Arial" w:hAnsi="Arial" w:cs="Arial"/>
        </w:rPr>
        <w:fldChar w:fldCharType="begin"/>
      </w:r>
      <w:r w:rsidR="00EF7FA5" w:rsidRPr="00C51E5B">
        <w:rPr>
          <w:rFonts w:ascii="Arial" w:hAnsi="Arial" w:cs="Arial"/>
        </w:rPr>
        <w:instrText xml:space="preserve"> ADDIN ZOTERO_ITEM CSL_CITATION {"citationID":"mVpXo4fB","properties":{"formattedCitation":"(Arias et\\uc0\\u160{}al., 2022)","plainCitation":"(Arias et al., 2022)","noteIndex":0},"citationItems":[{"id":1093,"uris":["http://zotero.org/users/9184847/items/37FD8LNX"],"itemData":{"id":1093,"type":"article-journal","container-title":"Revista Técnica energía","DOI":"10.37116/revistaenergia.v18.n2.2022.494","ISSN":"2602-8492","issue":"2","language":"es","note":"publisher: Operador Nacional de Electricidad CENACE","page":"91-103","source":"SciELO","title":"Estado del Arte: Incentivos y Estrategias para la Penetración de Energía Renovable","title-short":"Estado del Arte","volume":"18","author":[{"family":"Arias","given":"Diego"},{"family":"Gavela","given":"Patricia"},{"family":"Riofrio","given":"Jonathan"},{"family":"Arias","given":"Diego"},{"family":"Gavela","given":"Patricia"},{"family":"Riofrio","given":"Jonathan"}],"issued":{"date-parts":[["2022",6]]}}}],"schema":"https://github.com/citation-style-language/schema/raw/master/csl-citation.json"} </w:instrText>
      </w:r>
      <w:r w:rsidR="00EF7FA5" w:rsidRPr="00C51E5B">
        <w:rPr>
          <w:rFonts w:ascii="Arial" w:hAnsi="Arial" w:cs="Arial"/>
        </w:rPr>
        <w:fldChar w:fldCharType="separate"/>
      </w:r>
      <w:r w:rsidR="00EF7FA5" w:rsidRPr="00C51E5B">
        <w:rPr>
          <w:rFonts w:ascii="Arial" w:hAnsi="Arial" w:cs="Arial"/>
        </w:rPr>
        <w:t>(Arias et al., 2022)</w:t>
      </w:r>
      <w:r w:rsidR="00EF7FA5" w:rsidRPr="00C51E5B">
        <w:rPr>
          <w:rFonts w:ascii="Arial" w:hAnsi="Arial" w:cs="Arial"/>
        </w:rPr>
        <w:fldChar w:fldCharType="end"/>
      </w:r>
      <w:r w:rsidR="00EF7FA5" w:rsidRPr="00C51E5B">
        <w:rPr>
          <w:rFonts w:ascii="Arial" w:hAnsi="Arial" w:cs="Arial"/>
        </w:rPr>
        <w:t>.</w:t>
      </w:r>
      <w:r w:rsidR="00075C38" w:rsidRPr="00C51E5B">
        <w:rPr>
          <w:rFonts w:ascii="Arial" w:hAnsi="Arial" w:cs="Arial"/>
        </w:rPr>
        <w:t xml:space="preserve"> Los ecosistemas tecnológicos facilitan los diferentes procesos en las ciudades inteligentes, una Smart City, requiere energía constante, facilitaría la administración de los recursos y el respectivo seguimiento de los mismos grandes redes que posibiliten la integración con plataformas inteligentes como AMI como lo propone el BID en la ruta para tecnologías de Smart Grids al año 2030, hacer posible al 2030 lo propuesto por  Ideario Energético de la UPME, y los ejes estratégicos de Colombia para recolectar información de los usuarios frente al consumo, generando una eficiencia energética.</w:t>
      </w:r>
    </w:p>
    <w:p w14:paraId="28614EE9" w14:textId="1173B814" w:rsidR="0019775A" w:rsidRPr="00C51E5B" w:rsidRDefault="0019775A" w:rsidP="00905066">
      <w:pPr>
        <w:pStyle w:val="NormalWeb"/>
        <w:ind w:firstLine="708"/>
        <w:rPr>
          <w:rFonts w:ascii="Arial" w:hAnsi="Arial" w:cs="Arial"/>
        </w:rPr>
      </w:pPr>
      <w:r w:rsidRPr="00C51E5B">
        <w:rPr>
          <w:rFonts w:ascii="Arial" w:hAnsi="Arial" w:cs="Arial"/>
        </w:rPr>
        <w:t>En lo concerniente a la ley 2099 de 2021, “Políticas y marco regulatorio: Para el desarrollo de un comercio sostenible de hidrógeno verde requiere establecer políticas y normas específicas, que podrían ser uni-, bi-, pluri- o multilaterales. Las políticas deben permitir que los países productores se beneficien de toda la cadena de valor de la producción y el comercio de hidrógeno verde, y deben priorizar la electrificación basada en energías renovables siempre que sea posible. Se debe implementar una regulación internacional coherente que garantice la transparencia y confiabilidad de los criterios acordados para la producción de hidrógeno verde”</w:t>
      </w:r>
      <w:r w:rsidRPr="00C51E5B">
        <w:rPr>
          <w:rFonts w:ascii="Arial" w:hAnsi="Arial" w:cs="Arial"/>
        </w:rPr>
        <w:fldChar w:fldCharType="begin"/>
      </w:r>
      <w:r w:rsidRPr="00C51E5B">
        <w:rPr>
          <w:rFonts w:ascii="Arial" w:hAnsi="Arial" w:cs="Arial"/>
        </w:rPr>
        <w:instrText xml:space="preserve"> ADDIN ZOTERO_ITEM CSL_CITATION {"citationID":"iy4Vo1NM","properties":{"formattedCitation":"(Rosero Rodr\\uc0\\u237{}guez, 2023)","plainCitation":"(Rosero Rodríguez, 2023)","noteIndex":0},"citationItems":[{"id":1109,"uris":["http://zotero.org/users/9184847/items/LR4LQ7AI"],"itemData":{"id":1109,"type":"article-journal","abstract":"RESUMEN : El proyecto tiene como objetivo establecer una base de conocimiento sólida sobre el hidrógeno verde en Colombia y a nivel mundial, con el fin de que CIDET pueda determinar su participación en el desarrollo de esta energía en el país. El enfoque se divide en tres fases principales. En la Fase I, se enfoca en comprender los marcos políticos y los avances tecnológicos relacionados con el hidrógeno verde. Esto implica analizar las políticas, estándares, reglamentos, leyes y políticas públicas existentes en Colombia sobre el hidrógeno verde, así como las tecnologías utilizadas en su producción, almacenamiento y transporte. La idea es proporcionar a las empresas información de referencia para tomar decisiones informadas. En la Fase II, se realiza un análisis de casos de implementación previos. Se caracterizan los proyectos e iniciativas desarrolladas hasta la fecha en Colombia para la producción, almacenamiento y transporte de hidrógeno verde. El objetivo es identificar los desafíos y éxitos desde una perspectiva normativa y tecnológica, y aprender de estas experiencias. Se recopilan recomendaciones y conclusiones de los proyectos implementados en el país. En la Fase III, se aborda la caracterización de los modelos de mercado existentes para el hidrógeno verde a nivel mundial. Se analizan los proyectos e iniciativas previas y se identifican los actores involucrados, las normas y los pasos para implementar estos modelos. Se busca comprender la ubicación, duración y disposiciones normativas de estos mercados. También se recopilan recomendaciones clave para implementar con éxito un mercado de hidrógeno verde.","language":"spa","license":"info:eu-repo/semantics/openAccess","note":"Accepted: 2023-08-04T16:14:19Z\npublisher: Medellín, Colombia","source":"bibliotecadigital.udea.edu.co","title":"Consolidación de la base de conocimiento del hidrógeno verde, comprendiendo los avances tecnológicos, normativos, experiencias(pilotos) y modelos de mercado","URL":"https://bibliotecadigital.udea.edu.co/handle/10495/36151","author":[{"family":"Rosero Rodríguez","given":"Jaime Andrés"}],"accessed":{"date-parts":[["2024",9,30]]},"issued":{"date-parts":[["2023"]]}}}],"schema":"https://github.com/citation-style-language/schema/raw/master/csl-citation.json"} </w:instrText>
      </w:r>
      <w:r w:rsidRPr="00C51E5B">
        <w:rPr>
          <w:rFonts w:ascii="Arial" w:hAnsi="Arial" w:cs="Arial"/>
        </w:rPr>
        <w:fldChar w:fldCharType="separate"/>
      </w:r>
      <w:r w:rsidRPr="00C51E5B">
        <w:rPr>
          <w:rFonts w:ascii="Arial" w:hAnsi="Arial" w:cs="Arial"/>
        </w:rPr>
        <w:t>(Rosero Rodríguez, 2023)</w:t>
      </w:r>
      <w:r w:rsidRPr="00C51E5B">
        <w:rPr>
          <w:rFonts w:ascii="Arial" w:hAnsi="Arial" w:cs="Arial"/>
        </w:rPr>
        <w:fldChar w:fldCharType="end"/>
      </w:r>
      <w:r w:rsidRPr="00C51E5B">
        <w:rPr>
          <w:rFonts w:ascii="Arial" w:hAnsi="Arial" w:cs="Arial"/>
        </w:rPr>
        <w:t>. Se encuentra en Colombia en una primera fase donde aun requiere infraestructura, participación del sector publico y privado, establecer unos estándares propios para emitir la certificación del hidrogeno verde (y otros) producido</w:t>
      </w:r>
      <w:r w:rsidR="00836C31" w:rsidRPr="00C51E5B">
        <w:rPr>
          <w:rFonts w:ascii="Arial" w:hAnsi="Arial" w:cs="Arial"/>
        </w:rPr>
        <w:t xml:space="preserve"> para garantizar la calidad y generar confianza.</w:t>
      </w:r>
      <w:r w:rsidRPr="00C51E5B">
        <w:rPr>
          <w:rFonts w:ascii="Arial" w:hAnsi="Arial" w:cs="Arial"/>
        </w:rPr>
        <w:t xml:space="preserve">, de igual forma la normatividad debe estar en concordancia con la internacional y conforme a los procesos </w:t>
      </w:r>
      <w:r w:rsidR="00836C31" w:rsidRPr="00C51E5B">
        <w:rPr>
          <w:rFonts w:ascii="Arial" w:hAnsi="Arial" w:cs="Arial"/>
        </w:rPr>
        <w:t>que se adelanten para la producción y la movilidad.</w:t>
      </w:r>
    </w:p>
    <w:p w14:paraId="7CFA4A0C" w14:textId="7DF2090E" w:rsidR="0034584D" w:rsidRPr="00C51E5B" w:rsidRDefault="0034584D" w:rsidP="00905066">
      <w:pPr>
        <w:pStyle w:val="NormalWeb"/>
        <w:ind w:firstLine="708"/>
        <w:rPr>
          <w:rFonts w:ascii="Arial" w:hAnsi="Arial" w:cs="Arial"/>
        </w:rPr>
      </w:pPr>
      <w:r w:rsidRPr="00C51E5B">
        <w:rPr>
          <w:rFonts w:ascii="Arial" w:hAnsi="Arial" w:cs="Arial"/>
        </w:rPr>
        <w:t xml:space="preserve">“Las políticas europeas de EERR de la primera década del siglo XXI también han mostrado sus limitaciones.  Se ha hecho evidente que el marco político y económico de su implantación es inestable y fluctuante. Más </w:t>
      </w:r>
      <w:r w:rsidRPr="00C51E5B">
        <w:rPr>
          <w:rFonts w:ascii="Arial" w:hAnsi="Arial" w:cs="Arial"/>
        </w:rPr>
        <w:lastRenderedPageBreak/>
        <w:t>recientemente, con el nuevo Real Decreto 244/2019,  que establece  que  toda  energía consumida de origen renovable estará exenta de cargos y peajes, juega luz al crecimiento de las renovables y posibilidad real de cumplir los objetivos de la UE para 2030”.</w:t>
      </w:r>
      <w:r w:rsidRPr="00C51E5B">
        <w:rPr>
          <w:rFonts w:ascii="Arial" w:hAnsi="Arial" w:cs="Arial"/>
        </w:rPr>
        <w:fldChar w:fldCharType="begin"/>
      </w:r>
      <w:r w:rsidRPr="00C51E5B">
        <w:rPr>
          <w:rFonts w:ascii="Arial" w:hAnsi="Arial" w:cs="Arial"/>
        </w:rPr>
        <w:instrText xml:space="preserve"> ADDIN ZOTERO_ITEM CSL_CITATION {"citationID":"MV4HNiQQ","properties":{"formattedCitation":"(Camacho-Ballesta et\\uc0\\u160{}al., 2021)","plainCitation":"(Camacho-Ballesta et al., 2021)","noteIndex":0},"citationItems":[{"id":1113,"uris":["http://zotero.org/users/9184847/items/9D42EEHJ"],"itemData":{"id":1113,"type":"article-journal","abstract":"Renewable energy (RES) is the world's great hope forcontaining climate change,but there is a great difficulty in the transition process. Therefore,the European Union (EU) established that for 2030 the percentage of RES should cover 32% of total energy consumption. In this contexcto Spain seeks to adapt to meet the energy challenges. That study analyzed the regulatory framework of RES sources in Spain and its implications for the development of those sources. The study deals with a review analysis of the regulatory framework of the RES in Spain and descriptive analysis of secondary data on this type of energy, between the years of 1997 to the current period. As a result, it was observed that the European RES policies of the first decade of the twenty-first century have also shown their limitations. It has become clear that the political and economic framework for its implementation is unstable and fluctuating.&amp;nbsp; More recently, with the new Royal Decree 244/2019, which establishes that all energy consumed from renewable origin will be exempt from charges and tolls, plays light on the growth of renewables and real possibility of meeting the EU's objectives for 2030.","container-title":"International Review of Economic Policy-Revista Internacional de Política Económica","DOI":"10.7203/IREP.3.2.22790","ISSN":"2695-7035","issue":"2","language":"es","license":"Derechos de autor 2021 International Review of Economic Policy-Revista Internacional de Política Económica","note":"number: 2","page":"77-87","source":"turia.uv.es","title":"Evolución de las políticas de energías renovables en España","volume":"3","author":[{"family":"Camacho-Ballesta","given":"José Antonio"},{"family":"Almeida","given":"Lucas","non-dropping-particle":"da-Silva-"},{"family":"Belmonte","given":"Jesús Molina"}],"issued":{"date-parts":[["2021",12,30]]}}}],"schema":"https://github.com/citation-style-language/schema/raw/master/csl-citation.json"} </w:instrText>
      </w:r>
      <w:r w:rsidRPr="00C51E5B">
        <w:rPr>
          <w:rFonts w:ascii="Arial" w:hAnsi="Arial" w:cs="Arial"/>
        </w:rPr>
        <w:fldChar w:fldCharType="separate"/>
      </w:r>
      <w:r w:rsidRPr="00C51E5B">
        <w:rPr>
          <w:rFonts w:ascii="Arial" w:hAnsi="Arial" w:cs="Arial"/>
        </w:rPr>
        <w:t>(Camacho-Ballesta et al., 2021)</w:t>
      </w:r>
      <w:r w:rsidRPr="00C51E5B">
        <w:rPr>
          <w:rFonts w:ascii="Arial" w:hAnsi="Arial" w:cs="Arial"/>
        </w:rPr>
        <w:fldChar w:fldCharType="end"/>
      </w:r>
      <w:r w:rsidR="006C1369" w:rsidRPr="00C51E5B">
        <w:rPr>
          <w:rFonts w:ascii="Arial" w:hAnsi="Arial" w:cs="Arial"/>
        </w:rPr>
        <w:t>. Basta con ver las cifras, en 1971, a nivel global las energías renovables alcanzaban el 13,13 %, en el 2018, el porcentaje de energías renovables se mantenía casi igual 13, 98%, son variadas las barreras que impiden la sostenibilidad, entre ellas el uso ineficiente de la energía por parte de los habitantes. España intenta adaptarse para enfrentar los desafíos energéticos, aunque ha tenido dificultades en la última década para implementar políticas que impulsen las energías renovables en lugar de las fuentes convencionales, a pesar de contar con incentivos económicos (Frolova et al., 2019).</w:t>
      </w:r>
    </w:p>
    <w:p w14:paraId="74070ABE" w14:textId="6ABD1FC5" w:rsidR="001A5701" w:rsidRPr="00C51E5B" w:rsidRDefault="00FA14AA" w:rsidP="00905066">
      <w:pPr>
        <w:pStyle w:val="NormalWeb"/>
        <w:rPr>
          <w:rFonts w:ascii="Arial" w:hAnsi="Arial" w:cs="Arial"/>
        </w:rPr>
      </w:pPr>
      <w:r w:rsidRPr="00C51E5B">
        <w:rPr>
          <w:rFonts w:ascii="Arial" w:hAnsi="Arial" w:cs="Arial"/>
        </w:rPr>
        <w:tab/>
        <w:t>Entender mejor los factores que facilitan o dificultan la implementación de políticas de energías renovables permitirá fortalecer el respaldo político necesario para que dichas políticas resistan las presiones a corto plazo. En definitiva, la solidez de ese apoyo determinará la rapidez y el alcance del avance en el uso de energías renovables. “Considerando la gran necesidad de una transición global hacia un sistema energético bajo en carbono, la falta de análisis sobre las políticas en el sector de las EERR representa una importante brecha de conocimiento”</w:t>
      </w:r>
      <w:r w:rsidRPr="00C51E5B">
        <w:rPr>
          <w:rFonts w:ascii="Arial" w:eastAsiaTheme="minorHAnsi" w:hAnsi="Arial" w:cs="Arial"/>
          <w:kern w:val="2"/>
          <w:shd w:val="clear" w:color="auto" w:fill="FFFFFF"/>
          <w:lang w:eastAsia="en-US"/>
          <w14:ligatures w14:val="standardContextual"/>
        </w:rPr>
        <w:t xml:space="preserve"> </w:t>
      </w:r>
      <w:r w:rsidRPr="00C51E5B">
        <w:rPr>
          <w:rFonts w:ascii="Arial" w:hAnsi="Arial" w:cs="Arial"/>
        </w:rPr>
        <w:t>(Gürtler, Postpischil, &amp; Quitzow, 2019).</w:t>
      </w:r>
      <w:r w:rsidR="001A5701" w:rsidRPr="00C51E5B">
        <w:rPr>
          <w:rFonts w:ascii="Arial" w:eastAsia="Times New Roman" w:hAnsi="Arial" w:cs="Arial"/>
        </w:rPr>
        <w:t xml:space="preserve"> </w:t>
      </w:r>
      <w:r w:rsidR="001A5701" w:rsidRPr="00C51E5B">
        <w:rPr>
          <w:rFonts w:ascii="Arial" w:hAnsi="Arial" w:cs="Arial"/>
        </w:rPr>
        <w:t>El marco regulatorio de las energías renovables en España ha pasado por varias etapas importantes, reflejando cambios legislativos que han afectado su desarrollo. Desde el Real Decreto 661/2007, que estableció un régimen especial de retribución para las instalaciones de energías renovables, hasta reformas más recientes, como el Real Decreto 17/2019, se han implementado medidas para favorecer la transición energética y cumplir con los objetivos climáticos.</w:t>
      </w:r>
    </w:p>
    <w:p w14:paraId="4D341994" w14:textId="77777777" w:rsidR="001A5701" w:rsidRPr="00C51E5B" w:rsidRDefault="001A5701" w:rsidP="00905066">
      <w:pPr>
        <w:pStyle w:val="NormalWeb"/>
        <w:ind w:firstLine="708"/>
        <w:rPr>
          <w:rFonts w:ascii="Arial" w:hAnsi="Arial" w:cs="Arial"/>
        </w:rPr>
      </w:pPr>
      <w:r w:rsidRPr="00C51E5B">
        <w:rPr>
          <w:rFonts w:ascii="Arial" w:hAnsi="Arial" w:cs="Arial"/>
        </w:rPr>
        <w:t>En sus inicios, la normativa española fomentó fuertemente la expansión de las energías renovables mediante tarifas reguladas y primas, lo que resultó en un rápido crecimiento de estas tecnologías, especialmente en el sector de la energía eólica y solar. Sin embargo, tras la crisis económica y el aumento del déficit tarifario, el apoyo se redujo considerablemente, generando incertidumbre en el sector y una desaceleración en la inversión.</w:t>
      </w:r>
    </w:p>
    <w:p w14:paraId="5BFC9929" w14:textId="3DA7A126" w:rsidR="001A5701" w:rsidRPr="00C51E5B" w:rsidRDefault="001A5701" w:rsidP="00905066">
      <w:pPr>
        <w:pStyle w:val="NormalWeb"/>
        <w:ind w:firstLine="708"/>
        <w:rPr>
          <w:rFonts w:ascii="Arial" w:hAnsi="Arial" w:cs="Arial"/>
        </w:rPr>
      </w:pPr>
      <w:r w:rsidRPr="00C51E5B">
        <w:rPr>
          <w:rFonts w:ascii="Arial" w:hAnsi="Arial" w:cs="Arial"/>
        </w:rPr>
        <w:t>Recientemente, las políticas han retomado un impulso significativo, con medidas como la Ley de Cambio Climático y Transición Energética, que fija un objetivo de descarbonización para 2050 y prevé que el 74% de la electricidad provenga de fuentes renovables para 2030. En 2023, España alcanzó un récord en la generación de electricidad renovable, con más del 50% proveniente de estas fuentes, consolidando su liderazgo en la transición energética en Europa​.</w:t>
      </w:r>
    </w:p>
    <w:p w14:paraId="5A435EF6" w14:textId="31D28CD9" w:rsidR="001A5701" w:rsidRPr="00C51E5B" w:rsidRDefault="001A5701" w:rsidP="00905066">
      <w:pPr>
        <w:pStyle w:val="NormalWeb"/>
        <w:ind w:firstLine="708"/>
        <w:rPr>
          <w:rFonts w:ascii="Arial" w:hAnsi="Arial" w:cs="Arial"/>
        </w:rPr>
      </w:pPr>
      <w:r w:rsidRPr="00C51E5B">
        <w:rPr>
          <w:rFonts w:ascii="Arial" w:hAnsi="Arial" w:cs="Arial"/>
        </w:rPr>
        <w:t xml:space="preserve">El marco regulatorio de las energías renovables en Europa ha sido un referente a nivel global, evolucionando significativamente desde el año 2000. Europa ha liderado la expansión de energías como la eólica y solar, con políticas que integran objetivos nacionales de energías renovables, como la Directiva 2009/28/CE. Esta normativa ha sido clave al establecer metas ambiciosas, como </w:t>
      </w:r>
      <w:r w:rsidRPr="00C51E5B">
        <w:rPr>
          <w:rFonts w:ascii="Arial" w:hAnsi="Arial" w:cs="Arial"/>
        </w:rPr>
        <w:lastRenderedPageBreak/>
        <w:t xml:space="preserve">alcanzar un 32% de energía renovable para 2030, y ha sido actualizada para alinearse con el </w:t>
      </w:r>
      <w:r w:rsidRPr="00C51E5B">
        <w:rPr>
          <w:rFonts w:ascii="Arial" w:hAnsi="Arial" w:cs="Arial"/>
          <w:b/>
          <w:bCs/>
        </w:rPr>
        <w:t>Pacto Verde Europeo</w:t>
      </w:r>
      <w:r w:rsidRPr="00C51E5B">
        <w:rPr>
          <w:rFonts w:ascii="Arial" w:hAnsi="Arial" w:cs="Arial"/>
        </w:rPr>
        <w:t>, que busca la neutralidad climática para 2050​(Comisión Europea).</w:t>
      </w:r>
    </w:p>
    <w:p w14:paraId="7DAFD14F" w14:textId="24C2AA38" w:rsidR="001A5701" w:rsidRPr="00C51E5B" w:rsidRDefault="001A5701" w:rsidP="00905066">
      <w:pPr>
        <w:pStyle w:val="NormalWeb"/>
        <w:ind w:firstLine="708"/>
        <w:rPr>
          <w:rFonts w:ascii="Arial" w:hAnsi="Arial" w:cs="Arial"/>
        </w:rPr>
      </w:pPr>
      <w:r w:rsidRPr="00C51E5B">
        <w:rPr>
          <w:rFonts w:ascii="Arial" w:hAnsi="Arial" w:cs="Arial"/>
        </w:rPr>
        <w:t xml:space="preserve">Por otro lado, en Colombia, el desarrollo regulatorio ha sido más reciente, pero ha mostrado avances notables. El país ha implementado normativas como la Ley 1715 de 2014, que fomenta el uso de fuentes no convencionales de energía renovable. En 2021, Colombia fue seleccionada como parte del Programa de Integración de Energías Renovables de los </w:t>
      </w:r>
      <w:r w:rsidRPr="00C51E5B">
        <w:rPr>
          <w:rFonts w:ascii="Arial" w:hAnsi="Arial" w:cs="Arial"/>
          <w:b/>
          <w:bCs/>
        </w:rPr>
        <w:t>Climate Investment Funds</w:t>
      </w:r>
      <w:r w:rsidRPr="00C51E5B">
        <w:rPr>
          <w:rFonts w:ascii="Arial" w:hAnsi="Arial" w:cs="Arial"/>
        </w:rPr>
        <w:t xml:space="preserve"> (CIF), con el objetivo de integrar 100 MW de energía solar y eólica, y avanzar hacia el desarrollo del hidrógeno verde​.</w:t>
      </w:r>
    </w:p>
    <w:p w14:paraId="27D3B1A8" w14:textId="6E08674F" w:rsidR="00BD6E6D" w:rsidRPr="00C51E5B" w:rsidRDefault="001A5701" w:rsidP="00905066">
      <w:pPr>
        <w:pStyle w:val="NormalWeb"/>
        <w:ind w:firstLine="708"/>
        <w:rPr>
          <w:rFonts w:ascii="Arial" w:hAnsi="Arial" w:cs="Arial"/>
        </w:rPr>
      </w:pPr>
      <w:r w:rsidRPr="00C51E5B">
        <w:rPr>
          <w:rFonts w:ascii="Arial" w:hAnsi="Arial" w:cs="Arial"/>
        </w:rPr>
        <w:t>Mientras que Europa ha contado con políticas consolidadas desde hace más de dos décadas, Colombia está acelerando su transición energética, con metas claras hacia 2030 que incluyen el aumento de la participación de energías renovables en la matriz energética y la reducción de emisiones. Ambos marcos reguladores están enfocados en alcanzar metas climáticas ambiciosas, aunque Europa lleva una ventaja en cuanto a la implementación temprana de estas políticas.</w:t>
      </w:r>
      <w:r w:rsidR="00EB675A" w:rsidRPr="00C51E5B">
        <w:rPr>
          <w:rFonts w:ascii="Arial" w:hAnsi="Arial" w:cs="Arial"/>
        </w:rPr>
        <w:t xml:space="preserve"> Por otra parte, “España empezó a construir un marco regulatorio favorable al avance de las EERR, pero a finales del año de 2008, el gobierno</w:t>
      </w:r>
      <w:r w:rsidR="00296AC5" w:rsidRPr="00C51E5B">
        <w:rPr>
          <w:rFonts w:ascii="Arial" w:hAnsi="Arial" w:cs="Arial"/>
        </w:rPr>
        <w:t xml:space="preserve"> </w:t>
      </w:r>
      <w:r w:rsidR="00EB675A" w:rsidRPr="00C51E5B">
        <w:rPr>
          <w:rFonts w:ascii="Arial" w:hAnsi="Arial" w:cs="Arial"/>
        </w:rPr>
        <w:t xml:space="preserve">español ha reorientado este marco aplicando una serie de enmiendas que desfavorecían el esquema de apoyo a las energías renovables, especialmente dirigidas  </w:t>
      </w:r>
      <w:r w:rsidR="00296AC5" w:rsidRPr="00C51E5B">
        <w:rPr>
          <w:rFonts w:ascii="Arial" w:hAnsi="Arial" w:cs="Arial"/>
        </w:rPr>
        <w:t>a</w:t>
      </w:r>
      <w:r w:rsidR="00EB675A" w:rsidRPr="00C51E5B">
        <w:rPr>
          <w:rFonts w:ascii="Arial" w:hAnsi="Arial" w:cs="Arial"/>
        </w:rPr>
        <w:t>l  sector  de  la  energía solar  fotovoltaica (Gürtler  et  al., 2019).</w:t>
      </w:r>
    </w:p>
    <w:p w14:paraId="241D04F2" w14:textId="0E80B85C" w:rsidR="005F0AB7" w:rsidRPr="00C51E5B" w:rsidRDefault="005F0AB7" w:rsidP="00905066">
      <w:pPr>
        <w:pStyle w:val="NormalWeb"/>
        <w:ind w:firstLine="708"/>
        <w:rPr>
          <w:rFonts w:ascii="Arial" w:hAnsi="Arial" w:cs="Arial"/>
        </w:rPr>
      </w:pPr>
      <w:r w:rsidRPr="00C51E5B">
        <w:rPr>
          <w:rFonts w:ascii="Arial" w:hAnsi="Arial" w:cs="Arial"/>
        </w:rPr>
        <w:t>España tiene un gran potencial para destacar en la producción de energías renovables en comparación con otros países de la UE. Sin embargo, para lograr su máximo rendimiento, es fundamental contar con un marco regulador que brinde seguridad a las inversiones necesarias. El Real Decreto 244/2019 es un paso importante en esta dirección y podría ayudar a España a cumplir con sus objetivos de energía renovable para 2030. Aun así, para que el progreso sea sostenible, el gobierno debe ir más allá de eliminar barreras económicas y ofrecer incentivos para fomentar la investigación, el desarrollo y la innovación en el sector</w:t>
      </w:r>
      <w:r w:rsidRPr="00C51E5B">
        <w:rPr>
          <w:rFonts w:ascii="Arial" w:hAnsi="Arial" w:cs="Arial"/>
        </w:rPr>
        <w:fldChar w:fldCharType="begin"/>
      </w:r>
      <w:r w:rsidRPr="00C51E5B">
        <w:rPr>
          <w:rFonts w:ascii="Arial" w:hAnsi="Arial" w:cs="Arial"/>
        </w:rPr>
        <w:instrText xml:space="preserve"> ADDIN ZOTERO_ITEM CSL_CITATION {"citationID":"DCuAFv2q","properties":{"formattedCitation":"(Camacho-Ballesta et\\uc0\\u160{}al., 2021)","plainCitation":"(Camacho-Ballesta et al., 2021)","noteIndex":0},"citationItems":[{"id":1113,"uris":["http://zotero.org/users/9184847/items/9D42EEHJ"],"itemData":{"id":1113,"type":"article-journal","abstract":"Renewable energy (RES) is the world's great hope forcontaining climate change,but there is a great difficulty in the transition process. Therefore,the European Union (EU) established that for 2030 the percentage of RES should cover 32% of total energy consumption. In this contexcto Spain seeks to adapt to meet the energy challenges. That study analyzed the regulatory framework of RES sources in Spain and its implications for the development of those sources. The study deals with a review analysis of the regulatory framework of the RES in Spain and descriptive analysis of secondary data on this type of energy, between the years of 1997 to the current period. As a result, it was observed that the European RES policies of the first decade of the twenty-first century have also shown their limitations. It has become clear that the political and economic framework for its implementation is unstable and fluctuating.&amp;nbsp; More recently, with the new Royal Decree 244/2019, which establishes that all energy consumed from renewable origin will be exempt from charges and tolls, plays light on the growth of renewables and real possibility of meeting the EU's objectives for 2030.","container-title":"International Review of Economic Policy-Revista Internacional de Política Económica","DOI":"10.7203/IREP.3.2.22790","ISSN":"2695-7035","issue":"2","language":"es","license":"Derechos de autor 2021 International Review of Economic Policy-Revista Internacional de Política Económica","note":"number: 2","page":"77-87","source":"turia.uv.es","title":"Evolución de las políticas de energías renovables en España","volume":"3","author":[{"family":"Camacho-Ballesta","given":"José Antonio"},{"family":"Almeida","given":"Lucas","non-dropping-particle":"da-Silva-"},{"family":"Belmonte","given":"Jesús Molina"}],"issued":{"date-parts":[["2021",12,30]]}}}],"schema":"https://github.com/citation-style-language/schema/raw/master/csl-citation.json"} </w:instrText>
      </w:r>
      <w:r w:rsidRPr="00C51E5B">
        <w:rPr>
          <w:rFonts w:ascii="Arial" w:hAnsi="Arial" w:cs="Arial"/>
        </w:rPr>
        <w:fldChar w:fldCharType="separate"/>
      </w:r>
      <w:r w:rsidRPr="00C51E5B">
        <w:rPr>
          <w:rFonts w:ascii="Arial" w:hAnsi="Arial" w:cs="Arial"/>
        </w:rPr>
        <w:t>(Camacho-Ballesta et al., 2021)</w:t>
      </w:r>
      <w:r w:rsidRPr="00C51E5B">
        <w:rPr>
          <w:rFonts w:ascii="Arial" w:hAnsi="Arial" w:cs="Arial"/>
        </w:rPr>
        <w:fldChar w:fldCharType="end"/>
      </w:r>
      <w:r w:rsidRPr="00C51E5B">
        <w:rPr>
          <w:rFonts w:ascii="Arial" w:hAnsi="Arial" w:cs="Arial"/>
        </w:rPr>
        <w:t>.</w:t>
      </w:r>
    </w:p>
    <w:p w14:paraId="5551D1C1" w14:textId="2D00697E" w:rsidR="0012756E" w:rsidRPr="00C51E5B" w:rsidRDefault="0012756E" w:rsidP="00905066">
      <w:pPr>
        <w:pStyle w:val="NormalWeb"/>
        <w:ind w:firstLine="708"/>
        <w:rPr>
          <w:rFonts w:ascii="Arial" w:hAnsi="Arial" w:cs="Arial"/>
        </w:rPr>
      </w:pPr>
      <w:r w:rsidRPr="00C51E5B">
        <w:rPr>
          <w:rFonts w:ascii="Arial" w:hAnsi="Arial" w:cs="Arial"/>
        </w:rPr>
        <w:t>La contradicción entre el crecimiento económico y la protección del medio ambiente. Por un lado, el Estado obtiene beneficios económicos y apoya a las empresas, pero estas suelen ignorar el impacto ambiental. La única forma efectiva de cambiar esta situación es que el gobierno intervenga, estableciendo leyes que obligan a todas las partes a mejorar su conducta en relación con el medio. “La única forma de cambiar las cosas de una manera real, ordenada y eficaz es mediante la intervención del gobierno, con la introducción de ciertos requisitos legales que obliguen a cada una de las partes implicadas a mejorar su comportamiento”</w:t>
      </w:r>
      <w:r w:rsidRPr="00C51E5B">
        <w:rPr>
          <w:rFonts w:ascii="Arial" w:hAnsi="Arial" w:cs="Arial"/>
        </w:rPr>
        <w:fldChar w:fldCharType="begin"/>
      </w:r>
      <w:r w:rsidRPr="00C51E5B">
        <w:rPr>
          <w:rFonts w:ascii="Arial" w:hAnsi="Arial" w:cs="Arial"/>
        </w:rPr>
        <w:instrText xml:space="preserve"> ADDIN ZOTERO_ITEM CSL_CITATION {"citationID":"GbMSLZVz","properties":{"formattedCitation":"(D\\uc0\\u237{}az-Pinto Rodrigo, 2023)","plainCitation":"(Díaz-Pinto Rodrigo, 2023)","noteIndex":0},"citationItems":[{"id":1115,"uris":["http://zotero.org/users/9184847/items/ZEA96TQE"],"itemData":{"id":1115,"type":"article-journal","abstract":"En este trabajo, se busca destacar el papel crucial del Derecho en la lucha contra el cambio climático, centrándose en el uso de energías renovables como una vía para abordar este problema ambiental. El enfoque geográfico se limita a los esfuerzos normativos de la Unión Europea en la promoción de energías renovables. Se destaca que la UE ha sido líder en esta área gracias a su trabajo legislativo.","language":"spa","license":"This work is licensed under a Creative Commons Attribution-NonCommercial-NoDerivatives 4.0 International License","note":"Accepted: 2023-07-04T10:11:57Z","source":"repositori.upf.edu","title":"La política legislativa y acción normativa de la UE sobre energías renovables y la lucha contra el cambio climático","URL":"http://repositori.upf.edu/handle/10230/57455","author":[{"family":"Díaz-Pinto Rodrigo","given":"Sofía"}],"accessed":{"date-parts":[["2024",10,2]]},"issued":{"date-parts":[["2023",7,3]]}}}],"schema":"https://github.com/citation-style-language/schema/raw/master/csl-citation.json"} </w:instrText>
      </w:r>
      <w:r w:rsidRPr="00C51E5B">
        <w:rPr>
          <w:rFonts w:ascii="Arial" w:hAnsi="Arial" w:cs="Arial"/>
        </w:rPr>
        <w:fldChar w:fldCharType="separate"/>
      </w:r>
      <w:r w:rsidRPr="00C51E5B">
        <w:rPr>
          <w:rFonts w:ascii="Arial" w:hAnsi="Arial" w:cs="Arial"/>
        </w:rPr>
        <w:t>(Díaz-Pinto Rodrigo, 2023)</w:t>
      </w:r>
      <w:r w:rsidRPr="00C51E5B">
        <w:rPr>
          <w:rFonts w:ascii="Arial" w:hAnsi="Arial" w:cs="Arial"/>
        </w:rPr>
        <w:fldChar w:fldCharType="end"/>
      </w:r>
      <w:r w:rsidRPr="00C51E5B">
        <w:rPr>
          <w:rFonts w:ascii="Arial" w:hAnsi="Arial" w:cs="Arial"/>
        </w:rPr>
        <w:t>.</w:t>
      </w:r>
      <w:r w:rsidR="00E356EE" w:rsidRPr="00C51E5B">
        <w:rPr>
          <w:rFonts w:ascii="Arial" w:hAnsi="Arial" w:cs="Arial"/>
        </w:rPr>
        <w:t xml:space="preserve"> La UE es un referente mundial climático desde hace años y eso, en parte, se debe a la gran cantidad de esfuerzos que ha realizado en materia de legislación verde.</w:t>
      </w:r>
    </w:p>
    <w:p w14:paraId="098FBC0B" w14:textId="1781E617" w:rsidR="003947CA" w:rsidRPr="00C51E5B" w:rsidRDefault="00614E1E" w:rsidP="00905066">
      <w:pPr>
        <w:pStyle w:val="NormalWeb"/>
        <w:ind w:firstLine="708"/>
        <w:rPr>
          <w:rFonts w:ascii="Arial" w:hAnsi="Arial" w:cs="Arial"/>
        </w:rPr>
      </w:pPr>
      <w:r w:rsidRPr="00C51E5B">
        <w:rPr>
          <w:rFonts w:ascii="Arial" w:hAnsi="Arial" w:cs="Arial"/>
        </w:rPr>
        <w:lastRenderedPageBreak/>
        <w:t>La Unión Europea cuenta con una ventaja significativa gracias a su mercado interior, en el cual se promueven las energías renovables mediante una política energética común. Con la implementación del Pacto Verde Europeo, un conjunto de medidas legislativas enfocadas en la sostenibilidad y el fomento de energías renovables, la UE está facultada para legislar en materia de transición energética. A través de esta competencia, se crean directivas que deben ser cumplidas por todos los actores involucrados. Este acto jurídico se acata y se transpone sobre la que ya tengan, discriminando el mínimo de cumplimiento y acción. Esta acción normativa representa un interés real y amigable con el medio ambiente en la lucha por el cambio climático desde el 27 de septiembre 2001, aprobado por el parlamento, “La Directiva misma fijaba, a su vez, objetivos nacionales obligatorios en relación con la cuota de energía procedente de fuentes renovables en el consumo final bruto de energía y con la cuota de energía procedente de fuentes renovables en el transporte. De esta manera, los Estados miembros, al tener la obligación de alcanzar dichos valores de referencia, se vieron incentivados a adoptar cuanto antes medidas adecuadas para la consecución de las metas marcadas”(Díaz-Pinto Rodrigo, 2023)</w:t>
      </w:r>
    </w:p>
    <w:p w14:paraId="28DE2244" w14:textId="13D7E793" w:rsidR="00FC6403" w:rsidRPr="00C51E5B" w:rsidRDefault="00EB21CB" w:rsidP="00905066">
      <w:pPr>
        <w:pStyle w:val="Ttulo1"/>
        <w:rPr>
          <w:rFonts w:ascii="Arial" w:hAnsi="Arial" w:cs="Arial"/>
          <w:color w:val="FF0000"/>
          <w:sz w:val="24"/>
          <w:szCs w:val="24"/>
        </w:rPr>
      </w:pPr>
      <w:bookmarkStart w:id="31" w:name="_Toc178883928"/>
      <w:r w:rsidRPr="00C51E5B">
        <w:rPr>
          <w:rFonts w:ascii="Arial" w:hAnsi="Arial" w:cs="Arial"/>
          <w:sz w:val="24"/>
          <w:szCs w:val="24"/>
        </w:rPr>
        <w:t>Conclusiones</w:t>
      </w:r>
      <w:r w:rsidR="00540C20" w:rsidRPr="00C51E5B">
        <w:rPr>
          <w:rFonts w:ascii="Arial" w:hAnsi="Arial" w:cs="Arial"/>
          <w:sz w:val="24"/>
          <w:szCs w:val="24"/>
        </w:rPr>
        <w:t xml:space="preserve"> </w:t>
      </w:r>
      <w:bookmarkEnd w:id="31"/>
    </w:p>
    <w:p w14:paraId="5B7B3957" w14:textId="77777777" w:rsidR="00FC6403" w:rsidRPr="00C51E5B" w:rsidRDefault="00FC6403" w:rsidP="00905066">
      <w:pPr>
        <w:spacing w:after="0" w:line="240" w:lineRule="auto"/>
        <w:ind w:firstLine="709"/>
        <w:rPr>
          <w:rFonts w:ascii="Arial" w:eastAsia="Times New Roman" w:hAnsi="Arial" w:cs="Arial"/>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t>A partir del análisis realizado, se concluye que la implementación de la normativa sobre energías renovables en Colombia ha tenido avances importantes, pero insuficientes para alcanzar plenamente los Objetivos de Desarrollo Sostenible (ODS) 7 y 13. La Ley 1715 de 2014, la Ley 2099 de 2021 y otros decretos y resoluciones han establecido un marco regulatorio que promueve el uso de fuentes no convencionales de energía, sin embargo, la falta de incentivos efectivos y una implementación débil limitan su impacto en la reducción de emisiones y la transformación de la matriz energética del país.</w:t>
      </w:r>
    </w:p>
    <w:p w14:paraId="563445DB" w14:textId="43D9FF2B" w:rsidR="00FC6403" w:rsidRPr="00C51E5B" w:rsidRDefault="00FC6403" w:rsidP="00905066">
      <w:pPr>
        <w:spacing w:after="0" w:line="240" w:lineRule="auto"/>
        <w:ind w:firstLine="709"/>
        <w:rPr>
          <w:rFonts w:ascii="Arial" w:eastAsia="Times New Roman" w:hAnsi="Arial" w:cs="Arial"/>
          <w:kern w:val="0"/>
          <w:sz w:val="24"/>
          <w:szCs w:val="24"/>
          <w:lang w:eastAsia="es-ES_tradnl"/>
          <w14:ligatures w14:val="none"/>
        </w:rPr>
      </w:pPr>
      <w:r w:rsidRPr="00C51E5B">
        <w:rPr>
          <w:rFonts w:ascii="Arial" w:eastAsia="Times New Roman" w:hAnsi="Arial" w:cs="Arial"/>
          <w:kern w:val="0"/>
          <w:sz w:val="24"/>
          <w:szCs w:val="24"/>
          <w:lang w:eastAsia="es-ES_tradnl"/>
          <w14:ligatures w14:val="none"/>
        </w:rPr>
        <w:t>Comparando la normativa colombiana con la europea, se observa que Europa ha avanzado más rápidamente en la transición hacia energías renovables, gracias a la implementación de mecanismos como los sistemas de cuotas (Renewable Portfolio Standards) y las tarifas Feed-in Tariff (FIT). Estos modelos no solo han incentivado una mayor inversión en energías limpias, sino que también han fortalecido la seguridad de las inversiones. En Colombia, aunque existen algunas iniciativas, el marco regulatorio no tiene la misma robustez ni las mismas garantías, lo que limita la atracción de inversión extranjera y el desarrollo de proyectos a gran escala. Las lecciones aprendidas de Europa podrían ser adaptadas y aplicadas para fortalecer la política energética nacional.</w:t>
      </w:r>
    </w:p>
    <w:p w14:paraId="7D022A5A" w14:textId="7627AC66" w:rsidR="00C66E35" w:rsidRPr="00C51E5B" w:rsidRDefault="00C66E35" w:rsidP="00905066">
      <w:pPr>
        <w:spacing w:after="0" w:line="240" w:lineRule="auto"/>
        <w:ind w:firstLine="709"/>
        <w:rPr>
          <w:rFonts w:ascii="Arial" w:eastAsia="Times New Roman" w:hAnsi="Arial" w:cs="Arial"/>
          <w:color w:val="000000"/>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t>Se concluye que el marco regulatorio colombiano necesita fortalecerse en varios aspectos, como la simplificación de trámites administrativos y la implementación de incentivos más sólidos y estables para atraer tanto a inversionistas nacionales como internacionales. La falta de una infraestructura adecuada y de una efectiva coordinación interinstitucional se presenta como uno de los principales desafíos para lograr una transición energética más eficaz. La comparación con la Unión Europea muestra la necesidad de establecer un enfoque integral que involucre no solo la normativa, sino también el apoyo financiero y la infraestructura necesaria.</w:t>
      </w:r>
    </w:p>
    <w:p w14:paraId="057603F8" w14:textId="3AAAE9B0" w:rsidR="00FC6403" w:rsidRPr="00C51E5B" w:rsidRDefault="00C66E35" w:rsidP="00905066">
      <w:pPr>
        <w:spacing w:line="240" w:lineRule="auto"/>
        <w:ind w:firstLine="709"/>
        <w:rPr>
          <w:rFonts w:ascii="Arial" w:eastAsia="Times New Roman" w:hAnsi="Arial" w:cs="Arial"/>
          <w:color w:val="000000"/>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lastRenderedPageBreak/>
        <w:t>Es necesario implementar políticas públicas que no solo incentiven el desarrollo de energías renovables, sino que también promuevan la integración de estas tecnologías en todos los sectores productivos. Además, fortalecer la colaboración entre el sector público y privado, así como con organismos internacionales, podría contribuir a una mejor planificación y ejecución de proyectos energéticos. La adaptación de incentivos, la promoción de tecnologías emergentes como el hidrógeno verde, y el aprendizaje de modelos exitosos de Europa, permitirían a Colombia avanzar hacia el cumplimiento de los ODS 7 y 13 de manera más efectiva, los esfuerzos actuales aún no son suficientes para lograr una transformación significativa de su matriz energética. La transición energética requiere de un marco regulatorio más eficiente, con incentivos claros y una implementación efectiva, apoyada en el aprendizaje de experiencias internacionales y adaptada a las particularidades del contexto nacional.</w:t>
      </w:r>
    </w:p>
    <w:p w14:paraId="15D3E36D" w14:textId="1C33C4F5" w:rsidR="003947CA" w:rsidRPr="00C51E5B" w:rsidRDefault="003947CA" w:rsidP="00905066">
      <w:pPr>
        <w:spacing w:line="240" w:lineRule="auto"/>
        <w:ind w:firstLine="709"/>
        <w:rPr>
          <w:rFonts w:ascii="Arial" w:eastAsia="Times New Roman" w:hAnsi="Arial" w:cs="Arial"/>
          <w:color w:val="000000"/>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t>La Unión Europea se destaca por su política energética común, que ha permitido fomentar las energías renovables y establecer metas claras y obligatorias para todos sus Estados miembros, gracias al Pacto Verde Europeo. Este marco legislativo obliga a las naciones a implementar acciones concretas y verificables, asegurando uniformidad en la transición energética; desde 2001, directivas que establecen objetivos nacionales sobre el porcentaje de energía renovable en el consumo final y en el transporte han incentivado a los países a actuar proactivamente. En contraste, Colombia carece de un marco normativo común, lo que limita la coordinación interinstitucional y el cumplimiento efectivo de sus objetivos de transición energética. Es crucial fortalecer estos aspectos para avanzar en el desarrollo sostenible en el país.</w:t>
      </w:r>
    </w:p>
    <w:p w14:paraId="5B27B4DD" w14:textId="7CC8792D" w:rsidR="003947CA" w:rsidRPr="00C51E5B" w:rsidRDefault="003947CA" w:rsidP="00905066">
      <w:pPr>
        <w:spacing w:line="240" w:lineRule="auto"/>
        <w:ind w:firstLine="709"/>
        <w:rPr>
          <w:rFonts w:ascii="Arial" w:eastAsia="Times New Roman" w:hAnsi="Arial" w:cs="Arial"/>
          <w:color w:val="000000"/>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t xml:space="preserve">La eficiencia energética se logra a través de estrategias interrelacionadas que promueven el uso de energías renovables y un enfoque integral hacia la sostenibilidad. Es fundamental establecer un estricto seguimiento y cumplimiento de la normatividad vigente para asegurar que las políticas y regulaciones energéticas se implementen correctamente y se ajusten cuando sea necesario. </w:t>
      </w:r>
    </w:p>
    <w:p w14:paraId="49D3CDFE" w14:textId="1D52595B" w:rsidR="003947CA" w:rsidRPr="00C51E5B" w:rsidRDefault="003947CA" w:rsidP="00905066">
      <w:pPr>
        <w:spacing w:line="240" w:lineRule="auto"/>
        <w:ind w:firstLine="709"/>
        <w:rPr>
          <w:rFonts w:ascii="Arial" w:eastAsia="Times New Roman" w:hAnsi="Arial" w:cs="Arial"/>
          <w:color w:val="000000"/>
          <w:kern w:val="0"/>
          <w:sz w:val="24"/>
          <w:szCs w:val="24"/>
          <w:lang w:eastAsia="es-ES_tradnl"/>
          <w14:ligatures w14:val="none"/>
        </w:rPr>
      </w:pPr>
      <w:r w:rsidRPr="00C51E5B">
        <w:rPr>
          <w:rFonts w:ascii="Arial" w:eastAsia="Times New Roman" w:hAnsi="Arial" w:cs="Arial"/>
          <w:color w:val="000000"/>
          <w:kern w:val="0"/>
          <w:sz w:val="24"/>
          <w:szCs w:val="24"/>
          <w:lang w:eastAsia="es-ES_tradnl"/>
          <w14:ligatures w14:val="none"/>
        </w:rPr>
        <w:t>La descarbonización de los sectores económicos es clave en esta transición, lo que implica adoptar tecnologías limpias y prácticas sostenibles en la industria, el transporte y la construcción. Promover alternativas de movilidad, como vehículos eléctricos y transporte público eficiente, no solo minimiza el impacto ambiental, sino que también ayuda a reducir la huella de carbono. En conjunto, estas acciones contribuyen a un modelo energético más eficiente y sostenible.</w:t>
      </w:r>
    </w:p>
    <w:p w14:paraId="7460E90C" w14:textId="09321929" w:rsidR="007731CA" w:rsidRPr="00C51E5B" w:rsidRDefault="004F7D70" w:rsidP="00905066">
      <w:pPr>
        <w:pStyle w:val="Ttulo1"/>
        <w:rPr>
          <w:rFonts w:ascii="Arial" w:hAnsi="Arial" w:cs="Arial"/>
          <w:sz w:val="24"/>
          <w:szCs w:val="24"/>
        </w:rPr>
      </w:pPr>
      <w:bookmarkStart w:id="32" w:name="_Toc178883929"/>
      <w:r w:rsidRPr="00C51E5B">
        <w:rPr>
          <w:rFonts w:ascii="Arial" w:hAnsi="Arial" w:cs="Arial"/>
          <w:sz w:val="24"/>
          <w:szCs w:val="24"/>
        </w:rPr>
        <w:t>Referencias Bibliográficas</w:t>
      </w:r>
      <w:bookmarkEnd w:id="32"/>
    </w:p>
    <w:p w14:paraId="61FBFAEE" w14:textId="77777777" w:rsidR="00AD6D46" w:rsidRPr="00C51E5B" w:rsidRDefault="00AD6D46" w:rsidP="00905066">
      <w:pPr>
        <w:spacing w:line="240" w:lineRule="auto"/>
        <w:rPr>
          <w:rFonts w:ascii="Arial" w:hAnsi="Arial" w:cs="Arial"/>
          <w:sz w:val="24"/>
          <w:szCs w:val="24"/>
        </w:rPr>
      </w:pPr>
    </w:p>
    <w:p w14:paraId="52EAF173" w14:textId="77777777" w:rsidR="003D16C8" w:rsidRPr="00C51E5B" w:rsidRDefault="003D16C8" w:rsidP="00905066">
      <w:pPr>
        <w:pStyle w:val="Bibliografa"/>
        <w:spacing w:line="240" w:lineRule="auto"/>
        <w:rPr>
          <w:rFonts w:ascii="Arial" w:hAnsi="Arial" w:cs="Arial"/>
          <w:sz w:val="24"/>
          <w:szCs w:val="24"/>
          <w:lang w:val="en-US"/>
        </w:rPr>
      </w:pPr>
      <w:r w:rsidRPr="00C51E5B">
        <w:rPr>
          <w:rFonts w:ascii="Arial" w:hAnsi="Arial" w:cs="Arial"/>
          <w:sz w:val="24"/>
          <w:szCs w:val="24"/>
        </w:rPr>
        <w:t xml:space="preserve">Arias, D., Gavela, P., Riofrio, J., Arias, D., Gavela, P., &amp; Riofrio, J. (2022). Estado del Arte: Incentivos y Estrategias para la Penetración de Energía Renovable. </w:t>
      </w:r>
      <w:proofErr w:type="spellStart"/>
      <w:r w:rsidRPr="00C51E5B">
        <w:rPr>
          <w:rFonts w:ascii="Arial" w:hAnsi="Arial" w:cs="Arial"/>
          <w:i/>
          <w:iCs/>
          <w:sz w:val="24"/>
          <w:szCs w:val="24"/>
          <w:lang w:val="en-US"/>
        </w:rPr>
        <w:t>Revista</w:t>
      </w:r>
      <w:proofErr w:type="spellEnd"/>
      <w:r w:rsidRPr="00C51E5B">
        <w:rPr>
          <w:rFonts w:ascii="Arial" w:hAnsi="Arial" w:cs="Arial"/>
          <w:i/>
          <w:iCs/>
          <w:sz w:val="24"/>
          <w:szCs w:val="24"/>
          <w:lang w:val="en-US"/>
        </w:rPr>
        <w:t xml:space="preserve"> </w:t>
      </w:r>
      <w:proofErr w:type="spellStart"/>
      <w:r w:rsidRPr="00C51E5B">
        <w:rPr>
          <w:rFonts w:ascii="Arial" w:hAnsi="Arial" w:cs="Arial"/>
          <w:i/>
          <w:iCs/>
          <w:sz w:val="24"/>
          <w:szCs w:val="24"/>
          <w:lang w:val="en-US"/>
        </w:rPr>
        <w:t>Técnica</w:t>
      </w:r>
      <w:proofErr w:type="spellEnd"/>
      <w:r w:rsidRPr="00C51E5B">
        <w:rPr>
          <w:rFonts w:ascii="Arial" w:hAnsi="Arial" w:cs="Arial"/>
          <w:i/>
          <w:iCs/>
          <w:sz w:val="24"/>
          <w:szCs w:val="24"/>
          <w:lang w:val="en-US"/>
        </w:rPr>
        <w:t xml:space="preserve"> </w:t>
      </w:r>
      <w:proofErr w:type="spellStart"/>
      <w:r w:rsidRPr="00C51E5B">
        <w:rPr>
          <w:rFonts w:ascii="Arial" w:hAnsi="Arial" w:cs="Arial"/>
          <w:i/>
          <w:iCs/>
          <w:sz w:val="24"/>
          <w:szCs w:val="24"/>
          <w:lang w:val="en-US"/>
        </w:rPr>
        <w:t>energía</w:t>
      </w:r>
      <w:proofErr w:type="spellEnd"/>
      <w:r w:rsidRPr="00C51E5B">
        <w:rPr>
          <w:rFonts w:ascii="Arial" w:hAnsi="Arial" w:cs="Arial"/>
          <w:sz w:val="24"/>
          <w:szCs w:val="24"/>
          <w:lang w:val="en-US"/>
        </w:rPr>
        <w:t xml:space="preserve">, </w:t>
      </w:r>
      <w:r w:rsidRPr="00C51E5B">
        <w:rPr>
          <w:rFonts w:ascii="Arial" w:hAnsi="Arial" w:cs="Arial"/>
          <w:i/>
          <w:iCs/>
          <w:sz w:val="24"/>
          <w:szCs w:val="24"/>
          <w:lang w:val="en-US"/>
        </w:rPr>
        <w:t>18</w:t>
      </w:r>
      <w:r w:rsidRPr="00C51E5B">
        <w:rPr>
          <w:rFonts w:ascii="Arial" w:hAnsi="Arial" w:cs="Arial"/>
          <w:sz w:val="24"/>
          <w:szCs w:val="24"/>
          <w:lang w:val="en-US"/>
        </w:rPr>
        <w:t>(2), 91-103. https://doi.org/10.37116/revistaenergia.v18.n2.2022.494</w:t>
      </w:r>
    </w:p>
    <w:p w14:paraId="746CA097" w14:textId="14A374F5" w:rsidR="00600E4E" w:rsidRPr="00C51E5B" w:rsidRDefault="00600E4E" w:rsidP="00905066">
      <w:pPr>
        <w:pStyle w:val="NormalWeb"/>
        <w:rPr>
          <w:rFonts w:ascii="Arial" w:hAnsi="Arial" w:cs="Arial"/>
        </w:rPr>
      </w:pPr>
      <w:r w:rsidRPr="00C51E5B">
        <w:rPr>
          <w:rFonts w:ascii="Arial" w:hAnsi="Arial" w:cs="Arial"/>
          <w:b/>
          <w:bCs/>
          <w:lang w:val="en-US"/>
        </w:rPr>
        <w:lastRenderedPageBreak/>
        <w:t xml:space="preserve">Association of Issuing Bodies (AIB). (2021). </w:t>
      </w:r>
      <w:r w:rsidRPr="00C51E5B">
        <w:rPr>
          <w:rFonts w:ascii="Arial" w:hAnsi="Arial" w:cs="Arial"/>
          <w:b/>
          <w:bCs/>
          <w:i/>
          <w:iCs/>
          <w:lang w:val="en-US"/>
        </w:rPr>
        <w:t xml:space="preserve">Guarantees of Origin in Europe: A tool </w:t>
      </w:r>
      <w:r w:rsidRPr="00C51E5B">
        <w:rPr>
          <w:rFonts w:ascii="Arial" w:hAnsi="Arial" w:cs="Arial"/>
          <w:i/>
          <w:iCs/>
          <w:lang w:val="en-US"/>
        </w:rPr>
        <w:t>for renewable energy tracking</w:t>
      </w:r>
      <w:r w:rsidRPr="00C51E5B">
        <w:rPr>
          <w:rFonts w:ascii="Arial" w:hAnsi="Arial" w:cs="Arial"/>
          <w:lang w:val="en-US"/>
        </w:rPr>
        <w:t xml:space="preserve">. </w:t>
      </w:r>
      <w:r w:rsidRPr="00C51E5B">
        <w:rPr>
          <w:rFonts w:ascii="Arial" w:hAnsi="Arial" w:cs="Arial"/>
        </w:rPr>
        <w:t xml:space="preserve">Recuperado de </w:t>
      </w:r>
      <w:hyperlink r:id="rId9" w:tgtFrame="_new" w:history="1">
        <w:r w:rsidRPr="00C51E5B">
          <w:rPr>
            <w:rStyle w:val="Hipervnculo"/>
            <w:rFonts w:ascii="Arial" w:hAnsi="Arial" w:cs="Arial"/>
          </w:rPr>
          <w:t>www.aib-net.org</w:t>
        </w:r>
      </w:hyperlink>
      <w:r w:rsidRPr="00C51E5B">
        <w:rPr>
          <w:rFonts w:ascii="Arial" w:hAnsi="Arial" w:cs="Arial"/>
        </w:rPr>
        <w:t>.</w:t>
      </w:r>
    </w:p>
    <w:p w14:paraId="4B70141C" w14:textId="21FC6DE4" w:rsidR="00F25DD3" w:rsidRPr="00C51E5B" w:rsidRDefault="00F25DD3" w:rsidP="00905066">
      <w:pPr>
        <w:pStyle w:val="NormalWeb"/>
        <w:rPr>
          <w:rFonts w:ascii="Arial" w:hAnsi="Arial" w:cs="Arial"/>
        </w:rPr>
      </w:pPr>
      <w:r w:rsidRPr="00C51E5B">
        <w:rPr>
          <w:rFonts w:ascii="Arial" w:hAnsi="Arial" w:cs="Arial"/>
        </w:rPr>
        <w:t xml:space="preserve">CEPAL. (2003). Entorno Internacional y Oportunidades para el Desarrollo de las Fuentes </w:t>
      </w:r>
      <w:r w:rsidRPr="00C51E5B">
        <w:rPr>
          <w:rFonts w:ascii="Arial" w:hAnsi="Arial" w:cs="Arial"/>
        </w:rPr>
        <w:tab/>
        <w:t xml:space="preserve">Renovables de Energía en los Países de América Latina y el Caribe. Comisión </w:t>
      </w:r>
      <w:r w:rsidRPr="00C51E5B">
        <w:rPr>
          <w:rFonts w:ascii="Arial" w:hAnsi="Arial" w:cs="Arial"/>
        </w:rPr>
        <w:tab/>
        <w:t xml:space="preserve">Económica para América Latina y el Caribe. Recuperado </w:t>
      </w:r>
      <w:r w:rsidRPr="00C51E5B">
        <w:rPr>
          <w:rFonts w:ascii="Arial" w:hAnsi="Arial" w:cs="Arial"/>
        </w:rPr>
        <w:tab/>
        <w:t>de </w:t>
      </w:r>
      <w:hyperlink r:id="rId10" w:tgtFrame="_blank" w:history="1">
        <w:r w:rsidRPr="00C51E5B">
          <w:rPr>
            <w:rStyle w:val="Hipervnculo"/>
            <w:rFonts w:ascii="Arial" w:hAnsi="Arial" w:cs="Arial"/>
          </w:rPr>
          <w:t>https://repositorio.cepal.org/handle/11362/6428</w:t>
        </w:r>
      </w:hyperlink>
    </w:p>
    <w:p w14:paraId="6A0EA80F" w14:textId="77777777" w:rsidR="0038753F" w:rsidRPr="00C51E5B" w:rsidRDefault="0038753F" w:rsidP="00905066">
      <w:pPr>
        <w:pStyle w:val="NormalWeb"/>
        <w:rPr>
          <w:rFonts w:ascii="Arial" w:hAnsi="Arial" w:cs="Arial"/>
          <w:b/>
          <w:bCs/>
        </w:rPr>
      </w:pPr>
    </w:p>
    <w:p w14:paraId="32A0688A" w14:textId="33F3A312" w:rsidR="00705EAC" w:rsidRPr="00C51E5B" w:rsidRDefault="00705EAC" w:rsidP="00905066">
      <w:pPr>
        <w:pStyle w:val="NormalWeb"/>
        <w:rPr>
          <w:rFonts w:ascii="Arial" w:hAnsi="Arial" w:cs="Arial"/>
        </w:rPr>
      </w:pPr>
      <w:r w:rsidRPr="00C51E5B">
        <w:rPr>
          <w:rFonts w:ascii="Arial" w:hAnsi="Arial" w:cs="Arial"/>
        </w:rPr>
        <w:t xml:space="preserve">Comisión de Regulación de Energía y Gas. (2018). Resolución 030 de 2018. Por la cual </w:t>
      </w:r>
      <w:r w:rsidR="00990F96" w:rsidRPr="00C51E5B">
        <w:rPr>
          <w:rFonts w:ascii="Arial" w:hAnsi="Arial" w:cs="Arial"/>
        </w:rPr>
        <w:tab/>
      </w:r>
      <w:r w:rsidRPr="00C51E5B">
        <w:rPr>
          <w:rFonts w:ascii="Arial" w:hAnsi="Arial" w:cs="Arial"/>
        </w:rPr>
        <w:t xml:space="preserve">se establecen las condiciones para la integración de la autogeneración a pequeña </w:t>
      </w:r>
      <w:r w:rsidR="00990F96" w:rsidRPr="00C51E5B">
        <w:rPr>
          <w:rFonts w:ascii="Arial" w:hAnsi="Arial" w:cs="Arial"/>
        </w:rPr>
        <w:tab/>
      </w:r>
      <w:r w:rsidRPr="00C51E5B">
        <w:rPr>
          <w:rFonts w:ascii="Arial" w:hAnsi="Arial" w:cs="Arial"/>
        </w:rPr>
        <w:t xml:space="preserve">escala y la generación distribuida al sistema interconectado nacional. Diario Oficial </w:t>
      </w:r>
      <w:r w:rsidR="00990F96" w:rsidRPr="00C51E5B">
        <w:rPr>
          <w:rFonts w:ascii="Arial" w:hAnsi="Arial" w:cs="Arial"/>
        </w:rPr>
        <w:tab/>
      </w:r>
      <w:r w:rsidRPr="00C51E5B">
        <w:rPr>
          <w:rFonts w:ascii="Arial" w:hAnsi="Arial" w:cs="Arial"/>
        </w:rPr>
        <w:t>No. 50.536.</w:t>
      </w:r>
    </w:p>
    <w:p w14:paraId="71F0F777" w14:textId="636A4706" w:rsidR="0003451F" w:rsidRPr="00C51E5B" w:rsidRDefault="0003451F" w:rsidP="00905066">
      <w:pPr>
        <w:pStyle w:val="NormalWeb"/>
        <w:rPr>
          <w:rFonts w:ascii="Arial" w:hAnsi="Arial" w:cs="Arial"/>
        </w:rPr>
      </w:pPr>
      <w:r w:rsidRPr="00C51E5B">
        <w:rPr>
          <w:rFonts w:ascii="Arial" w:hAnsi="Arial" w:cs="Arial"/>
        </w:rPr>
        <w:t xml:space="preserve">Comisión de Regulación de Energía y Gas (CREG). (2018). Resolución 030 de 2018. </w:t>
      </w:r>
      <w:r w:rsidRPr="00C51E5B">
        <w:rPr>
          <w:rFonts w:ascii="Arial" w:hAnsi="Arial" w:cs="Arial"/>
          <w:i/>
          <w:iCs/>
        </w:rPr>
        <w:t>Por la cual se reglamenta el esquema de medición neta para usuarios generadores a pequeña escala</w:t>
      </w:r>
      <w:r w:rsidRPr="00C51E5B">
        <w:rPr>
          <w:rFonts w:ascii="Arial" w:hAnsi="Arial" w:cs="Arial"/>
        </w:rPr>
        <w:t>.</w:t>
      </w:r>
    </w:p>
    <w:p w14:paraId="1BBFD595" w14:textId="28772608" w:rsidR="007E3690" w:rsidRPr="00C51E5B" w:rsidRDefault="007E3690" w:rsidP="00905066">
      <w:pPr>
        <w:pStyle w:val="NormalWeb"/>
        <w:rPr>
          <w:rFonts w:ascii="Arial" w:hAnsi="Arial" w:cs="Arial"/>
        </w:rPr>
      </w:pPr>
      <w:r w:rsidRPr="00C51E5B">
        <w:rPr>
          <w:rFonts w:ascii="Arial" w:hAnsi="Arial" w:cs="Arial"/>
        </w:rPr>
        <w:t xml:space="preserve">Comisión de Regulación de Energía y Gas (CREG). (2019). </w:t>
      </w:r>
      <w:r w:rsidRPr="00C51E5B">
        <w:rPr>
          <w:rFonts w:ascii="Arial" w:hAnsi="Arial" w:cs="Arial"/>
          <w:i/>
          <w:iCs/>
        </w:rPr>
        <w:t>Subasta de Energías Renovables en Colombia</w:t>
      </w:r>
      <w:r w:rsidRPr="00C51E5B">
        <w:rPr>
          <w:rFonts w:ascii="Arial" w:hAnsi="Arial" w:cs="Arial"/>
        </w:rPr>
        <w:t>.</w:t>
      </w:r>
    </w:p>
    <w:p w14:paraId="537178E7" w14:textId="03E67788" w:rsidR="00B20929" w:rsidRPr="00C51E5B" w:rsidRDefault="00B20929" w:rsidP="00905066">
      <w:pPr>
        <w:pStyle w:val="NormalWeb"/>
        <w:rPr>
          <w:rFonts w:ascii="Arial" w:hAnsi="Arial" w:cs="Arial"/>
          <w:lang w:val="en-US"/>
        </w:rPr>
      </w:pPr>
      <w:r w:rsidRPr="00C51E5B">
        <w:rPr>
          <w:rFonts w:ascii="Arial" w:hAnsi="Arial" w:cs="Arial"/>
        </w:rPr>
        <w:t xml:space="preserve">Comisión Europea. (2019). Comunicación de la Comisión Europea sobre el Pacto Verde </w:t>
      </w:r>
      <w:r w:rsidR="00990F96" w:rsidRPr="00C51E5B">
        <w:rPr>
          <w:rFonts w:ascii="Arial" w:hAnsi="Arial" w:cs="Arial"/>
        </w:rPr>
        <w:tab/>
      </w:r>
      <w:r w:rsidRPr="00C51E5B">
        <w:rPr>
          <w:rFonts w:ascii="Arial" w:hAnsi="Arial" w:cs="Arial"/>
        </w:rPr>
        <w:t xml:space="preserve">Europeo. </w:t>
      </w:r>
      <w:proofErr w:type="spellStart"/>
      <w:r w:rsidRPr="00C51E5B">
        <w:rPr>
          <w:rFonts w:ascii="Arial" w:hAnsi="Arial" w:cs="Arial"/>
          <w:lang w:val="en-US"/>
        </w:rPr>
        <w:t>Bruselas</w:t>
      </w:r>
      <w:proofErr w:type="spellEnd"/>
      <w:r w:rsidRPr="00C51E5B">
        <w:rPr>
          <w:rFonts w:ascii="Arial" w:hAnsi="Arial" w:cs="Arial"/>
          <w:lang w:val="en-US"/>
        </w:rPr>
        <w:t xml:space="preserve">, </w:t>
      </w:r>
      <w:proofErr w:type="spellStart"/>
      <w:r w:rsidRPr="00C51E5B">
        <w:rPr>
          <w:rFonts w:ascii="Arial" w:hAnsi="Arial" w:cs="Arial"/>
          <w:lang w:val="en-US"/>
        </w:rPr>
        <w:t>Bélgica</w:t>
      </w:r>
      <w:proofErr w:type="spellEnd"/>
      <w:r w:rsidRPr="00C51E5B">
        <w:rPr>
          <w:rFonts w:ascii="Arial" w:hAnsi="Arial" w:cs="Arial"/>
          <w:lang w:val="en-US"/>
        </w:rPr>
        <w:t>.</w:t>
      </w:r>
    </w:p>
    <w:p w14:paraId="43FC8C99" w14:textId="5A63B67D" w:rsidR="00A35EC0" w:rsidRPr="00C51E5B" w:rsidRDefault="00A35EC0" w:rsidP="00905066">
      <w:pPr>
        <w:pStyle w:val="NormalWeb"/>
        <w:rPr>
          <w:rFonts w:ascii="Arial" w:hAnsi="Arial" w:cs="Arial"/>
        </w:rPr>
      </w:pPr>
      <w:proofErr w:type="spellStart"/>
      <w:r w:rsidRPr="00C51E5B">
        <w:rPr>
          <w:rFonts w:ascii="Arial" w:hAnsi="Arial" w:cs="Arial"/>
          <w:lang w:val="en-US"/>
        </w:rPr>
        <w:t>Comisión</w:t>
      </w:r>
      <w:proofErr w:type="spellEnd"/>
      <w:r w:rsidRPr="00C51E5B">
        <w:rPr>
          <w:rFonts w:ascii="Arial" w:hAnsi="Arial" w:cs="Arial"/>
          <w:lang w:val="en-US"/>
        </w:rPr>
        <w:t xml:space="preserve"> </w:t>
      </w:r>
      <w:proofErr w:type="spellStart"/>
      <w:r w:rsidRPr="00C51E5B">
        <w:rPr>
          <w:rFonts w:ascii="Arial" w:hAnsi="Arial" w:cs="Arial"/>
          <w:lang w:val="en-US"/>
        </w:rPr>
        <w:t>Europea</w:t>
      </w:r>
      <w:proofErr w:type="spellEnd"/>
      <w:r w:rsidRPr="00C51E5B">
        <w:rPr>
          <w:rFonts w:ascii="Arial" w:hAnsi="Arial" w:cs="Arial"/>
          <w:lang w:val="en-US"/>
        </w:rPr>
        <w:t xml:space="preserve">. (2020). </w:t>
      </w:r>
      <w:r w:rsidRPr="00C51E5B">
        <w:rPr>
          <w:rFonts w:ascii="Arial" w:hAnsi="Arial" w:cs="Arial"/>
          <w:i/>
          <w:iCs/>
          <w:lang w:val="en-US"/>
        </w:rPr>
        <w:t>European Green Deal: Roadmap and key actions</w:t>
      </w:r>
      <w:r w:rsidRPr="00C51E5B">
        <w:rPr>
          <w:rFonts w:ascii="Arial" w:hAnsi="Arial" w:cs="Arial"/>
          <w:lang w:val="en-US"/>
        </w:rPr>
        <w:t xml:space="preserve">. </w:t>
      </w:r>
      <w:r w:rsidRPr="00C51E5B">
        <w:rPr>
          <w:rFonts w:ascii="Arial" w:hAnsi="Arial" w:cs="Arial"/>
        </w:rPr>
        <w:t xml:space="preserve">Recuperado de </w:t>
      </w:r>
      <w:hyperlink r:id="rId11" w:tgtFrame="_new" w:history="1">
        <w:r w:rsidRPr="00C51E5B">
          <w:rPr>
            <w:rStyle w:val="Hipervnculo"/>
            <w:rFonts w:ascii="Arial" w:hAnsi="Arial" w:cs="Arial"/>
          </w:rPr>
          <w:t>https://ec.europa.eu</w:t>
        </w:r>
      </w:hyperlink>
      <w:r w:rsidRPr="00C51E5B">
        <w:rPr>
          <w:rFonts w:ascii="Arial" w:hAnsi="Arial" w:cs="Arial"/>
        </w:rPr>
        <w:t>.</w:t>
      </w:r>
    </w:p>
    <w:p w14:paraId="109A1293" w14:textId="609317CA" w:rsidR="00810C18" w:rsidRPr="00C51E5B" w:rsidRDefault="00810C18" w:rsidP="00905066">
      <w:pPr>
        <w:pStyle w:val="NormalWeb"/>
        <w:rPr>
          <w:rFonts w:ascii="Arial" w:hAnsi="Arial" w:cs="Arial"/>
        </w:rPr>
      </w:pPr>
      <w:r w:rsidRPr="00C51E5B">
        <w:rPr>
          <w:rFonts w:ascii="Arial" w:hAnsi="Arial" w:cs="Arial"/>
        </w:rPr>
        <w:t xml:space="preserve">Congreso de Colombia. (2004). Ley 939 de 2004. </w:t>
      </w:r>
      <w:r w:rsidRPr="00C51E5B">
        <w:rPr>
          <w:rFonts w:ascii="Arial" w:hAnsi="Arial" w:cs="Arial"/>
          <w:i/>
          <w:iCs/>
        </w:rPr>
        <w:t>Por medio de la cual se dictan disposiciones sobre el uso de biocombustibles en motores diésel</w:t>
      </w:r>
      <w:r w:rsidRPr="00C51E5B">
        <w:rPr>
          <w:rFonts w:ascii="Arial" w:hAnsi="Arial" w:cs="Arial"/>
        </w:rPr>
        <w:t>.</w:t>
      </w:r>
    </w:p>
    <w:p w14:paraId="692D25C9" w14:textId="23E7F572" w:rsidR="00746781" w:rsidRPr="00C51E5B" w:rsidRDefault="00746781" w:rsidP="00905066">
      <w:pPr>
        <w:pStyle w:val="NormalWeb"/>
        <w:rPr>
          <w:rFonts w:ascii="Arial" w:hAnsi="Arial" w:cs="Arial"/>
        </w:rPr>
      </w:pPr>
      <w:r w:rsidRPr="00C51E5B">
        <w:rPr>
          <w:rFonts w:ascii="Arial" w:hAnsi="Arial" w:cs="Arial"/>
        </w:rPr>
        <w:t xml:space="preserve">Congreso de la República de Colombia. (2018). Ley 1931 de 2018. Por la cual se </w:t>
      </w:r>
      <w:r w:rsidR="00990F96" w:rsidRPr="00C51E5B">
        <w:rPr>
          <w:rFonts w:ascii="Arial" w:hAnsi="Arial" w:cs="Arial"/>
        </w:rPr>
        <w:tab/>
      </w:r>
      <w:r w:rsidRPr="00C51E5B">
        <w:rPr>
          <w:rFonts w:ascii="Arial" w:hAnsi="Arial" w:cs="Arial"/>
        </w:rPr>
        <w:t xml:space="preserve">establecen directrices para la gestión del cambio climático y se adoptan otras </w:t>
      </w:r>
      <w:r w:rsidR="00990F96" w:rsidRPr="00C51E5B">
        <w:rPr>
          <w:rFonts w:ascii="Arial" w:hAnsi="Arial" w:cs="Arial"/>
        </w:rPr>
        <w:tab/>
      </w:r>
      <w:r w:rsidRPr="00C51E5B">
        <w:rPr>
          <w:rFonts w:ascii="Arial" w:hAnsi="Arial" w:cs="Arial"/>
        </w:rPr>
        <w:t xml:space="preserve">disposiciones. Diario Oficial No. 50.684. </w:t>
      </w:r>
    </w:p>
    <w:p w14:paraId="2CA02AF4" w14:textId="1D8E578B" w:rsidR="008913BA" w:rsidRPr="00C51E5B" w:rsidRDefault="008913BA" w:rsidP="00905066">
      <w:pPr>
        <w:pStyle w:val="NormalWeb"/>
        <w:rPr>
          <w:rFonts w:ascii="Arial" w:hAnsi="Arial" w:cs="Arial"/>
        </w:rPr>
      </w:pPr>
      <w:r w:rsidRPr="00C51E5B">
        <w:rPr>
          <w:rFonts w:ascii="Arial" w:hAnsi="Arial" w:cs="Arial"/>
        </w:rPr>
        <w:t xml:space="preserve">Congreso de la República de Colombia. (2015). Ley 1753 de 2015. Por la cual se expide </w:t>
      </w:r>
      <w:r w:rsidR="00990F96" w:rsidRPr="00C51E5B">
        <w:rPr>
          <w:rFonts w:ascii="Arial" w:hAnsi="Arial" w:cs="Arial"/>
        </w:rPr>
        <w:tab/>
      </w:r>
      <w:r w:rsidRPr="00C51E5B">
        <w:rPr>
          <w:rFonts w:ascii="Arial" w:hAnsi="Arial" w:cs="Arial"/>
        </w:rPr>
        <w:t xml:space="preserve">el Plan Nacional de Desarrollo 2014-2018. Diario Oficial No. 49.538. </w:t>
      </w:r>
    </w:p>
    <w:p w14:paraId="6AB2EB07" w14:textId="4803A553" w:rsidR="009C3268" w:rsidRPr="00C51E5B" w:rsidRDefault="009C3268" w:rsidP="00905066">
      <w:pPr>
        <w:pStyle w:val="NormalWeb"/>
        <w:rPr>
          <w:rFonts w:ascii="Arial" w:hAnsi="Arial" w:cs="Arial"/>
        </w:rPr>
      </w:pPr>
      <w:r w:rsidRPr="00C51E5B">
        <w:rPr>
          <w:rFonts w:ascii="Arial" w:hAnsi="Arial" w:cs="Arial"/>
        </w:rPr>
        <w:t xml:space="preserve">Congreso de la República de Colombia. (2014). Ley 1715 de 2014. Por medio de la cual </w:t>
      </w:r>
      <w:r w:rsidR="00990F96" w:rsidRPr="00C51E5B">
        <w:rPr>
          <w:rFonts w:ascii="Arial" w:hAnsi="Arial" w:cs="Arial"/>
        </w:rPr>
        <w:tab/>
      </w:r>
      <w:r w:rsidRPr="00C51E5B">
        <w:rPr>
          <w:rFonts w:ascii="Arial" w:hAnsi="Arial" w:cs="Arial"/>
        </w:rPr>
        <w:t xml:space="preserve">se regula la integración de las energías renovables no convencionales al sistema </w:t>
      </w:r>
      <w:r w:rsidR="00990F96" w:rsidRPr="00C51E5B">
        <w:rPr>
          <w:rFonts w:ascii="Arial" w:hAnsi="Arial" w:cs="Arial"/>
        </w:rPr>
        <w:tab/>
      </w:r>
      <w:r w:rsidRPr="00C51E5B">
        <w:rPr>
          <w:rFonts w:ascii="Arial" w:hAnsi="Arial" w:cs="Arial"/>
        </w:rPr>
        <w:t>energético nacional. Diario Oficial No. 49.150.</w:t>
      </w:r>
    </w:p>
    <w:p w14:paraId="2317FDC3" w14:textId="49FC6C64" w:rsidR="00EB36C2" w:rsidRPr="00C51E5B" w:rsidRDefault="000838FA" w:rsidP="00905066">
      <w:pPr>
        <w:pStyle w:val="NormalWeb"/>
        <w:rPr>
          <w:rFonts w:ascii="Arial" w:hAnsi="Arial" w:cs="Arial"/>
        </w:rPr>
      </w:pPr>
      <w:r w:rsidRPr="00C51E5B">
        <w:rPr>
          <w:rFonts w:ascii="Arial" w:hAnsi="Arial" w:cs="Arial"/>
        </w:rPr>
        <w:t xml:space="preserve">Congreso de la República de Colombia. (2021). Ley 2099 de 2021. Por medio de la cual </w:t>
      </w:r>
      <w:r w:rsidR="00990F96" w:rsidRPr="00C51E5B">
        <w:rPr>
          <w:rFonts w:ascii="Arial" w:hAnsi="Arial" w:cs="Arial"/>
        </w:rPr>
        <w:tab/>
      </w:r>
      <w:r w:rsidRPr="00C51E5B">
        <w:rPr>
          <w:rFonts w:ascii="Arial" w:hAnsi="Arial" w:cs="Arial"/>
        </w:rPr>
        <w:t xml:space="preserve">se modifica la Ley 1715 de 2014 y se dictan otras disposiciones para la transición </w:t>
      </w:r>
      <w:r w:rsidR="00990F96" w:rsidRPr="00C51E5B">
        <w:rPr>
          <w:rFonts w:ascii="Arial" w:hAnsi="Arial" w:cs="Arial"/>
        </w:rPr>
        <w:tab/>
      </w:r>
      <w:r w:rsidRPr="00C51E5B">
        <w:rPr>
          <w:rFonts w:ascii="Arial" w:hAnsi="Arial" w:cs="Arial"/>
        </w:rPr>
        <w:t>energética. Diario Oficial No. 51.707.</w:t>
      </w:r>
    </w:p>
    <w:p w14:paraId="3EB43C32" w14:textId="2EAF798F" w:rsidR="0012756E" w:rsidRPr="00C51E5B" w:rsidRDefault="003D67A1" w:rsidP="009856AA">
      <w:pPr>
        <w:pStyle w:val="NormalWeb"/>
        <w:rPr>
          <w:rFonts w:ascii="Arial" w:hAnsi="Arial" w:cs="Arial"/>
        </w:rPr>
      </w:pPr>
      <w:r w:rsidRPr="00C51E5B">
        <w:rPr>
          <w:rFonts w:ascii="Arial" w:hAnsi="Arial" w:cs="Arial"/>
        </w:rPr>
        <w:lastRenderedPageBreak/>
        <w:t xml:space="preserve">Collazos, A., Esquivel, C. y Paz, A. (2019). De los hidrocarburos a las energías </w:t>
      </w:r>
      <w:r w:rsidRPr="00C51E5B">
        <w:rPr>
          <w:rFonts w:ascii="Arial" w:hAnsi="Arial" w:cs="Arial"/>
        </w:rPr>
        <w:tab/>
        <w:t xml:space="preserve">renovables en Colombia. Cultura Latinoamericana, 29 (1), 138-162. </w:t>
      </w:r>
      <w:r w:rsidRPr="00C51E5B">
        <w:rPr>
          <w:rFonts w:ascii="Arial" w:hAnsi="Arial" w:cs="Arial"/>
        </w:rPr>
        <w:tab/>
        <w:t xml:space="preserve">http://dx.doi.org/10.14718/CulturaLatinoam.2019.29.1.6 Congreso de la </w:t>
      </w:r>
      <w:r w:rsidRPr="00C51E5B">
        <w:rPr>
          <w:rFonts w:ascii="Arial" w:hAnsi="Arial" w:cs="Arial"/>
        </w:rPr>
        <w:tab/>
        <w:t xml:space="preserve">República (1989, 26 octubre). Ley 51 de 1989. Diario Oficial. </w:t>
      </w:r>
      <w:hyperlink r:id="rId12" w:history="1">
        <w:r w:rsidR="00296AC5" w:rsidRPr="00C51E5B">
          <w:rPr>
            <w:rStyle w:val="Hipervnculo"/>
            <w:rFonts w:ascii="Arial" w:hAnsi="Arial" w:cs="Arial"/>
          </w:rPr>
          <w:t>www.suinjuriscol.gov.co/viewDocu-ment.asp?id=1788820</w:t>
        </w:r>
      </w:hyperlink>
      <w:r w:rsidR="00EB36C2" w:rsidRPr="00C51E5B">
        <w:rPr>
          <w:rFonts w:ascii="Arial" w:hAnsi="Arial" w:cs="Arial"/>
          <w:b/>
          <w:bCs/>
        </w:rPr>
        <w:fldChar w:fldCharType="begin"/>
      </w:r>
      <w:r w:rsidR="0012756E" w:rsidRPr="00C51E5B">
        <w:rPr>
          <w:rFonts w:ascii="Arial" w:hAnsi="Arial" w:cs="Arial"/>
          <w:b/>
          <w:bCs/>
        </w:rPr>
        <w:instrText xml:space="preserve"> ADDIN ZOTERO_BIBL {"uncited":[],"omitted":[],"custom":[]} CSL_BIBLIOGRAPHY </w:instrText>
      </w:r>
      <w:r w:rsidR="00EB36C2" w:rsidRPr="00C51E5B">
        <w:rPr>
          <w:rFonts w:ascii="Arial" w:hAnsi="Arial" w:cs="Arial"/>
          <w:b/>
          <w:bCs/>
        </w:rPr>
        <w:fldChar w:fldCharType="separate"/>
      </w:r>
    </w:p>
    <w:p w14:paraId="2376170B"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Camacho-Ballesta, J. A., da-Silva-Almeida, L., &amp; Belmonte, J. M. (2021). Evolución de las políticas de energías renovables en España. </w:t>
      </w:r>
      <w:r w:rsidRPr="00C51E5B">
        <w:rPr>
          <w:rFonts w:ascii="Arial" w:hAnsi="Arial" w:cs="Arial"/>
          <w:i/>
          <w:iCs/>
          <w:sz w:val="24"/>
          <w:szCs w:val="24"/>
        </w:rPr>
        <w:t>International Review of Economic Policy-Revista Internacional de Política Económica</w:t>
      </w:r>
      <w:r w:rsidRPr="00C51E5B">
        <w:rPr>
          <w:rFonts w:ascii="Arial" w:hAnsi="Arial" w:cs="Arial"/>
          <w:sz w:val="24"/>
          <w:szCs w:val="24"/>
        </w:rPr>
        <w:t xml:space="preserve">, </w:t>
      </w:r>
      <w:r w:rsidRPr="00C51E5B">
        <w:rPr>
          <w:rFonts w:ascii="Arial" w:hAnsi="Arial" w:cs="Arial"/>
          <w:i/>
          <w:iCs/>
          <w:sz w:val="24"/>
          <w:szCs w:val="24"/>
        </w:rPr>
        <w:t>3</w:t>
      </w:r>
      <w:r w:rsidRPr="00C51E5B">
        <w:rPr>
          <w:rFonts w:ascii="Arial" w:hAnsi="Arial" w:cs="Arial"/>
          <w:sz w:val="24"/>
          <w:szCs w:val="24"/>
        </w:rPr>
        <w:t>(2), Article 2. https://doi.org/10.7203/IREP.3.2.22790</w:t>
      </w:r>
    </w:p>
    <w:p w14:paraId="045EC26A"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Corredor, G. (2018). Colombia y la transición energética. </w:t>
      </w:r>
      <w:r w:rsidRPr="00C51E5B">
        <w:rPr>
          <w:rFonts w:ascii="Arial" w:hAnsi="Arial" w:cs="Arial"/>
          <w:i/>
          <w:iCs/>
          <w:sz w:val="24"/>
          <w:szCs w:val="24"/>
        </w:rPr>
        <w:t>Ciencia Política</w:t>
      </w:r>
      <w:r w:rsidRPr="00C51E5B">
        <w:rPr>
          <w:rFonts w:ascii="Arial" w:hAnsi="Arial" w:cs="Arial"/>
          <w:sz w:val="24"/>
          <w:szCs w:val="24"/>
        </w:rPr>
        <w:t xml:space="preserve">, </w:t>
      </w:r>
      <w:r w:rsidRPr="00C51E5B">
        <w:rPr>
          <w:rFonts w:ascii="Arial" w:hAnsi="Arial" w:cs="Arial"/>
          <w:i/>
          <w:iCs/>
          <w:sz w:val="24"/>
          <w:szCs w:val="24"/>
        </w:rPr>
        <w:t>13</w:t>
      </w:r>
      <w:r w:rsidRPr="00C51E5B">
        <w:rPr>
          <w:rFonts w:ascii="Arial" w:hAnsi="Arial" w:cs="Arial"/>
          <w:sz w:val="24"/>
          <w:szCs w:val="24"/>
        </w:rPr>
        <w:t>(25), 107-125. https://doi.org/10.15446/cp.v12n25.70257</w:t>
      </w:r>
    </w:p>
    <w:p w14:paraId="4254FF93"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Dangond Carreño, S. (2019). </w:t>
      </w:r>
      <w:r w:rsidRPr="00C51E5B">
        <w:rPr>
          <w:rFonts w:ascii="Arial" w:hAnsi="Arial" w:cs="Arial"/>
          <w:i/>
          <w:iCs/>
          <w:sz w:val="24"/>
          <w:szCs w:val="24"/>
        </w:rPr>
        <w:t>Economía circular (EC), una herramienta para el logro de los objetivos del desarrollo sostenible (ODS)</w:t>
      </w:r>
      <w:r w:rsidRPr="00C51E5B">
        <w:rPr>
          <w:rFonts w:ascii="Arial" w:hAnsi="Arial" w:cs="Arial"/>
          <w:sz w:val="24"/>
          <w:szCs w:val="24"/>
        </w:rPr>
        <w:t>. http://hdl.handle.net/10654/35782</w:t>
      </w:r>
    </w:p>
    <w:p w14:paraId="51DD848A"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Díaz-Pinto Rodrigo, S. (2023). </w:t>
      </w:r>
      <w:r w:rsidRPr="00C51E5B">
        <w:rPr>
          <w:rFonts w:ascii="Arial" w:hAnsi="Arial" w:cs="Arial"/>
          <w:i/>
          <w:iCs/>
          <w:sz w:val="24"/>
          <w:szCs w:val="24"/>
        </w:rPr>
        <w:t>La política legislativa y acción normativa de la UE sobre energías renovables y la lucha contra el cambio climático</w:t>
      </w:r>
      <w:r w:rsidRPr="00C51E5B">
        <w:rPr>
          <w:rFonts w:ascii="Arial" w:hAnsi="Arial" w:cs="Arial"/>
          <w:sz w:val="24"/>
          <w:szCs w:val="24"/>
        </w:rPr>
        <w:t>. http://repositori.upf.edu/handle/10230/57455</w:t>
      </w:r>
    </w:p>
    <w:p w14:paraId="3A328FAE"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Gil, R. E. R., Hoyos, Á. T., Piñeros, M. C., &amp; Buitrago, J. P. D. (2023). Análisis de Políticas Públicas para la adopción de Energías Renovables No Convencionales en Colombia. </w:t>
      </w:r>
      <w:r w:rsidRPr="00C51E5B">
        <w:rPr>
          <w:rFonts w:ascii="Arial" w:hAnsi="Arial" w:cs="Arial"/>
          <w:i/>
          <w:iCs/>
          <w:sz w:val="24"/>
          <w:szCs w:val="24"/>
        </w:rPr>
        <w:t>Cuadernos Latinoamericanos de Administración</w:t>
      </w:r>
      <w:r w:rsidRPr="00C51E5B">
        <w:rPr>
          <w:rFonts w:ascii="Arial" w:hAnsi="Arial" w:cs="Arial"/>
          <w:sz w:val="24"/>
          <w:szCs w:val="24"/>
        </w:rPr>
        <w:t xml:space="preserve">, </w:t>
      </w:r>
      <w:r w:rsidRPr="00C51E5B">
        <w:rPr>
          <w:rFonts w:ascii="Arial" w:hAnsi="Arial" w:cs="Arial"/>
          <w:i/>
          <w:iCs/>
          <w:sz w:val="24"/>
          <w:szCs w:val="24"/>
        </w:rPr>
        <w:t>19</w:t>
      </w:r>
      <w:r w:rsidRPr="00C51E5B">
        <w:rPr>
          <w:rFonts w:ascii="Arial" w:hAnsi="Arial" w:cs="Arial"/>
          <w:sz w:val="24"/>
          <w:szCs w:val="24"/>
        </w:rPr>
        <w:t>(36), Article 36. https://doi.org/10.18270/cuaderlam.v19i36.4052</w:t>
      </w:r>
    </w:p>
    <w:p w14:paraId="40BECF1E"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Gómez Gil, C. (2018). Objetivos de Desarrollo Sostenible (ODS): Una revisión crítica. </w:t>
      </w:r>
      <w:r w:rsidRPr="00C51E5B">
        <w:rPr>
          <w:rFonts w:ascii="Arial" w:hAnsi="Arial" w:cs="Arial"/>
          <w:i/>
          <w:iCs/>
          <w:sz w:val="24"/>
          <w:szCs w:val="24"/>
        </w:rPr>
        <w:t>Papeles de relaciones ecosociales y cambio global</w:t>
      </w:r>
      <w:r w:rsidRPr="00C51E5B">
        <w:rPr>
          <w:rFonts w:ascii="Arial" w:hAnsi="Arial" w:cs="Arial"/>
          <w:sz w:val="24"/>
          <w:szCs w:val="24"/>
        </w:rPr>
        <w:t xml:space="preserve">, </w:t>
      </w:r>
      <w:r w:rsidRPr="00C51E5B">
        <w:rPr>
          <w:rFonts w:ascii="Arial" w:hAnsi="Arial" w:cs="Arial"/>
          <w:i/>
          <w:iCs/>
          <w:sz w:val="24"/>
          <w:szCs w:val="24"/>
        </w:rPr>
        <w:t>140</w:t>
      </w:r>
      <w:r w:rsidRPr="00C51E5B">
        <w:rPr>
          <w:rFonts w:ascii="Arial" w:hAnsi="Arial" w:cs="Arial"/>
          <w:sz w:val="24"/>
          <w:szCs w:val="24"/>
        </w:rPr>
        <w:t>, 107-118.</w:t>
      </w:r>
    </w:p>
    <w:p w14:paraId="731C819F"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Hernández Palma, H., Jiménez Coronado, A., Mendoza Casseres, D., Hernández Palma, H., Jiménez Coronado, A., &amp; Mendoza Casseres, D. (2022). Energía renovable y el derecho internacional energético. </w:t>
      </w:r>
      <w:r w:rsidRPr="00C51E5B">
        <w:rPr>
          <w:rFonts w:ascii="Arial" w:hAnsi="Arial" w:cs="Arial"/>
          <w:i/>
          <w:iCs/>
          <w:sz w:val="24"/>
          <w:szCs w:val="24"/>
        </w:rPr>
        <w:t>Justicia</w:t>
      </w:r>
      <w:r w:rsidRPr="00C51E5B">
        <w:rPr>
          <w:rFonts w:ascii="Arial" w:hAnsi="Arial" w:cs="Arial"/>
          <w:sz w:val="24"/>
          <w:szCs w:val="24"/>
        </w:rPr>
        <w:t xml:space="preserve">, </w:t>
      </w:r>
      <w:r w:rsidRPr="00C51E5B">
        <w:rPr>
          <w:rFonts w:ascii="Arial" w:hAnsi="Arial" w:cs="Arial"/>
          <w:i/>
          <w:iCs/>
          <w:sz w:val="24"/>
          <w:szCs w:val="24"/>
        </w:rPr>
        <w:t>27</w:t>
      </w:r>
      <w:r w:rsidRPr="00C51E5B">
        <w:rPr>
          <w:rFonts w:ascii="Arial" w:hAnsi="Arial" w:cs="Arial"/>
          <w:sz w:val="24"/>
          <w:szCs w:val="24"/>
        </w:rPr>
        <w:t>(41), 150-160. https://doi.org/10.17081/just.27.41.5997</w:t>
      </w:r>
    </w:p>
    <w:p w14:paraId="27A594CB"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Landines-Parra, M. L., Mayorga-Castellanos, E. L., &amp; Suárez-Alarcón, K. Y. (2019). </w:t>
      </w:r>
      <w:r w:rsidRPr="00C51E5B">
        <w:rPr>
          <w:rFonts w:ascii="Arial" w:hAnsi="Arial" w:cs="Arial"/>
          <w:i/>
          <w:iCs/>
          <w:sz w:val="24"/>
          <w:szCs w:val="24"/>
        </w:rPr>
        <w:t>Diagnóstico de las energías renovables empleadas en Estados Unidos y Colombia para el año 2018 en el marco de los objetivos del desarrollo sostenible</w:t>
      </w:r>
      <w:r w:rsidRPr="00C51E5B">
        <w:rPr>
          <w:rFonts w:ascii="Arial" w:hAnsi="Arial" w:cs="Arial"/>
          <w:sz w:val="24"/>
          <w:szCs w:val="24"/>
        </w:rPr>
        <w:t>. https://repository.ucatolica.edu.co/entities/publication/6f819a99-dd45-4eab-b343-32e8e34ee8e0</w:t>
      </w:r>
    </w:p>
    <w:p w14:paraId="1649F61B"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Pérez Vásquez, M. A. (2020). RETOS DE LA POLÍTICA AMBIENTAL COLOMBIANA FRENTE A LOS DESAFÍOS DE LA OCDE Y LOS ODS. </w:t>
      </w:r>
      <w:r w:rsidRPr="00C51E5B">
        <w:rPr>
          <w:rFonts w:ascii="Arial" w:hAnsi="Arial" w:cs="Arial"/>
          <w:i/>
          <w:iCs/>
          <w:sz w:val="24"/>
          <w:szCs w:val="24"/>
        </w:rPr>
        <w:t>Análisis Político</w:t>
      </w:r>
      <w:r w:rsidRPr="00C51E5B">
        <w:rPr>
          <w:rFonts w:ascii="Arial" w:hAnsi="Arial" w:cs="Arial"/>
          <w:sz w:val="24"/>
          <w:szCs w:val="24"/>
        </w:rPr>
        <w:t xml:space="preserve">, </w:t>
      </w:r>
      <w:r w:rsidRPr="00C51E5B">
        <w:rPr>
          <w:rFonts w:ascii="Arial" w:hAnsi="Arial" w:cs="Arial"/>
          <w:i/>
          <w:iCs/>
          <w:sz w:val="24"/>
          <w:szCs w:val="24"/>
        </w:rPr>
        <w:t>33</w:t>
      </w:r>
      <w:r w:rsidRPr="00C51E5B">
        <w:rPr>
          <w:rFonts w:ascii="Arial" w:hAnsi="Arial" w:cs="Arial"/>
          <w:sz w:val="24"/>
          <w:szCs w:val="24"/>
        </w:rPr>
        <w:t>(99), 101-120. https://doi.org/10.15446/anpol.v33n99.90970</w:t>
      </w:r>
    </w:p>
    <w:p w14:paraId="2E7332CA"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Rivera Albarracín, L. (2019). El cambio climático y el desarrollo energético sostenible en América Latina y el Caribe al amparo del Acuerdo deParís y de la Agenda 2030. </w:t>
      </w:r>
      <w:r w:rsidRPr="00C51E5B">
        <w:rPr>
          <w:rFonts w:ascii="Arial" w:hAnsi="Arial" w:cs="Arial"/>
          <w:i/>
          <w:iCs/>
          <w:sz w:val="24"/>
          <w:szCs w:val="24"/>
        </w:rPr>
        <w:t>Documentos de trabajo ( Fundación Carolina ): Segunda época</w:t>
      </w:r>
      <w:r w:rsidRPr="00C51E5B">
        <w:rPr>
          <w:rFonts w:ascii="Arial" w:hAnsi="Arial" w:cs="Arial"/>
          <w:sz w:val="24"/>
          <w:szCs w:val="24"/>
        </w:rPr>
        <w:t xml:space="preserve">, </w:t>
      </w:r>
      <w:r w:rsidRPr="00C51E5B">
        <w:rPr>
          <w:rFonts w:ascii="Arial" w:hAnsi="Arial" w:cs="Arial"/>
          <w:i/>
          <w:iCs/>
          <w:sz w:val="24"/>
          <w:szCs w:val="24"/>
        </w:rPr>
        <w:t>15</w:t>
      </w:r>
      <w:r w:rsidRPr="00C51E5B">
        <w:rPr>
          <w:rFonts w:ascii="Arial" w:hAnsi="Arial" w:cs="Arial"/>
          <w:sz w:val="24"/>
          <w:szCs w:val="24"/>
        </w:rPr>
        <w:t>, 1.</w:t>
      </w:r>
    </w:p>
    <w:p w14:paraId="45F0A10F" w14:textId="706386D3" w:rsidR="00BB00F5"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Romero Perdomo, F. A., &amp; Carvajalino Umaña, J. D. (2021). </w:t>
      </w:r>
      <w:r w:rsidRPr="00C51E5B">
        <w:rPr>
          <w:rFonts w:ascii="Arial" w:hAnsi="Arial" w:cs="Arial"/>
          <w:i/>
          <w:iCs/>
          <w:sz w:val="24"/>
          <w:szCs w:val="24"/>
        </w:rPr>
        <w:t>Impacto de la economía circular en los objetivos de desarrollo sostenible: Análisis de organizaciones adheridas a Pacto Global Red Colombia de las Naciones Unidas</w:t>
      </w:r>
      <w:r w:rsidRPr="00C51E5B">
        <w:rPr>
          <w:rFonts w:ascii="Arial" w:hAnsi="Arial" w:cs="Arial"/>
          <w:sz w:val="24"/>
          <w:szCs w:val="24"/>
        </w:rPr>
        <w:t xml:space="preserve"> [Master Thesis, Maestría en Proyectos de Desarrollo Sostenible Virtual]. https://repository.universidadean.edu.co/handle/10882/10340</w:t>
      </w:r>
    </w:p>
    <w:p w14:paraId="323D26D0"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lastRenderedPageBreak/>
        <w:t xml:space="preserve">Rosero Rodríguez, J. A. (2023). </w:t>
      </w:r>
      <w:r w:rsidRPr="00C51E5B">
        <w:rPr>
          <w:rFonts w:ascii="Arial" w:hAnsi="Arial" w:cs="Arial"/>
          <w:i/>
          <w:iCs/>
          <w:sz w:val="24"/>
          <w:szCs w:val="24"/>
        </w:rPr>
        <w:t>Consolidación de la base de conocimiento del hidrógeno verde, comprendiendo los avances tecnológicos, normativos, experiencias(pilotos) y modelos de mercado</w:t>
      </w:r>
      <w:r w:rsidRPr="00C51E5B">
        <w:rPr>
          <w:rFonts w:ascii="Arial" w:hAnsi="Arial" w:cs="Arial"/>
          <w:sz w:val="24"/>
          <w:szCs w:val="24"/>
        </w:rPr>
        <w:t>. https://bibliotecadigital.udea.edu.co/handle/10495/36151</w:t>
      </w:r>
    </w:p>
    <w:p w14:paraId="6F06C038"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rPr>
        <w:t xml:space="preserve">Turriago Campuzano, A. M., &amp; Cardona Acevedo, M. (2020). </w:t>
      </w:r>
      <w:r w:rsidRPr="00C51E5B">
        <w:rPr>
          <w:rFonts w:ascii="Arial" w:hAnsi="Arial" w:cs="Arial"/>
          <w:i/>
          <w:iCs/>
          <w:sz w:val="24"/>
          <w:szCs w:val="24"/>
        </w:rPr>
        <w:t>Cumplimiento de los objetivos de desarrollo sostenible ambientales a través de la contribución de la banca comercial colombiana: El caso del Protocolo verde de Asobancaria (Compliance With the Sustainability Development Goals Through the Contribution of the Colombian Banking Sector: The Case of Asobancaria’s Green Protocol)</w:t>
      </w:r>
      <w:r w:rsidRPr="00C51E5B">
        <w:rPr>
          <w:rFonts w:ascii="Arial" w:hAnsi="Arial" w:cs="Arial"/>
          <w:sz w:val="24"/>
          <w:szCs w:val="24"/>
        </w:rPr>
        <w:t xml:space="preserve"> (SSRN Scholarly Paper 3520149). https://papers.ssrn.com/abstract=3520149</w:t>
      </w:r>
    </w:p>
    <w:p w14:paraId="71090932" w14:textId="77777777" w:rsidR="0012756E" w:rsidRPr="00C51E5B" w:rsidRDefault="0012756E" w:rsidP="00905066">
      <w:pPr>
        <w:pStyle w:val="Bibliografa"/>
        <w:spacing w:line="240" w:lineRule="auto"/>
        <w:rPr>
          <w:rFonts w:ascii="Arial" w:hAnsi="Arial" w:cs="Arial"/>
          <w:sz w:val="24"/>
          <w:szCs w:val="24"/>
        </w:rPr>
      </w:pPr>
      <w:r w:rsidRPr="00C51E5B">
        <w:rPr>
          <w:rFonts w:ascii="Arial" w:hAnsi="Arial" w:cs="Arial"/>
          <w:sz w:val="24"/>
          <w:szCs w:val="24"/>
          <w:lang w:val="en-US"/>
        </w:rPr>
        <w:t xml:space="preserve">Wilmsmeier, G., &amp; Kreuzer, F. M. (2014). </w:t>
      </w:r>
      <w:r w:rsidRPr="00C51E5B">
        <w:rPr>
          <w:rFonts w:ascii="Arial" w:hAnsi="Arial" w:cs="Arial"/>
          <w:i/>
          <w:iCs/>
          <w:sz w:val="24"/>
          <w:szCs w:val="24"/>
        </w:rPr>
        <w:t>Eficiencia energética y movilidad en América Latina y el Caribe: Una hoja de ruta para la sostenibilidad</w:t>
      </w:r>
      <w:r w:rsidRPr="00C51E5B">
        <w:rPr>
          <w:rFonts w:ascii="Arial" w:hAnsi="Arial" w:cs="Arial"/>
          <w:sz w:val="24"/>
          <w:szCs w:val="24"/>
        </w:rPr>
        <w:t>. https://hdl.handle.net/11362/36798</w:t>
      </w:r>
    </w:p>
    <w:p w14:paraId="07E16C07" w14:textId="1C126086" w:rsidR="00CE1B84" w:rsidRPr="00C51E5B" w:rsidRDefault="00EB36C2" w:rsidP="00905066">
      <w:pPr>
        <w:pStyle w:val="NormalWeb"/>
        <w:rPr>
          <w:rFonts w:ascii="Arial" w:hAnsi="Arial" w:cs="Arial"/>
        </w:rPr>
      </w:pPr>
      <w:r w:rsidRPr="00C51E5B">
        <w:rPr>
          <w:rFonts w:ascii="Arial" w:hAnsi="Arial" w:cs="Arial"/>
          <w:b/>
          <w:bCs/>
        </w:rPr>
        <w:fldChar w:fldCharType="end"/>
      </w:r>
      <w:r w:rsidR="00CE1B84" w:rsidRPr="00C51E5B">
        <w:rPr>
          <w:rFonts w:ascii="Arial" w:hAnsi="Arial" w:cs="Arial"/>
        </w:rPr>
        <w:t xml:space="preserve">Gómez, R. (2019). </w:t>
      </w:r>
      <w:r w:rsidR="00CE1B84" w:rsidRPr="00C51E5B">
        <w:rPr>
          <w:rFonts w:ascii="Arial" w:hAnsi="Arial" w:cs="Arial"/>
          <w:i/>
          <w:iCs/>
        </w:rPr>
        <w:t xml:space="preserve">Regulación de energías renovables en Colombia: Desafíos y </w:t>
      </w:r>
      <w:r w:rsidR="0038753F" w:rsidRPr="00C51E5B">
        <w:rPr>
          <w:rFonts w:ascii="Arial" w:hAnsi="Arial" w:cs="Arial"/>
          <w:i/>
          <w:iCs/>
        </w:rPr>
        <w:tab/>
      </w:r>
      <w:r w:rsidR="00CE1B84" w:rsidRPr="00C51E5B">
        <w:rPr>
          <w:rFonts w:ascii="Arial" w:hAnsi="Arial" w:cs="Arial"/>
          <w:i/>
          <w:iCs/>
        </w:rPr>
        <w:t>oportunidades</w:t>
      </w:r>
      <w:r w:rsidR="00CE1B84" w:rsidRPr="00C51E5B">
        <w:rPr>
          <w:rFonts w:ascii="Arial" w:hAnsi="Arial" w:cs="Arial"/>
        </w:rPr>
        <w:t>. Revista de Energía y Derecho, 7(2), 89-104.</w:t>
      </w:r>
    </w:p>
    <w:p w14:paraId="6FA61C59" w14:textId="77777777" w:rsidR="00BB00F5" w:rsidRPr="00C51E5B" w:rsidRDefault="004F7D70" w:rsidP="00905066">
      <w:pPr>
        <w:pStyle w:val="NormalWeb"/>
        <w:rPr>
          <w:rFonts w:ascii="Arial" w:hAnsi="Arial" w:cs="Arial"/>
          <w:i/>
          <w:iCs/>
        </w:rPr>
      </w:pPr>
      <w:r w:rsidRPr="00C51E5B">
        <w:rPr>
          <w:rFonts w:ascii="Arial" w:hAnsi="Arial" w:cs="Arial"/>
        </w:rPr>
        <w:t xml:space="preserve">Gómez, R. (2021). </w:t>
      </w:r>
      <w:r w:rsidRPr="00C51E5B">
        <w:rPr>
          <w:rFonts w:ascii="Arial" w:hAnsi="Arial" w:cs="Arial"/>
          <w:i/>
          <w:iCs/>
        </w:rPr>
        <w:t xml:space="preserve">El marco jurídico de las energías renovables en Colombia: Avances y </w:t>
      </w:r>
    </w:p>
    <w:p w14:paraId="2CD9769B" w14:textId="6A841EB4" w:rsidR="004F7D70" w:rsidRPr="00C51E5B" w:rsidRDefault="00BB00F5" w:rsidP="00905066">
      <w:pPr>
        <w:pStyle w:val="NormalWeb"/>
        <w:rPr>
          <w:rFonts w:ascii="Arial" w:hAnsi="Arial" w:cs="Arial"/>
        </w:rPr>
      </w:pPr>
      <w:r w:rsidRPr="00C51E5B">
        <w:rPr>
          <w:rFonts w:ascii="Arial" w:hAnsi="Arial" w:cs="Arial"/>
          <w:i/>
          <w:iCs/>
        </w:rPr>
        <w:t xml:space="preserve">           </w:t>
      </w:r>
      <w:r w:rsidR="004F7D70" w:rsidRPr="00C51E5B">
        <w:rPr>
          <w:rFonts w:ascii="Arial" w:hAnsi="Arial" w:cs="Arial"/>
          <w:i/>
          <w:iCs/>
        </w:rPr>
        <w:t>desafíos</w:t>
      </w:r>
      <w:r w:rsidR="004F7D70" w:rsidRPr="00C51E5B">
        <w:rPr>
          <w:rFonts w:ascii="Arial" w:hAnsi="Arial" w:cs="Arial"/>
        </w:rPr>
        <w:t>. Revista de Derecho Energético, 12(3), 45-67.</w:t>
      </w:r>
    </w:p>
    <w:p w14:paraId="574AEB43" w14:textId="77777777" w:rsidR="00BB00F5" w:rsidRPr="00C51E5B" w:rsidRDefault="00CE1B84" w:rsidP="00905066">
      <w:pPr>
        <w:spacing w:line="240" w:lineRule="auto"/>
        <w:rPr>
          <w:rFonts w:ascii="Arial" w:hAnsi="Arial" w:cs="Arial"/>
          <w:i/>
          <w:iCs/>
          <w:sz w:val="24"/>
          <w:szCs w:val="24"/>
        </w:rPr>
      </w:pPr>
      <w:r w:rsidRPr="00C51E5B">
        <w:rPr>
          <w:rFonts w:ascii="Arial" w:hAnsi="Arial" w:cs="Arial"/>
          <w:sz w:val="24"/>
          <w:szCs w:val="24"/>
        </w:rPr>
        <w:t xml:space="preserve">Ministerio de Ambiente y Desarrollo Sostenible. (2021). </w:t>
      </w:r>
      <w:r w:rsidRPr="00C51E5B">
        <w:rPr>
          <w:rFonts w:ascii="Arial" w:hAnsi="Arial" w:cs="Arial"/>
          <w:i/>
          <w:iCs/>
          <w:sz w:val="24"/>
          <w:szCs w:val="24"/>
        </w:rPr>
        <w:t xml:space="preserve">Transición Energética: un legado </w:t>
      </w:r>
    </w:p>
    <w:p w14:paraId="5420AE0D" w14:textId="77777777" w:rsidR="00BB00F5" w:rsidRPr="00C51E5B" w:rsidRDefault="00BB00F5" w:rsidP="00905066">
      <w:pPr>
        <w:spacing w:line="240" w:lineRule="auto"/>
        <w:rPr>
          <w:rFonts w:ascii="Arial" w:hAnsi="Arial" w:cs="Arial"/>
          <w:sz w:val="24"/>
          <w:szCs w:val="24"/>
        </w:rPr>
      </w:pPr>
      <w:r w:rsidRPr="00C51E5B">
        <w:rPr>
          <w:rFonts w:ascii="Arial" w:hAnsi="Arial" w:cs="Arial"/>
          <w:i/>
          <w:iCs/>
          <w:sz w:val="24"/>
          <w:szCs w:val="24"/>
        </w:rPr>
        <w:t xml:space="preserve">          </w:t>
      </w:r>
      <w:r w:rsidR="00CE1B84" w:rsidRPr="00C51E5B">
        <w:rPr>
          <w:rFonts w:ascii="Arial" w:hAnsi="Arial" w:cs="Arial"/>
          <w:i/>
          <w:iCs/>
          <w:sz w:val="24"/>
          <w:szCs w:val="24"/>
        </w:rPr>
        <w:t>para el presente y el futuro de Colombia</w:t>
      </w:r>
      <w:r w:rsidR="00CE1B84" w:rsidRPr="00C51E5B">
        <w:rPr>
          <w:rFonts w:ascii="Arial" w:hAnsi="Arial" w:cs="Arial"/>
          <w:sz w:val="24"/>
          <w:szCs w:val="24"/>
        </w:rPr>
        <w:t xml:space="preserve">. Bogotá, Colombia: Ministerio de Ambiente </w:t>
      </w:r>
    </w:p>
    <w:p w14:paraId="4D502E9F" w14:textId="7756D121" w:rsidR="00CE1B84" w:rsidRPr="00C51E5B" w:rsidRDefault="00BB00F5" w:rsidP="00905066">
      <w:pPr>
        <w:spacing w:line="240" w:lineRule="auto"/>
        <w:rPr>
          <w:rFonts w:ascii="Arial" w:hAnsi="Arial" w:cs="Arial"/>
          <w:sz w:val="24"/>
          <w:szCs w:val="24"/>
        </w:rPr>
      </w:pPr>
      <w:r w:rsidRPr="00C51E5B">
        <w:rPr>
          <w:rFonts w:ascii="Arial" w:hAnsi="Arial" w:cs="Arial"/>
          <w:sz w:val="24"/>
          <w:szCs w:val="24"/>
        </w:rPr>
        <w:t xml:space="preserve">         </w:t>
      </w:r>
      <w:r w:rsidR="00CE1B84" w:rsidRPr="00C51E5B">
        <w:rPr>
          <w:rFonts w:ascii="Arial" w:hAnsi="Arial" w:cs="Arial"/>
          <w:sz w:val="24"/>
          <w:szCs w:val="24"/>
        </w:rPr>
        <w:t>y Desarrollo Sostenible.</w:t>
      </w:r>
    </w:p>
    <w:p w14:paraId="53194246" w14:textId="77777777" w:rsidR="00BB00F5" w:rsidRPr="00C51E5B" w:rsidRDefault="005269E2" w:rsidP="00905066">
      <w:pPr>
        <w:spacing w:line="240" w:lineRule="auto"/>
        <w:rPr>
          <w:rFonts w:ascii="Arial" w:hAnsi="Arial" w:cs="Arial"/>
          <w:sz w:val="24"/>
          <w:szCs w:val="24"/>
        </w:rPr>
      </w:pPr>
      <w:r w:rsidRPr="00C51E5B">
        <w:rPr>
          <w:rFonts w:ascii="Arial" w:hAnsi="Arial" w:cs="Arial"/>
          <w:sz w:val="24"/>
          <w:szCs w:val="24"/>
        </w:rPr>
        <w:tab/>
        <w:t xml:space="preserve">Ministerio de Minas y Energía. (2023). </w:t>
      </w:r>
      <w:r w:rsidRPr="00C51E5B">
        <w:rPr>
          <w:rFonts w:ascii="Arial" w:hAnsi="Arial" w:cs="Arial"/>
          <w:i/>
          <w:iCs/>
          <w:sz w:val="24"/>
          <w:szCs w:val="24"/>
        </w:rPr>
        <w:t>Decreto 1476 de 2022</w:t>
      </w:r>
      <w:r w:rsidRPr="00C51E5B">
        <w:rPr>
          <w:rFonts w:ascii="Arial" w:hAnsi="Arial" w:cs="Arial"/>
          <w:sz w:val="24"/>
          <w:szCs w:val="24"/>
        </w:rPr>
        <w:t xml:space="preserve">. Recuperado de </w:t>
      </w:r>
    </w:p>
    <w:p w14:paraId="45923566" w14:textId="07813CA3" w:rsidR="005269E2" w:rsidRPr="00C51E5B" w:rsidRDefault="00BB00F5" w:rsidP="00905066">
      <w:pPr>
        <w:spacing w:line="240" w:lineRule="auto"/>
        <w:rPr>
          <w:rFonts w:ascii="Arial" w:hAnsi="Arial" w:cs="Arial"/>
          <w:sz w:val="24"/>
          <w:szCs w:val="24"/>
        </w:rPr>
      </w:pPr>
      <w:r w:rsidRPr="00C51E5B">
        <w:rPr>
          <w:rFonts w:ascii="Arial" w:hAnsi="Arial" w:cs="Arial"/>
          <w:sz w:val="24"/>
          <w:szCs w:val="24"/>
        </w:rPr>
        <w:t xml:space="preserve">           </w:t>
      </w:r>
      <w:hyperlink r:id="rId13" w:tgtFrame="_new" w:history="1">
        <w:r w:rsidR="005269E2" w:rsidRPr="00C51E5B">
          <w:rPr>
            <w:rStyle w:val="Hipervnculo"/>
            <w:rFonts w:ascii="Arial" w:hAnsi="Arial" w:cs="Arial"/>
            <w:sz w:val="24"/>
            <w:szCs w:val="24"/>
          </w:rPr>
          <w:t>funcionpublica.gov.co</w:t>
        </w:r>
      </w:hyperlink>
      <w:r w:rsidR="005269E2" w:rsidRPr="00C51E5B">
        <w:rPr>
          <w:rFonts w:ascii="Arial" w:hAnsi="Arial" w:cs="Arial"/>
          <w:sz w:val="24"/>
          <w:szCs w:val="24"/>
        </w:rPr>
        <w:t>.</w:t>
      </w:r>
    </w:p>
    <w:p w14:paraId="241E41C0" w14:textId="77777777" w:rsidR="00BB00F5" w:rsidRPr="00C51E5B" w:rsidRDefault="00705EAC" w:rsidP="00905066">
      <w:pPr>
        <w:spacing w:line="240" w:lineRule="auto"/>
        <w:rPr>
          <w:rFonts w:ascii="Arial" w:hAnsi="Arial" w:cs="Arial"/>
          <w:sz w:val="24"/>
          <w:szCs w:val="24"/>
        </w:rPr>
      </w:pPr>
      <w:r w:rsidRPr="00C51E5B">
        <w:rPr>
          <w:rFonts w:ascii="Arial" w:hAnsi="Arial" w:cs="Arial"/>
          <w:sz w:val="24"/>
          <w:szCs w:val="24"/>
        </w:rPr>
        <w:t xml:space="preserve">Ministerio de Minas y Energía. (2015). Decreto 2143 de 2015. Por el cual se reglamenta la </w:t>
      </w:r>
    </w:p>
    <w:p w14:paraId="6E450F80" w14:textId="77777777" w:rsidR="00BB00F5" w:rsidRPr="00C51E5B" w:rsidRDefault="00BB00F5" w:rsidP="00905066">
      <w:pPr>
        <w:spacing w:line="240" w:lineRule="auto"/>
        <w:rPr>
          <w:rFonts w:ascii="Arial" w:hAnsi="Arial" w:cs="Arial"/>
          <w:sz w:val="24"/>
          <w:szCs w:val="24"/>
        </w:rPr>
      </w:pPr>
      <w:r w:rsidRPr="00C51E5B">
        <w:rPr>
          <w:rFonts w:ascii="Arial" w:hAnsi="Arial" w:cs="Arial"/>
          <w:sz w:val="24"/>
          <w:szCs w:val="24"/>
        </w:rPr>
        <w:t xml:space="preserve">           </w:t>
      </w:r>
      <w:r w:rsidR="00705EAC" w:rsidRPr="00C51E5B">
        <w:rPr>
          <w:rFonts w:ascii="Arial" w:hAnsi="Arial" w:cs="Arial"/>
          <w:sz w:val="24"/>
          <w:szCs w:val="24"/>
        </w:rPr>
        <w:t xml:space="preserve">Ley 1715 de 2014 en materia de incentivos para la integración de energías </w:t>
      </w:r>
    </w:p>
    <w:p w14:paraId="1DE9916D" w14:textId="0E6A6C7D" w:rsidR="00705EAC" w:rsidRPr="00C51E5B" w:rsidRDefault="00BB00F5" w:rsidP="00905066">
      <w:pPr>
        <w:spacing w:line="240" w:lineRule="auto"/>
        <w:rPr>
          <w:rFonts w:ascii="Arial" w:hAnsi="Arial" w:cs="Arial"/>
          <w:sz w:val="24"/>
          <w:szCs w:val="24"/>
        </w:rPr>
      </w:pPr>
      <w:r w:rsidRPr="00C51E5B">
        <w:rPr>
          <w:rFonts w:ascii="Arial" w:hAnsi="Arial" w:cs="Arial"/>
          <w:sz w:val="24"/>
          <w:szCs w:val="24"/>
        </w:rPr>
        <w:t xml:space="preserve">           </w:t>
      </w:r>
      <w:r w:rsidR="00705EAC" w:rsidRPr="00C51E5B">
        <w:rPr>
          <w:rFonts w:ascii="Arial" w:hAnsi="Arial" w:cs="Arial"/>
          <w:sz w:val="24"/>
          <w:szCs w:val="24"/>
        </w:rPr>
        <w:t>renovables no convencionales. Diario Oficial No. 49.673.</w:t>
      </w:r>
    </w:p>
    <w:p w14:paraId="1B743DD6" w14:textId="77777777" w:rsidR="00236B52" w:rsidRPr="00C51E5B" w:rsidRDefault="00236B52" w:rsidP="00905066">
      <w:pPr>
        <w:spacing w:line="240" w:lineRule="auto"/>
        <w:rPr>
          <w:rFonts w:ascii="Arial" w:hAnsi="Arial" w:cs="Arial"/>
          <w:sz w:val="24"/>
          <w:szCs w:val="24"/>
        </w:rPr>
      </w:pPr>
    </w:p>
    <w:p w14:paraId="204C0EEC" w14:textId="77777777" w:rsidR="00BB00F5" w:rsidRPr="00C51E5B" w:rsidRDefault="00746781" w:rsidP="00905066">
      <w:pPr>
        <w:pStyle w:val="NormalWeb"/>
        <w:rPr>
          <w:rFonts w:ascii="Arial" w:hAnsi="Arial" w:cs="Arial"/>
        </w:rPr>
      </w:pPr>
      <w:r w:rsidRPr="00C51E5B">
        <w:rPr>
          <w:rFonts w:ascii="Arial" w:hAnsi="Arial" w:cs="Arial"/>
        </w:rPr>
        <w:t xml:space="preserve"> Ministerio de Ambiente y Desarrollo Sostenible. (2017). Política Nacional de Cambio </w:t>
      </w:r>
    </w:p>
    <w:p w14:paraId="63708235" w14:textId="58F68D3B" w:rsidR="00746781" w:rsidRPr="00C51E5B" w:rsidRDefault="00BB00F5" w:rsidP="00905066">
      <w:pPr>
        <w:pStyle w:val="NormalWeb"/>
        <w:rPr>
          <w:rFonts w:ascii="Arial" w:hAnsi="Arial" w:cs="Arial"/>
        </w:rPr>
      </w:pPr>
      <w:r w:rsidRPr="00C51E5B">
        <w:rPr>
          <w:rFonts w:ascii="Arial" w:hAnsi="Arial" w:cs="Arial"/>
        </w:rPr>
        <w:t xml:space="preserve">            </w:t>
      </w:r>
      <w:r w:rsidR="00746781" w:rsidRPr="00C51E5B">
        <w:rPr>
          <w:rFonts w:ascii="Arial" w:hAnsi="Arial" w:cs="Arial"/>
        </w:rPr>
        <w:t>Climático. Bogotá, Colombia. Disponible en línea.</w:t>
      </w:r>
    </w:p>
    <w:p w14:paraId="1904F96A" w14:textId="2AE02BF0" w:rsidR="00B20929" w:rsidRPr="00C51E5B" w:rsidRDefault="00B20929" w:rsidP="00905066">
      <w:pPr>
        <w:pStyle w:val="NormalWeb"/>
        <w:rPr>
          <w:rFonts w:ascii="Arial" w:hAnsi="Arial" w:cs="Arial"/>
        </w:rPr>
      </w:pPr>
      <w:r w:rsidRPr="00C51E5B">
        <w:rPr>
          <w:rFonts w:ascii="Arial" w:hAnsi="Arial" w:cs="Arial"/>
        </w:rPr>
        <w:lastRenderedPageBreak/>
        <w:t xml:space="preserve">Ministerio de Hacienda y Crédito Público. (2017). Decreto 926 de 2017. Por el cual se reglamenta el impuesto nacional al carbono. Diario Oficial No. 50.277. Disponible </w:t>
      </w:r>
      <w:r w:rsidR="00BB00F5" w:rsidRPr="00C51E5B">
        <w:rPr>
          <w:rFonts w:ascii="Arial" w:hAnsi="Arial" w:cs="Arial"/>
        </w:rPr>
        <w:t xml:space="preserve"> </w:t>
      </w:r>
      <w:r w:rsidRPr="00C51E5B">
        <w:rPr>
          <w:rFonts w:ascii="Arial" w:hAnsi="Arial" w:cs="Arial"/>
        </w:rPr>
        <w:t>en línea.</w:t>
      </w:r>
    </w:p>
    <w:p w14:paraId="2DA26149" w14:textId="41EC960C" w:rsidR="00B01135" w:rsidRPr="00C51E5B" w:rsidRDefault="00B01135" w:rsidP="00905066">
      <w:pPr>
        <w:pStyle w:val="NormalWeb"/>
        <w:rPr>
          <w:rFonts w:ascii="Arial" w:hAnsi="Arial" w:cs="Arial"/>
        </w:rPr>
      </w:pPr>
      <w:r w:rsidRPr="00C51E5B">
        <w:rPr>
          <w:rFonts w:ascii="Arial" w:hAnsi="Arial" w:cs="Arial"/>
        </w:rPr>
        <w:t xml:space="preserve">OEA. (2017). Retos del Derecho Internacional del Petróleo Frente a la Preocupación </w:t>
      </w:r>
      <w:r w:rsidRPr="00C51E5B">
        <w:rPr>
          <w:rFonts w:ascii="Arial" w:hAnsi="Arial" w:cs="Arial"/>
        </w:rPr>
        <w:tab/>
        <w:t xml:space="preserve">Ambiental y las Nuevas Fuentes de Energía en Centroamérica. Estados Unidos: </w:t>
      </w:r>
      <w:r w:rsidRPr="00C51E5B">
        <w:rPr>
          <w:rFonts w:ascii="Arial" w:hAnsi="Arial" w:cs="Arial"/>
        </w:rPr>
        <w:tab/>
        <w:t xml:space="preserve">Organización de Estados Americanos. Recuperado </w:t>
      </w:r>
      <w:r w:rsidRPr="00C51E5B">
        <w:rPr>
          <w:rFonts w:ascii="Arial" w:hAnsi="Arial" w:cs="Arial"/>
        </w:rPr>
        <w:tab/>
        <w:t>de: </w:t>
      </w:r>
      <w:hyperlink r:id="rId14" w:history="1">
        <w:r w:rsidR="00205927" w:rsidRPr="00C51E5B">
          <w:rPr>
            <w:rStyle w:val="Hipervnculo"/>
            <w:rFonts w:ascii="Arial" w:hAnsi="Arial" w:cs="Arial"/>
          </w:rPr>
          <w:t>http://www.oas.org/es/sla/ddi/docs/curso_derecho_internacional_2017_material</w:t>
        </w:r>
        <w:r w:rsidR="00205927" w:rsidRPr="00C51E5B">
          <w:rPr>
            <w:rStyle w:val="Hipervnculo"/>
            <w:rFonts w:ascii="Arial" w:hAnsi="Arial" w:cs="Arial"/>
          </w:rPr>
          <w:tab/>
          <w:t>es_lectura_Jennifer_Isabel_Arroyo_Chacon_1.pdf</w:t>
        </w:r>
      </w:hyperlink>
    </w:p>
    <w:p w14:paraId="3A32C747" w14:textId="77777777" w:rsidR="00BB00F5" w:rsidRPr="00C51E5B" w:rsidRDefault="00B20929" w:rsidP="00905066">
      <w:pPr>
        <w:pStyle w:val="NormalWeb"/>
        <w:rPr>
          <w:rFonts w:ascii="Arial" w:hAnsi="Arial" w:cs="Arial"/>
        </w:rPr>
      </w:pPr>
      <w:r w:rsidRPr="00C51E5B">
        <w:rPr>
          <w:rFonts w:ascii="Arial" w:hAnsi="Arial" w:cs="Arial"/>
        </w:rPr>
        <w:t xml:space="preserve">Parlamento Europeo y Consejo de la Unión Europea. (2018). Directiva (UE) 2018/2001 del </w:t>
      </w:r>
    </w:p>
    <w:p w14:paraId="3DB20FDF" w14:textId="77777777" w:rsidR="00BB00F5" w:rsidRPr="00C51E5B" w:rsidRDefault="00B20929" w:rsidP="00905066">
      <w:pPr>
        <w:pStyle w:val="NormalWeb"/>
        <w:rPr>
          <w:rFonts w:ascii="Arial" w:hAnsi="Arial" w:cs="Arial"/>
        </w:rPr>
      </w:pPr>
      <w:r w:rsidRPr="00C51E5B">
        <w:rPr>
          <w:rFonts w:ascii="Arial" w:hAnsi="Arial" w:cs="Arial"/>
        </w:rPr>
        <w:t xml:space="preserve">Parlamento Europeo y del Consejo, de 11 de diciembre de 2018, relativa al fomento del </w:t>
      </w:r>
      <w:r w:rsidR="00BB00F5" w:rsidRPr="00C51E5B">
        <w:rPr>
          <w:rFonts w:ascii="Arial" w:hAnsi="Arial" w:cs="Arial"/>
        </w:rPr>
        <w:t xml:space="preserve">  </w:t>
      </w:r>
    </w:p>
    <w:p w14:paraId="17C4DDA0" w14:textId="77777777" w:rsidR="00BB00F5" w:rsidRPr="00C51E5B" w:rsidRDefault="00BB00F5" w:rsidP="00905066">
      <w:pPr>
        <w:pStyle w:val="NormalWeb"/>
        <w:rPr>
          <w:rFonts w:ascii="Arial" w:hAnsi="Arial" w:cs="Arial"/>
        </w:rPr>
      </w:pPr>
      <w:r w:rsidRPr="00C51E5B">
        <w:rPr>
          <w:rFonts w:ascii="Arial" w:hAnsi="Arial" w:cs="Arial"/>
        </w:rPr>
        <w:t xml:space="preserve">            </w:t>
      </w:r>
      <w:r w:rsidR="00B20929" w:rsidRPr="00C51E5B">
        <w:rPr>
          <w:rFonts w:ascii="Arial" w:hAnsi="Arial" w:cs="Arial"/>
        </w:rPr>
        <w:t xml:space="preserve">uso de energía procedente de fuentes renovables. Diario Oficial de la Unión </w:t>
      </w:r>
      <w:r w:rsidRPr="00C51E5B">
        <w:rPr>
          <w:rFonts w:ascii="Arial" w:hAnsi="Arial" w:cs="Arial"/>
        </w:rPr>
        <w:t xml:space="preserve"> </w:t>
      </w:r>
    </w:p>
    <w:p w14:paraId="7E5B8B89" w14:textId="79EAA78B" w:rsidR="00B20929" w:rsidRPr="00C51E5B" w:rsidRDefault="00BB00F5" w:rsidP="00905066">
      <w:pPr>
        <w:pStyle w:val="NormalWeb"/>
        <w:rPr>
          <w:rFonts w:ascii="Arial" w:hAnsi="Arial" w:cs="Arial"/>
        </w:rPr>
      </w:pPr>
      <w:r w:rsidRPr="00C51E5B">
        <w:rPr>
          <w:rFonts w:ascii="Arial" w:hAnsi="Arial" w:cs="Arial"/>
        </w:rPr>
        <w:t xml:space="preserve">            </w:t>
      </w:r>
      <w:r w:rsidR="00B20929" w:rsidRPr="00C51E5B">
        <w:rPr>
          <w:rFonts w:ascii="Arial" w:hAnsi="Arial" w:cs="Arial"/>
        </w:rPr>
        <w:t>Europea, L 328, 21.12.2018, pp. 82–209.</w:t>
      </w:r>
    </w:p>
    <w:p w14:paraId="75651FA8" w14:textId="77777777" w:rsidR="00BB00F5" w:rsidRPr="00C51E5B" w:rsidRDefault="00B20929" w:rsidP="00905066">
      <w:pPr>
        <w:pStyle w:val="NormalWeb"/>
        <w:rPr>
          <w:rFonts w:ascii="Arial" w:hAnsi="Arial" w:cs="Arial"/>
        </w:rPr>
      </w:pPr>
      <w:r w:rsidRPr="00C51E5B">
        <w:rPr>
          <w:rFonts w:ascii="Arial" w:hAnsi="Arial" w:cs="Arial"/>
        </w:rPr>
        <w:t xml:space="preserve">Parlamento Europeo y Consejo de la Unión Europea. (2019). Reglamento (UE) 2019/941 </w:t>
      </w:r>
      <w:r w:rsidR="00BB00F5" w:rsidRPr="00C51E5B">
        <w:rPr>
          <w:rFonts w:ascii="Arial" w:hAnsi="Arial" w:cs="Arial"/>
        </w:rPr>
        <w:t xml:space="preserve">    </w:t>
      </w:r>
    </w:p>
    <w:p w14:paraId="5E83D95E" w14:textId="77777777" w:rsidR="00BB00F5" w:rsidRPr="00C51E5B" w:rsidRDefault="00BB00F5" w:rsidP="00905066">
      <w:pPr>
        <w:pStyle w:val="NormalWeb"/>
        <w:rPr>
          <w:rFonts w:ascii="Arial" w:hAnsi="Arial" w:cs="Arial"/>
        </w:rPr>
      </w:pPr>
      <w:r w:rsidRPr="00C51E5B">
        <w:rPr>
          <w:rFonts w:ascii="Arial" w:hAnsi="Arial" w:cs="Arial"/>
        </w:rPr>
        <w:t xml:space="preserve">            </w:t>
      </w:r>
      <w:r w:rsidR="00B20929" w:rsidRPr="00C51E5B">
        <w:rPr>
          <w:rFonts w:ascii="Arial" w:hAnsi="Arial" w:cs="Arial"/>
        </w:rPr>
        <w:t xml:space="preserve">del Parlamento Europeo y del Consejo de 5 de junio de 2019 sobre la preparación </w:t>
      </w:r>
    </w:p>
    <w:p w14:paraId="25EDFDB7" w14:textId="77777777" w:rsidR="00BB00F5" w:rsidRPr="00C51E5B" w:rsidRDefault="00BB00F5" w:rsidP="00905066">
      <w:pPr>
        <w:pStyle w:val="NormalWeb"/>
        <w:rPr>
          <w:rFonts w:ascii="Arial" w:hAnsi="Arial" w:cs="Arial"/>
        </w:rPr>
      </w:pPr>
      <w:r w:rsidRPr="00C51E5B">
        <w:rPr>
          <w:rFonts w:ascii="Arial" w:hAnsi="Arial" w:cs="Arial"/>
        </w:rPr>
        <w:t xml:space="preserve">            </w:t>
      </w:r>
      <w:r w:rsidR="00B20929" w:rsidRPr="00C51E5B">
        <w:rPr>
          <w:rFonts w:ascii="Arial" w:hAnsi="Arial" w:cs="Arial"/>
        </w:rPr>
        <w:t xml:space="preserve">ante los riesgos en el sector de la electricidad y por el que se deroga la Directiva </w:t>
      </w:r>
    </w:p>
    <w:p w14:paraId="05793ED2" w14:textId="589823DF" w:rsidR="00B20929" w:rsidRPr="00C51E5B" w:rsidRDefault="00BB00F5" w:rsidP="00905066">
      <w:pPr>
        <w:pStyle w:val="NormalWeb"/>
        <w:rPr>
          <w:rFonts w:ascii="Arial" w:hAnsi="Arial" w:cs="Arial"/>
        </w:rPr>
      </w:pPr>
      <w:r w:rsidRPr="00C51E5B">
        <w:rPr>
          <w:rFonts w:ascii="Arial" w:hAnsi="Arial" w:cs="Arial"/>
        </w:rPr>
        <w:t xml:space="preserve">            </w:t>
      </w:r>
      <w:r w:rsidR="00B20929" w:rsidRPr="00C51E5B">
        <w:rPr>
          <w:rFonts w:ascii="Arial" w:hAnsi="Arial" w:cs="Arial"/>
        </w:rPr>
        <w:t>2005/89/CE. Diario Oficial de la Unión Europea, L 158, 14.6.2019, pp. 1–16.</w:t>
      </w:r>
    </w:p>
    <w:p w14:paraId="44CAF563" w14:textId="75024EAE" w:rsidR="00517836" w:rsidRPr="00C51E5B" w:rsidRDefault="00517836" w:rsidP="00905066">
      <w:pPr>
        <w:pStyle w:val="NormalWeb"/>
        <w:rPr>
          <w:rFonts w:ascii="Arial" w:hAnsi="Arial" w:cs="Arial"/>
        </w:rPr>
      </w:pPr>
      <w:r w:rsidRPr="00C51E5B">
        <w:rPr>
          <w:rFonts w:ascii="Arial" w:hAnsi="Arial" w:cs="Arial"/>
        </w:rPr>
        <w:t>Parlamento Europeo y del Consejo, de 14 de marzo de 2018, por la que se modifica la Directiva 2003/87/CE para reforzar el coste efectivo de la reducción de emisiones y las inversiones bajas en carbono. Diario Oficial de la Unión Europea, L 76, 19.3.2018, pp. 3–27.</w:t>
      </w:r>
    </w:p>
    <w:p w14:paraId="2DA7E0FE" w14:textId="452FB1FD" w:rsidR="004F7D70" w:rsidRPr="00C51E5B" w:rsidRDefault="00CE1B84" w:rsidP="00905066">
      <w:pPr>
        <w:pStyle w:val="NormalWeb"/>
        <w:rPr>
          <w:rFonts w:ascii="Arial" w:hAnsi="Arial" w:cs="Arial"/>
        </w:rPr>
      </w:pPr>
      <w:r w:rsidRPr="00C51E5B">
        <w:rPr>
          <w:rFonts w:ascii="Arial" w:hAnsi="Arial" w:cs="Arial"/>
        </w:rPr>
        <w:tab/>
      </w:r>
      <w:r w:rsidR="004F7D70" w:rsidRPr="00C51E5B">
        <w:rPr>
          <w:rFonts w:ascii="Arial" w:hAnsi="Arial" w:cs="Arial"/>
        </w:rPr>
        <w:t xml:space="preserve">Pizarro, M. (2020). </w:t>
      </w:r>
      <w:r w:rsidR="004F7D70" w:rsidRPr="00C51E5B">
        <w:rPr>
          <w:rFonts w:ascii="Arial" w:hAnsi="Arial" w:cs="Arial"/>
          <w:i/>
          <w:iCs/>
        </w:rPr>
        <w:t>Transición energética en Europa: Lecciones para América Latina</w:t>
      </w:r>
      <w:r w:rsidR="004F7D70" w:rsidRPr="00C51E5B">
        <w:rPr>
          <w:rFonts w:ascii="Arial" w:hAnsi="Arial" w:cs="Arial"/>
        </w:rPr>
        <w:t>. Journal of Comparative Environmental Law, 8(2), 120-138.</w:t>
      </w:r>
    </w:p>
    <w:p w14:paraId="1C6F2B18" w14:textId="09469C1A" w:rsidR="004F7D70" w:rsidRPr="00C51E5B" w:rsidRDefault="004F7D70" w:rsidP="00905066">
      <w:pPr>
        <w:pStyle w:val="NormalWeb"/>
        <w:rPr>
          <w:rFonts w:ascii="Arial" w:hAnsi="Arial" w:cs="Arial"/>
          <w:i/>
          <w:iCs/>
        </w:rPr>
      </w:pPr>
      <w:r w:rsidRPr="00C51E5B">
        <w:rPr>
          <w:rFonts w:ascii="Arial" w:hAnsi="Arial" w:cs="Arial"/>
        </w:rPr>
        <w:t xml:space="preserve">Ramírez, L. &amp; Ortiz, C. (2019). </w:t>
      </w:r>
      <w:r w:rsidRPr="00C51E5B">
        <w:rPr>
          <w:rFonts w:ascii="Arial" w:hAnsi="Arial" w:cs="Arial"/>
          <w:i/>
          <w:iCs/>
        </w:rPr>
        <w:t xml:space="preserve">Energías renovables y su regulación en Colombia: Un </w:t>
      </w:r>
      <w:r w:rsidR="00C51E5B">
        <w:rPr>
          <w:rFonts w:ascii="Arial" w:hAnsi="Arial" w:cs="Arial"/>
          <w:i/>
          <w:iCs/>
        </w:rPr>
        <w:t xml:space="preserve"> </w:t>
      </w:r>
      <w:r w:rsidRPr="00C51E5B">
        <w:rPr>
          <w:rFonts w:ascii="Arial" w:hAnsi="Arial" w:cs="Arial"/>
          <w:i/>
          <w:iCs/>
        </w:rPr>
        <w:t>análisis crítico</w:t>
      </w:r>
      <w:r w:rsidRPr="00C51E5B">
        <w:rPr>
          <w:rFonts w:ascii="Arial" w:hAnsi="Arial" w:cs="Arial"/>
        </w:rPr>
        <w:t>. Anuario de Derecho Público, 15(1), 78-96.</w:t>
      </w:r>
    </w:p>
    <w:p w14:paraId="745F0CA8" w14:textId="77777777" w:rsidR="00FA06C9" w:rsidRPr="00C51E5B" w:rsidRDefault="00CE1B84" w:rsidP="00905066">
      <w:pPr>
        <w:spacing w:line="240" w:lineRule="auto"/>
        <w:rPr>
          <w:rFonts w:ascii="Arial" w:hAnsi="Arial" w:cs="Arial"/>
          <w:i/>
          <w:iCs/>
          <w:sz w:val="24"/>
          <w:szCs w:val="24"/>
        </w:rPr>
      </w:pPr>
      <w:r w:rsidRPr="00C51E5B">
        <w:rPr>
          <w:rFonts w:ascii="Arial" w:hAnsi="Arial" w:cs="Arial"/>
          <w:sz w:val="24"/>
          <w:szCs w:val="24"/>
        </w:rPr>
        <w:lastRenderedPageBreak/>
        <w:t xml:space="preserve">Rodríguez, P., &amp; Sánchez, L. (2020). </w:t>
      </w:r>
      <w:r w:rsidRPr="00C51E5B">
        <w:rPr>
          <w:rFonts w:ascii="Arial" w:hAnsi="Arial" w:cs="Arial"/>
          <w:i/>
          <w:iCs/>
          <w:sz w:val="24"/>
          <w:szCs w:val="24"/>
        </w:rPr>
        <w:t xml:space="preserve">Beneficios de la transición hacia energías renovables </w:t>
      </w:r>
    </w:p>
    <w:p w14:paraId="63C14FA3" w14:textId="5C6A4828" w:rsidR="00CE1B84" w:rsidRPr="00C51E5B" w:rsidRDefault="00CE1B84" w:rsidP="00905066">
      <w:pPr>
        <w:spacing w:line="240" w:lineRule="auto"/>
        <w:ind w:firstLine="708"/>
        <w:rPr>
          <w:rFonts w:ascii="Arial" w:hAnsi="Arial" w:cs="Arial"/>
          <w:sz w:val="24"/>
          <w:szCs w:val="24"/>
        </w:rPr>
      </w:pPr>
      <w:r w:rsidRPr="00C51E5B">
        <w:rPr>
          <w:rFonts w:ascii="Arial" w:hAnsi="Arial" w:cs="Arial"/>
          <w:i/>
          <w:iCs/>
          <w:sz w:val="24"/>
          <w:szCs w:val="24"/>
        </w:rPr>
        <w:t>en América Latina</w:t>
      </w:r>
      <w:r w:rsidRPr="00C51E5B">
        <w:rPr>
          <w:rFonts w:ascii="Arial" w:hAnsi="Arial" w:cs="Arial"/>
          <w:sz w:val="24"/>
          <w:szCs w:val="24"/>
        </w:rPr>
        <w:t>. Journal of Environmental Economics, 15(3), 245-267.</w:t>
      </w:r>
    </w:p>
    <w:p w14:paraId="5DA3FABB" w14:textId="7E753C35" w:rsidR="00862882" w:rsidRPr="00C51E5B" w:rsidRDefault="00862882" w:rsidP="00905066">
      <w:pPr>
        <w:spacing w:line="240" w:lineRule="auto"/>
        <w:rPr>
          <w:rFonts w:ascii="Arial" w:hAnsi="Arial" w:cs="Arial"/>
          <w:i/>
          <w:iCs/>
          <w:sz w:val="24"/>
          <w:szCs w:val="24"/>
        </w:rPr>
      </w:pPr>
      <w:r w:rsidRPr="00C51E5B">
        <w:rPr>
          <w:rFonts w:ascii="Arial" w:hAnsi="Arial" w:cs="Arial"/>
          <w:sz w:val="24"/>
          <w:szCs w:val="24"/>
        </w:rPr>
        <w:t xml:space="preserve">Unión Europea. (2010). </w:t>
      </w:r>
      <w:r w:rsidRPr="00C51E5B">
        <w:rPr>
          <w:rFonts w:ascii="Arial" w:hAnsi="Arial" w:cs="Arial"/>
          <w:i/>
          <w:iCs/>
          <w:sz w:val="24"/>
          <w:szCs w:val="24"/>
        </w:rPr>
        <w:t>Directiva 2010/31/UE del Parlamento Europeo y del Consejo sobre la eficiencia energética de los edificios</w:t>
      </w:r>
      <w:r w:rsidRPr="00C51E5B">
        <w:rPr>
          <w:rFonts w:ascii="Arial" w:hAnsi="Arial" w:cs="Arial"/>
          <w:sz w:val="24"/>
          <w:szCs w:val="24"/>
        </w:rPr>
        <w:t xml:space="preserve"> (EPBD).</w:t>
      </w:r>
    </w:p>
    <w:p w14:paraId="582EF051" w14:textId="7501E143" w:rsidR="00862882" w:rsidRPr="00C51E5B" w:rsidRDefault="00862882" w:rsidP="00905066">
      <w:pPr>
        <w:spacing w:line="240" w:lineRule="auto"/>
        <w:rPr>
          <w:rFonts w:ascii="Arial" w:hAnsi="Arial" w:cs="Arial"/>
          <w:i/>
          <w:iCs/>
          <w:sz w:val="24"/>
          <w:szCs w:val="24"/>
        </w:rPr>
      </w:pPr>
      <w:r w:rsidRPr="00C51E5B">
        <w:rPr>
          <w:rFonts w:ascii="Arial" w:hAnsi="Arial" w:cs="Arial"/>
          <w:sz w:val="24"/>
          <w:szCs w:val="24"/>
        </w:rPr>
        <w:t xml:space="preserve">Unión Europea. (2018). </w:t>
      </w:r>
      <w:r w:rsidRPr="00C51E5B">
        <w:rPr>
          <w:rFonts w:ascii="Arial" w:hAnsi="Arial" w:cs="Arial"/>
          <w:i/>
          <w:iCs/>
          <w:sz w:val="24"/>
          <w:szCs w:val="24"/>
        </w:rPr>
        <w:t xml:space="preserve">Directiva (UE) 2018/2001 del Parlamento Europeo y del Consejo, </w:t>
      </w:r>
      <w:r w:rsidR="00C51E5B">
        <w:rPr>
          <w:rFonts w:ascii="Arial" w:hAnsi="Arial" w:cs="Arial"/>
          <w:i/>
          <w:iCs/>
          <w:sz w:val="24"/>
          <w:szCs w:val="24"/>
        </w:rPr>
        <w:t xml:space="preserve"> </w:t>
      </w:r>
      <w:r w:rsidRPr="00C51E5B">
        <w:rPr>
          <w:rFonts w:ascii="Arial" w:hAnsi="Arial" w:cs="Arial"/>
          <w:i/>
          <w:iCs/>
          <w:sz w:val="24"/>
          <w:szCs w:val="24"/>
        </w:rPr>
        <w:t xml:space="preserve">de 11 de diciembre de 2018, sobre el fomento del uso de energía procedente de </w:t>
      </w:r>
      <w:r w:rsidR="00C51E5B">
        <w:rPr>
          <w:rFonts w:ascii="Arial" w:hAnsi="Arial" w:cs="Arial"/>
          <w:i/>
          <w:iCs/>
          <w:sz w:val="24"/>
          <w:szCs w:val="24"/>
        </w:rPr>
        <w:t xml:space="preserve"> </w:t>
      </w:r>
      <w:r w:rsidRPr="00C51E5B">
        <w:rPr>
          <w:rFonts w:ascii="Arial" w:hAnsi="Arial" w:cs="Arial"/>
          <w:i/>
          <w:iCs/>
          <w:sz w:val="24"/>
          <w:szCs w:val="24"/>
        </w:rPr>
        <w:t>fuentes renovables</w:t>
      </w:r>
      <w:r w:rsidRPr="00C51E5B">
        <w:rPr>
          <w:rFonts w:ascii="Arial" w:hAnsi="Arial" w:cs="Arial"/>
          <w:sz w:val="24"/>
          <w:szCs w:val="24"/>
        </w:rPr>
        <w:t xml:space="preserve"> (RED II).</w:t>
      </w:r>
    </w:p>
    <w:p w14:paraId="4234223B" w14:textId="77777777" w:rsidR="00FA06C9" w:rsidRPr="00C51E5B" w:rsidRDefault="00810C18" w:rsidP="00905066">
      <w:pPr>
        <w:spacing w:line="240" w:lineRule="auto"/>
        <w:rPr>
          <w:rFonts w:ascii="Arial" w:hAnsi="Arial" w:cs="Arial"/>
          <w:i/>
          <w:iCs/>
          <w:sz w:val="24"/>
          <w:szCs w:val="24"/>
        </w:rPr>
      </w:pPr>
      <w:r w:rsidRPr="00C51E5B">
        <w:rPr>
          <w:rFonts w:ascii="Arial" w:hAnsi="Arial" w:cs="Arial"/>
          <w:sz w:val="24"/>
          <w:szCs w:val="24"/>
        </w:rPr>
        <w:t xml:space="preserve">Unión Europea. (2018). </w:t>
      </w:r>
      <w:r w:rsidRPr="00C51E5B">
        <w:rPr>
          <w:rFonts w:ascii="Arial" w:hAnsi="Arial" w:cs="Arial"/>
          <w:i/>
          <w:iCs/>
          <w:sz w:val="24"/>
          <w:szCs w:val="24"/>
        </w:rPr>
        <w:t xml:space="preserve">Directiva (UE) 2018/2001 del Parlamento Europeo y del Consejo, </w:t>
      </w:r>
    </w:p>
    <w:p w14:paraId="7F0B1C53" w14:textId="77777777" w:rsidR="00FA06C9" w:rsidRPr="00C51E5B" w:rsidRDefault="00810C18" w:rsidP="00905066">
      <w:pPr>
        <w:spacing w:line="240" w:lineRule="auto"/>
        <w:ind w:firstLine="708"/>
        <w:rPr>
          <w:rFonts w:ascii="Arial" w:hAnsi="Arial" w:cs="Arial"/>
          <w:i/>
          <w:iCs/>
          <w:sz w:val="24"/>
          <w:szCs w:val="24"/>
        </w:rPr>
      </w:pPr>
      <w:r w:rsidRPr="00C51E5B">
        <w:rPr>
          <w:rFonts w:ascii="Arial" w:hAnsi="Arial" w:cs="Arial"/>
          <w:i/>
          <w:iCs/>
          <w:sz w:val="24"/>
          <w:szCs w:val="24"/>
        </w:rPr>
        <w:t xml:space="preserve">de 11 de diciembre de 2018, sobre el fomento del uso de energía procedente de </w:t>
      </w:r>
    </w:p>
    <w:p w14:paraId="71730FB9" w14:textId="65120307" w:rsidR="00042F2A" w:rsidRPr="00C51E5B" w:rsidRDefault="00810C18" w:rsidP="00905066">
      <w:pPr>
        <w:spacing w:line="240" w:lineRule="auto"/>
        <w:ind w:firstLine="708"/>
        <w:rPr>
          <w:rFonts w:ascii="Arial" w:hAnsi="Arial" w:cs="Arial"/>
          <w:sz w:val="24"/>
          <w:szCs w:val="24"/>
        </w:rPr>
      </w:pPr>
      <w:r w:rsidRPr="00C51E5B">
        <w:rPr>
          <w:rFonts w:ascii="Arial" w:hAnsi="Arial" w:cs="Arial"/>
          <w:i/>
          <w:iCs/>
          <w:sz w:val="24"/>
          <w:szCs w:val="24"/>
        </w:rPr>
        <w:t>fuentes renovables</w:t>
      </w:r>
      <w:r w:rsidRPr="00C51E5B">
        <w:rPr>
          <w:rFonts w:ascii="Arial" w:hAnsi="Arial" w:cs="Arial"/>
          <w:sz w:val="24"/>
          <w:szCs w:val="24"/>
        </w:rPr>
        <w:t xml:space="preserve"> (RED II).</w:t>
      </w:r>
    </w:p>
    <w:p w14:paraId="103DADBE" w14:textId="77777777" w:rsidR="00FA06C9" w:rsidRPr="00C51E5B" w:rsidRDefault="006E3994" w:rsidP="00905066">
      <w:pPr>
        <w:spacing w:line="240" w:lineRule="auto"/>
        <w:rPr>
          <w:rFonts w:ascii="Arial" w:hAnsi="Arial" w:cs="Arial"/>
          <w:i/>
          <w:iCs/>
          <w:sz w:val="24"/>
          <w:szCs w:val="24"/>
        </w:rPr>
      </w:pPr>
      <w:r w:rsidRPr="00C51E5B">
        <w:rPr>
          <w:rFonts w:ascii="Arial" w:hAnsi="Arial" w:cs="Arial"/>
          <w:sz w:val="24"/>
          <w:szCs w:val="24"/>
        </w:rPr>
        <w:t xml:space="preserve">Unidad de Planeación Minero Energética (UPME). (2020). </w:t>
      </w:r>
      <w:r w:rsidRPr="00C51E5B">
        <w:rPr>
          <w:rFonts w:ascii="Arial" w:hAnsi="Arial" w:cs="Arial"/>
          <w:i/>
          <w:iCs/>
          <w:sz w:val="24"/>
          <w:szCs w:val="24"/>
        </w:rPr>
        <w:t xml:space="preserve">Informe de Certificados de </w:t>
      </w:r>
    </w:p>
    <w:p w14:paraId="5903C082" w14:textId="684A94DC" w:rsidR="006E3994" w:rsidRPr="00C51E5B" w:rsidRDefault="006E3994" w:rsidP="00905066">
      <w:pPr>
        <w:spacing w:line="240" w:lineRule="auto"/>
        <w:ind w:firstLine="708"/>
        <w:rPr>
          <w:rFonts w:ascii="Arial" w:hAnsi="Arial" w:cs="Arial"/>
          <w:sz w:val="24"/>
          <w:szCs w:val="24"/>
        </w:rPr>
      </w:pPr>
      <w:r w:rsidRPr="00C51E5B">
        <w:rPr>
          <w:rFonts w:ascii="Arial" w:hAnsi="Arial" w:cs="Arial"/>
          <w:i/>
          <w:iCs/>
          <w:sz w:val="24"/>
          <w:szCs w:val="24"/>
        </w:rPr>
        <w:t>Energías Renovables en Colombia</w:t>
      </w:r>
      <w:r w:rsidRPr="00C51E5B">
        <w:rPr>
          <w:rFonts w:ascii="Arial" w:hAnsi="Arial" w:cs="Arial"/>
          <w:sz w:val="24"/>
          <w:szCs w:val="24"/>
        </w:rPr>
        <w:t>.</w:t>
      </w:r>
    </w:p>
    <w:sectPr w:rsidR="006E3994" w:rsidRPr="00C51E5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9D0F01" w14:textId="77777777" w:rsidR="004734C1" w:rsidRDefault="004734C1" w:rsidP="00AD6D46">
      <w:pPr>
        <w:spacing w:after="0" w:line="240" w:lineRule="auto"/>
      </w:pPr>
      <w:r>
        <w:separator/>
      </w:r>
    </w:p>
  </w:endnote>
  <w:endnote w:type="continuationSeparator" w:id="0">
    <w:p w14:paraId="1A99B876" w14:textId="77777777" w:rsidR="004734C1" w:rsidRDefault="004734C1" w:rsidP="00AD6D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webkit-standard">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61C7A5" w14:textId="77777777" w:rsidR="004734C1" w:rsidRDefault="004734C1" w:rsidP="00AD6D46">
      <w:pPr>
        <w:spacing w:after="0" w:line="240" w:lineRule="auto"/>
      </w:pPr>
      <w:r>
        <w:separator/>
      </w:r>
    </w:p>
  </w:footnote>
  <w:footnote w:type="continuationSeparator" w:id="0">
    <w:p w14:paraId="77FBB06A" w14:textId="77777777" w:rsidR="004734C1" w:rsidRDefault="004734C1" w:rsidP="00AD6D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00340"/>
    <w:multiLevelType w:val="multilevel"/>
    <w:tmpl w:val="97E81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5915E2"/>
    <w:multiLevelType w:val="multilevel"/>
    <w:tmpl w:val="88802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04370B"/>
    <w:multiLevelType w:val="multilevel"/>
    <w:tmpl w:val="BC2C7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CB465E"/>
    <w:multiLevelType w:val="multilevel"/>
    <w:tmpl w:val="75165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5851DF"/>
    <w:multiLevelType w:val="multilevel"/>
    <w:tmpl w:val="2744A8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23D1695"/>
    <w:multiLevelType w:val="multilevel"/>
    <w:tmpl w:val="1D8A8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B55C12"/>
    <w:multiLevelType w:val="multilevel"/>
    <w:tmpl w:val="CACEB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B4C5D72"/>
    <w:multiLevelType w:val="multilevel"/>
    <w:tmpl w:val="32007E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CDF5398"/>
    <w:multiLevelType w:val="multilevel"/>
    <w:tmpl w:val="80605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2CA5812"/>
    <w:multiLevelType w:val="multilevel"/>
    <w:tmpl w:val="FFE6A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FC96785"/>
    <w:multiLevelType w:val="multilevel"/>
    <w:tmpl w:val="6F044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1E76E53"/>
    <w:multiLevelType w:val="multilevel"/>
    <w:tmpl w:val="6584D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E472BE2"/>
    <w:multiLevelType w:val="multilevel"/>
    <w:tmpl w:val="4ED0F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5"/>
  </w:num>
  <w:num w:numId="3">
    <w:abstractNumId w:val="3"/>
  </w:num>
  <w:num w:numId="4">
    <w:abstractNumId w:val="9"/>
  </w:num>
  <w:num w:numId="5">
    <w:abstractNumId w:val="2"/>
  </w:num>
  <w:num w:numId="6">
    <w:abstractNumId w:val="12"/>
  </w:num>
  <w:num w:numId="7">
    <w:abstractNumId w:val="11"/>
  </w:num>
  <w:num w:numId="8">
    <w:abstractNumId w:val="7"/>
  </w:num>
  <w:num w:numId="9">
    <w:abstractNumId w:val="4"/>
  </w:num>
  <w:num w:numId="10">
    <w:abstractNumId w:val="0"/>
  </w:num>
  <w:num w:numId="11">
    <w:abstractNumId w:val="8"/>
  </w:num>
  <w:num w:numId="12">
    <w:abstractNumId w:val="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56D2"/>
    <w:rsid w:val="00012C8D"/>
    <w:rsid w:val="00021180"/>
    <w:rsid w:val="000221E6"/>
    <w:rsid w:val="0003451F"/>
    <w:rsid w:val="00042F2A"/>
    <w:rsid w:val="0004534C"/>
    <w:rsid w:val="00061350"/>
    <w:rsid w:val="00061F53"/>
    <w:rsid w:val="00075C38"/>
    <w:rsid w:val="000838FA"/>
    <w:rsid w:val="00095D94"/>
    <w:rsid w:val="000B1C7B"/>
    <w:rsid w:val="000D06AC"/>
    <w:rsid w:val="000D2626"/>
    <w:rsid w:val="000D57C1"/>
    <w:rsid w:val="0012756E"/>
    <w:rsid w:val="001306BE"/>
    <w:rsid w:val="00145766"/>
    <w:rsid w:val="00185E53"/>
    <w:rsid w:val="00191AE8"/>
    <w:rsid w:val="001920D8"/>
    <w:rsid w:val="0019775A"/>
    <w:rsid w:val="001979E1"/>
    <w:rsid w:val="001A5701"/>
    <w:rsid w:val="001B0A90"/>
    <w:rsid w:val="001D2B2A"/>
    <w:rsid w:val="001D4ABA"/>
    <w:rsid w:val="001E0171"/>
    <w:rsid w:val="001F6486"/>
    <w:rsid w:val="00205927"/>
    <w:rsid w:val="00212D55"/>
    <w:rsid w:val="00214FBD"/>
    <w:rsid w:val="00233FEF"/>
    <w:rsid w:val="00236B52"/>
    <w:rsid w:val="0024558A"/>
    <w:rsid w:val="002613EE"/>
    <w:rsid w:val="00283288"/>
    <w:rsid w:val="00294FC5"/>
    <w:rsid w:val="00296AC5"/>
    <w:rsid w:val="002B2C52"/>
    <w:rsid w:val="002C7E1E"/>
    <w:rsid w:val="002E0F48"/>
    <w:rsid w:val="002F1299"/>
    <w:rsid w:val="002F1AF7"/>
    <w:rsid w:val="002F2BE1"/>
    <w:rsid w:val="00306B77"/>
    <w:rsid w:val="00313784"/>
    <w:rsid w:val="00323B8D"/>
    <w:rsid w:val="0034584D"/>
    <w:rsid w:val="003750D6"/>
    <w:rsid w:val="0038753F"/>
    <w:rsid w:val="003947CA"/>
    <w:rsid w:val="00397E36"/>
    <w:rsid w:val="003B76B8"/>
    <w:rsid w:val="003C1D14"/>
    <w:rsid w:val="003D16C8"/>
    <w:rsid w:val="003D1DBE"/>
    <w:rsid w:val="003D67A1"/>
    <w:rsid w:val="003F5BE0"/>
    <w:rsid w:val="00400124"/>
    <w:rsid w:val="00427395"/>
    <w:rsid w:val="00441062"/>
    <w:rsid w:val="00457A1C"/>
    <w:rsid w:val="004734C1"/>
    <w:rsid w:val="00484D0C"/>
    <w:rsid w:val="004A3568"/>
    <w:rsid w:val="004B1813"/>
    <w:rsid w:val="004B3026"/>
    <w:rsid w:val="004E2B80"/>
    <w:rsid w:val="004E30DE"/>
    <w:rsid w:val="004F7D70"/>
    <w:rsid w:val="00507127"/>
    <w:rsid w:val="00517836"/>
    <w:rsid w:val="005269E2"/>
    <w:rsid w:val="00540C20"/>
    <w:rsid w:val="00547A1B"/>
    <w:rsid w:val="005536DD"/>
    <w:rsid w:val="005573FE"/>
    <w:rsid w:val="00564457"/>
    <w:rsid w:val="00564602"/>
    <w:rsid w:val="0056554C"/>
    <w:rsid w:val="005751D5"/>
    <w:rsid w:val="00591353"/>
    <w:rsid w:val="005A6D40"/>
    <w:rsid w:val="005C10CB"/>
    <w:rsid w:val="005D07A9"/>
    <w:rsid w:val="005D38DF"/>
    <w:rsid w:val="005D3DE2"/>
    <w:rsid w:val="005E20DB"/>
    <w:rsid w:val="005F0AB7"/>
    <w:rsid w:val="00600E4E"/>
    <w:rsid w:val="00606BB4"/>
    <w:rsid w:val="00612B0F"/>
    <w:rsid w:val="00614793"/>
    <w:rsid w:val="00614E1E"/>
    <w:rsid w:val="0064531F"/>
    <w:rsid w:val="00675E1A"/>
    <w:rsid w:val="00695980"/>
    <w:rsid w:val="006C1369"/>
    <w:rsid w:val="006D0B40"/>
    <w:rsid w:val="006D378C"/>
    <w:rsid w:val="006D4762"/>
    <w:rsid w:val="006D6728"/>
    <w:rsid w:val="006E0461"/>
    <w:rsid w:val="006E3994"/>
    <w:rsid w:val="006F5CA6"/>
    <w:rsid w:val="00705EAC"/>
    <w:rsid w:val="00727C92"/>
    <w:rsid w:val="00742798"/>
    <w:rsid w:val="00746781"/>
    <w:rsid w:val="00767628"/>
    <w:rsid w:val="00770C04"/>
    <w:rsid w:val="007731CA"/>
    <w:rsid w:val="00774E08"/>
    <w:rsid w:val="00782CDB"/>
    <w:rsid w:val="007831D1"/>
    <w:rsid w:val="00795FCB"/>
    <w:rsid w:val="0079719F"/>
    <w:rsid w:val="007A2012"/>
    <w:rsid w:val="007A3972"/>
    <w:rsid w:val="007C6DDD"/>
    <w:rsid w:val="007E3690"/>
    <w:rsid w:val="007F0803"/>
    <w:rsid w:val="007F2412"/>
    <w:rsid w:val="00810C18"/>
    <w:rsid w:val="00836C31"/>
    <w:rsid w:val="008473E4"/>
    <w:rsid w:val="00862882"/>
    <w:rsid w:val="00885A02"/>
    <w:rsid w:val="00890839"/>
    <w:rsid w:val="008913BA"/>
    <w:rsid w:val="008A0C97"/>
    <w:rsid w:val="008A4155"/>
    <w:rsid w:val="008A637E"/>
    <w:rsid w:val="008C0846"/>
    <w:rsid w:val="008C7EF8"/>
    <w:rsid w:val="008D02E8"/>
    <w:rsid w:val="008E353E"/>
    <w:rsid w:val="008F2925"/>
    <w:rsid w:val="00905066"/>
    <w:rsid w:val="00906A7F"/>
    <w:rsid w:val="0094011A"/>
    <w:rsid w:val="009504C6"/>
    <w:rsid w:val="009506D6"/>
    <w:rsid w:val="00966403"/>
    <w:rsid w:val="009856AA"/>
    <w:rsid w:val="00990F96"/>
    <w:rsid w:val="009A0B24"/>
    <w:rsid w:val="009A4E21"/>
    <w:rsid w:val="009B7388"/>
    <w:rsid w:val="009C2581"/>
    <w:rsid w:val="009C3268"/>
    <w:rsid w:val="009E325F"/>
    <w:rsid w:val="009F5330"/>
    <w:rsid w:val="00A35EC0"/>
    <w:rsid w:val="00A44B51"/>
    <w:rsid w:val="00A55CEE"/>
    <w:rsid w:val="00A6550B"/>
    <w:rsid w:val="00A66483"/>
    <w:rsid w:val="00A93D9F"/>
    <w:rsid w:val="00AA5656"/>
    <w:rsid w:val="00AB64B6"/>
    <w:rsid w:val="00AB6F30"/>
    <w:rsid w:val="00AD499F"/>
    <w:rsid w:val="00AD6D46"/>
    <w:rsid w:val="00AE614D"/>
    <w:rsid w:val="00AE65F1"/>
    <w:rsid w:val="00AF13D1"/>
    <w:rsid w:val="00B01135"/>
    <w:rsid w:val="00B0266D"/>
    <w:rsid w:val="00B056D2"/>
    <w:rsid w:val="00B20929"/>
    <w:rsid w:val="00B26319"/>
    <w:rsid w:val="00B369B0"/>
    <w:rsid w:val="00B37824"/>
    <w:rsid w:val="00B401F6"/>
    <w:rsid w:val="00B413D3"/>
    <w:rsid w:val="00B504A6"/>
    <w:rsid w:val="00B530A3"/>
    <w:rsid w:val="00B66C7E"/>
    <w:rsid w:val="00B74C78"/>
    <w:rsid w:val="00BA49C3"/>
    <w:rsid w:val="00BA7020"/>
    <w:rsid w:val="00BB00F5"/>
    <w:rsid w:val="00BB0D44"/>
    <w:rsid w:val="00BD061E"/>
    <w:rsid w:val="00BD6E6D"/>
    <w:rsid w:val="00C0192F"/>
    <w:rsid w:val="00C51134"/>
    <w:rsid w:val="00C51E5B"/>
    <w:rsid w:val="00C55A0F"/>
    <w:rsid w:val="00C65962"/>
    <w:rsid w:val="00C66E35"/>
    <w:rsid w:val="00C86AD0"/>
    <w:rsid w:val="00C94A5A"/>
    <w:rsid w:val="00C95D05"/>
    <w:rsid w:val="00CA569C"/>
    <w:rsid w:val="00CB1EFD"/>
    <w:rsid w:val="00CC5776"/>
    <w:rsid w:val="00CD1251"/>
    <w:rsid w:val="00CE1B84"/>
    <w:rsid w:val="00CF742F"/>
    <w:rsid w:val="00D07100"/>
    <w:rsid w:val="00D26242"/>
    <w:rsid w:val="00D42064"/>
    <w:rsid w:val="00D44E6C"/>
    <w:rsid w:val="00D66D3A"/>
    <w:rsid w:val="00DA541F"/>
    <w:rsid w:val="00DB261D"/>
    <w:rsid w:val="00DF6289"/>
    <w:rsid w:val="00E0397F"/>
    <w:rsid w:val="00E04517"/>
    <w:rsid w:val="00E16B64"/>
    <w:rsid w:val="00E32638"/>
    <w:rsid w:val="00E356EE"/>
    <w:rsid w:val="00E602E3"/>
    <w:rsid w:val="00E63D98"/>
    <w:rsid w:val="00E67226"/>
    <w:rsid w:val="00E725F0"/>
    <w:rsid w:val="00E86AA6"/>
    <w:rsid w:val="00EB21CB"/>
    <w:rsid w:val="00EB36C2"/>
    <w:rsid w:val="00EB675A"/>
    <w:rsid w:val="00EF0425"/>
    <w:rsid w:val="00EF7FA5"/>
    <w:rsid w:val="00F04482"/>
    <w:rsid w:val="00F11BB6"/>
    <w:rsid w:val="00F25DD3"/>
    <w:rsid w:val="00F2753C"/>
    <w:rsid w:val="00F43141"/>
    <w:rsid w:val="00F43878"/>
    <w:rsid w:val="00F56516"/>
    <w:rsid w:val="00F70A59"/>
    <w:rsid w:val="00F76990"/>
    <w:rsid w:val="00FA06C9"/>
    <w:rsid w:val="00FA14AA"/>
    <w:rsid w:val="00FB002E"/>
    <w:rsid w:val="00FC6403"/>
    <w:rsid w:val="00FE0754"/>
    <w:rsid w:val="00FE1DE7"/>
    <w:rsid w:val="00FF0B9B"/>
    <w:rsid w:val="00FF5F6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A5EF1"/>
  <w15:chartTrackingRefBased/>
  <w15:docId w15:val="{D4AB077B-32DB-44B9-BE64-5F8249A53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191AE8"/>
    <w:pPr>
      <w:keepNext/>
      <w:keepLines/>
      <w:spacing w:before="240" w:after="0" w:line="240" w:lineRule="auto"/>
      <w:outlineLvl w:val="0"/>
    </w:pPr>
    <w:rPr>
      <w:rFonts w:ascii="Georgia" w:eastAsiaTheme="majorEastAsia" w:hAnsi="Georgia" w:cstheme="majorBidi"/>
      <w:b/>
      <w:color w:val="000000" w:themeColor="text1"/>
      <w:szCs w:val="32"/>
    </w:rPr>
  </w:style>
  <w:style w:type="paragraph" w:styleId="Ttulo2">
    <w:name w:val="heading 2"/>
    <w:basedOn w:val="Normal"/>
    <w:next w:val="Normal"/>
    <w:link w:val="Ttulo2Car"/>
    <w:uiPriority w:val="9"/>
    <w:unhideWhenUsed/>
    <w:qFormat/>
    <w:rsid w:val="00F70A59"/>
    <w:pPr>
      <w:keepNext/>
      <w:keepLines/>
      <w:spacing w:before="40" w:after="0"/>
      <w:outlineLvl w:val="1"/>
    </w:pPr>
    <w:rPr>
      <w:rFonts w:ascii="Georgia" w:eastAsiaTheme="majorEastAsia" w:hAnsi="Georgia" w:cstheme="majorBidi"/>
      <w:b/>
      <w:color w:val="000000" w:themeColor="text1"/>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B056D2"/>
    <w:pPr>
      <w:spacing w:before="100" w:beforeAutospacing="1" w:after="100" w:afterAutospacing="1" w:line="240" w:lineRule="auto"/>
    </w:pPr>
    <w:rPr>
      <w:rFonts w:ascii="Times New Roman" w:eastAsiaTheme="minorEastAsia" w:hAnsi="Times New Roman" w:cs="Times New Roman"/>
      <w:kern w:val="0"/>
      <w:sz w:val="24"/>
      <w:szCs w:val="24"/>
      <w:lang w:eastAsia="es-CO"/>
      <w14:ligatures w14:val="none"/>
    </w:rPr>
  </w:style>
  <w:style w:type="paragraph" w:styleId="Prrafodelista">
    <w:name w:val="List Paragraph"/>
    <w:basedOn w:val="Normal"/>
    <w:uiPriority w:val="34"/>
    <w:qFormat/>
    <w:rsid w:val="004F7D70"/>
    <w:pPr>
      <w:ind w:left="720"/>
      <w:contextualSpacing/>
    </w:pPr>
  </w:style>
  <w:style w:type="character" w:styleId="Hipervnculo">
    <w:name w:val="Hyperlink"/>
    <w:basedOn w:val="Fuentedeprrafopredeter"/>
    <w:uiPriority w:val="99"/>
    <w:unhideWhenUsed/>
    <w:rsid w:val="00CD1251"/>
    <w:rPr>
      <w:color w:val="0563C1" w:themeColor="hyperlink"/>
      <w:u w:val="single"/>
    </w:rPr>
  </w:style>
  <w:style w:type="character" w:styleId="Mencinsinresolver">
    <w:name w:val="Unresolved Mention"/>
    <w:basedOn w:val="Fuentedeprrafopredeter"/>
    <w:uiPriority w:val="99"/>
    <w:semiHidden/>
    <w:unhideWhenUsed/>
    <w:rsid w:val="00CD1251"/>
    <w:rPr>
      <w:color w:val="605E5C"/>
      <w:shd w:val="clear" w:color="auto" w:fill="E1DFDD"/>
    </w:rPr>
  </w:style>
  <w:style w:type="paragraph" w:styleId="Bibliografa">
    <w:name w:val="Bibliography"/>
    <w:basedOn w:val="Normal"/>
    <w:next w:val="Normal"/>
    <w:uiPriority w:val="37"/>
    <w:unhideWhenUsed/>
    <w:rsid w:val="00EB36C2"/>
    <w:pPr>
      <w:spacing w:after="0" w:line="480" w:lineRule="auto"/>
      <w:ind w:left="720" w:hanging="720"/>
    </w:pPr>
  </w:style>
  <w:style w:type="character" w:customStyle="1" w:styleId="Ttulo1Car">
    <w:name w:val="Título 1 Car"/>
    <w:basedOn w:val="Fuentedeprrafopredeter"/>
    <w:link w:val="Ttulo1"/>
    <w:uiPriority w:val="9"/>
    <w:rsid w:val="00191AE8"/>
    <w:rPr>
      <w:rFonts w:ascii="Georgia" w:eastAsiaTheme="majorEastAsia" w:hAnsi="Georgia" w:cstheme="majorBidi"/>
      <w:b/>
      <w:color w:val="000000" w:themeColor="text1"/>
      <w:szCs w:val="32"/>
    </w:rPr>
  </w:style>
  <w:style w:type="paragraph" w:styleId="TtuloTDC">
    <w:name w:val="TOC Heading"/>
    <w:basedOn w:val="Ttulo1"/>
    <w:next w:val="Normal"/>
    <w:uiPriority w:val="39"/>
    <w:unhideWhenUsed/>
    <w:qFormat/>
    <w:rsid w:val="00CB1EFD"/>
    <w:pPr>
      <w:spacing w:before="480" w:line="276" w:lineRule="auto"/>
      <w:outlineLvl w:val="9"/>
    </w:pPr>
    <w:rPr>
      <w:b w:val="0"/>
      <w:bCs/>
      <w:kern w:val="0"/>
      <w:sz w:val="28"/>
      <w:szCs w:val="28"/>
      <w:lang w:eastAsia="es-ES_tradnl"/>
      <w14:ligatures w14:val="none"/>
    </w:rPr>
  </w:style>
  <w:style w:type="paragraph" w:styleId="TDC1">
    <w:name w:val="toc 1"/>
    <w:basedOn w:val="Normal"/>
    <w:next w:val="Normal"/>
    <w:autoRedefine/>
    <w:uiPriority w:val="39"/>
    <w:unhideWhenUsed/>
    <w:rsid w:val="00191AE8"/>
    <w:pPr>
      <w:spacing w:before="240" w:after="120"/>
    </w:pPr>
    <w:rPr>
      <w:b/>
      <w:bCs/>
      <w:sz w:val="20"/>
      <w:szCs w:val="20"/>
    </w:rPr>
  </w:style>
  <w:style w:type="paragraph" w:styleId="TDC2">
    <w:name w:val="toc 2"/>
    <w:basedOn w:val="Normal"/>
    <w:next w:val="Normal"/>
    <w:autoRedefine/>
    <w:uiPriority w:val="39"/>
    <w:unhideWhenUsed/>
    <w:rsid w:val="00CB1EFD"/>
    <w:pPr>
      <w:spacing w:before="120" w:after="0"/>
      <w:ind w:left="220"/>
    </w:pPr>
    <w:rPr>
      <w:i/>
      <w:iCs/>
      <w:sz w:val="20"/>
      <w:szCs w:val="20"/>
    </w:rPr>
  </w:style>
  <w:style w:type="paragraph" w:styleId="TDC3">
    <w:name w:val="toc 3"/>
    <w:basedOn w:val="Normal"/>
    <w:next w:val="Normal"/>
    <w:autoRedefine/>
    <w:uiPriority w:val="39"/>
    <w:semiHidden/>
    <w:unhideWhenUsed/>
    <w:rsid w:val="00CB1EFD"/>
    <w:pPr>
      <w:spacing w:after="0"/>
      <w:ind w:left="440"/>
    </w:pPr>
    <w:rPr>
      <w:sz w:val="20"/>
      <w:szCs w:val="20"/>
    </w:rPr>
  </w:style>
  <w:style w:type="paragraph" w:styleId="TDC4">
    <w:name w:val="toc 4"/>
    <w:basedOn w:val="Normal"/>
    <w:next w:val="Normal"/>
    <w:autoRedefine/>
    <w:uiPriority w:val="39"/>
    <w:semiHidden/>
    <w:unhideWhenUsed/>
    <w:rsid w:val="00CB1EFD"/>
    <w:pPr>
      <w:spacing w:after="0"/>
      <w:ind w:left="660"/>
    </w:pPr>
    <w:rPr>
      <w:sz w:val="20"/>
      <w:szCs w:val="20"/>
    </w:rPr>
  </w:style>
  <w:style w:type="paragraph" w:styleId="TDC5">
    <w:name w:val="toc 5"/>
    <w:basedOn w:val="Normal"/>
    <w:next w:val="Normal"/>
    <w:autoRedefine/>
    <w:uiPriority w:val="39"/>
    <w:semiHidden/>
    <w:unhideWhenUsed/>
    <w:rsid w:val="00CB1EFD"/>
    <w:pPr>
      <w:spacing w:after="0"/>
      <w:ind w:left="880"/>
    </w:pPr>
    <w:rPr>
      <w:sz w:val="20"/>
      <w:szCs w:val="20"/>
    </w:rPr>
  </w:style>
  <w:style w:type="paragraph" w:styleId="TDC6">
    <w:name w:val="toc 6"/>
    <w:basedOn w:val="Normal"/>
    <w:next w:val="Normal"/>
    <w:autoRedefine/>
    <w:uiPriority w:val="39"/>
    <w:semiHidden/>
    <w:unhideWhenUsed/>
    <w:rsid w:val="00CB1EFD"/>
    <w:pPr>
      <w:spacing w:after="0"/>
      <w:ind w:left="1100"/>
    </w:pPr>
    <w:rPr>
      <w:sz w:val="20"/>
      <w:szCs w:val="20"/>
    </w:rPr>
  </w:style>
  <w:style w:type="paragraph" w:styleId="TDC7">
    <w:name w:val="toc 7"/>
    <w:basedOn w:val="Normal"/>
    <w:next w:val="Normal"/>
    <w:autoRedefine/>
    <w:uiPriority w:val="39"/>
    <w:semiHidden/>
    <w:unhideWhenUsed/>
    <w:rsid w:val="00CB1EFD"/>
    <w:pPr>
      <w:spacing w:after="0"/>
      <w:ind w:left="1320"/>
    </w:pPr>
    <w:rPr>
      <w:sz w:val="20"/>
      <w:szCs w:val="20"/>
    </w:rPr>
  </w:style>
  <w:style w:type="paragraph" w:styleId="TDC8">
    <w:name w:val="toc 8"/>
    <w:basedOn w:val="Normal"/>
    <w:next w:val="Normal"/>
    <w:autoRedefine/>
    <w:uiPriority w:val="39"/>
    <w:semiHidden/>
    <w:unhideWhenUsed/>
    <w:rsid w:val="00CB1EFD"/>
    <w:pPr>
      <w:spacing w:after="0"/>
      <w:ind w:left="1540"/>
    </w:pPr>
    <w:rPr>
      <w:sz w:val="20"/>
      <w:szCs w:val="20"/>
    </w:rPr>
  </w:style>
  <w:style w:type="paragraph" w:styleId="TDC9">
    <w:name w:val="toc 9"/>
    <w:basedOn w:val="Normal"/>
    <w:next w:val="Normal"/>
    <w:autoRedefine/>
    <w:uiPriority w:val="39"/>
    <w:semiHidden/>
    <w:unhideWhenUsed/>
    <w:rsid w:val="00CB1EFD"/>
    <w:pPr>
      <w:spacing w:after="0"/>
      <w:ind w:left="1760"/>
    </w:pPr>
    <w:rPr>
      <w:sz w:val="20"/>
      <w:szCs w:val="20"/>
    </w:rPr>
  </w:style>
  <w:style w:type="character" w:customStyle="1" w:styleId="Ttulo2Car">
    <w:name w:val="Título 2 Car"/>
    <w:basedOn w:val="Fuentedeprrafopredeter"/>
    <w:link w:val="Ttulo2"/>
    <w:uiPriority w:val="9"/>
    <w:rsid w:val="00F70A59"/>
    <w:rPr>
      <w:rFonts w:ascii="Georgia" w:eastAsiaTheme="majorEastAsia" w:hAnsi="Georgia" w:cstheme="majorBidi"/>
      <w:b/>
      <w:color w:val="000000" w:themeColor="text1"/>
      <w:szCs w:val="26"/>
    </w:rPr>
  </w:style>
  <w:style w:type="paragraph" w:styleId="Encabezado">
    <w:name w:val="header"/>
    <w:basedOn w:val="Normal"/>
    <w:link w:val="EncabezadoCar"/>
    <w:uiPriority w:val="99"/>
    <w:unhideWhenUsed/>
    <w:rsid w:val="00AD6D4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D6D46"/>
  </w:style>
  <w:style w:type="paragraph" w:styleId="Piedepgina">
    <w:name w:val="footer"/>
    <w:basedOn w:val="Normal"/>
    <w:link w:val="PiedepginaCar"/>
    <w:uiPriority w:val="99"/>
    <w:unhideWhenUsed/>
    <w:rsid w:val="00AD6D4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D6D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4112">
      <w:bodyDiv w:val="1"/>
      <w:marLeft w:val="0"/>
      <w:marRight w:val="0"/>
      <w:marTop w:val="0"/>
      <w:marBottom w:val="0"/>
      <w:divBdr>
        <w:top w:val="none" w:sz="0" w:space="0" w:color="auto"/>
        <w:left w:val="none" w:sz="0" w:space="0" w:color="auto"/>
        <w:bottom w:val="none" w:sz="0" w:space="0" w:color="auto"/>
        <w:right w:val="none" w:sz="0" w:space="0" w:color="auto"/>
      </w:divBdr>
      <w:divsChild>
        <w:div w:id="1236163507">
          <w:marLeft w:val="0"/>
          <w:marRight w:val="0"/>
          <w:marTop w:val="0"/>
          <w:marBottom w:val="0"/>
          <w:divBdr>
            <w:top w:val="none" w:sz="0" w:space="0" w:color="auto"/>
            <w:left w:val="none" w:sz="0" w:space="0" w:color="auto"/>
            <w:bottom w:val="none" w:sz="0" w:space="0" w:color="auto"/>
            <w:right w:val="none" w:sz="0" w:space="0" w:color="auto"/>
          </w:divBdr>
          <w:divsChild>
            <w:div w:id="1108499925">
              <w:marLeft w:val="0"/>
              <w:marRight w:val="0"/>
              <w:marTop w:val="0"/>
              <w:marBottom w:val="0"/>
              <w:divBdr>
                <w:top w:val="none" w:sz="0" w:space="0" w:color="auto"/>
                <w:left w:val="none" w:sz="0" w:space="0" w:color="auto"/>
                <w:bottom w:val="none" w:sz="0" w:space="0" w:color="auto"/>
                <w:right w:val="none" w:sz="0" w:space="0" w:color="auto"/>
              </w:divBdr>
              <w:divsChild>
                <w:div w:id="498499514">
                  <w:marLeft w:val="0"/>
                  <w:marRight w:val="0"/>
                  <w:marTop w:val="0"/>
                  <w:marBottom w:val="0"/>
                  <w:divBdr>
                    <w:top w:val="none" w:sz="0" w:space="0" w:color="auto"/>
                    <w:left w:val="none" w:sz="0" w:space="0" w:color="auto"/>
                    <w:bottom w:val="none" w:sz="0" w:space="0" w:color="auto"/>
                    <w:right w:val="none" w:sz="0" w:space="0" w:color="auto"/>
                  </w:divBdr>
                  <w:divsChild>
                    <w:div w:id="451098312">
                      <w:marLeft w:val="0"/>
                      <w:marRight w:val="0"/>
                      <w:marTop w:val="0"/>
                      <w:marBottom w:val="0"/>
                      <w:divBdr>
                        <w:top w:val="none" w:sz="0" w:space="0" w:color="auto"/>
                        <w:left w:val="none" w:sz="0" w:space="0" w:color="auto"/>
                        <w:bottom w:val="none" w:sz="0" w:space="0" w:color="auto"/>
                        <w:right w:val="none" w:sz="0" w:space="0" w:color="auto"/>
                      </w:divBdr>
                      <w:divsChild>
                        <w:div w:id="641269904">
                          <w:marLeft w:val="0"/>
                          <w:marRight w:val="0"/>
                          <w:marTop w:val="0"/>
                          <w:marBottom w:val="0"/>
                          <w:divBdr>
                            <w:top w:val="none" w:sz="0" w:space="0" w:color="auto"/>
                            <w:left w:val="none" w:sz="0" w:space="0" w:color="auto"/>
                            <w:bottom w:val="none" w:sz="0" w:space="0" w:color="auto"/>
                            <w:right w:val="none" w:sz="0" w:space="0" w:color="auto"/>
                          </w:divBdr>
                          <w:divsChild>
                            <w:div w:id="20853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12354">
      <w:bodyDiv w:val="1"/>
      <w:marLeft w:val="0"/>
      <w:marRight w:val="0"/>
      <w:marTop w:val="0"/>
      <w:marBottom w:val="0"/>
      <w:divBdr>
        <w:top w:val="none" w:sz="0" w:space="0" w:color="auto"/>
        <w:left w:val="none" w:sz="0" w:space="0" w:color="auto"/>
        <w:bottom w:val="none" w:sz="0" w:space="0" w:color="auto"/>
        <w:right w:val="none" w:sz="0" w:space="0" w:color="auto"/>
      </w:divBdr>
    </w:div>
    <w:div w:id="26762031">
      <w:bodyDiv w:val="1"/>
      <w:marLeft w:val="0"/>
      <w:marRight w:val="0"/>
      <w:marTop w:val="0"/>
      <w:marBottom w:val="0"/>
      <w:divBdr>
        <w:top w:val="none" w:sz="0" w:space="0" w:color="auto"/>
        <w:left w:val="none" w:sz="0" w:space="0" w:color="auto"/>
        <w:bottom w:val="none" w:sz="0" w:space="0" w:color="auto"/>
        <w:right w:val="none" w:sz="0" w:space="0" w:color="auto"/>
      </w:divBdr>
    </w:div>
    <w:div w:id="67074167">
      <w:bodyDiv w:val="1"/>
      <w:marLeft w:val="0"/>
      <w:marRight w:val="0"/>
      <w:marTop w:val="0"/>
      <w:marBottom w:val="0"/>
      <w:divBdr>
        <w:top w:val="none" w:sz="0" w:space="0" w:color="auto"/>
        <w:left w:val="none" w:sz="0" w:space="0" w:color="auto"/>
        <w:bottom w:val="none" w:sz="0" w:space="0" w:color="auto"/>
        <w:right w:val="none" w:sz="0" w:space="0" w:color="auto"/>
      </w:divBdr>
    </w:div>
    <w:div w:id="77289855">
      <w:bodyDiv w:val="1"/>
      <w:marLeft w:val="0"/>
      <w:marRight w:val="0"/>
      <w:marTop w:val="0"/>
      <w:marBottom w:val="0"/>
      <w:divBdr>
        <w:top w:val="none" w:sz="0" w:space="0" w:color="auto"/>
        <w:left w:val="none" w:sz="0" w:space="0" w:color="auto"/>
        <w:bottom w:val="none" w:sz="0" w:space="0" w:color="auto"/>
        <w:right w:val="none" w:sz="0" w:space="0" w:color="auto"/>
      </w:divBdr>
    </w:div>
    <w:div w:id="87385487">
      <w:bodyDiv w:val="1"/>
      <w:marLeft w:val="0"/>
      <w:marRight w:val="0"/>
      <w:marTop w:val="0"/>
      <w:marBottom w:val="0"/>
      <w:divBdr>
        <w:top w:val="none" w:sz="0" w:space="0" w:color="auto"/>
        <w:left w:val="none" w:sz="0" w:space="0" w:color="auto"/>
        <w:bottom w:val="none" w:sz="0" w:space="0" w:color="auto"/>
        <w:right w:val="none" w:sz="0" w:space="0" w:color="auto"/>
      </w:divBdr>
    </w:div>
    <w:div w:id="108163681">
      <w:bodyDiv w:val="1"/>
      <w:marLeft w:val="0"/>
      <w:marRight w:val="0"/>
      <w:marTop w:val="0"/>
      <w:marBottom w:val="0"/>
      <w:divBdr>
        <w:top w:val="none" w:sz="0" w:space="0" w:color="auto"/>
        <w:left w:val="none" w:sz="0" w:space="0" w:color="auto"/>
        <w:bottom w:val="none" w:sz="0" w:space="0" w:color="auto"/>
        <w:right w:val="none" w:sz="0" w:space="0" w:color="auto"/>
      </w:divBdr>
    </w:div>
    <w:div w:id="117847070">
      <w:bodyDiv w:val="1"/>
      <w:marLeft w:val="0"/>
      <w:marRight w:val="0"/>
      <w:marTop w:val="0"/>
      <w:marBottom w:val="0"/>
      <w:divBdr>
        <w:top w:val="none" w:sz="0" w:space="0" w:color="auto"/>
        <w:left w:val="none" w:sz="0" w:space="0" w:color="auto"/>
        <w:bottom w:val="none" w:sz="0" w:space="0" w:color="auto"/>
        <w:right w:val="none" w:sz="0" w:space="0" w:color="auto"/>
      </w:divBdr>
    </w:div>
    <w:div w:id="124544561">
      <w:bodyDiv w:val="1"/>
      <w:marLeft w:val="0"/>
      <w:marRight w:val="0"/>
      <w:marTop w:val="0"/>
      <w:marBottom w:val="0"/>
      <w:divBdr>
        <w:top w:val="none" w:sz="0" w:space="0" w:color="auto"/>
        <w:left w:val="none" w:sz="0" w:space="0" w:color="auto"/>
        <w:bottom w:val="none" w:sz="0" w:space="0" w:color="auto"/>
        <w:right w:val="none" w:sz="0" w:space="0" w:color="auto"/>
      </w:divBdr>
    </w:div>
    <w:div w:id="138303777">
      <w:bodyDiv w:val="1"/>
      <w:marLeft w:val="0"/>
      <w:marRight w:val="0"/>
      <w:marTop w:val="0"/>
      <w:marBottom w:val="0"/>
      <w:divBdr>
        <w:top w:val="none" w:sz="0" w:space="0" w:color="auto"/>
        <w:left w:val="none" w:sz="0" w:space="0" w:color="auto"/>
        <w:bottom w:val="none" w:sz="0" w:space="0" w:color="auto"/>
        <w:right w:val="none" w:sz="0" w:space="0" w:color="auto"/>
      </w:divBdr>
    </w:div>
    <w:div w:id="219874503">
      <w:bodyDiv w:val="1"/>
      <w:marLeft w:val="0"/>
      <w:marRight w:val="0"/>
      <w:marTop w:val="0"/>
      <w:marBottom w:val="0"/>
      <w:divBdr>
        <w:top w:val="none" w:sz="0" w:space="0" w:color="auto"/>
        <w:left w:val="none" w:sz="0" w:space="0" w:color="auto"/>
        <w:bottom w:val="none" w:sz="0" w:space="0" w:color="auto"/>
        <w:right w:val="none" w:sz="0" w:space="0" w:color="auto"/>
      </w:divBdr>
    </w:div>
    <w:div w:id="332074390">
      <w:bodyDiv w:val="1"/>
      <w:marLeft w:val="0"/>
      <w:marRight w:val="0"/>
      <w:marTop w:val="0"/>
      <w:marBottom w:val="0"/>
      <w:divBdr>
        <w:top w:val="none" w:sz="0" w:space="0" w:color="auto"/>
        <w:left w:val="none" w:sz="0" w:space="0" w:color="auto"/>
        <w:bottom w:val="none" w:sz="0" w:space="0" w:color="auto"/>
        <w:right w:val="none" w:sz="0" w:space="0" w:color="auto"/>
      </w:divBdr>
    </w:div>
    <w:div w:id="370694046">
      <w:bodyDiv w:val="1"/>
      <w:marLeft w:val="0"/>
      <w:marRight w:val="0"/>
      <w:marTop w:val="0"/>
      <w:marBottom w:val="0"/>
      <w:divBdr>
        <w:top w:val="none" w:sz="0" w:space="0" w:color="auto"/>
        <w:left w:val="none" w:sz="0" w:space="0" w:color="auto"/>
        <w:bottom w:val="none" w:sz="0" w:space="0" w:color="auto"/>
        <w:right w:val="none" w:sz="0" w:space="0" w:color="auto"/>
      </w:divBdr>
    </w:div>
    <w:div w:id="411239740">
      <w:bodyDiv w:val="1"/>
      <w:marLeft w:val="0"/>
      <w:marRight w:val="0"/>
      <w:marTop w:val="0"/>
      <w:marBottom w:val="0"/>
      <w:divBdr>
        <w:top w:val="none" w:sz="0" w:space="0" w:color="auto"/>
        <w:left w:val="none" w:sz="0" w:space="0" w:color="auto"/>
        <w:bottom w:val="none" w:sz="0" w:space="0" w:color="auto"/>
        <w:right w:val="none" w:sz="0" w:space="0" w:color="auto"/>
      </w:divBdr>
    </w:div>
    <w:div w:id="468405727">
      <w:bodyDiv w:val="1"/>
      <w:marLeft w:val="0"/>
      <w:marRight w:val="0"/>
      <w:marTop w:val="0"/>
      <w:marBottom w:val="0"/>
      <w:divBdr>
        <w:top w:val="none" w:sz="0" w:space="0" w:color="auto"/>
        <w:left w:val="none" w:sz="0" w:space="0" w:color="auto"/>
        <w:bottom w:val="none" w:sz="0" w:space="0" w:color="auto"/>
        <w:right w:val="none" w:sz="0" w:space="0" w:color="auto"/>
      </w:divBdr>
    </w:div>
    <w:div w:id="470098709">
      <w:bodyDiv w:val="1"/>
      <w:marLeft w:val="0"/>
      <w:marRight w:val="0"/>
      <w:marTop w:val="0"/>
      <w:marBottom w:val="0"/>
      <w:divBdr>
        <w:top w:val="none" w:sz="0" w:space="0" w:color="auto"/>
        <w:left w:val="none" w:sz="0" w:space="0" w:color="auto"/>
        <w:bottom w:val="none" w:sz="0" w:space="0" w:color="auto"/>
        <w:right w:val="none" w:sz="0" w:space="0" w:color="auto"/>
      </w:divBdr>
    </w:div>
    <w:div w:id="497119874">
      <w:bodyDiv w:val="1"/>
      <w:marLeft w:val="0"/>
      <w:marRight w:val="0"/>
      <w:marTop w:val="0"/>
      <w:marBottom w:val="0"/>
      <w:divBdr>
        <w:top w:val="none" w:sz="0" w:space="0" w:color="auto"/>
        <w:left w:val="none" w:sz="0" w:space="0" w:color="auto"/>
        <w:bottom w:val="none" w:sz="0" w:space="0" w:color="auto"/>
        <w:right w:val="none" w:sz="0" w:space="0" w:color="auto"/>
      </w:divBdr>
    </w:div>
    <w:div w:id="515928951">
      <w:bodyDiv w:val="1"/>
      <w:marLeft w:val="0"/>
      <w:marRight w:val="0"/>
      <w:marTop w:val="0"/>
      <w:marBottom w:val="0"/>
      <w:divBdr>
        <w:top w:val="none" w:sz="0" w:space="0" w:color="auto"/>
        <w:left w:val="none" w:sz="0" w:space="0" w:color="auto"/>
        <w:bottom w:val="none" w:sz="0" w:space="0" w:color="auto"/>
        <w:right w:val="none" w:sz="0" w:space="0" w:color="auto"/>
      </w:divBdr>
    </w:div>
    <w:div w:id="548303303">
      <w:bodyDiv w:val="1"/>
      <w:marLeft w:val="0"/>
      <w:marRight w:val="0"/>
      <w:marTop w:val="0"/>
      <w:marBottom w:val="0"/>
      <w:divBdr>
        <w:top w:val="none" w:sz="0" w:space="0" w:color="auto"/>
        <w:left w:val="none" w:sz="0" w:space="0" w:color="auto"/>
        <w:bottom w:val="none" w:sz="0" w:space="0" w:color="auto"/>
        <w:right w:val="none" w:sz="0" w:space="0" w:color="auto"/>
      </w:divBdr>
    </w:div>
    <w:div w:id="578446989">
      <w:bodyDiv w:val="1"/>
      <w:marLeft w:val="0"/>
      <w:marRight w:val="0"/>
      <w:marTop w:val="0"/>
      <w:marBottom w:val="0"/>
      <w:divBdr>
        <w:top w:val="none" w:sz="0" w:space="0" w:color="auto"/>
        <w:left w:val="none" w:sz="0" w:space="0" w:color="auto"/>
        <w:bottom w:val="none" w:sz="0" w:space="0" w:color="auto"/>
        <w:right w:val="none" w:sz="0" w:space="0" w:color="auto"/>
      </w:divBdr>
    </w:div>
    <w:div w:id="583229092">
      <w:bodyDiv w:val="1"/>
      <w:marLeft w:val="0"/>
      <w:marRight w:val="0"/>
      <w:marTop w:val="0"/>
      <w:marBottom w:val="0"/>
      <w:divBdr>
        <w:top w:val="none" w:sz="0" w:space="0" w:color="auto"/>
        <w:left w:val="none" w:sz="0" w:space="0" w:color="auto"/>
        <w:bottom w:val="none" w:sz="0" w:space="0" w:color="auto"/>
        <w:right w:val="none" w:sz="0" w:space="0" w:color="auto"/>
      </w:divBdr>
    </w:div>
    <w:div w:id="643966347">
      <w:bodyDiv w:val="1"/>
      <w:marLeft w:val="0"/>
      <w:marRight w:val="0"/>
      <w:marTop w:val="0"/>
      <w:marBottom w:val="0"/>
      <w:divBdr>
        <w:top w:val="none" w:sz="0" w:space="0" w:color="auto"/>
        <w:left w:val="none" w:sz="0" w:space="0" w:color="auto"/>
        <w:bottom w:val="none" w:sz="0" w:space="0" w:color="auto"/>
        <w:right w:val="none" w:sz="0" w:space="0" w:color="auto"/>
      </w:divBdr>
    </w:div>
    <w:div w:id="647824206">
      <w:bodyDiv w:val="1"/>
      <w:marLeft w:val="0"/>
      <w:marRight w:val="0"/>
      <w:marTop w:val="0"/>
      <w:marBottom w:val="0"/>
      <w:divBdr>
        <w:top w:val="none" w:sz="0" w:space="0" w:color="auto"/>
        <w:left w:val="none" w:sz="0" w:space="0" w:color="auto"/>
        <w:bottom w:val="none" w:sz="0" w:space="0" w:color="auto"/>
        <w:right w:val="none" w:sz="0" w:space="0" w:color="auto"/>
      </w:divBdr>
    </w:div>
    <w:div w:id="662901718">
      <w:bodyDiv w:val="1"/>
      <w:marLeft w:val="0"/>
      <w:marRight w:val="0"/>
      <w:marTop w:val="0"/>
      <w:marBottom w:val="0"/>
      <w:divBdr>
        <w:top w:val="none" w:sz="0" w:space="0" w:color="auto"/>
        <w:left w:val="none" w:sz="0" w:space="0" w:color="auto"/>
        <w:bottom w:val="none" w:sz="0" w:space="0" w:color="auto"/>
        <w:right w:val="none" w:sz="0" w:space="0" w:color="auto"/>
      </w:divBdr>
    </w:div>
    <w:div w:id="676469477">
      <w:bodyDiv w:val="1"/>
      <w:marLeft w:val="0"/>
      <w:marRight w:val="0"/>
      <w:marTop w:val="0"/>
      <w:marBottom w:val="0"/>
      <w:divBdr>
        <w:top w:val="none" w:sz="0" w:space="0" w:color="auto"/>
        <w:left w:val="none" w:sz="0" w:space="0" w:color="auto"/>
        <w:bottom w:val="none" w:sz="0" w:space="0" w:color="auto"/>
        <w:right w:val="none" w:sz="0" w:space="0" w:color="auto"/>
      </w:divBdr>
    </w:div>
    <w:div w:id="758258596">
      <w:bodyDiv w:val="1"/>
      <w:marLeft w:val="0"/>
      <w:marRight w:val="0"/>
      <w:marTop w:val="0"/>
      <w:marBottom w:val="0"/>
      <w:divBdr>
        <w:top w:val="none" w:sz="0" w:space="0" w:color="auto"/>
        <w:left w:val="none" w:sz="0" w:space="0" w:color="auto"/>
        <w:bottom w:val="none" w:sz="0" w:space="0" w:color="auto"/>
        <w:right w:val="none" w:sz="0" w:space="0" w:color="auto"/>
      </w:divBdr>
    </w:div>
    <w:div w:id="800685410">
      <w:bodyDiv w:val="1"/>
      <w:marLeft w:val="0"/>
      <w:marRight w:val="0"/>
      <w:marTop w:val="0"/>
      <w:marBottom w:val="0"/>
      <w:divBdr>
        <w:top w:val="none" w:sz="0" w:space="0" w:color="auto"/>
        <w:left w:val="none" w:sz="0" w:space="0" w:color="auto"/>
        <w:bottom w:val="none" w:sz="0" w:space="0" w:color="auto"/>
        <w:right w:val="none" w:sz="0" w:space="0" w:color="auto"/>
      </w:divBdr>
    </w:div>
    <w:div w:id="815417912">
      <w:bodyDiv w:val="1"/>
      <w:marLeft w:val="0"/>
      <w:marRight w:val="0"/>
      <w:marTop w:val="0"/>
      <w:marBottom w:val="0"/>
      <w:divBdr>
        <w:top w:val="none" w:sz="0" w:space="0" w:color="auto"/>
        <w:left w:val="none" w:sz="0" w:space="0" w:color="auto"/>
        <w:bottom w:val="none" w:sz="0" w:space="0" w:color="auto"/>
        <w:right w:val="none" w:sz="0" w:space="0" w:color="auto"/>
      </w:divBdr>
    </w:div>
    <w:div w:id="859660021">
      <w:bodyDiv w:val="1"/>
      <w:marLeft w:val="0"/>
      <w:marRight w:val="0"/>
      <w:marTop w:val="0"/>
      <w:marBottom w:val="0"/>
      <w:divBdr>
        <w:top w:val="none" w:sz="0" w:space="0" w:color="auto"/>
        <w:left w:val="none" w:sz="0" w:space="0" w:color="auto"/>
        <w:bottom w:val="none" w:sz="0" w:space="0" w:color="auto"/>
        <w:right w:val="none" w:sz="0" w:space="0" w:color="auto"/>
      </w:divBdr>
    </w:div>
    <w:div w:id="867714811">
      <w:bodyDiv w:val="1"/>
      <w:marLeft w:val="0"/>
      <w:marRight w:val="0"/>
      <w:marTop w:val="0"/>
      <w:marBottom w:val="0"/>
      <w:divBdr>
        <w:top w:val="none" w:sz="0" w:space="0" w:color="auto"/>
        <w:left w:val="none" w:sz="0" w:space="0" w:color="auto"/>
        <w:bottom w:val="none" w:sz="0" w:space="0" w:color="auto"/>
        <w:right w:val="none" w:sz="0" w:space="0" w:color="auto"/>
      </w:divBdr>
    </w:div>
    <w:div w:id="876822290">
      <w:bodyDiv w:val="1"/>
      <w:marLeft w:val="0"/>
      <w:marRight w:val="0"/>
      <w:marTop w:val="0"/>
      <w:marBottom w:val="0"/>
      <w:divBdr>
        <w:top w:val="none" w:sz="0" w:space="0" w:color="auto"/>
        <w:left w:val="none" w:sz="0" w:space="0" w:color="auto"/>
        <w:bottom w:val="none" w:sz="0" w:space="0" w:color="auto"/>
        <w:right w:val="none" w:sz="0" w:space="0" w:color="auto"/>
      </w:divBdr>
    </w:div>
    <w:div w:id="902135194">
      <w:bodyDiv w:val="1"/>
      <w:marLeft w:val="0"/>
      <w:marRight w:val="0"/>
      <w:marTop w:val="0"/>
      <w:marBottom w:val="0"/>
      <w:divBdr>
        <w:top w:val="none" w:sz="0" w:space="0" w:color="auto"/>
        <w:left w:val="none" w:sz="0" w:space="0" w:color="auto"/>
        <w:bottom w:val="none" w:sz="0" w:space="0" w:color="auto"/>
        <w:right w:val="none" w:sz="0" w:space="0" w:color="auto"/>
      </w:divBdr>
    </w:div>
    <w:div w:id="968241946">
      <w:bodyDiv w:val="1"/>
      <w:marLeft w:val="0"/>
      <w:marRight w:val="0"/>
      <w:marTop w:val="0"/>
      <w:marBottom w:val="0"/>
      <w:divBdr>
        <w:top w:val="none" w:sz="0" w:space="0" w:color="auto"/>
        <w:left w:val="none" w:sz="0" w:space="0" w:color="auto"/>
        <w:bottom w:val="none" w:sz="0" w:space="0" w:color="auto"/>
        <w:right w:val="none" w:sz="0" w:space="0" w:color="auto"/>
      </w:divBdr>
    </w:div>
    <w:div w:id="968701944">
      <w:bodyDiv w:val="1"/>
      <w:marLeft w:val="0"/>
      <w:marRight w:val="0"/>
      <w:marTop w:val="0"/>
      <w:marBottom w:val="0"/>
      <w:divBdr>
        <w:top w:val="none" w:sz="0" w:space="0" w:color="auto"/>
        <w:left w:val="none" w:sz="0" w:space="0" w:color="auto"/>
        <w:bottom w:val="none" w:sz="0" w:space="0" w:color="auto"/>
        <w:right w:val="none" w:sz="0" w:space="0" w:color="auto"/>
      </w:divBdr>
    </w:div>
    <w:div w:id="992485974">
      <w:bodyDiv w:val="1"/>
      <w:marLeft w:val="0"/>
      <w:marRight w:val="0"/>
      <w:marTop w:val="0"/>
      <w:marBottom w:val="0"/>
      <w:divBdr>
        <w:top w:val="none" w:sz="0" w:space="0" w:color="auto"/>
        <w:left w:val="none" w:sz="0" w:space="0" w:color="auto"/>
        <w:bottom w:val="none" w:sz="0" w:space="0" w:color="auto"/>
        <w:right w:val="none" w:sz="0" w:space="0" w:color="auto"/>
      </w:divBdr>
    </w:div>
    <w:div w:id="1024016952">
      <w:bodyDiv w:val="1"/>
      <w:marLeft w:val="0"/>
      <w:marRight w:val="0"/>
      <w:marTop w:val="0"/>
      <w:marBottom w:val="0"/>
      <w:divBdr>
        <w:top w:val="none" w:sz="0" w:space="0" w:color="auto"/>
        <w:left w:val="none" w:sz="0" w:space="0" w:color="auto"/>
        <w:bottom w:val="none" w:sz="0" w:space="0" w:color="auto"/>
        <w:right w:val="none" w:sz="0" w:space="0" w:color="auto"/>
      </w:divBdr>
    </w:div>
    <w:div w:id="1033387888">
      <w:bodyDiv w:val="1"/>
      <w:marLeft w:val="0"/>
      <w:marRight w:val="0"/>
      <w:marTop w:val="0"/>
      <w:marBottom w:val="0"/>
      <w:divBdr>
        <w:top w:val="none" w:sz="0" w:space="0" w:color="auto"/>
        <w:left w:val="none" w:sz="0" w:space="0" w:color="auto"/>
        <w:bottom w:val="none" w:sz="0" w:space="0" w:color="auto"/>
        <w:right w:val="none" w:sz="0" w:space="0" w:color="auto"/>
      </w:divBdr>
    </w:div>
    <w:div w:id="1038241431">
      <w:bodyDiv w:val="1"/>
      <w:marLeft w:val="0"/>
      <w:marRight w:val="0"/>
      <w:marTop w:val="0"/>
      <w:marBottom w:val="0"/>
      <w:divBdr>
        <w:top w:val="none" w:sz="0" w:space="0" w:color="auto"/>
        <w:left w:val="none" w:sz="0" w:space="0" w:color="auto"/>
        <w:bottom w:val="none" w:sz="0" w:space="0" w:color="auto"/>
        <w:right w:val="none" w:sz="0" w:space="0" w:color="auto"/>
      </w:divBdr>
    </w:div>
    <w:div w:id="1044140146">
      <w:bodyDiv w:val="1"/>
      <w:marLeft w:val="0"/>
      <w:marRight w:val="0"/>
      <w:marTop w:val="0"/>
      <w:marBottom w:val="0"/>
      <w:divBdr>
        <w:top w:val="none" w:sz="0" w:space="0" w:color="auto"/>
        <w:left w:val="none" w:sz="0" w:space="0" w:color="auto"/>
        <w:bottom w:val="none" w:sz="0" w:space="0" w:color="auto"/>
        <w:right w:val="none" w:sz="0" w:space="0" w:color="auto"/>
      </w:divBdr>
    </w:div>
    <w:div w:id="1086347289">
      <w:bodyDiv w:val="1"/>
      <w:marLeft w:val="0"/>
      <w:marRight w:val="0"/>
      <w:marTop w:val="0"/>
      <w:marBottom w:val="0"/>
      <w:divBdr>
        <w:top w:val="none" w:sz="0" w:space="0" w:color="auto"/>
        <w:left w:val="none" w:sz="0" w:space="0" w:color="auto"/>
        <w:bottom w:val="none" w:sz="0" w:space="0" w:color="auto"/>
        <w:right w:val="none" w:sz="0" w:space="0" w:color="auto"/>
      </w:divBdr>
    </w:div>
    <w:div w:id="1093814857">
      <w:bodyDiv w:val="1"/>
      <w:marLeft w:val="0"/>
      <w:marRight w:val="0"/>
      <w:marTop w:val="0"/>
      <w:marBottom w:val="0"/>
      <w:divBdr>
        <w:top w:val="none" w:sz="0" w:space="0" w:color="auto"/>
        <w:left w:val="none" w:sz="0" w:space="0" w:color="auto"/>
        <w:bottom w:val="none" w:sz="0" w:space="0" w:color="auto"/>
        <w:right w:val="none" w:sz="0" w:space="0" w:color="auto"/>
      </w:divBdr>
    </w:div>
    <w:div w:id="1094209850">
      <w:bodyDiv w:val="1"/>
      <w:marLeft w:val="0"/>
      <w:marRight w:val="0"/>
      <w:marTop w:val="0"/>
      <w:marBottom w:val="0"/>
      <w:divBdr>
        <w:top w:val="none" w:sz="0" w:space="0" w:color="auto"/>
        <w:left w:val="none" w:sz="0" w:space="0" w:color="auto"/>
        <w:bottom w:val="none" w:sz="0" w:space="0" w:color="auto"/>
        <w:right w:val="none" w:sz="0" w:space="0" w:color="auto"/>
      </w:divBdr>
    </w:div>
    <w:div w:id="1119422473">
      <w:bodyDiv w:val="1"/>
      <w:marLeft w:val="0"/>
      <w:marRight w:val="0"/>
      <w:marTop w:val="0"/>
      <w:marBottom w:val="0"/>
      <w:divBdr>
        <w:top w:val="none" w:sz="0" w:space="0" w:color="auto"/>
        <w:left w:val="none" w:sz="0" w:space="0" w:color="auto"/>
        <w:bottom w:val="none" w:sz="0" w:space="0" w:color="auto"/>
        <w:right w:val="none" w:sz="0" w:space="0" w:color="auto"/>
      </w:divBdr>
    </w:div>
    <w:div w:id="1147279527">
      <w:bodyDiv w:val="1"/>
      <w:marLeft w:val="0"/>
      <w:marRight w:val="0"/>
      <w:marTop w:val="0"/>
      <w:marBottom w:val="0"/>
      <w:divBdr>
        <w:top w:val="none" w:sz="0" w:space="0" w:color="auto"/>
        <w:left w:val="none" w:sz="0" w:space="0" w:color="auto"/>
        <w:bottom w:val="none" w:sz="0" w:space="0" w:color="auto"/>
        <w:right w:val="none" w:sz="0" w:space="0" w:color="auto"/>
      </w:divBdr>
    </w:div>
    <w:div w:id="1148278530">
      <w:bodyDiv w:val="1"/>
      <w:marLeft w:val="0"/>
      <w:marRight w:val="0"/>
      <w:marTop w:val="0"/>
      <w:marBottom w:val="0"/>
      <w:divBdr>
        <w:top w:val="none" w:sz="0" w:space="0" w:color="auto"/>
        <w:left w:val="none" w:sz="0" w:space="0" w:color="auto"/>
        <w:bottom w:val="none" w:sz="0" w:space="0" w:color="auto"/>
        <w:right w:val="none" w:sz="0" w:space="0" w:color="auto"/>
      </w:divBdr>
    </w:div>
    <w:div w:id="1240289799">
      <w:bodyDiv w:val="1"/>
      <w:marLeft w:val="0"/>
      <w:marRight w:val="0"/>
      <w:marTop w:val="0"/>
      <w:marBottom w:val="0"/>
      <w:divBdr>
        <w:top w:val="none" w:sz="0" w:space="0" w:color="auto"/>
        <w:left w:val="none" w:sz="0" w:space="0" w:color="auto"/>
        <w:bottom w:val="none" w:sz="0" w:space="0" w:color="auto"/>
        <w:right w:val="none" w:sz="0" w:space="0" w:color="auto"/>
      </w:divBdr>
    </w:div>
    <w:div w:id="1255169930">
      <w:bodyDiv w:val="1"/>
      <w:marLeft w:val="0"/>
      <w:marRight w:val="0"/>
      <w:marTop w:val="0"/>
      <w:marBottom w:val="0"/>
      <w:divBdr>
        <w:top w:val="none" w:sz="0" w:space="0" w:color="auto"/>
        <w:left w:val="none" w:sz="0" w:space="0" w:color="auto"/>
        <w:bottom w:val="none" w:sz="0" w:space="0" w:color="auto"/>
        <w:right w:val="none" w:sz="0" w:space="0" w:color="auto"/>
      </w:divBdr>
    </w:div>
    <w:div w:id="1258365555">
      <w:bodyDiv w:val="1"/>
      <w:marLeft w:val="0"/>
      <w:marRight w:val="0"/>
      <w:marTop w:val="0"/>
      <w:marBottom w:val="0"/>
      <w:divBdr>
        <w:top w:val="none" w:sz="0" w:space="0" w:color="auto"/>
        <w:left w:val="none" w:sz="0" w:space="0" w:color="auto"/>
        <w:bottom w:val="none" w:sz="0" w:space="0" w:color="auto"/>
        <w:right w:val="none" w:sz="0" w:space="0" w:color="auto"/>
      </w:divBdr>
      <w:divsChild>
        <w:div w:id="392315010">
          <w:marLeft w:val="0"/>
          <w:marRight w:val="0"/>
          <w:marTop w:val="0"/>
          <w:marBottom w:val="0"/>
          <w:divBdr>
            <w:top w:val="none" w:sz="0" w:space="0" w:color="auto"/>
            <w:left w:val="none" w:sz="0" w:space="0" w:color="auto"/>
            <w:bottom w:val="none" w:sz="0" w:space="0" w:color="auto"/>
            <w:right w:val="none" w:sz="0" w:space="0" w:color="auto"/>
          </w:divBdr>
        </w:div>
        <w:div w:id="1171139809">
          <w:marLeft w:val="0"/>
          <w:marRight w:val="0"/>
          <w:marTop w:val="0"/>
          <w:marBottom w:val="0"/>
          <w:divBdr>
            <w:top w:val="none" w:sz="0" w:space="0" w:color="auto"/>
            <w:left w:val="none" w:sz="0" w:space="0" w:color="auto"/>
            <w:bottom w:val="none" w:sz="0" w:space="0" w:color="auto"/>
            <w:right w:val="none" w:sz="0" w:space="0" w:color="auto"/>
          </w:divBdr>
        </w:div>
        <w:div w:id="1309440074">
          <w:marLeft w:val="0"/>
          <w:marRight w:val="0"/>
          <w:marTop w:val="0"/>
          <w:marBottom w:val="0"/>
          <w:divBdr>
            <w:top w:val="none" w:sz="0" w:space="0" w:color="auto"/>
            <w:left w:val="none" w:sz="0" w:space="0" w:color="auto"/>
            <w:bottom w:val="none" w:sz="0" w:space="0" w:color="auto"/>
            <w:right w:val="none" w:sz="0" w:space="0" w:color="auto"/>
          </w:divBdr>
        </w:div>
      </w:divsChild>
    </w:div>
    <w:div w:id="1278297072">
      <w:bodyDiv w:val="1"/>
      <w:marLeft w:val="0"/>
      <w:marRight w:val="0"/>
      <w:marTop w:val="0"/>
      <w:marBottom w:val="0"/>
      <w:divBdr>
        <w:top w:val="none" w:sz="0" w:space="0" w:color="auto"/>
        <w:left w:val="none" w:sz="0" w:space="0" w:color="auto"/>
        <w:bottom w:val="none" w:sz="0" w:space="0" w:color="auto"/>
        <w:right w:val="none" w:sz="0" w:space="0" w:color="auto"/>
      </w:divBdr>
    </w:div>
    <w:div w:id="1278948127">
      <w:bodyDiv w:val="1"/>
      <w:marLeft w:val="0"/>
      <w:marRight w:val="0"/>
      <w:marTop w:val="0"/>
      <w:marBottom w:val="0"/>
      <w:divBdr>
        <w:top w:val="none" w:sz="0" w:space="0" w:color="auto"/>
        <w:left w:val="none" w:sz="0" w:space="0" w:color="auto"/>
        <w:bottom w:val="none" w:sz="0" w:space="0" w:color="auto"/>
        <w:right w:val="none" w:sz="0" w:space="0" w:color="auto"/>
      </w:divBdr>
    </w:div>
    <w:div w:id="1316957840">
      <w:bodyDiv w:val="1"/>
      <w:marLeft w:val="0"/>
      <w:marRight w:val="0"/>
      <w:marTop w:val="0"/>
      <w:marBottom w:val="0"/>
      <w:divBdr>
        <w:top w:val="none" w:sz="0" w:space="0" w:color="auto"/>
        <w:left w:val="none" w:sz="0" w:space="0" w:color="auto"/>
        <w:bottom w:val="none" w:sz="0" w:space="0" w:color="auto"/>
        <w:right w:val="none" w:sz="0" w:space="0" w:color="auto"/>
      </w:divBdr>
    </w:div>
    <w:div w:id="1325888164">
      <w:bodyDiv w:val="1"/>
      <w:marLeft w:val="0"/>
      <w:marRight w:val="0"/>
      <w:marTop w:val="0"/>
      <w:marBottom w:val="0"/>
      <w:divBdr>
        <w:top w:val="none" w:sz="0" w:space="0" w:color="auto"/>
        <w:left w:val="none" w:sz="0" w:space="0" w:color="auto"/>
        <w:bottom w:val="none" w:sz="0" w:space="0" w:color="auto"/>
        <w:right w:val="none" w:sz="0" w:space="0" w:color="auto"/>
      </w:divBdr>
    </w:div>
    <w:div w:id="1361659562">
      <w:bodyDiv w:val="1"/>
      <w:marLeft w:val="0"/>
      <w:marRight w:val="0"/>
      <w:marTop w:val="0"/>
      <w:marBottom w:val="0"/>
      <w:divBdr>
        <w:top w:val="none" w:sz="0" w:space="0" w:color="auto"/>
        <w:left w:val="none" w:sz="0" w:space="0" w:color="auto"/>
        <w:bottom w:val="none" w:sz="0" w:space="0" w:color="auto"/>
        <w:right w:val="none" w:sz="0" w:space="0" w:color="auto"/>
      </w:divBdr>
    </w:div>
    <w:div w:id="1390811272">
      <w:bodyDiv w:val="1"/>
      <w:marLeft w:val="0"/>
      <w:marRight w:val="0"/>
      <w:marTop w:val="0"/>
      <w:marBottom w:val="0"/>
      <w:divBdr>
        <w:top w:val="none" w:sz="0" w:space="0" w:color="auto"/>
        <w:left w:val="none" w:sz="0" w:space="0" w:color="auto"/>
        <w:bottom w:val="none" w:sz="0" w:space="0" w:color="auto"/>
        <w:right w:val="none" w:sz="0" w:space="0" w:color="auto"/>
      </w:divBdr>
      <w:divsChild>
        <w:div w:id="998967993">
          <w:marLeft w:val="0"/>
          <w:marRight w:val="0"/>
          <w:marTop w:val="0"/>
          <w:marBottom w:val="0"/>
          <w:divBdr>
            <w:top w:val="none" w:sz="0" w:space="0" w:color="auto"/>
            <w:left w:val="none" w:sz="0" w:space="0" w:color="auto"/>
            <w:bottom w:val="none" w:sz="0" w:space="0" w:color="auto"/>
            <w:right w:val="none" w:sz="0" w:space="0" w:color="auto"/>
          </w:divBdr>
        </w:div>
      </w:divsChild>
    </w:div>
    <w:div w:id="1401904159">
      <w:bodyDiv w:val="1"/>
      <w:marLeft w:val="0"/>
      <w:marRight w:val="0"/>
      <w:marTop w:val="0"/>
      <w:marBottom w:val="0"/>
      <w:divBdr>
        <w:top w:val="none" w:sz="0" w:space="0" w:color="auto"/>
        <w:left w:val="none" w:sz="0" w:space="0" w:color="auto"/>
        <w:bottom w:val="none" w:sz="0" w:space="0" w:color="auto"/>
        <w:right w:val="none" w:sz="0" w:space="0" w:color="auto"/>
      </w:divBdr>
    </w:div>
    <w:div w:id="1545293891">
      <w:bodyDiv w:val="1"/>
      <w:marLeft w:val="0"/>
      <w:marRight w:val="0"/>
      <w:marTop w:val="0"/>
      <w:marBottom w:val="0"/>
      <w:divBdr>
        <w:top w:val="none" w:sz="0" w:space="0" w:color="auto"/>
        <w:left w:val="none" w:sz="0" w:space="0" w:color="auto"/>
        <w:bottom w:val="none" w:sz="0" w:space="0" w:color="auto"/>
        <w:right w:val="none" w:sz="0" w:space="0" w:color="auto"/>
      </w:divBdr>
    </w:div>
    <w:div w:id="1569654852">
      <w:bodyDiv w:val="1"/>
      <w:marLeft w:val="0"/>
      <w:marRight w:val="0"/>
      <w:marTop w:val="0"/>
      <w:marBottom w:val="0"/>
      <w:divBdr>
        <w:top w:val="none" w:sz="0" w:space="0" w:color="auto"/>
        <w:left w:val="none" w:sz="0" w:space="0" w:color="auto"/>
        <w:bottom w:val="none" w:sz="0" w:space="0" w:color="auto"/>
        <w:right w:val="none" w:sz="0" w:space="0" w:color="auto"/>
      </w:divBdr>
    </w:div>
    <w:div w:id="1627809350">
      <w:bodyDiv w:val="1"/>
      <w:marLeft w:val="0"/>
      <w:marRight w:val="0"/>
      <w:marTop w:val="0"/>
      <w:marBottom w:val="0"/>
      <w:divBdr>
        <w:top w:val="none" w:sz="0" w:space="0" w:color="auto"/>
        <w:left w:val="none" w:sz="0" w:space="0" w:color="auto"/>
        <w:bottom w:val="none" w:sz="0" w:space="0" w:color="auto"/>
        <w:right w:val="none" w:sz="0" w:space="0" w:color="auto"/>
      </w:divBdr>
    </w:div>
    <w:div w:id="1663587375">
      <w:bodyDiv w:val="1"/>
      <w:marLeft w:val="0"/>
      <w:marRight w:val="0"/>
      <w:marTop w:val="0"/>
      <w:marBottom w:val="0"/>
      <w:divBdr>
        <w:top w:val="none" w:sz="0" w:space="0" w:color="auto"/>
        <w:left w:val="none" w:sz="0" w:space="0" w:color="auto"/>
        <w:bottom w:val="none" w:sz="0" w:space="0" w:color="auto"/>
        <w:right w:val="none" w:sz="0" w:space="0" w:color="auto"/>
      </w:divBdr>
    </w:div>
    <w:div w:id="1670139295">
      <w:bodyDiv w:val="1"/>
      <w:marLeft w:val="0"/>
      <w:marRight w:val="0"/>
      <w:marTop w:val="0"/>
      <w:marBottom w:val="0"/>
      <w:divBdr>
        <w:top w:val="none" w:sz="0" w:space="0" w:color="auto"/>
        <w:left w:val="none" w:sz="0" w:space="0" w:color="auto"/>
        <w:bottom w:val="none" w:sz="0" w:space="0" w:color="auto"/>
        <w:right w:val="none" w:sz="0" w:space="0" w:color="auto"/>
      </w:divBdr>
    </w:div>
    <w:div w:id="1685013454">
      <w:bodyDiv w:val="1"/>
      <w:marLeft w:val="0"/>
      <w:marRight w:val="0"/>
      <w:marTop w:val="0"/>
      <w:marBottom w:val="0"/>
      <w:divBdr>
        <w:top w:val="none" w:sz="0" w:space="0" w:color="auto"/>
        <w:left w:val="none" w:sz="0" w:space="0" w:color="auto"/>
        <w:bottom w:val="none" w:sz="0" w:space="0" w:color="auto"/>
        <w:right w:val="none" w:sz="0" w:space="0" w:color="auto"/>
      </w:divBdr>
    </w:div>
    <w:div w:id="1705864538">
      <w:bodyDiv w:val="1"/>
      <w:marLeft w:val="0"/>
      <w:marRight w:val="0"/>
      <w:marTop w:val="0"/>
      <w:marBottom w:val="0"/>
      <w:divBdr>
        <w:top w:val="none" w:sz="0" w:space="0" w:color="auto"/>
        <w:left w:val="none" w:sz="0" w:space="0" w:color="auto"/>
        <w:bottom w:val="none" w:sz="0" w:space="0" w:color="auto"/>
        <w:right w:val="none" w:sz="0" w:space="0" w:color="auto"/>
      </w:divBdr>
    </w:div>
    <w:div w:id="1739130686">
      <w:bodyDiv w:val="1"/>
      <w:marLeft w:val="0"/>
      <w:marRight w:val="0"/>
      <w:marTop w:val="0"/>
      <w:marBottom w:val="0"/>
      <w:divBdr>
        <w:top w:val="none" w:sz="0" w:space="0" w:color="auto"/>
        <w:left w:val="none" w:sz="0" w:space="0" w:color="auto"/>
        <w:bottom w:val="none" w:sz="0" w:space="0" w:color="auto"/>
        <w:right w:val="none" w:sz="0" w:space="0" w:color="auto"/>
      </w:divBdr>
    </w:div>
    <w:div w:id="1755198137">
      <w:bodyDiv w:val="1"/>
      <w:marLeft w:val="0"/>
      <w:marRight w:val="0"/>
      <w:marTop w:val="0"/>
      <w:marBottom w:val="0"/>
      <w:divBdr>
        <w:top w:val="none" w:sz="0" w:space="0" w:color="auto"/>
        <w:left w:val="none" w:sz="0" w:space="0" w:color="auto"/>
        <w:bottom w:val="none" w:sz="0" w:space="0" w:color="auto"/>
        <w:right w:val="none" w:sz="0" w:space="0" w:color="auto"/>
      </w:divBdr>
      <w:divsChild>
        <w:div w:id="1427650282">
          <w:marLeft w:val="0"/>
          <w:marRight w:val="0"/>
          <w:marTop w:val="0"/>
          <w:marBottom w:val="0"/>
          <w:divBdr>
            <w:top w:val="none" w:sz="0" w:space="0" w:color="auto"/>
            <w:left w:val="none" w:sz="0" w:space="0" w:color="auto"/>
            <w:bottom w:val="none" w:sz="0" w:space="0" w:color="auto"/>
            <w:right w:val="none" w:sz="0" w:space="0" w:color="auto"/>
          </w:divBdr>
        </w:div>
        <w:div w:id="1445150430">
          <w:marLeft w:val="0"/>
          <w:marRight w:val="0"/>
          <w:marTop w:val="0"/>
          <w:marBottom w:val="0"/>
          <w:divBdr>
            <w:top w:val="none" w:sz="0" w:space="0" w:color="auto"/>
            <w:left w:val="none" w:sz="0" w:space="0" w:color="auto"/>
            <w:bottom w:val="none" w:sz="0" w:space="0" w:color="auto"/>
            <w:right w:val="none" w:sz="0" w:space="0" w:color="auto"/>
          </w:divBdr>
        </w:div>
      </w:divsChild>
    </w:div>
    <w:div w:id="1761175111">
      <w:bodyDiv w:val="1"/>
      <w:marLeft w:val="0"/>
      <w:marRight w:val="0"/>
      <w:marTop w:val="0"/>
      <w:marBottom w:val="0"/>
      <w:divBdr>
        <w:top w:val="none" w:sz="0" w:space="0" w:color="auto"/>
        <w:left w:val="none" w:sz="0" w:space="0" w:color="auto"/>
        <w:bottom w:val="none" w:sz="0" w:space="0" w:color="auto"/>
        <w:right w:val="none" w:sz="0" w:space="0" w:color="auto"/>
      </w:divBdr>
      <w:divsChild>
        <w:div w:id="1823892183">
          <w:marLeft w:val="0"/>
          <w:marRight w:val="0"/>
          <w:marTop w:val="0"/>
          <w:marBottom w:val="0"/>
          <w:divBdr>
            <w:top w:val="none" w:sz="0" w:space="0" w:color="auto"/>
            <w:left w:val="none" w:sz="0" w:space="0" w:color="auto"/>
            <w:bottom w:val="none" w:sz="0" w:space="0" w:color="auto"/>
            <w:right w:val="none" w:sz="0" w:space="0" w:color="auto"/>
          </w:divBdr>
        </w:div>
      </w:divsChild>
    </w:div>
    <w:div w:id="1761633232">
      <w:bodyDiv w:val="1"/>
      <w:marLeft w:val="0"/>
      <w:marRight w:val="0"/>
      <w:marTop w:val="0"/>
      <w:marBottom w:val="0"/>
      <w:divBdr>
        <w:top w:val="none" w:sz="0" w:space="0" w:color="auto"/>
        <w:left w:val="none" w:sz="0" w:space="0" w:color="auto"/>
        <w:bottom w:val="none" w:sz="0" w:space="0" w:color="auto"/>
        <w:right w:val="none" w:sz="0" w:space="0" w:color="auto"/>
      </w:divBdr>
    </w:div>
    <w:div w:id="1763643536">
      <w:bodyDiv w:val="1"/>
      <w:marLeft w:val="0"/>
      <w:marRight w:val="0"/>
      <w:marTop w:val="0"/>
      <w:marBottom w:val="0"/>
      <w:divBdr>
        <w:top w:val="none" w:sz="0" w:space="0" w:color="auto"/>
        <w:left w:val="none" w:sz="0" w:space="0" w:color="auto"/>
        <w:bottom w:val="none" w:sz="0" w:space="0" w:color="auto"/>
        <w:right w:val="none" w:sz="0" w:space="0" w:color="auto"/>
      </w:divBdr>
    </w:div>
    <w:div w:id="1792943921">
      <w:bodyDiv w:val="1"/>
      <w:marLeft w:val="0"/>
      <w:marRight w:val="0"/>
      <w:marTop w:val="0"/>
      <w:marBottom w:val="0"/>
      <w:divBdr>
        <w:top w:val="none" w:sz="0" w:space="0" w:color="auto"/>
        <w:left w:val="none" w:sz="0" w:space="0" w:color="auto"/>
        <w:bottom w:val="none" w:sz="0" w:space="0" w:color="auto"/>
        <w:right w:val="none" w:sz="0" w:space="0" w:color="auto"/>
      </w:divBdr>
      <w:divsChild>
        <w:div w:id="1848137210">
          <w:marLeft w:val="0"/>
          <w:marRight w:val="0"/>
          <w:marTop w:val="0"/>
          <w:marBottom w:val="0"/>
          <w:divBdr>
            <w:top w:val="none" w:sz="0" w:space="0" w:color="auto"/>
            <w:left w:val="none" w:sz="0" w:space="0" w:color="auto"/>
            <w:bottom w:val="none" w:sz="0" w:space="0" w:color="auto"/>
            <w:right w:val="none" w:sz="0" w:space="0" w:color="auto"/>
          </w:divBdr>
        </w:div>
      </w:divsChild>
    </w:div>
    <w:div w:id="1799954541">
      <w:bodyDiv w:val="1"/>
      <w:marLeft w:val="0"/>
      <w:marRight w:val="0"/>
      <w:marTop w:val="0"/>
      <w:marBottom w:val="0"/>
      <w:divBdr>
        <w:top w:val="none" w:sz="0" w:space="0" w:color="auto"/>
        <w:left w:val="none" w:sz="0" w:space="0" w:color="auto"/>
        <w:bottom w:val="none" w:sz="0" w:space="0" w:color="auto"/>
        <w:right w:val="none" w:sz="0" w:space="0" w:color="auto"/>
      </w:divBdr>
      <w:divsChild>
        <w:div w:id="558631142">
          <w:marLeft w:val="0"/>
          <w:marRight w:val="0"/>
          <w:marTop w:val="0"/>
          <w:marBottom w:val="0"/>
          <w:divBdr>
            <w:top w:val="none" w:sz="0" w:space="0" w:color="auto"/>
            <w:left w:val="none" w:sz="0" w:space="0" w:color="auto"/>
            <w:bottom w:val="none" w:sz="0" w:space="0" w:color="auto"/>
            <w:right w:val="none" w:sz="0" w:space="0" w:color="auto"/>
          </w:divBdr>
          <w:divsChild>
            <w:div w:id="2105572261">
              <w:marLeft w:val="0"/>
              <w:marRight w:val="0"/>
              <w:marTop w:val="0"/>
              <w:marBottom w:val="0"/>
              <w:divBdr>
                <w:top w:val="none" w:sz="0" w:space="0" w:color="auto"/>
                <w:left w:val="none" w:sz="0" w:space="0" w:color="auto"/>
                <w:bottom w:val="none" w:sz="0" w:space="0" w:color="auto"/>
                <w:right w:val="none" w:sz="0" w:space="0" w:color="auto"/>
              </w:divBdr>
              <w:divsChild>
                <w:div w:id="538199041">
                  <w:marLeft w:val="0"/>
                  <w:marRight w:val="0"/>
                  <w:marTop w:val="0"/>
                  <w:marBottom w:val="0"/>
                  <w:divBdr>
                    <w:top w:val="none" w:sz="0" w:space="0" w:color="auto"/>
                    <w:left w:val="none" w:sz="0" w:space="0" w:color="auto"/>
                    <w:bottom w:val="none" w:sz="0" w:space="0" w:color="auto"/>
                    <w:right w:val="none" w:sz="0" w:space="0" w:color="auto"/>
                  </w:divBdr>
                  <w:divsChild>
                    <w:div w:id="1626236295">
                      <w:marLeft w:val="0"/>
                      <w:marRight w:val="0"/>
                      <w:marTop w:val="0"/>
                      <w:marBottom w:val="0"/>
                      <w:divBdr>
                        <w:top w:val="none" w:sz="0" w:space="0" w:color="auto"/>
                        <w:left w:val="none" w:sz="0" w:space="0" w:color="auto"/>
                        <w:bottom w:val="none" w:sz="0" w:space="0" w:color="auto"/>
                        <w:right w:val="none" w:sz="0" w:space="0" w:color="auto"/>
                      </w:divBdr>
                      <w:divsChild>
                        <w:div w:id="102116097">
                          <w:marLeft w:val="0"/>
                          <w:marRight w:val="0"/>
                          <w:marTop w:val="0"/>
                          <w:marBottom w:val="0"/>
                          <w:divBdr>
                            <w:top w:val="none" w:sz="0" w:space="0" w:color="auto"/>
                            <w:left w:val="none" w:sz="0" w:space="0" w:color="auto"/>
                            <w:bottom w:val="none" w:sz="0" w:space="0" w:color="auto"/>
                            <w:right w:val="none" w:sz="0" w:space="0" w:color="auto"/>
                          </w:divBdr>
                          <w:divsChild>
                            <w:div w:id="213262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006261">
      <w:bodyDiv w:val="1"/>
      <w:marLeft w:val="0"/>
      <w:marRight w:val="0"/>
      <w:marTop w:val="0"/>
      <w:marBottom w:val="0"/>
      <w:divBdr>
        <w:top w:val="none" w:sz="0" w:space="0" w:color="auto"/>
        <w:left w:val="none" w:sz="0" w:space="0" w:color="auto"/>
        <w:bottom w:val="none" w:sz="0" w:space="0" w:color="auto"/>
        <w:right w:val="none" w:sz="0" w:space="0" w:color="auto"/>
      </w:divBdr>
    </w:div>
    <w:div w:id="1809741896">
      <w:bodyDiv w:val="1"/>
      <w:marLeft w:val="0"/>
      <w:marRight w:val="0"/>
      <w:marTop w:val="0"/>
      <w:marBottom w:val="0"/>
      <w:divBdr>
        <w:top w:val="none" w:sz="0" w:space="0" w:color="auto"/>
        <w:left w:val="none" w:sz="0" w:space="0" w:color="auto"/>
        <w:bottom w:val="none" w:sz="0" w:space="0" w:color="auto"/>
        <w:right w:val="none" w:sz="0" w:space="0" w:color="auto"/>
      </w:divBdr>
    </w:div>
    <w:div w:id="1809785425">
      <w:bodyDiv w:val="1"/>
      <w:marLeft w:val="0"/>
      <w:marRight w:val="0"/>
      <w:marTop w:val="0"/>
      <w:marBottom w:val="0"/>
      <w:divBdr>
        <w:top w:val="none" w:sz="0" w:space="0" w:color="auto"/>
        <w:left w:val="none" w:sz="0" w:space="0" w:color="auto"/>
        <w:bottom w:val="none" w:sz="0" w:space="0" w:color="auto"/>
        <w:right w:val="none" w:sz="0" w:space="0" w:color="auto"/>
      </w:divBdr>
    </w:div>
    <w:div w:id="1818297917">
      <w:bodyDiv w:val="1"/>
      <w:marLeft w:val="0"/>
      <w:marRight w:val="0"/>
      <w:marTop w:val="0"/>
      <w:marBottom w:val="0"/>
      <w:divBdr>
        <w:top w:val="none" w:sz="0" w:space="0" w:color="auto"/>
        <w:left w:val="none" w:sz="0" w:space="0" w:color="auto"/>
        <w:bottom w:val="none" w:sz="0" w:space="0" w:color="auto"/>
        <w:right w:val="none" w:sz="0" w:space="0" w:color="auto"/>
      </w:divBdr>
    </w:div>
    <w:div w:id="1821266157">
      <w:bodyDiv w:val="1"/>
      <w:marLeft w:val="0"/>
      <w:marRight w:val="0"/>
      <w:marTop w:val="0"/>
      <w:marBottom w:val="0"/>
      <w:divBdr>
        <w:top w:val="none" w:sz="0" w:space="0" w:color="auto"/>
        <w:left w:val="none" w:sz="0" w:space="0" w:color="auto"/>
        <w:bottom w:val="none" w:sz="0" w:space="0" w:color="auto"/>
        <w:right w:val="none" w:sz="0" w:space="0" w:color="auto"/>
      </w:divBdr>
    </w:div>
    <w:div w:id="1839036306">
      <w:bodyDiv w:val="1"/>
      <w:marLeft w:val="0"/>
      <w:marRight w:val="0"/>
      <w:marTop w:val="0"/>
      <w:marBottom w:val="0"/>
      <w:divBdr>
        <w:top w:val="none" w:sz="0" w:space="0" w:color="auto"/>
        <w:left w:val="none" w:sz="0" w:space="0" w:color="auto"/>
        <w:bottom w:val="none" w:sz="0" w:space="0" w:color="auto"/>
        <w:right w:val="none" w:sz="0" w:space="0" w:color="auto"/>
      </w:divBdr>
      <w:divsChild>
        <w:div w:id="1424913372">
          <w:marLeft w:val="0"/>
          <w:marRight w:val="0"/>
          <w:marTop w:val="0"/>
          <w:marBottom w:val="0"/>
          <w:divBdr>
            <w:top w:val="none" w:sz="0" w:space="0" w:color="auto"/>
            <w:left w:val="none" w:sz="0" w:space="0" w:color="auto"/>
            <w:bottom w:val="none" w:sz="0" w:space="0" w:color="auto"/>
            <w:right w:val="none" w:sz="0" w:space="0" w:color="auto"/>
          </w:divBdr>
        </w:div>
        <w:div w:id="1956324723">
          <w:marLeft w:val="0"/>
          <w:marRight w:val="0"/>
          <w:marTop w:val="0"/>
          <w:marBottom w:val="0"/>
          <w:divBdr>
            <w:top w:val="none" w:sz="0" w:space="0" w:color="auto"/>
            <w:left w:val="none" w:sz="0" w:space="0" w:color="auto"/>
            <w:bottom w:val="none" w:sz="0" w:space="0" w:color="auto"/>
            <w:right w:val="none" w:sz="0" w:space="0" w:color="auto"/>
          </w:divBdr>
        </w:div>
        <w:div w:id="991521475">
          <w:marLeft w:val="0"/>
          <w:marRight w:val="0"/>
          <w:marTop w:val="0"/>
          <w:marBottom w:val="0"/>
          <w:divBdr>
            <w:top w:val="none" w:sz="0" w:space="0" w:color="auto"/>
            <w:left w:val="none" w:sz="0" w:space="0" w:color="auto"/>
            <w:bottom w:val="none" w:sz="0" w:space="0" w:color="auto"/>
            <w:right w:val="none" w:sz="0" w:space="0" w:color="auto"/>
          </w:divBdr>
        </w:div>
      </w:divsChild>
    </w:div>
    <w:div w:id="1844054484">
      <w:bodyDiv w:val="1"/>
      <w:marLeft w:val="0"/>
      <w:marRight w:val="0"/>
      <w:marTop w:val="0"/>
      <w:marBottom w:val="0"/>
      <w:divBdr>
        <w:top w:val="none" w:sz="0" w:space="0" w:color="auto"/>
        <w:left w:val="none" w:sz="0" w:space="0" w:color="auto"/>
        <w:bottom w:val="none" w:sz="0" w:space="0" w:color="auto"/>
        <w:right w:val="none" w:sz="0" w:space="0" w:color="auto"/>
      </w:divBdr>
      <w:divsChild>
        <w:div w:id="605846290">
          <w:marLeft w:val="0"/>
          <w:marRight w:val="0"/>
          <w:marTop w:val="0"/>
          <w:marBottom w:val="0"/>
          <w:divBdr>
            <w:top w:val="none" w:sz="0" w:space="0" w:color="auto"/>
            <w:left w:val="none" w:sz="0" w:space="0" w:color="auto"/>
            <w:bottom w:val="none" w:sz="0" w:space="0" w:color="auto"/>
            <w:right w:val="none" w:sz="0" w:space="0" w:color="auto"/>
          </w:divBdr>
        </w:div>
      </w:divsChild>
    </w:div>
    <w:div w:id="1860661995">
      <w:bodyDiv w:val="1"/>
      <w:marLeft w:val="0"/>
      <w:marRight w:val="0"/>
      <w:marTop w:val="0"/>
      <w:marBottom w:val="0"/>
      <w:divBdr>
        <w:top w:val="none" w:sz="0" w:space="0" w:color="auto"/>
        <w:left w:val="none" w:sz="0" w:space="0" w:color="auto"/>
        <w:bottom w:val="none" w:sz="0" w:space="0" w:color="auto"/>
        <w:right w:val="none" w:sz="0" w:space="0" w:color="auto"/>
      </w:divBdr>
    </w:div>
    <w:div w:id="1884710685">
      <w:bodyDiv w:val="1"/>
      <w:marLeft w:val="0"/>
      <w:marRight w:val="0"/>
      <w:marTop w:val="0"/>
      <w:marBottom w:val="0"/>
      <w:divBdr>
        <w:top w:val="none" w:sz="0" w:space="0" w:color="auto"/>
        <w:left w:val="none" w:sz="0" w:space="0" w:color="auto"/>
        <w:bottom w:val="none" w:sz="0" w:space="0" w:color="auto"/>
        <w:right w:val="none" w:sz="0" w:space="0" w:color="auto"/>
      </w:divBdr>
    </w:div>
    <w:div w:id="1893881751">
      <w:bodyDiv w:val="1"/>
      <w:marLeft w:val="0"/>
      <w:marRight w:val="0"/>
      <w:marTop w:val="0"/>
      <w:marBottom w:val="0"/>
      <w:divBdr>
        <w:top w:val="none" w:sz="0" w:space="0" w:color="auto"/>
        <w:left w:val="none" w:sz="0" w:space="0" w:color="auto"/>
        <w:bottom w:val="none" w:sz="0" w:space="0" w:color="auto"/>
        <w:right w:val="none" w:sz="0" w:space="0" w:color="auto"/>
      </w:divBdr>
      <w:divsChild>
        <w:div w:id="1400012277">
          <w:marLeft w:val="0"/>
          <w:marRight w:val="0"/>
          <w:marTop w:val="0"/>
          <w:marBottom w:val="0"/>
          <w:divBdr>
            <w:top w:val="none" w:sz="0" w:space="0" w:color="auto"/>
            <w:left w:val="none" w:sz="0" w:space="0" w:color="auto"/>
            <w:bottom w:val="none" w:sz="0" w:space="0" w:color="auto"/>
            <w:right w:val="none" w:sz="0" w:space="0" w:color="auto"/>
          </w:divBdr>
        </w:div>
        <w:div w:id="1537544600">
          <w:marLeft w:val="0"/>
          <w:marRight w:val="0"/>
          <w:marTop w:val="0"/>
          <w:marBottom w:val="0"/>
          <w:divBdr>
            <w:top w:val="none" w:sz="0" w:space="0" w:color="auto"/>
            <w:left w:val="none" w:sz="0" w:space="0" w:color="auto"/>
            <w:bottom w:val="none" w:sz="0" w:space="0" w:color="auto"/>
            <w:right w:val="none" w:sz="0" w:space="0" w:color="auto"/>
          </w:divBdr>
        </w:div>
      </w:divsChild>
    </w:div>
    <w:div w:id="1970823371">
      <w:bodyDiv w:val="1"/>
      <w:marLeft w:val="0"/>
      <w:marRight w:val="0"/>
      <w:marTop w:val="0"/>
      <w:marBottom w:val="0"/>
      <w:divBdr>
        <w:top w:val="none" w:sz="0" w:space="0" w:color="auto"/>
        <w:left w:val="none" w:sz="0" w:space="0" w:color="auto"/>
        <w:bottom w:val="none" w:sz="0" w:space="0" w:color="auto"/>
        <w:right w:val="none" w:sz="0" w:space="0" w:color="auto"/>
      </w:divBdr>
      <w:divsChild>
        <w:div w:id="1831168494">
          <w:marLeft w:val="0"/>
          <w:marRight w:val="0"/>
          <w:marTop w:val="0"/>
          <w:marBottom w:val="0"/>
          <w:divBdr>
            <w:top w:val="none" w:sz="0" w:space="0" w:color="auto"/>
            <w:left w:val="none" w:sz="0" w:space="0" w:color="auto"/>
            <w:bottom w:val="none" w:sz="0" w:space="0" w:color="auto"/>
            <w:right w:val="none" w:sz="0" w:space="0" w:color="auto"/>
          </w:divBdr>
        </w:div>
      </w:divsChild>
    </w:div>
    <w:div w:id="1975794676">
      <w:bodyDiv w:val="1"/>
      <w:marLeft w:val="0"/>
      <w:marRight w:val="0"/>
      <w:marTop w:val="0"/>
      <w:marBottom w:val="0"/>
      <w:divBdr>
        <w:top w:val="none" w:sz="0" w:space="0" w:color="auto"/>
        <w:left w:val="none" w:sz="0" w:space="0" w:color="auto"/>
        <w:bottom w:val="none" w:sz="0" w:space="0" w:color="auto"/>
        <w:right w:val="none" w:sz="0" w:space="0" w:color="auto"/>
      </w:divBdr>
    </w:div>
    <w:div w:id="1993096886">
      <w:bodyDiv w:val="1"/>
      <w:marLeft w:val="0"/>
      <w:marRight w:val="0"/>
      <w:marTop w:val="0"/>
      <w:marBottom w:val="0"/>
      <w:divBdr>
        <w:top w:val="none" w:sz="0" w:space="0" w:color="auto"/>
        <w:left w:val="none" w:sz="0" w:space="0" w:color="auto"/>
        <w:bottom w:val="none" w:sz="0" w:space="0" w:color="auto"/>
        <w:right w:val="none" w:sz="0" w:space="0" w:color="auto"/>
      </w:divBdr>
    </w:div>
    <w:div w:id="2016491715">
      <w:bodyDiv w:val="1"/>
      <w:marLeft w:val="0"/>
      <w:marRight w:val="0"/>
      <w:marTop w:val="0"/>
      <w:marBottom w:val="0"/>
      <w:divBdr>
        <w:top w:val="none" w:sz="0" w:space="0" w:color="auto"/>
        <w:left w:val="none" w:sz="0" w:space="0" w:color="auto"/>
        <w:bottom w:val="none" w:sz="0" w:space="0" w:color="auto"/>
        <w:right w:val="none" w:sz="0" w:space="0" w:color="auto"/>
      </w:divBdr>
    </w:div>
    <w:div w:id="2019311190">
      <w:bodyDiv w:val="1"/>
      <w:marLeft w:val="0"/>
      <w:marRight w:val="0"/>
      <w:marTop w:val="0"/>
      <w:marBottom w:val="0"/>
      <w:divBdr>
        <w:top w:val="none" w:sz="0" w:space="0" w:color="auto"/>
        <w:left w:val="none" w:sz="0" w:space="0" w:color="auto"/>
        <w:bottom w:val="none" w:sz="0" w:space="0" w:color="auto"/>
        <w:right w:val="none" w:sz="0" w:space="0" w:color="auto"/>
      </w:divBdr>
    </w:div>
    <w:div w:id="2051613049">
      <w:bodyDiv w:val="1"/>
      <w:marLeft w:val="0"/>
      <w:marRight w:val="0"/>
      <w:marTop w:val="0"/>
      <w:marBottom w:val="0"/>
      <w:divBdr>
        <w:top w:val="none" w:sz="0" w:space="0" w:color="auto"/>
        <w:left w:val="none" w:sz="0" w:space="0" w:color="auto"/>
        <w:bottom w:val="none" w:sz="0" w:space="0" w:color="auto"/>
        <w:right w:val="none" w:sz="0" w:space="0" w:color="auto"/>
      </w:divBdr>
    </w:div>
    <w:div w:id="2091154370">
      <w:bodyDiv w:val="1"/>
      <w:marLeft w:val="0"/>
      <w:marRight w:val="0"/>
      <w:marTop w:val="0"/>
      <w:marBottom w:val="0"/>
      <w:divBdr>
        <w:top w:val="none" w:sz="0" w:space="0" w:color="auto"/>
        <w:left w:val="none" w:sz="0" w:space="0" w:color="auto"/>
        <w:bottom w:val="none" w:sz="0" w:space="0" w:color="auto"/>
        <w:right w:val="none" w:sz="0" w:space="0" w:color="auto"/>
      </w:divBdr>
    </w:div>
    <w:div w:id="2091609597">
      <w:bodyDiv w:val="1"/>
      <w:marLeft w:val="0"/>
      <w:marRight w:val="0"/>
      <w:marTop w:val="0"/>
      <w:marBottom w:val="0"/>
      <w:divBdr>
        <w:top w:val="none" w:sz="0" w:space="0" w:color="auto"/>
        <w:left w:val="none" w:sz="0" w:space="0" w:color="auto"/>
        <w:bottom w:val="none" w:sz="0" w:space="0" w:color="auto"/>
        <w:right w:val="none" w:sz="0" w:space="0" w:color="auto"/>
      </w:divBdr>
    </w:div>
    <w:div w:id="2111927813">
      <w:bodyDiv w:val="1"/>
      <w:marLeft w:val="0"/>
      <w:marRight w:val="0"/>
      <w:marTop w:val="0"/>
      <w:marBottom w:val="0"/>
      <w:divBdr>
        <w:top w:val="none" w:sz="0" w:space="0" w:color="auto"/>
        <w:left w:val="none" w:sz="0" w:space="0" w:color="auto"/>
        <w:bottom w:val="none" w:sz="0" w:space="0" w:color="auto"/>
        <w:right w:val="none" w:sz="0" w:space="0" w:color="auto"/>
      </w:divBdr>
    </w:div>
    <w:div w:id="2118599552">
      <w:bodyDiv w:val="1"/>
      <w:marLeft w:val="0"/>
      <w:marRight w:val="0"/>
      <w:marTop w:val="0"/>
      <w:marBottom w:val="0"/>
      <w:divBdr>
        <w:top w:val="none" w:sz="0" w:space="0" w:color="auto"/>
        <w:left w:val="none" w:sz="0" w:space="0" w:color="auto"/>
        <w:bottom w:val="none" w:sz="0" w:space="0" w:color="auto"/>
        <w:right w:val="none" w:sz="0" w:space="0" w:color="auto"/>
      </w:divBdr>
    </w:div>
    <w:div w:id="2125922854">
      <w:bodyDiv w:val="1"/>
      <w:marLeft w:val="0"/>
      <w:marRight w:val="0"/>
      <w:marTop w:val="0"/>
      <w:marBottom w:val="0"/>
      <w:divBdr>
        <w:top w:val="none" w:sz="0" w:space="0" w:color="auto"/>
        <w:left w:val="none" w:sz="0" w:space="0" w:color="auto"/>
        <w:bottom w:val="none" w:sz="0" w:space="0" w:color="auto"/>
        <w:right w:val="none" w:sz="0" w:space="0" w:color="auto"/>
      </w:divBdr>
    </w:div>
    <w:div w:id="2146048865">
      <w:bodyDiv w:val="1"/>
      <w:marLeft w:val="0"/>
      <w:marRight w:val="0"/>
      <w:marTop w:val="0"/>
      <w:marBottom w:val="0"/>
      <w:divBdr>
        <w:top w:val="none" w:sz="0" w:space="0" w:color="auto"/>
        <w:left w:val="none" w:sz="0" w:space="0" w:color="auto"/>
        <w:bottom w:val="none" w:sz="0" w:space="0" w:color="auto"/>
        <w:right w:val="none" w:sz="0" w:space="0" w:color="auto"/>
      </w:divBdr>
    </w:div>
    <w:div w:id="214676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eva/gestornormativo/norma.php?i=191408" TargetMode="External"/><Relationship Id="rId13" Type="http://schemas.openxmlformats.org/officeDocument/2006/relationships/hyperlink" Target="https://www.funcionpublica.gov.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uinjuriscol.gov.co/viewDocu-ment.asp?id=178882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repositorio.cepal.org/handle/11362/6428" TargetMode="External"/><Relationship Id="rId4" Type="http://schemas.openxmlformats.org/officeDocument/2006/relationships/settings" Target="settings.xml"/><Relationship Id="rId9" Type="http://schemas.openxmlformats.org/officeDocument/2006/relationships/hyperlink" Target="https://www.aib-net.org" TargetMode="External"/><Relationship Id="rId14" Type="http://schemas.openxmlformats.org/officeDocument/2006/relationships/hyperlink" Target="http://www.oas.org/es/sla/ddi/docs/curso_derecho_internacional_2017_material%09es_lectura_Jennifer_Isabel_Arroyo_Chacon_1.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47D0B-6AB2-8049-AB3A-64D63F377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39</Pages>
  <Words>25102</Words>
  <Characters>138067</Characters>
  <Application>Microsoft Office Word</Application>
  <DocSecurity>0</DocSecurity>
  <Lines>1150</Lines>
  <Paragraphs>325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 Alexandra Sastoque Fernandez</dc:creator>
  <cp:keywords/>
  <dc:description/>
  <cp:lastModifiedBy>Angela Carolina Mayorga Sastoque</cp:lastModifiedBy>
  <cp:revision>3</cp:revision>
  <dcterms:created xsi:type="dcterms:W3CDTF">2024-10-13T02:11:00Z</dcterms:created>
  <dcterms:modified xsi:type="dcterms:W3CDTF">2024-10-13T02:13:00Z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id="aYRWNE1c"/&gt;&lt;style id="http://www.zotero.org/styles/apa" locale="es-ES" hasBibliography="1" bibliographyStyleHasBeenSet="1"/&gt;&lt;prefs&gt;&lt;pref name="fieldType" value="Field"/&gt;&lt;/prefs&gt;&lt;/data&gt;</vt:lpwstr>
  </property>
</Properties>
</file>