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EE1" w:rsidRDefault="00C35EE1" w:rsidP="00C35EE1">
      <w:pPr>
        <w:pStyle w:val="Ttulo2"/>
      </w:pPr>
      <w:bookmarkStart w:id="0" w:name="_Toc395874723"/>
      <w:r>
        <w:t>Titulo:</w:t>
      </w:r>
      <w:bookmarkEnd w:id="0"/>
    </w:p>
    <w:p w:rsidR="00C35EE1" w:rsidRPr="00BF0605" w:rsidRDefault="00C35EE1" w:rsidP="00C35EE1">
      <w:pPr>
        <w:widowControl w:val="0"/>
        <w:spacing w:line="360" w:lineRule="auto"/>
        <w:rPr>
          <w:color w:val="000000"/>
          <w:sz w:val="24"/>
          <w:szCs w:val="24"/>
        </w:rPr>
      </w:pPr>
      <w:r w:rsidRPr="00BF0605">
        <w:rPr>
          <w:color w:val="000000"/>
          <w:sz w:val="24"/>
          <w:szCs w:val="24"/>
        </w:rPr>
        <w:t>Desarraigo en Colombia y construcción territorial en el Chocó en el marco de conversaciones para la finalización del conflicto armado</w:t>
      </w:r>
    </w:p>
    <w:sdt>
      <w:sdtPr>
        <w:rPr>
          <w:rFonts w:ascii="Times New Roman" w:eastAsia="Calibri" w:hAnsi="Times New Roman" w:cs="Times New Roman"/>
          <w:color w:val="auto"/>
          <w:sz w:val="20"/>
          <w:szCs w:val="20"/>
          <w:lang w:val="es-ES" w:eastAsia="es-ES"/>
        </w:rPr>
        <w:id w:val="-4134529"/>
        <w:docPartObj>
          <w:docPartGallery w:val="Table of Contents"/>
          <w:docPartUnique/>
        </w:docPartObj>
      </w:sdtPr>
      <w:sdtEndPr>
        <w:rPr>
          <w:b/>
          <w:bCs/>
        </w:rPr>
      </w:sdtEndPr>
      <w:sdtContent>
        <w:p w:rsidR="003B75C7" w:rsidRDefault="003B75C7">
          <w:pPr>
            <w:pStyle w:val="TtulodeTDC"/>
          </w:pPr>
          <w:r>
            <w:rPr>
              <w:lang w:val="es-ES"/>
            </w:rPr>
            <w:t>Contenido</w:t>
          </w:r>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r w:rsidRPr="00E87AE6">
            <w:fldChar w:fldCharType="begin"/>
          </w:r>
          <w:r w:rsidR="003B75C7">
            <w:instrText xml:space="preserve"> TOC \o "1-3" \h \z \u </w:instrText>
          </w:r>
          <w:r w:rsidRPr="00E87AE6">
            <w:fldChar w:fldCharType="separate"/>
          </w:r>
          <w:hyperlink w:anchor="_Toc395874723" w:history="1">
            <w:r w:rsidR="00C35EE1" w:rsidRPr="00F50095">
              <w:rPr>
                <w:rStyle w:val="Hipervnculo"/>
                <w:noProof/>
              </w:rPr>
              <w:t>Titulo:</w:t>
            </w:r>
            <w:r w:rsidR="00C35EE1">
              <w:rPr>
                <w:noProof/>
                <w:webHidden/>
              </w:rPr>
              <w:tab/>
            </w:r>
            <w:r>
              <w:rPr>
                <w:noProof/>
                <w:webHidden/>
              </w:rPr>
              <w:fldChar w:fldCharType="begin"/>
            </w:r>
            <w:r w:rsidR="00C35EE1">
              <w:rPr>
                <w:noProof/>
                <w:webHidden/>
              </w:rPr>
              <w:instrText xml:space="preserve"> PAGEREF _Toc395874723 \h </w:instrText>
            </w:r>
            <w:r>
              <w:rPr>
                <w:noProof/>
                <w:webHidden/>
              </w:rPr>
            </w:r>
            <w:r>
              <w:rPr>
                <w:noProof/>
                <w:webHidden/>
              </w:rPr>
              <w:fldChar w:fldCharType="separate"/>
            </w:r>
            <w:r w:rsidR="00C35EE1">
              <w:rPr>
                <w:noProof/>
                <w:webHidden/>
              </w:rPr>
              <w:t>1</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4" w:history="1">
            <w:r w:rsidR="00C35EE1" w:rsidRPr="00F50095">
              <w:rPr>
                <w:rStyle w:val="Hipervnculo"/>
                <w:noProof/>
              </w:rPr>
              <w:t>Resumen del  Proyecto</w:t>
            </w:r>
            <w:r w:rsidR="00C35EE1">
              <w:rPr>
                <w:noProof/>
                <w:webHidden/>
              </w:rPr>
              <w:tab/>
            </w:r>
            <w:r>
              <w:rPr>
                <w:noProof/>
                <w:webHidden/>
              </w:rPr>
              <w:fldChar w:fldCharType="begin"/>
            </w:r>
            <w:r w:rsidR="00C35EE1">
              <w:rPr>
                <w:noProof/>
                <w:webHidden/>
              </w:rPr>
              <w:instrText xml:space="preserve"> PAGEREF _Toc395874724 \h </w:instrText>
            </w:r>
            <w:r>
              <w:rPr>
                <w:noProof/>
                <w:webHidden/>
              </w:rPr>
            </w:r>
            <w:r>
              <w:rPr>
                <w:noProof/>
                <w:webHidden/>
              </w:rPr>
              <w:fldChar w:fldCharType="separate"/>
            </w:r>
            <w:r w:rsidR="00C35EE1">
              <w:rPr>
                <w:noProof/>
                <w:webHidden/>
              </w:rPr>
              <w:t>1</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5" w:history="1">
            <w:r w:rsidR="00C35EE1" w:rsidRPr="00F50095">
              <w:rPr>
                <w:rStyle w:val="Hipervnculo"/>
                <w:noProof/>
              </w:rPr>
              <w:t>Palabras clave:</w:t>
            </w:r>
            <w:r w:rsidR="00C35EE1">
              <w:rPr>
                <w:noProof/>
                <w:webHidden/>
              </w:rPr>
              <w:tab/>
            </w:r>
            <w:r>
              <w:rPr>
                <w:noProof/>
                <w:webHidden/>
              </w:rPr>
              <w:fldChar w:fldCharType="begin"/>
            </w:r>
            <w:r w:rsidR="00C35EE1">
              <w:rPr>
                <w:noProof/>
                <w:webHidden/>
              </w:rPr>
              <w:instrText xml:space="preserve"> PAGEREF _Toc395874725 \h </w:instrText>
            </w:r>
            <w:r>
              <w:rPr>
                <w:noProof/>
                <w:webHidden/>
              </w:rPr>
            </w:r>
            <w:r>
              <w:rPr>
                <w:noProof/>
                <w:webHidden/>
              </w:rPr>
              <w:fldChar w:fldCharType="separate"/>
            </w:r>
            <w:r w:rsidR="00C35EE1">
              <w:rPr>
                <w:noProof/>
                <w:webHidden/>
              </w:rPr>
              <w:t>2</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6" w:history="1">
            <w:r w:rsidR="00C35EE1" w:rsidRPr="00F50095">
              <w:rPr>
                <w:rStyle w:val="Hipervnculo"/>
                <w:noProof/>
              </w:rPr>
              <w:t>Planteamiento del problema de investigación</w:t>
            </w:r>
            <w:r w:rsidR="00C35EE1">
              <w:rPr>
                <w:noProof/>
                <w:webHidden/>
              </w:rPr>
              <w:tab/>
            </w:r>
            <w:r>
              <w:rPr>
                <w:noProof/>
                <w:webHidden/>
              </w:rPr>
              <w:fldChar w:fldCharType="begin"/>
            </w:r>
            <w:r w:rsidR="00C35EE1">
              <w:rPr>
                <w:noProof/>
                <w:webHidden/>
              </w:rPr>
              <w:instrText xml:space="preserve"> PAGEREF _Toc395874726 \h </w:instrText>
            </w:r>
            <w:r>
              <w:rPr>
                <w:noProof/>
                <w:webHidden/>
              </w:rPr>
            </w:r>
            <w:r>
              <w:rPr>
                <w:noProof/>
                <w:webHidden/>
              </w:rPr>
              <w:fldChar w:fldCharType="separate"/>
            </w:r>
            <w:r w:rsidR="00C35EE1">
              <w:rPr>
                <w:noProof/>
                <w:webHidden/>
              </w:rPr>
              <w:t>2</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7" w:history="1">
            <w:r w:rsidR="00C35EE1" w:rsidRPr="00F50095">
              <w:rPr>
                <w:rStyle w:val="Hipervnculo"/>
                <w:noProof/>
              </w:rPr>
              <w:t>Pregunta de Investigación</w:t>
            </w:r>
            <w:r w:rsidR="00C35EE1">
              <w:rPr>
                <w:noProof/>
                <w:webHidden/>
              </w:rPr>
              <w:tab/>
            </w:r>
            <w:r>
              <w:rPr>
                <w:noProof/>
                <w:webHidden/>
              </w:rPr>
              <w:fldChar w:fldCharType="begin"/>
            </w:r>
            <w:r w:rsidR="00C35EE1">
              <w:rPr>
                <w:noProof/>
                <w:webHidden/>
              </w:rPr>
              <w:instrText xml:space="preserve"> PAGEREF _Toc395874727 \h </w:instrText>
            </w:r>
            <w:r>
              <w:rPr>
                <w:noProof/>
                <w:webHidden/>
              </w:rPr>
            </w:r>
            <w:r>
              <w:rPr>
                <w:noProof/>
                <w:webHidden/>
              </w:rPr>
              <w:fldChar w:fldCharType="separate"/>
            </w:r>
            <w:r w:rsidR="00C35EE1">
              <w:rPr>
                <w:noProof/>
                <w:webHidden/>
              </w:rPr>
              <w:t>3</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8" w:history="1">
            <w:r w:rsidR="00C35EE1" w:rsidRPr="00F50095">
              <w:rPr>
                <w:rStyle w:val="Hipervnculo"/>
                <w:noProof/>
              </w:rPr>
              <w:t>Objetivos General</w:t>
            </w:r>
            <w:r w:rsidR="00C35EE1">
              <w:rPr>
                <w:noProof/>
                <w:webHidden/>
              </w:rPr>
              <w:tab/>
            </w:r>
            <w:r>
              <w:rPr>
                <w:noProof/>
                <w:webHidden/>
              </w:rPr>
              <w:fldChar w:fldCharType="begin"/>
            </w:r>
            <w:r w:rsidR="00C35EE1">
              <w:rPr>
                <w:noProof/>
                <w:webHidden/>
              </w:rPr>
              <w:instrText xml:space="preserve"> PAGEREF _Toc395874728 \h </w:instrText>
            </w:r>
            <w:r>
              <w:rPr>
                <w:noProof/>
                <w:webHidden/>
              </w:rPr>
            </w:r>
            <w:r>
              <w:rPr>
                <w:noProof/>
                <w:webHidden/>
              </w:rPr>
              <w:fldChar w:fldCharType="separate"/>
            </w:r>
            <w:r w:rsidR="00C35EE1">
              <w:rPr>
                <w:noProof/>
                <w:webHidden/>
              </w:rPr>
              <w:t>3</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29" w:history="1">
            <w:r w:rsidR="00C35EE1" w:rsidRPr="00F50095">
              <w:rPr>
                <w:rStyle w:val="Hipervnculo"/>
                <w:noProof/>
              </w:rPr>
              <w:t>Objetivos específicos</w:t>
            </w:r>
            <w:r w:rsidR="00C35EE1">
              <w:rPr>
                <w:noProof/>
                <w:webHidden/>
              </w:rPr>
              <w:tab/>
            </w:r>
            <w:r>
              <w:rPr>
                <w:noProof/>
                <w:webHidden/>
              </w:rPr>
              <w:fldChar w:fldCharType="begin"/>
            </w:r>
            <w:r w:rsidR="00C35EE1">
              <w:rPr>
                <w:noProof/>
                <w:webHidden/>
              </w:rPr>
              <w:instrText xml:space="preserve"> PAGEREF _Toc395874729 \h </w:instrText>
            </w:r>
            <w:r>
              <w:rPr>
                <w:noProof/>
                <w:webHidden/>
              </w:rPr>
            </w:r>
            <w:r>
              <w:rPr>
                <w:noProof/>
                <w:webHidden/>
              </w:rPr>
              <w:fldChar w:fldCharType="separate"/>
            </w:r>
            <w:r w:rsidR="00C35EE1">
              <w:rPr>
                <w:noProof/>
                <w:webHidden/>
              </w:rPr>
              <w:t>4</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0" w:history="1">
            <w:r w:rsidR="00C35EE1" w:rsidRPr="00F50095">
              <w:rPr>
                <w:rStyle w:val="Hipervnculo"/>
                <w:noProof/>
              </w:rPr>
              <w:t>Justificación</w:t>
            </w:r>
            <w:r w:rsidR="00C35EE1">
              <w:rPr>
                <w:noProof/>
                <w:webHidden/>
              </w:rPr>
              <w:tab/>
            </w:r>
            <w:r>
              <w:rPr>
                <w:noProof/>
                <w:webHidden/>
              </w:rPr>
              <w:fldChar w:fldCharType="begin"/>
            </w:r>
            <w:r w:rsidR="00C35EE1">
              <w:rPr>
                <w:noProof/>
                <w:webHidden/>
              </w:rPr>
              <w:instrText xml:space="preserve"> PAGEREF _Toc395874730 \h </w:instrText>
            </w:r>
            <w:r>
              <w:rPr>
                <w:noProof/>
                <w:webHidden/>
              </w:rPr>
            </w:r>
            <w:r>
              <w:rPr>
                <w:noProof/>
                <w:webHidden/>
              </w:rPr>
              <w:fldChar w:fldCharType="separate"/>
            </w:r>
            <w:r w:rsidR="00C35EE1">
              <w:rPr>
                <w:noProof/>
                <w:webHidden/>
              </w:rPr>
              <w:t>4</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1" w:history="1">
            <w:r w:rsidR="00C35EE1" w:rsidRPr="00F50095">
              <w:rPr>
                <w:rStyle w:val="Hipervnculo"/>
                <w:noProof/>
              </w:rPr>
              <w:t>Estado del Arte.</w:t>
            </w:r>
            <w:r w:rsidR="00C35EE1">
              <w:rPr>
                <w:noProof/>
                <w:webHidden/>
              </w:rPr>
              <w:tab/>
            </w:r>
            <w:r>
              <w:rPr>
                <w:noProof/>
                <w:webHidden/>
              </w:rPr>
              <w:fldChar w:fldCharType="begin"/>
            </w:r>
            <w:r w:rsidR="00C35EE1">
              <w:rPr>
                <w:noProof/>
                <w:webHidden/>
              </w:rPr>
              <w:instrText xml:space="preserve"> PAGEREF _Toc395874731 \h </w:instrText>
            </w:r>
            <w:r>
              <w:rPr>
                <w:noProof/>
                <w:webHidden/>
              </w:rPr>
            </w:r>
            <w:r>
              <w:rPr>
                <w:noProof/>
                <w:webHidden/>
              </w:rPr>
              <w:fldChar w:fldCharType="separate"/>
            </w:r>
            <w:r w:rsidR="00C35EE1">
              <w:rPr>
                <w:noProof/>
                <w:webHidden/>
              </w:rPr>
              <w:t>5</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2" w:history="1">
            <w:r w:rsidR="00C35EE1" w:rsidRPr="00F50095">
              <w:rPr>
                <w:rStyle w:val="Hipervnculo"/>
                <w:noProof/>
              </w:rPr>
              <w:t>Marco teórico</w:t>
            </w:r>
            <w:r w:rsidR="00C35EE1">
              <w:rPr>
                <w:noProof/>
                <w:webHidden/>
              </w:rPr>
              <w:tab/>
            </w:r>
            <w:r>
              <w:rPr>
                <w:noProof/>
                <w:webHidden/>
              </w:rPr>
              <w:fldChar w:fldCharType="begin"/>
            </w:r>
            <w:r w:rsidR="00C35EE1">
              <w:rPr>
                <w:noProof/>
                <w:webHidden/>
              </w:rPr>
              <w:instrText xml:space="preserve"> PAGEREF _Toc395874732 \h </w:instrText>
            </w:r>
            <w:r>
              <w:rPr>
                <w:noProof/>
                <w:webHidden/>
              </w:rPr>
            </w:r>
            <w:r>
              <w:rPr>
                <w:noProof/>
                <w:webHidden/>
              </w:rPr>
              <w:fldChar w:fldCharType="separate"/>
            </w:r>
            <w:r w:rsidR="00C35EE1">
              <w:rPr>
                <w:noProof/>
                <w:webHidden/>
              </w:rPr>
              <w:t>7</w:t>
            </w:r>
            <w:r>
              <w:rPr>
                <w:noProof/>
                <w:webHidden/>
              </w:rPr>
              <w:fldChar w:fldCharType="end"/>
            </w:r>
          </w:hyperlink>
        </w:p>
        <w:p w:rsidR="00C35EE1" w:rsidRDefault="00E87AE6">
          <w:pPr>
            <w:pStyle w:val="TDC3"/>
            <w:tabs>
              <w:tab w:val="right" w:leader="dot" w:pos="8828"/>
            </w:tabs>
            <w:rPr>
              <w:rFonts w:asciiTheme="minorHAnsi" w:eastAsiaTheme="minorEastAsia" w:hAnsiTheme="minorHAnsi" w:cstheme="minorBidi"/>
              <w:noProof/>
              <w:sz w:val="22"/>
              <w:szCs w:val="22"/>
              <w:lang w:val="es-CO" w:eastAsia="es-CO"/>
            </w:rPr>
          </w:pPr>
          <w:hyperlink w:anchor="_Toc395874733" w:history="1">
            <w:r w:rsidR="00C35EE1" w:rsidRPr="00F50095">
              <w:rPr>
                <w:rStyle w:val="Hipervnculo"/>
                <w:noProof/>
                <w:lang w:val="es-CO"/>
              </w:rPr>
              <w:t>Horizonte epistemológico</w:t>
            </w:r>
            <w:r w:rsidR="00C35EE1">
              <w:rPr>
                <w:noProof/>
                <w:webHidden/>
              </w:rPr>
              <w:tab/>
            </w:r>
            <w:r>
              <w:rPr>
                <w:noProof/>
                <w:webHidden/>
              </w:rPr>
              <w:fldChar w:fldCharType="begin"/>
            </w:r>
            <w:r w:rsidR="00C35EE1">
              <w:rPr>
                <w:noProof/>
                <w:webHidden/>
              </w:rPr>
              <w:instrText xml:space="preserve"> PAGEREF _Toc395874733 \h </w:instrText>
            </w:r>
            <w:r>
              <w:rPr>
                <w:noProof/>
                <w:webHidden/>
              </w:rPr>
            </w:r>
            <w:r>
              <w:rPr>
                <w:noProof/>
                <w:webHidden/>
              </w:rPr>
              <w:fldChar w:fldCharType="separate"/>
            </w:r>
            <w:r w:rsidR="00C35EE1">
              <w:rPr>
                <w:noProof/>
                <w:webHidden/>
              </w:rPr>
              <w:t>7</w:t>
            </w:r>
            <w:r>
              <w:rPr>
                <w:noProof/>
                <w:webHidden/>
              </w:rPr>
              <w:fldChar w:fldCharType="end"/>
            </w:r>
          </w:hyperlink>
        </w:p>
        <w:p w:rsidR="00C35EE1" w:rsidRDefault="00E87AE6">
          <w:pPr>
            <w:pStyle w:val="TDC3"/>
            <w:tabs>
              <w:tab w:val="right" w:leader="dot" w:pos="8828"/>
            </w:tabs>
            <w:rPr>
              <w:rFonts w:asciiTheme="minorHAnsi" w:eastAsiaTheme="minorEastAsia" w:hAnsiTheme="minorHAnsi" w:cstheme="minorBidi"/>
              <w:noProof/>
              <w:sz w:val="22"/>
              <w:szCs w:val="22"/>
              <w:lang w:val="es-CO" w:eastAsia="es-CO"/>
            </w:rPr>
          </w:pPr>
          <w:hyperlink w:anchor="_Toc395874734" w:history="1">
            <w:r w:rsidR="00C35EE1" w:rsidRPr="00F50095">
              <w:rPr>
                <w:rStyle w:val="Hipervnculo"/>
                <w:noProof/>
                <w:lang w:val="es-CO"/>
              </w:rPr>
              <w:t>Marco conceptual</w:t>
            </w:r>
            <w:r w:rsidR="00C35EE1">
              <w:rPr>
                <w:noProof/>
                <w:webHidden/>
              </w:rPr>
              <w:tab/>
            </w:r>
            <w:r>
              <w:rPr>
                <w:noProof/>
                <w:webHidden/>
              </w:rPr>
              <w:fldChar w:fldCharType="begin"/>
            </w:r>
            <w:r w:rsidR="00C35EE1">
              <w:rPr>
                <w:noProof/>
                <w:webHidden/>
              </w:rPr>
              <w:instrText xml:space="preserve"> PAGEREF _Toc395874734 \h </w:instrText>
            </w:r>
            <w:r>
              <w:rPr>
                <w:noProof/>
                <w:webHidden/>
              </w:rPr>
            </w:r>
            <w:r>
              <w:rPr>
                <w:noProof/>
                <w:webHidden/>
              </w:rPr>
              <w:fldChar w:fldCharType="separate"/>
            </w:r>
            <w:r w:rsidR="00C35EE1">
              <w:rPr>
                <w:noProof/>
                <w:webHidden/>
              </w:rPr>
              <w:t>8</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5" w:history="1">
            <w:r w:rsidR="00C35EE1" w:rsidRPr="00F50095">
              <w:rPr>
                <w:rStyle w:val="Hipervnculo"/>
                <w:noProof/>
              </w:rPr>
              <w:t>Contribución del proyecto a las líneas de investigación del grupo</w:t>
            </w:r>
            <w:r w:rsidR="00C35EE1">
              <w:rPr>
                <w:noProof/>
                <w:webHidden/>
              </w:rPr>
              <w:tab/>
            </w:r>
            <w:r>
              <w:rPr>
                <w:noProof/>
                <w:webHidden/>
              </w:rPr>
              <w:fldChar w:fldCharType="begin"/>
            </w:r>
            <w:r w:rsidR="00C35EE1">
              <w:rPr>
                <w:noProof/>
                <w:webHidden/>
              </w:rPr>
              <w:instrText xml:space="preserve"> PAGEREF _Toc395874735 \h </w:instrText>
            </w:r>
            <w:r>
              <w:rPr>
                <w:noProof/>
                <w:webHidden/>
              </w:rPr>
            </w:r>
            <w:r>
              <w:rPr>
                <w:noProof/>
                <w:webHidden/>
              </w:rPr>
              <w:fldChar w:fldCharType="separate"/>
            </w:r>
            <w:r w:rsidR="00C35EE1">
              <w:rPr>
                <w:noProof/>
                <w:webHidden/>
              </w:rPr>
              <w:t>11</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6" w:history="1">
            <w:r w:rsidR="00C35EE1" w:rsidRPr="00F50095">
              <w:rPr>
                <w:rStyle w:val="Hipervnculo"/>
                <w:noProof/>
              </w:rPr>
              <w:t>Metodología</w:t>
            </w:r>
            <w:r w:rsidR="00C35EE1">
              <w:rPr>
                <w:noProof/>
                <w:webHidden/>
              </w:rPr>
              <w:tab/>
            </w:r>
            <w:r>
              <w:rPr>
                <w:noProof/>
                <w:webHidden/>
              </w:rPr>
              <w:fldChar w:fldCharType="begin"/>
            </w:r>
            <w:r w:rsidR="00C35EE1">
              <w:rPr>
                <w:noProof/>
                <w:webHidden/>
              </w:rPr>
              <w:instrText xml:space="preserve"> PAGEREF _Toc395874736 \h </w:instrText>
            </w:r>
            <w:r>
              <w:rPr>
                <w:noProof/>
                <w:webHidden/>
              </w:rPr>
            </w:r>
            <w:r>
              <w:rPr>
                <w:noProof/>
                <w:webHidden/>
              </w:rPr>
              <w:fldChar w:fldCharType="separate"/>
            </w:r>
            <w:r w:rsidR="00C35EE1">
              <w:rPr>
                <w:noProof/>
                <w:webHidden/>
              </w:rPr>
              <w:t>12</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7" w:history="1">
            <w:r w:rsidR="00C35EE1" w:rsidRPr="00F50095">
              <w:rPr>
                <w:rStyle w:val="Hipervnculo"/>
                <w:noProof/>
              </w:rPr>
              <w:t>Resultados e impactos esperados</w:t>
            </w:r>
            <w:r w:rsidR="00C35EE1">
              <w:rPr>
                <w:noProof/>
                <w:webHidden/>
              </w:rPr>
              <w:tab/>
            </w:r>
            <w:r>
              <w:rPr>
                <w:noProof/>
                <w:webHidden/>
              </w:rPr>
              <w:fldChar w:fldCharType="begin"/>
            </w:r>
            <w:r w:rsidR="00C35EE1">
              <w:rPr>
                <w:noProof/>
                <w:webHidden/>
              </w:rPr>
              <w:instrText xml:space="preserve"> PAGEREF _Toc395874737 \h </w:instrText>
            </w:r>
            <w:r>
              <w:rPr>
                <w:noProof/>
                <w:webHidden/>
              </w:rPr>
            </w:r>
            <w:r>
              <w:rPr>
                <w:noProof/>
                <w:webHidden/>
              </w:rPr>
              <w:fldChar w:fldCharType="separate"/>
            </w:r>
            <w:r w:rsidR="00C35EE1">
              <w:rPr>
                <w:noProof/>
                <w:webHidden/>
              </w:rPr>
              <w:t>13</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8" w:history="1">
            <w:r w:rsidR="00C35EE1" w:rsidRPr="00F50095">
              <w:rPr>
                <w:rStyle w:val="Hipervnculo"/>
                <w:noProof/>
              </w:rPr>
              <w:t>Productos esperados</w:t>
            </w:r>
            <w:r w:rsidR="00C35EE1">
              <w:rPr>
                <w:noProof/>
                <w:webHidden/>
              </w:rPr>
              <w:tab/>
            </w:r>
            <w:r>
              <w:rPr>
                <w:noProof/>
                <w:webHidden/>
              </w:rPr>
              <w:fldChar w:fldCharType="begin"/>
            </w:r>
            <w:r w:rsidR="00C35EE1">
              <w:rPr>
                <w:noProof/>
                <w:webHidden/>
              </w:rPr>
              <w:instrText xml:space="preserve"> PAGEREF _Toc395874738 \h </w:instrText>
            </w:r>
            <w:r>
              <w:rPr>
                <w:noProof/>
                <w:webHidden/>
              </w:rPr>
            </w:r>
            <w:r>
              <w:rPr>
                <w:noProof/>
                <w:webHidden/>
              </w:rPr>
              <w:fldChar w:fldCharType="separate"/>
            </w:r>
            <w:r w:rsidR="00C35EE1">
              <w:rPr>
                <w:noProof/>
                <w:webHidden/>
              </w:rPr>
              <w:t>14</w:t>
            </w:r>
            <w:r>
              <w:rPr>
                <w:noProof/>
                <w:webHidden/>
              </w:rPr>
              <w:fldChar w:fldCharType="end"/>
            </w:r>
          </w:hyperlink>
        </w:p>
        <w:p w:rsidR="00C35EE1" w:rsidRDefault="00E87AE6">
          <w:pPr>
            <w:pStyle w:val="TDC2"/>
            <w:tabs>
              <w:tab w:val="right" w:leader="dot" w:pos="8828"/>
            </w:tabs>
            <w:rPr>
              <w:rFonts w:asciiTheme="minorHAnsi" w:eastAsiaTheme="minorEastAsia" w:hAnsiTheme="minorHAnsi" w:cstheme="minorBidi"/>
              <w:noProof/>
              <w:sz w:val="22"/>
              <w:szCs w:val="22"/>
              <w:lang w:val="es-CO" w:eastAsia="es-CO"/>
            </w:rPr>
          </w:pPr>
          <w:hyperlink w:anchor="_Toc395874739" w:history="1">
            <w:r w:rsidR="00C35EE1" w:rsidRPr="00F50095">
              <w:rPr>
                <w:rStyle w:val="Hipervnculo"/>
                <w:noProof/>
              </w:rPr>
              <w:t>Cronograma general</w:t>
            </w:r>
            <w:r w:rsidR="00C35EE1">
              <w:rPr>
                <w:noProof/>
                <w:webHidden/>
              </w:rPr>
              <w:tab/>
            </w:r>
            <w:r>
              <w:rPr>
                <w:noProof/>
                <w:webHidden/>
              </w:rPr>
              <w:fldChar w:fldCharType="begin"/>
            </w:r>
            <w:r w:rsidR="00C35EE1">
              <w:rPr>
                <w:noProof/>
                <w:webHidden/>
              </w:rPr>
              <w:instrText xml:space="preserve"> PAGEREF _Toc395874739 \h </w:instrText>
            </w:r>
            <w:r>
              <w:rPr>
                <w:noProof/>
                <w:webHidden/>
              </w:rPr>
            </w:r>
            <w:r>
              <w:rPr>
                <w:noProof/>
                <w:webHidden/>
              </w:rPr>
              <w:fldChar w:fldCharType="separate"/>
            </w:r>
            <w:r w:rsidR="00C35EE1">
              <w:rPr>
                <w:noProof/>
                <w:webHidden/>
              </w:rPr>
              <w:t>14</w:t>
            </w:r>
            <w:r>
              <w:rPr>
                <w:noProof/>
                <w:webHidden/>
              </w:rPr>
              <w:fldChar w:fldCharType="end"/>
            </w:r>
          </w:hyperlink>
        </w:p>
        <w:p w:rsidR="00C35EE1" w:rsidRDefault="00E87AE6">
          <w:pPr>
            <w:pStyle w:val="TDC1"/>
            <w:tabs>
              <w:tab w:val="right" w:leader="dot" w:pos="8828"/>
            </w:tabs>
            <w:rPr>
              <w:rFonts w:asciiTheme="minorHAnsi" w:eastAsiaTheme="minorEastAsia" w:hAnsiTheme="minorHAnsi" w:cstheme="minorBidi"/>
              <w:noProof/>
              <w:sz w:val="22"/>
              <w:szCs w:val="22"/>
              <w:lang w:val="es-CO" w:eastAsia="es-CO"/>
            </w:rPr>
          </w:pPr>
          <w:hyperlink w:anchor="_Toc395874740" w:history="1">
            <w:r w:rsidR="00C35EE1" w:rsidRPr="00F50095">
              <w:rPr>
                <w:rStyle w:val="Hipervnculo"/>
                <w:noProof/>
              </w:rPr>
              <w:t>Trabajos citados</w:t>
            </w:r>
            <w:r w:rsidR="00C35EE1">
              <w:rPr>
                <w:noProof/>
                <w:webHidden/>
              </w:rPr>
              <w:tab/>
            </w:r>
            <w:r>
              <w:rPr>
                <w:noProof/>
                <w:webHidden/>
              </w:rPr>
              <w:fldChar w:fldCharType="begin"/>
            </w:r>
            <w:r w:rsidR="00C35EE1">
              <w:rPr>
                <w:noProof/>
                <w:webHidden/>
              </w:rPr>
              <w:instrText xml:space="preserve"> PAGEREF _Toc395874740 \h </w:instrText>
            </w:r>
            <w:r>
              <w:rPr>
                <w:noProof/>
                <w:webHidden/>
              </w:rPr>
            </w:r>
            <w:r>
              <w:rPr>
                <w:noProof/>
                <w:webHidden/>
              </w:rPr>
              <w:fldChar w:fldCharType="separate"/>
            </w:r>
            <w:r w:rsidR="00C35EE1">
              <w:rPr>
                <w:noProof/>
                <w:webHidden/>
              </w:rPr>
              <w:t>15</w:t>
            </w:r>
            <w:r>
              <w:rPr>
                <w:noProof/>
                <w:webHidden/>
              </w:rPr>
              <w:fldChar w:fldCharType="end"/>
            </w:r>
          </w:hyperlink>
        </w:p>
        <w:p w:rsidR="003B75C7" w:rsidRDefault="00E87AE6">
          <w:r>
            <w:rPr>
              <w:b/>
              <w:bCs/>
            </w:rPr>
            <w:fldChar w:fldCharType="end"/>
          </w:r>
        </w:p>
      </w:sdtContent>
    </w:sdt>
    <w:p w:rsidR="00C65179" w:rsidRPr="001232DD" w:rsidRDefault="00C65179" w:rsidP="001232DD">
      <w:pPr>
        <w:pStyle w:val="Ttulo2"/>
      </w:pPr>
      <w:bookmarkStart w:id="1" w:name="_Toc395874724"/>
      <w:r w:rsidRPr="001232DD">
        <w:t>Resumen del  Proyecto</w:t>
      </w:r>
      <w:bookmarkEnd w:id="1"/>
    </w:p>
    <w:p w:rsidR="00421646" w:rsidRPr="00D467B8" w:rsidRDefault="00421646" w:rsidP="00D467B8">
      <w:pPr>
        <w:spacing w:line="360" w:lineRule="auto"/>
        <w:rPr>
          <w:color w:val="000000"/>
          <w:sz w:val="24"/>
          <w:szCs w:val="24"/>
        </w:rPr>
      </w:pPr>
      <w:r w:rsidRPr="00D467B8">
        <w:rPr>
          <w:color w:val="000000"/>
          <w:sz w:val="24"/>
          <w:szCs w:val="24"/>
        </w:rPr>
        <w:t xml:space="preserve">Este proyecto asume como objeto de investigación el fenómeno de desarrraigo que se produce en Colombia y que genera una transformación de los dominios territoriales. Explícitamente pretende concentrarse en registrar las variaciones que se pueden producir a propósito de las conversaciones para la finalización del conflicto armado que se están realizando en la Habana y, teniendo una mirada nacional sobre el desplazamiento, se concentra en los conflictos territoriales en el departamento del Chocó. </w:t>
      </w:r>
    </w:p>
    <w:p w:rsidR="00421646" w:rsidRPr="00D467B8" w:rsidRDefault="00421646" w:rsidP="00D467B8">
      <w:pPr>
        <w:spacing w:line="360" w:lineRule="auto"/>
        <w:rPr>
          <w:color w:val="000000"/>
          <w:sz w:val="24"/>
          <w:szCs w:val="24"/>
        </w:rPr>
      </w:pPr>
      <w:r w:rsidRPr="00D467B8">
        <w:rPr>
          <w:color w:val="000000"/>
          <w:sz w:val="24"/>
          <w:szCs w:val="24"/>
        </w:rPr>
        <w:t>Para abordar dicho tema se formulan como objetivo general: caracterizar el fenómeno del desarraigo en Colombia y su relación con la construcción territorial (Caso del Chocó) durante el período 2013- 2015, en el marco de las conversaciones para la finalización del conflicto armado.</w:t>
      </w:r>
    </w:p>
    <w:p w:rsidR="00C65179" w:rsidRPr="00D467B8" w:rsidRDefault="00421646" w:rsidP="00D467B8">
      <w:pPr>
        <w:spacing w:line="360" w:lineRule="auto"/>
        <w:rPr>
          <w:color w:val="000000"/>
          <w:sz w:val="24"/>
          <w:szCs w:val="24"/>
        </w:rPr>
      </w:pPr>
      <w:r w:rsidRPr="00D467B8">
        <w:rPr>
          <w:color w:val="000000"/>
          <w:sz w:val="24"/>
          <w:szCs w:val="24"/>
        </w:rPr>
        <w:lastRenderedPageBreak/>
        <w:t>Y como objetivos específicos se pretende: a) Monitorear el desplazamiento forzado interno generado en Colombia durante el período Julio de 2012 a Julio de 2015. b) Caracterizar la evolución del conflicto armado en el país y estudiar su relación con los procesos de desarraigo en el departamento del Chocó. c) Estudiar los conflictos territoriales que se producen en Chocó como reacción a las dinámicas desplazadoras enfatizando la acción de comunidades étnicas. Se trabajará en una combinación de instrumentos cuantitativos y cualitativos. Y como productos de generación de nuevos conocimientos se tienen: 2 boletines sobre evolución del desplazamiento masivo publicados en página web, 1 artículo y un libro.</w:t>
      </w:r>
    </w:p>
    <w:p w:rsidR="006320CE" w:rsidRPr="001232DD" w:rsidRDefault="006320CE" w:rsidP="001232DD">
      <w:pPr>
        <w:pStyle w:val="Ttulo2"/>
      </w:pPr>
      <w:bookmarkStart w:id="2" w:name="_Toc395874725"/>
      <w:r w:rsidRPr="001232DD">
        <w:t>Palabras clave:</w:t>
      </w:r>
      <w:bookmarkEnd w:id="2"/>
    </w:p>
    <w:p w:rsidR="006320CE" w:rsidRPr="006320CE" w:rsidRDefault="006320CE" w:rsidP="006320CE">
      <w:pPr>
        <w:widowControl w:val="0"/>
        <w:spacing w:line="360" w:lineRule="auto"/>
        <w:rPr>
          <w:color w:val="000000"/>
          <w:sz w:val="24"/>
          <w:szCs w:val="24"/>
        </w:rPr>
      </w:pPr>
      <w:r w:rsidRPr="006320CE">
        <w:rPr>
          <w:color w:val="000000"/>
          <w:sz w:val="24"/>
          <w:szCs w:val="24"/>
        </w:rPr>
        <w:t xml:space="preserve">Desarraigo, desplazamiento, territorios, identidades, conflicto, Colombia, Chocó. </w:t>
      </w:r>
    </w:p>
    <w:p w:rsidR="00C65179" w:rsidRPr="001232DD" w:rsidRDefault="00C65179" w:rsidP="00563BAF">
      <w:pPr>
        <w:pStyle w:val="Ttulo2"/>
      </w:pPr>
      <w:bookmarkStart w:id="3" w:name="_Toc395874726"/>
      <w:r w:rsidRPr="001232DD">
        <w:t>Planteamiento del problema de investigación</w:t>
      </w:r>
      <w:bookmarkEnd w:id="3"/>
    </w:p>
    <w:p w:rsidR="00B7323F" w:rsidRPr="00C65179" w:rsidRDefault="00B7323F" w:rsidP="00B7323F">
      <w:pPr>
        <w:spacing w:line="360" w:lineRule="auto"/>
        <w:rPr>
          <w:color w:val="000000"/>
          <w:sz w:val="24"/>
          <w:szCs w:val="24"/>
        </w:rPr>
      </w:pPr>
      <w:r w:rsidRPr="00C65179">
        <w:rPr>
          <w:color w:val="000000"/>
          <w:sz w:val="24"/>
          <w:szCs w:val="24"/>
        </w:rPr>
        <w:t xml:space="preserve">El desarraigo </w:t>
      </w:r>
      <w:r w:rsidR="00E746E9">
        <w:rPr>
          <w:color w:val="000000"/>
          <w:sz w:val="24"/>
          <w:szCs w:val="24"/>
        </w:rPr>
        <w:t>con</w:t>
      </w:r>
      <w:r w:rsidR="00E746E9" w:rsidRPr="00C65179">
        <w:rPr>
          <w:color w:val="000000"/>
          <w:sz w:val="24"/>
          <w:szCs w:val="24"/>
        </w:rPr>
        <w:t>forma</w:t>
      </w:r>
      <w:r w:rsidRPr="00C65179">
        <w:rPr>
          <w:color w:val="000000"/>
          <w:sz w:val="24"/>
          <w:szCs w:val="24"/>
        </w:rPr>
        <w:t xml:space="preserve"> uno de los</w:t>
      </w:r>
      <w:r w:rsidR="00E746E9">
        <w:rPr>
          <w:color w:val="000000"/>
          <w:sz w:val="24"/>
          <w:szCs w:val="24"/>
        </w:rPr>
        <w:t xml:space="preserve"> fenómenos</w:t>
      </w:r>
      <w:r w:rsidRPr="00C65179">
        <w:rPr>
          <w:color w:val="000000"/>
          <w:sz w:val="24"/>
          <w:szCs w:val="24"/>
        </w:rPr>
        <w:t xml:space="preserve"> de carácter ético, político, jurídico, social y cultural de mayor relevancia en la </w:t>
      </w:r>
      <w:r w:rsidR="00E746E9">
        <w:rPr>
          <w:color w:val="000000"/>
          <w:sz w:val="24"/>
          <w:szCs w:val="24"/>
        </w:rPr>
        <w:t xml:space="preserve">construcción de la sociedad </w:t>
      </w:r>
      <w:r w:rsidRPr="00C65179">
        <w:rPr>
          <w:color w:val="000000"/>
          <w:sz w:val="24"/>
          <w:szCs w:val="24"/>
        </w:rPr>
        <w:t>colombiana y</w:t>
      </w:r>
      <w:r w:rsidR="00E746E9">
        <w:rPr>
          <w:color w:val="000000"/>
          <w:sz w:val="24"/>
          <w:szCs w:val="24"/>
        </w:rPr>
        <w:t xml:space="preserve">,en consecuencia </w:t>
      </w:r>
      <w:r w:rsidRPr="00C65179">
        <w:rPr>
          <w:color w:val="000000"/>
          <w:sz w:val="24"/>
          <w:szCs w:val="24"/>
        </w:rPr>
        <w:t>un á</w:t>
      </w:r>
      <w:r w:rsidR="00E746E9">
        <w:rPr>
          <w:color w:val="000000"/>
          <w:sz w:val="24"/>
          <w:szCs w:val="24"/>
        </w:rPr>
        <w:t>mbito</w:t>
      </w:r>
      <w:r w:rsidRPr="00C65179">
        <w:rPr>
          <w:color w:val="000000"/>
          <w:sz w:val="24"/>
          <w:szCs w:val="24"/>
        </w:rPr>
        <w:t xml:space="preserve"> en la qu</w:t>
      </w:r>
      <w:r w:rsidR="00E746E9">
        <w:rPr>
          <w:color w:val="000000"/>
          <w:sz w:val="24"/>
          <w:szCs w:val="24"/>
        </w:rPr>
        <w:t>e la labor de construcción de conocimientos</w:t>
      </w:r>
      <w:r w:rsidR="00E746E9" w:rsidRPr="00C65179">
        <w:rPr>
          <w:color w:val="000000"/>
          <w:sz w:val="24"/>
          <w:szCs w:val="24"/>
        </w:rPr>
        <w:t>alcanza</w:t>
      </w:r>
      <w:r w:rsidR="00E746E9">
        <w:rPr>
          <w:color w:val="000000"/>
          <w:sz w:val="24"/>
          <w:szCs w:val="24"/>
        </w:rPr>
        <w:t>retos y compromisos que resultan ineludibles</w:t>
      </w:r>
      <w:r w:rsidRPr="00C65179">
        <w:rPr>
          <w:color w:val="000000"/>
          <w:sz w:val="24"/>
          <w:szCs w:val="24"/>
        </w:rPr>
        <w:t>.</w:t>
      </w:r>
    </w:p>
    <w:p w:rsidR="000E68BE" w:rsidRDefault="00B7323F" w:rsidP="00B7323F">
      <w:pPr>
        <w:spacing w:before="240" w:line="360" w:lineRule="auto"/>
        <w:rPr>
          <w:color w:val="000000"/>
          <w:sz w:val="24"/>
          <w:szCs w:val="24"/>
        </w:rPr>
      </w:pPr>
      <w:r>
        <w:rPr>
          <w:color w:val="000000"/>
          <w:sz w:val="24"/>
          <w:szCs w:val="24"/>
        </w:rPr>
        <w:t>Durante 2013</w:t>
      </w:r>
      <w:r w:rsidRPr="00C65179">
        <w:rPr>
          <w:color w:val="000000"/>
          <w:sz w:val="24"/>
          <w:szCs w:val="24"/>
        </w:rPr>
        <w:t xml:space="preserve"> por lo menos </w:t>
      </w:r>
      <w:r w:rsidRPr="00B7323F">
        <w:rPr>
          <w:color w:val="000000"/>
          <w:sz w:val="24"/>
          <w:szCs w:val="24"/>
        </w:rPr>
        <w:t xml:space="preserve">219.405 personas </w:t>
      </w:r>
      <w:r>
        <w:rPr>
          <w:color w:val="000000"/>
          <w:sz w:val="24"/>
          <w:szCs w:val="24"/>
        </w:rPr>
        <w:t xml:space="preserve">se vieron forzadas a dejar sus viviendas y lugares de vida, </w:t>
      </w:r>
      <w:r w:rsidRPr="00B7323F">
        <w:rPr>
          <w:color w:val="000000"/>
          <w:sz w:val="24"/>
          <w:szCs w:val="24"/>
        </w:rPr>
        <w:t xml:space="preserve">de </w:t>
      </w:r>
      <w:r>
        <w:rPr>
          <w:color w:val="000000"/>
          <w:sz w:val="24"/>
          <w:szCs w:val="24"/>
        </w:rPr>
        <w:t>acuerdo con los datos de la</w:t>
      </w:r>
      <w:r w:rsidRPr="00B7323F">
        <w:rPr>
          <w:color w:val="000000"/>
          <w:sz w:val="24"/>
          <w:szCs w:val="24"/>
        </w:rPr>
        <w:t xml:space="preserve"> CODHES</w:t>
      </w:r>
      <w:sdt>
        <w:sdtPr>
          <w:rPr>
            <w:color w:val="000000"/>
            <w:sz w:val="24"/>
            <w:szCs w:val="24"/>
          </w:rPr>
          <w:id w:val="-544759482"/>
          <w:citation/>
        </w:sdtPr>
        <w:sdtContent>
          <w:r w:rsidR="00E87AE6">
            <w:rPr>
              <w:color w:val="000000"/>
              <w:sz w:val="24"/>
              <w:szCs w:val="24"/>
            </w:rPr>
            <w:fldChar w:fldCharType="begin"/>
          </w:r>
          <w:r w:rsidR="00884A28">
            <w:rPr>
              <w:color w:val="000000"/>
              <w:sz w:val="24"/>
              <w:szCs w:val="24"/>
              <w:lang w:val="es-CO"/>
            </w:rPr>
            <w:instrText xml:space="preserve">CITATION Cod14 \l 9226 </w:instrText>
          </w:r>
          <w:r w:rsidR="00E87AE6">
            <w:rPr>
              <w:color w:val="000000"/>
              <w:sz w:val="24"/>
              <w:szCs w:val="24"/>
            </w:rPr>
            <w:fldChar w:fldCharType="separate"/>
          </w:r>
          <w:r w:rsidR="004B4433" w:rsidRPr="004B4433">
            <w:rPr>
              <w:noProof/>
              <w:color w:val="000000"/>
              <w:sz w:val="24"/>
              <w:szCs w:val="24"/>
              <w:lang w:val="es-CO"/>
            </w:rPr>
            <w:t>(Codhes, 2014)</w:t>
          </w:r>
          <w:r w:rsidR="00E87AE6">
            <w:rPr>
              <w:color w:val="000000"/>
              <w:sz w:val="24"/>
              <w:szCs w:val="24"/>
            </w:rPr>
            <w:fldChar w:fldCharType="end"/>
          </w:r>
        </w:sdtContent>
      </w:sdt>
      <w:r>
        <w:rPr>
          <w:color w:val="000000"/>
          <w:sz w:val="24"/>
          <w:szCs w:val="24"/>
        </w:rPr>
        <w:t xml:space="preserve">.Con </w:t>
      </w:r>
      <w:r w:rsidR="002F708C">
        <w:rPr>
          <w:color w:val="000000"/>
          <w:sz w:val="24"/>
          <w:szCs w:val="24"/>
        </w:rPr>
        <w:t xml:space="preserve">lo cual el acumulado </w:t>
      </w:r>
      <w:r>
        <w:rPr>
          <w:color w:val="000000"/>
          <w:sz w:val="24"/>
          <w:szCs w:val="24"/>
        </w:rPr>
        <w:t xml:space="preserve">desde 1985 hasta 2013 se calcula en </w:t>
      </w:r>
      <w:r w:rsidRPr="00B7323F">
        <w:rPr>
          <w:color w:val="000000"/>
          <w:sz w:val="24"/>
          <w:szCs w:val="24"/>
        </w:rPr>
        <w:t xml:space="preserve"> 5.921.229 </w:t>
      </w:r>
      <w:r w:rsidR="002F708C">
        <w:rPr>
          <w:color w:val="000000"/>
          <w:sz w:val="24"/>
          <w:szCs w:val="24"/>
        </w:rPr>
        <w:t xml:space="preserve"> y por tanto </w:t>
      </w:r>
      <w:r w:rsidRPr="00B7323F">
        <w:rPr>
          <w:color w:val="000000"/>
          <w:sz w:val="24"/>
          <w:szCs w:val="24"/>
        </w:rPr>
        <w:t>Colombia</w:t>
      </w:r>
      <w:r w:rsidR="002F708C">
        <w:rPr>
          <w:color w:val="000000"/>
          <w:sz w:val="24"/>
          <w:szCs w:val="24"/>
        </w:rPr>
        <w:t xml:space="preserve"> continúa siendo uno de los 2 primeros países en la generación de desplazamiento solo comparable a lo acontecido en Siria</w:t>
      </w:r>
      <w:r w:rsidRPr="00C65179">
        <w:rPr>
          <w:rStyle w:val="Refdenotaalpie"/>
          <w:color w:val="000000"/>
          <w:sz w:val="24"/>
          <w:szCs w:val="24"/>
        </w:rPr>
        <w:footnoteReference w:id="2"/>
      </w:r>
      <w:r w:rsidRPr="00C65179">
        <w:rPr>
          <w:color w:val="000000"/>
          <w:sz w:val="24"/>
          <w:szCs w:val="24"/>
        </w:rPr>
        <w:t xml:space="preserve">. </w:t>
      </w:r>
      <w:r w:rsidR="000E68BE">
        <w:rPr>
          <w:color w:val="000000"/>
          <w:sz w:val="24"/>
          <w:szCs w:val="24"/>
        </w:rPr>
        <w:t>Múltiples estudios se han hecho en el país sobre el tema. Paulatinamente se ha desarrollado una política pública de atención. Pero el problema sigue vigente. Muchas de las explicaciones vinculan directamente el desplazamiento a la acción de los actores armados</w:t>
      </w:r>
      <w:sdt>
        <w:sdtPr>
          <w:rPr>
            <w:color w:val="000000"/>
            <w:sz w:val="24"/>
            <w:szCs w:val="24"/>
          </w:rPr>
          <w:id w:val="1254468580"/>
          <w:citation/>
        </w:sdtPr>
        <w:sdtContent>
          <w:r w:rsidR="00E87AE6">
            <w:rPr>
              <w:color w:val="000000"/>
              <w:sz w:val="24"/>
              <w:szCs w:val="24"/>
            </w:rPr>
            <w:fldChar w:fldCharType="begin"/>
          </w:r>
          <w:r w:rsidR="00384A83">
            <w:rPr>
              <w:color w:val="000000"/>
              <w:sz w:val="24"/>
              <w:szCs w:val="24"/>
              <w:lang w:val="es-CO"/>
            </w:rPr>
            <w:instrText xml:space="preserve"> CITATION Ana08 \l 9226 </w:instrText>
          </w:r>
          <w:r w:rsidR="00E87AE6">
            <w:rPr>
              <w:color w:val="000000"/>
              <w:sz w:val="24"/>
              <w:szCs w:val="24"/>
            </w:rPr>
            <w:fldChar w:fldCharType="separate"/>
          </w:r>
          <w:r w:rsidR="004B4433" w:rsidRPr="004B4433">
            <w:rPr>
              <w:noProof/>
              <w:color w:val="000000"/>
              <w:sz w:val="24"/>
              <w:szCs w:val="24"/>
              <w:lang w:val="es-CO"/>
            </w:rPr>
            <w:t>(Ibañez, 2008)</w:t>
          </w:r>
          <w:r w:rsidR="00E87AE6">
            <w:rPr>
              <w:color w:val="000000"/>
              <w:sz w:val="24"/>
              <w:szCs w:val="24"/>
            </w:rPr>
            <w:fldChar w:fldCharType="end"/>
          </w:r>
        </w:sdtContent>
      </w:sdt>
      <w:r w:rsidR="000E68BE">
        <w:rPr>
          <w:color w:val="000000"/>
          <w:sz w:val="24"/>
          <w:szCs w:val="24"/>
        </w:rPr>
        <w:t xml:space="preserve"> especialmente a los ilegales y suponen que acuerdos de finalización del conflicto armado llevarán a la superación de esta catástrofe humanitaria.</w:t>
      </w:r>
    </w:p>
    <w:p w:rsidR="000E68BE" w:rsidRDefault="000E68BE" w:rsidP="00B7323F">
      <w:pPr>
        <w:spacing w:before="240" w:line="360" w:lineRule="auto"/>
        <w:rPr>
          <w:color w:val="000000"/>
          <w:sz w:val="24"/>
          <w:szCs w:val="24"/>
        </w:rPr>
      </w:pPr>
      <w:r>
        <w:rPr>
          <w:color w:val="000000"/>
          <w:sz w:val="24"/>
          <w:szCs w:val="24"/>
        </w:rPr>
        <w:t xml:space="preserve">La relación entre desplazamiento y dominios territoriales se ha leído hasta el momento en términos militares. Es decir viendo el desplazamiento como el resultado de la acción de </w:t>
      </w:r>
      <w:r>
        <w:rPr>
          <w:color w:val="000000"/>
          <w:sz w:val="24"/>
          <w:szCs w:val="24"/>
        </w:rPr>
        <w:lastRenderedPageBreak/>
        <w:t xml:space="preserve">fuerzas armadas </w:t>
      </w:r>
      <w:r w:rsidR="00083785">
        <w:rPr>
          <w:color w:val="000000"/>
          <w:sz w:val="24"/>
          <w:szCs w:val="24"/>
        </w:rPr>
        <w:t>en disputa por el control de espacios geoestratégicos</w:t>
      </w:r>
      <w:sdt>
        <w:sdtPr>
          <w:rPr>
            <w:color w:val="000000"/>
            <w:sz w:val="24"/>
            <w:szCs w:val="24"/>
          </w:rPr>
          <w:id w:val="1212532394"/>
          <w:citation/>
        </w:sdtPr>
        <w:sdtContent>
          <w:r w:rsidR="00E87AE6">
            <w:rPr>
              <w:color w:val="000000"/>
              <w:sz w:val="24"/>
              <w:szCs w:val="24"/>
            </w:rPr>
            <w:fldChar w:fldCharType="begin"/>
          </w:r>
          <w:r w:rsidR="00A115E8">
            <w:rPr>
              <w:color w:val="000000"/>
              <w:sz w:val="24"/>
              <w:szCs w:val="24"/>
              <w:lang w:val="es-CO"/>
            </w:rPr>
            <w:instrText xml:space="preserve"> CITATION Zul04 \l 9226 </w:instrText>
          </w:r>
          <w:r w:rsidR="00E87AE6">
            <w:rPr>
              <w:color w:val="000000"/>
              <w:sz w:val="24"/>
              <w:szCs w:val="24"/>
            </w:rPr>
            <w:fldChar w:fldCharType="separate"/>
          </w:r>
          <w:r w:rsidR="004B4433" w:rsidRPr="004B4433">
            <w:rPr>
              <w:noProof/>
              <w:color w:val="000000"/>
              <w:sz w:val="24"/>
              <w:szCs w:val="24"/>
              <w:lang w:val="es-CO"/>
            </w:rPr>
            <w:t>(Zuluaga, 2004)</w:t>
          </w:r>
          <w:r w:rsidR="00E87AE6">
            <w:rPr>
              <w:color w:val="000000"/>
              <w:sz w:val="24"/>
              <w:szCs w:val="24"/>
            </w:rPr>
            <w:fldChar w:fldCharType="end"/>
          </w:r>
        </w:sdtContent>
      </w:sdt>
      <w:r w:rsidR="00083785">
        <w:rPr>
          <w:color w:val="000000"/>
          <w:sz w:val="24"/>
          <w:szCs w:val="24"/>
        </w:rPr>
        <w:t>. En esa disputa la sociedad civil se vería en un fuego cruzado y necesitaría huir. Sin embargo no es tan claro que los acuerdos de finalización del conflicto entre los ejércitos o la desmovilización de uno de ellos lleve a la superación del des</w:t>
      </w:r>
      <w:r w:rsidR="0056601A">
        <w:rPr>
          <w:color w:val="000000"/>
          <w:sz w:val="24"/>
          <w:szCs w:val="24"/>
        </w:rPr>
        <w:t>arraigo</w:t>
      </w:r>
      <w:r w:rsidR="00CB4508">
        <w:rPr>
          <w:rStyle w:val="Refdenotaalpie"/>
          <w:color w:val="000000"/>
          <w:sz w:val="24"/>
          <w:szCs w:val="24"/>
        </w:rPr>
        <w:footnoteReference w:id="3"/>
      </w:r>
      <w:r w:rsidR="00083785">
        <w:rPr>
          <w:color w:val="000000"/>
          <w:sz w:val="24"/>
          <w:szCs w:val="24"/>
        </w:rPr>
        <w:t xml:space="preserve"> y a una recuperación del dominio territorial por parte de sus pobladores civiles. En la perspectiva de posibles acuerdos de finalización del conflicto armado con las FARC, se hace necesario monitorear la evolución del desplazamiento forzado, comparándola con cifras históricas y planteando posibles análisis explicativos en la compleja construcción de territorios. </w:t>
      </w:r>
      <w:r w:rsidR="00832676">
        <w:rPr>
          <w:color w:val="000000"/>
          <w:sz w:val="24"/>
          <w:szCs w:val="24"/>
        </w:rPr>
        <w:t>Dada la complejidad y diversidad de proceso de construcción territorial en el país es necesario delimitar una zona que pueda ser abordada en las limitaciones de tiempo que permite esta investigación.</w:t>
      </w:r>
    </w:p>
    <w:p w:rsidR="00832676" w:rsidRDefault="00832676" w:rsidP="00B7323F">
      <w:pPr>
        <w:spacing w:before="240" w:line="360" w:lineRule="auto"/>
        <w:rPr>
          <w:color w:val="000000"/>
          <w:sz w:val="24"/>
          <w:szCs w:val="24"/>
        </w:rPr>
      </w:pPr>
      <w:r>
        <w:rPr>
          <w:color w:val="000000"/>
          <w:sz w:val="24"/>
          <w:szCs w:val="24"/>
        </w:rPr>
        <w:t xml:space="preserve">El departamento de Chocó, </w:t>
      </w:r>
      <w:r w:rsidR="00001830">
        <w:rPr>
          <w:color w:val="000000"/>
          <w:sz w:val="24"/>
          <w:szCs w:val="24"/>
        </w:rPr>
        <w:t>territorio de refugio, sobrevivenc</w:t>
      </w:r>
      <w:r>
        <w:rPr>
          <w:color w:val="000000"/>
          <w:sz w:val="24"/>
          <w:szCs w:val="24"/>
        </w:rPr>
        <w:t>i</w:t>
      </w:r>
      <w:r w:rsidR="00001830">
        <w:rPr>
          <w:color w:val="000000"/>
          <w:sz w:val="24"/>
          <w:szCs w:val="24"/>
        </w:rPr>
        <w:t>a</w:t>
      </w:r>
      <w:r>
        <w:rPr>
          <w:color w:val="000000"/>
          <w:sz w:val="24"/>
          <w:szCs w:val="24"/>
        </w:rPr>
        <w:t xml:space="preserve"> y construcción vital de comunidades indígenas y afrodescendientes, se ha convertido tanto en uno de los mayores expulsores y receptores de desplazamiento forzado interno</w:t>
      </w:r>
      <w:sdt>
        <w:sdtPr>
          <w:rPr>
            <w:color w:val="000000"/>
            <w:sz w:val="24"/>
            <w:szCs w:val="24"/>
          </w:rPr>
          <w:id w:val="514653549"/>
          <w:citation/>
        </w:sdtPr>
        <w:sdtContent>
          <w:r w:rsidR="00E87AE6">
            <w:rPr>
              <w:color w:val="000000"/>
              <w:sz w:val="24"/>
              <w:szCs w:val="24"/>
            </w:rPr>
            <w:fldChar w:fldCharType="begin"/>
          </w:r>
          <w:r w:rsidR="00884A28">
            <w:rPr>
              <w:color w:val="000000"/>
              <w:sz w:val="24"/>
              <w:szCs w:val="24"/>
              <w:lang w:val="es-CO"/>
            </w:rPr>
            <w:instrText xml:space="preserve">CITATION Cod14 \l 9226 </w:instrText>
          </w:r>
          <w:r w:rsidR="00E87AE6">
            <w:rPr>
              <w:color w:val="000000"/>
              <w:sz w:val="24"/>
              <w:szCs w:val="24"/>
            </w:rPr>
            <w:fldChar w:fldCharType="separate"/>
          </w:r>
          <w:r w:rsidR="004B4433" w:rsidRPr="004B4433">
            <w:rPr>
              <w:noProof/>
              <w:color w:val="000000"/>
              <w:sz w:val="24"/>
              <w:szCs w:val="24"/>
              <w:lang w:val="es-CO"/>
            </w:rPr>
            <w:t>(Codhes, 2014)</w:t>
          </w:r>
          <w:r w:rsidR="00E87AE6">
            <w:rPr>
              <w:color w:val="000000"/>
              <w:sz w:val="24"/>
              <w:szCs w:val="24"/>
            </w:rPr>
            <w:fldChar w:fldCharType="end"/>
          </w:r>
        </w:sdtContent>
      </w:sdt>
      <w:r>
        <w:rPr>
          <w:color w:val="000000"/>
          <w:sz w:val="24"/>
          <w:szCs w:val="24"/>
        </w:rPr>
        <w:t xml:space="preserve"> como en escenario de defensa y afirmación de identidades y derechos por parte de poblaciones de víctimas. El </w:t>
      </w:r>
      <w:r w:rsidR="00001830">
        <w:rPr>
          <w:color w:val="000000"/>
          <w:sz w:val="24"/>
          <w:szCs w:val="24"/>
        </w:rPr>
        <w:t>aná</w:t>
      </w:r>
      <w:r>
        <w:rPr>
          <w:color w:val="000000"/>
          <w:sz w:val="24"/>
          <w:szCs w:val="24"/>
        </w:rPr>
        <w:t>lisi</w:t>
      </w:r>
      <w:r w:rsidR="00001830">
        <w:rPr>
          <w:color w:val="000000"/>
          <w:sz w:val="24"/>
          <w:szCs w:val="24"/>
        </w:rPr>
        <w:t>s</w:t>
      </w:r>
      <w:r>
        <w:rPr>
          <w:color w:val="000000"/>
          <w:sz w:val="24"/>
          <w:szCs w:val="24"/>
        </w:rPr>
        <w:t xml:space="preserve"> de estos hechos podría llegar a ser un aporte de la ciencia para el fortalecimiento de iniciativas de respuesta desde la sociedad civil y </w:t>
      </w:r>
      <w:r w:rsidR="00001830">
        <w:rPr>
          <w:color w:val="000000"/>
          <w:sz w:val="24"/>
          <w:szCs w:val="24"/>
        </w:rPr>
        <w:t xml:space="preserve">de orientaciones para políticas públicas. </w:t>
      </w:r>
    </w:p>
    <w:p w:rsidR="00C65179" w:rsidRPr="001232DD" w:rsidRDefault="00C65179" w:rsidP="001232DD">
      <w:pPr>
        <w:pStyle w:val="Ttulo2"/>
      </w:pPr>
      <w:bookmarkStart w:id="4" w:name="_Toc395874727"/>
      <w:r w:rsidRPr="001232DD">
        <w:t>Pregunta de Investigación</w:t>
      </w:r>
      <w:bookmarkEnd w:id="4"/>
    </w:p>
    <w:p w:rsidR="00C65179" w:rsidRPr="00C65179" w:rsidRDefault="00C65179" w:rsidP="00C65179">
      <w:pPr>
        <w:widowControl w:val="0"/>
        <w:spacing w:line="360" w:lineRule="auto"/>
        <w:rPr>
          <w:sz w:val="24"/>
          <w:szCs w:val="24"/>
        </w:rPr>
      </w:pPr>
      <w:r w:rsidRPr="00C65179">
        <w:rPr>
          <w:sz w:val="24"/>
          <w:szCs w:val="24"/>
        </w:rPr>
        <w:t>¿</w:t>
      </w:r>
      <w:r w:rsidR="00083785">
        <w:rPr>
          <w:sz w:val="24"/>
          <w:szCs w:val="24"/>
        </w:rPr>
        <w:t>Qué características asume</w:t>
      </w:r>
      <w:r w:rsidR="00B35D6C">
        <w:rPr>
          <w:sz w:val="24"/>
          <w:szCs w:val="24"/>
        </w:rPr>
        <w:t xml:space="preserve">el </w:t>
      </w:r>
      <w:r w:rsidRPr="00C65179">
        <w:rPr>
          <w:sz w:val="24"/>
          <w:szCs w:val="24"/>
        </w:rPr>
        <w:t xml:space="preserve">fenómeno del desarraigo </w:t>
      </w:r>
      <w:r w:rsidR="00B35D6C">
        <w:rPr>
          <w:sz w:val="24"/>
          <w:szCs w:val="24"/>
        </w:rPr>
        <w:t xml:space="preserve">en </w:t>
      </w:r>
      <w:r w:rsidR="00CE18A7">
        <w:rPr>
          <w:sz w:val="24"/>
          <w:szCs w:val="24"/>
        </w:rPr>
        <w:t xml:space="preserve">Colombia en </w:t>
      </w:r>
      <w:r w:rsidR="00B35D6C">
        <w:rPr>
          <w:sz w:val="24"/>
          <w:szCs w:val="24"/>
        </w:rPr>
        <w:t>relación con la construcción de territorios</w:t>
      </w:r>
      <w:r w:rsidR="00CE18A7">
        <w:rPr>
          <w:sz w:val="24"/>
          <w:szCs w:val="24"/>
        </w:rPr>
        <w:t xml:space="preserve"> (Caso Chocó)</w:t>
      </w:r>
      <w:r w:rsidRPr="00C65179">
        <w:rPr>
          <w:sz w:val="24"/>
          <w:szCs w:val="24"/>
        </w:rPr>
        <w:t xml:space="preserve">en el marco </w:t>
      </w:r>
      <w:r w:rsidR="0056601A">
        <w:rPr>
          <w:sz w:val="24"/>
          <w:szCs w:val="24"/>
        </w:rPr>
        <w:t xml:space="preserve">de </w:t>
      </w:r>
      <w:r w:rsidR="00083785">
        <w:rPr>
          <w:sz w:val="24"/>
          <w:szCs w:val="24"/>
        </w:rPr>
        <w:t>conversaciones y posibles acuerdos para la superación</w:t>
      </w:r>
      <w:r w:rsidR="00B35D6C">
        <w:rPr>
          <w:sz w:val="24"/>
          <w:szCs w:val="24"/>
        </w:rPr>
        <w:t xml:space="preserve"> conflicto armado, durante el período julio 2012 a julio 2015</w:t>
      </w:r>
      <w:r w:rsidRPr="00C65179">
        <w:rPr>
          <w:sz w:val="24"/>
          <w:szCs w:val="24"/>
        </w:rPr>
        <w:t>?</w:t>
      </w:r>
    </w:p>
    <w:p w:rsidR="00D170E9" w:rsidRPr="001232DD" w:rsidRDefault="00D170E9" w:rsidP="00D170E9">
      <w:pPr>
        <w:pStyle w:val="Ttulo2"/>
      </w:pPr>
      <w:bookmarkStart w:id="5" w:name="_Toc395874728"/>
      <w:r w:rsidRPr="001232DD">
        <w:t>Objetivos General</w:t>
      </w:r>
      <w:bookmarkEnd w:id="5"/>
    </w:p>
    <w:p w:rsidR="00D170E9" w:rsidRPr="00C65179" w:rsidRDefault="00D170E9" w:rsidP="003048BE">
      <w:pPr>
        <w:widowControl w:val="0"/>
        <w:spacing w:line="360" w:lineRule="auto"/>
        <w:rPr>
          <w:sz w:val="24"/>
          <w:szCs w:val="24"/>
        </w:rPr>
      </w:pPr>
      <w:r w:rsidRPr="00C65179">
        <w:rPr>
          <w:sz w:val="24"/>
          <w:szCs w:val="24"/>
        </w:rPr>
        <w:t>Caracterizar el fenómeno del desarraigo en Colombia</w:t>
      </w:r>
      <w:r>
        <w:rPr>
          <w:sz w:val="24"/>
          <w:szCs w:val="24"/>
        </w:rPr>
        <w:t xml:space="preserve"> y su relación con la construcción territorial (Caso del Chocó) </w:t>
      </w:r>
      <w:r w:rsidRPr="00C65179">
        <w:rPr>
          <w:sz w:val="24"/>
          <w:szCs w:val="24"/>
        </w:rPr>
        <w:t>durante el período 2013- 2015</w:t>
      </w:r>
      <w:r>
        <w:rPr>
          <w:sz w:val="24"/>
          <w:szCs w:val="24"/>
        </w:rPr>
        <w:t>,</w:t>
      </w:r>
      <w:r w:rsidRPr="00C65179">
        <w:rPr>
          <w:sz w:val="24"/>
          <w:szCs w:val="24"/>
        </w:rPr>
        <w:t xml:space="preserve"> en el marco de la</w:t>
      </w:r>
      <w:r>
        <w:rPr>
          <w:sz w:val="24"/>
          <w:szCs w:val="24"/>
        </w:rPr>
        <w:t>s conversaciones para la finalización del conflicto armado.</w:t>
      </w:r>
    </w:p>
    <w:p w:rsidR="00D170E9" w:rsidRPr="001232DD" w:rsidRDefault="00D170E9" w:rsidP="00D170E9">
      <w:pPr>
        <w:pStyle w:val="Ttulo2"/>
      </w:pPr>
      <w:bookmarkStart w:id="6" w:name="_Toc395874729"/>
      <w:r w:rsidRPr="001232DD">
        <w:lastRenderedPageBreak/>
        <w:t>Objetivos específicos</w:t>
      </w:r>
      <w:bookmarkEnd w:id="6"/>
    </w:p>
    <w:p w:rsidR="00D170E9" w:rsidRPr="00E64AFC" w:rsidRDefault="00D170E9" w:rsidP="003048BE">
      <w:pPr>
        <w:pStyle w:val="Prrafodelista"/>
        <w:numPr>
          <w:ilvl w:val="0"/>
          <w:numId w:val="27"/>
        </w:numPr>
        <w:spacing w:line="360" w:lineRule="auto"/>
        <w:contextualSpacing w:val="0"/>
        <w:rPr>
          <w:sz w:val="24"/>
          <w:szCs w:val="24"/>
        </w:rPr>
      </w:pPr>
      <w:r w:rsidRPr="00C65179">
        <w:rPr>
          <w:sz w:val="24"/>
          <w:szCs w:val="24"/>
        </w:rPr>
        <w:t xml:space="preserve">Monitorear el desplazamiento </w:t>
      </w:r>
      <w:r>
        <w:rPr>
          <w:sz w:val="24"/>
          <w:szCs w:val="24"/>
        </w:rPr>
        <w:t>forzado interno generado</w:t>
      </w:r>
      <w:r w:rsidRPr="00C65179">
        <w:rPr>
          <w:sz w:val="24"/>
          <w:szCs w:val="24"/>
        </w:rPr>
        <w:t xml:space="preserve"> en Colombia </w:t>
      </w:r>
      <w:r>
        <w:rPr>
          <w:sz w:val="24"/>
          <w:szCs w:val="24"/>
        </w:rPr>
        <w:t>durante el período Julio de 2012a Julio de 2015</w:t>
      </w:r>
    </w:p>
    <w:p w:rsidR="00D170E9" w:rsidRDefault="00D170E9" w:rsidP="003048BE">
      <w:pPr>
        <w:pStyle w:val="Prrafodelista"/>
        <w:numPr>
          <w:ilvl w:val="0"/>
          <w:numId w:val="27"/>
        </w:numPr>
        <w:spacing w:line="360" w:lineRule="auto"/>
        <w:contextualSpacing w:val="0"/>
        <w:rPr>
          <w:sz w:val="24"/>
          <w:szCs w:val="24"/>
        </w:rPr>
      </w:pPr>
      <w:r w:rsidRPr="00C65179">
        <w:rPr>
          <w:sz w:val="24"/>
          <w:szCs w:val="24"/>
        </w:rPr>
        <w:t xml:space="preserve">Caracterizar la evolución del conflicto armado en el país y </w:t>
      </w:r>
      <w:r>
        <w:rPr>
          <w:sz w:val="24"/>
          <w:szCs w:val="24"/>
        </w:rPr>
        <w:t xml:space="preserve">estudiar </w:t>
      </w:r>
      <w:r w:rsidRPr="00C65179">
        <w:rPr>
          <w:sz w:val="24"/>
          <w:szCs w:val="24"/>
        </w:rPr>
        <w:t>su relación con los procesos</w:t>
      </w:r>
      <w:r>
        <w:rPr>
          <w:sz w:val="24"/>
          <w:szCs w:val="24"/>
        </w:rPr>
        <w:t xml:space="preserve"> de desarraigo en el departamento del Chocó.</w:t>
      </w:r>
    </w:p>
    <w:p w:rsidR="00D170E9" w:rsidRPr="00C65179" w:rsidRDefault="00D170E9" w:rsidP="003048BE">
      <w:pPr>
        <w:pStyle w:val="Prrafodelista"/>
        <w:numPr>
          <w:ilvl w:val="0"/>
          <w:numId w:val="27"/>
        </w:numPr>
        <w:spacing w:line="360" w:lineRule="auto"/>
        <w:contextualSpacing w:val="0"/>
        <w:rPr>
          <w:sz w:val="24"/>
          <w:szCs w:val="24"/>
        </w:rPr>
      </w:pPr>
      <w:r>
        <w:rPr>
          <w:sz w:val="24"/>
          <w:szCs w:val="24"/>
        </w:rPr>
        <w:t>Estudiar los conflictos territoriales que se producen en Chocó como reacción a las dinámicas desplazadoras enfatizando la acción de comunidades étnicas.</w:t>
      </w:r>
    </w:p>
    <w:p w:rsidR="006320CE" w:rsidRDefault="006320CE" w:rsidP="00846209">
      <w:pPr>
        <w:pStyle w:val="Ttulo2"/>
      </w:pPr>
      <w:bookmarkStart w:id="7" w:name="_Toc395874730"/>
      <w:r w:rsidRPr="00846209">
        <w:t>Justificación</w:t>
      </w:r>
      <w:bookmarkEnd w:id="7"/>
    </w:p>
    <w:p w:rsidR="00846209" w:rsidRPr="00B955E1" w:rsidRDefault="00846209" w:rsidP="00B955E1">
      <w:pPr>
        <w:spacing w:before="240" w:line="360" w:lineRule="auto"/>
        <w:rPr>
          <w:color w:val="000000"/>
          <w:sz w:val="24"/>
          <w:szCs w:val="24"/>
        </w:rPr>
      </w:pPr>
      <w:r w:rsidRPr="00B955E1">
        <w:rPr>
          <w:color w:val="000000"/>
          <w:sz w:val="24"/>
          <w:szCs w:val="24"/>
        </w:rPr>
        <w:t xml:space="preserve">El papel que corresponde a las ciencias sociales y en general a la academia en la actual coyuntura nacional e internacional, exige la observación rigurosa de los efectos que pueden causar sobre las poblaciones las acciones de los actores armados legales e ilegales tanto en su acción militar como en las posibles soluciones políticas a los conflictos que emprenden.  </w:t>
      </w:r>
      <w:r w:rsidR="0028424D" w:rsidRPr="00B955E1">
        <w:rPr>
          <w:color w:val="000000"/>
          <w:sz w:val="24"/>
          <w:szCs w:val="24"/>
        </w:rPr>
        <w:t>Una de las mayores expresiones de impacto sobre la realidad de las personas y la construcción de las sociedades y los territorios está en el fenómeno del desplazamiento forzado y toda su significación como desarraigo. Pero las ciencias deben observar no solo la crisi</w:t>
      </w:r>
      <w:r w:rsidR="00F973D9" w:rsidRPr="00B955E1">
        <w:rPr>
          <w:color w:val="000000"/>
          <w:sz w:val="24"/>
          <w:szCs w:val="24"/>
        </w:rPr>
        <w:t>s</w:t>
      </w:r>
      <w:r w:rsidR="0028424D" w:rsidRPr="00B955E1">
        <w:rPr>
          <w:color w:val="000000"/>
          <w:sz w:val="24"/>
          <w:szCs w:val="24"/>
        </w:rPr>
        <w:t xml:space="preserve"> humanitaria </w:t>
      </w:r>
      <w:r w:rsidR="00F973D9" w:rsidRPr="00B955E1">
        <w:rPr>
          <w:color w:val="000000"/>
          <w:sz w:val="24"/>
          <w:szCs w:val="24"/>
        </w:rPr>
        <w:t>cau</w:t>
      </w:r>
      <w:r w:rsidR="0028424D" w:rsidRPr="00B955E1">
        <w:rPr>
          <w:color w:val="000000"/>
          <w:sz w:val="24"/>
          <w:szCs w:val="24"/>
        </w:rPr>
        <w:t>sada sino las reacciones que los pobladores asumen en la reivindicación de su dignidad de sus derechos y de su</w:t>
      </w:r>
      <w:r w:rsidR="00DE1653" w:rsidRPr="00B955E1">
        <w:rPr>
          <w:color w:val="000000"/>
          <w:sz w:val="24"/>
          <w:szCs w:val="24"/>
        </w:rPr>
        <w:t>s</w:t>
      </w:r>
      <w:r w:rsidR="0028424D" w:rsidRPr="00B955E1">
        <w:rPr>
          <w:color w:val="000000"/>
          <w:sz w:val="24"/>
          <w:szCs w:val="24"/>
        </w:rPr>
        <w:t xml:space="preserve"> identidades. </w:t>
      </w:r>
      <w:r w:rsidR="00F973D9" w:rsidRPr="00B955E1">
        <w:rPr>
          <w:color w:val="000000"/>
          <w:sz w:val="24"/>
          <w:szCs w:val="24"/>
        </w:rPr>
        <w:t>Esto justifica el proyecto que se está presentando.</w:t>
      </w:r>
    </w:p>
    <w:p w:rsidR="00F973D9" w:rsidRPr="00B955E1" w:rsidRDefault="00F973D9" w:rsidP="00B955E1">
      <w:pPr>
        <w:spacing w:before="240" w:line="360" w:lineRule="auto"/>
        <w:rPr>
          <w:color w:val="000000"/>
          <w:sz w:val="24"/>
          <w:szCs w:val="24"/>
        </w:rPr>
      </w:pPr>
      <w:r w:rsidRPr="00B955E1">
        <w:rPr>
          <w:color w:val="000000"/>
          <w:sz w:val="24"/>
          <w:szCs w:val="24"/>
        </w:rPr>
        <w:t>La misión de la universidad Santo Tomás, su tradición humanista y su identidad lascasiana encuentran en este proyecto clara expresión, en la medida en que el proyecto se ubica claramente en la afirmación y la perspectiva de los derechos humanos.</w:t>
      </w:r>
    </w:p>
    <w:p w:rsidR="00F973D9" w:rsidRPr="00B955E1" w:rsidRDefault="00F973D9" w:rsidP="00B955E1">
      <w:pPr>
        <w:spacing w:before="240" w:line="360" w:lineRule="auto"/>
        <w:rPr>
          <w:color w:val="000000"/>
          <w:sz w:val="24"/>
          <w:szCs w:val="24"/>
        </w:rPr>
      </w:pPr>
      <w:r w:rsidRPr="00B955E1">
        <w:rPr>
          <w:color w:val="000000"/>
          <w:sz w:val="24"/>
          <w:szCs w:val="24"/>
        </w:rPr>
        <w:t>La maestría en Planeación para el Desarrollo d</w:t>
      </w:r>
      <w:r w:rsidR="00DE1653" w:rsidRPr="00B955E1">
        <w:rPr>
          <w:color w:val="000000"/>
          <w:sz w:val="24"/>
          <w:szCs w:val="24"/>
        </w:rPr>
        <w:t>e la Facultad de Sociología</w:t>
      </w:r>
      <w:r w:rsidRPr="00B955E1">
        <w:rPr>
          <w:color w:val="000000"/>
          <w:sz w:val="24"/>
          <w:szCs w:val="24"/>
        </w:rPr>
        <w:t xml:space="preserve"> desarrolla una de sus líneas temáticas sobre territorio. Este proyecto se inscribe en el fortalecimiento de dicha línea y espera desarrollar elementos que aporten a varios de los cursos </w:t>
      </w:r>
      <w:r w:rsidR="00DE1653" w:rsidRPr="00B955E1">
        <w:rPr>
          <w:color w:val="000000"/>
          <w:sz w:val="24"/>
          <w:szCs w:val="24"/>
        </w:rPr>
        <w:t>en</w:t>
      </w:r>
      <w:r w:rsidRPr="00B955E1">
        <w:rPr>
          <w:color w:val="000000"/>
          <w:sz w:val="24"/>
          <w:szCs w:val="24"/>
        </w:rPr>
        <w:t>trelo</w:t>
      </w:r>
      <w:r w:rsidR="00DE1653" w:rsidRPr="00B955E1">
        <w:rPr>
          <w:color w:val="000000"/>
          <w:sz w:val="24"/>
          <w:szCs w:val="24"/>
        </w:rPr>
        <w:t>s</w:t>
      </w:r>
      <w:r w:rsidRPr="00B955E1">
        <w:rPr>
          <w:color w:val="000000"/>
          <w:sz w:val="24"/>
          <w:szCs w:val="24"/>
        </w:rPr>
        <w:t xml:space="preserve"> que cab</w:t>
      </w:r>
      <w:r w:rsidR="00DE1653" w:rsidRPr="00B955E1">
        <w:rPr>
          <w:color w:val="000000"/>
          <w:sz w:val="24"/>
          <w:szCs w:val="24"/>
        </w:rPr>
        <w:t>eme</w:t>
      </w:r>
      <w:r w:rsidRPr="00B955E1">
        <w:rPr>
          <w:color w:val="000000"/>
          <w:sz w:val="24"/>
          <w:szCs w:val="24"/>
        </w:rPr>
        <w:t>n</w:t>
      </w:r>
      <w:r w:rsidR="00DE1653" w:rsidRPr="00B955E1">
        <w:rPr>
          <w:color w:val="000000"/>
          <w:sz w:val="24"/>
          <w:szCs w:val="24"/>
        </w:rPr>
        <w:t>c</w:t>
      </w:r>
      <w:r w:rsidRPr="00B955E1">
        <w:rPr>
          <w:color w:val="000000"/>
          <w:sz w:val="24"/>
          <w:szCs w:val="24"/>
        </w:rPr>
        <w:t xml:space="preserve">ionar: </w:t>
      </w:r>
      <w:r w:rsidR="00DE1653" w:rsidRPr="00B955E1">
        <w:rPr>
          <w:color w:val="000000"/>
          <w:sz w:val="24"/>
          <w:szCs w:val="24"/>
        </w:rPr>
        <w:t xml:space="preserve">el curso de descentralización y territorio, la electiva sobre desplazamiento y desarrollo y los seminarios de investigación I, II y III. </w:t>
      </w:r>
    </w:p>
    <w:p w:rsidR="00C35EE1" w:rsidRDefault="00DE1653" w:rsidP="00C35EE1">
      <w:pPr>
        <w:spacing w:before="240" w:line="360" w:lineRule="auto"/>
        <w:rPr>
          <w:color w:val="000000"/>
          <w:sz w:val="24"/>
          <w:szCs w:val="24"/>
        </w:rPr>
      </w:pPr>
      <w:r w:rsidRPr="00B955E1">
        <w:rPr>
          <w:color w:val="000000"/>
          <w:sz w:val="24"/>
          <w:szCs w:val="24"/>
        </w:rPr>
        <w:t xml:space="preserve">La situación marginación y empobrecimiento que ha sufrido durante siglos la población del Chocó se ha visto incrementada por la acción cada vez más agresiva de fuerzas de origen externo legales e ilegales llevando a </w:t>
      </w:r>
      <w:r w:rsidR="00F5190E" w:rsidRPr="00B955E1">
        <w:rPr>
          <w:color w:val="000000"/>
          <w:sz w:val="24"/>
          <w:szCs w:val="24"/>
        </w:rPr>
        <w:t xml:space="preserve">un urgente llamado que han hecho recientemente la </w:t>
      </w:r>
      <w:r w:rsidR="00F5190E" w:rsidRPr="00B955E1">
        <w:rPr>
          <w:color w:val="000000"/>
          <w:sz w:val="24"/>
          <w:szCs w:val="24"/>
        </w:rPr>
        <w:lastRenderedPageBreak/>
        <w:t xml:space="preserve">iglesia católica y las organizaciones sociales, indígenas y de afrodescendientes. Llamado al cual desde nuestra identidad misional es necesario responder. </w:t>
      </w:r>
      <w:bookmarkStart w:id="8" w:name="_Toc395874731"/>
    </w:p>
    <w:p w:rsidR="00D170E9" w:rsidRPr="001232DD" w:rsidRDefault="00D170E9" w:rsidP="00C35EE1">
      <w:pPr>
        <w:pStyle w:val="Ttulo2"/>
      </w:pPr>
      <w:r w:rsidRPr="001232DD">
        <w:t>Estado del Arte.</w:t>
      </w:r>
      <w:bookmarkEnd w:id="8"/>
    </w:p>
    <w:p w:rsidR="00C35EE1" w:rsidRPr="00C35EE1" w:rsidRDefault="00D170E9" w:rsidP="00C35EE1">
      <w:pPr>
        <w:spacing w:before="240" w:line="360" w:lineRule="auto"/>
        <w:rPr>
          <w:color w:val="000000"/>
          <w:sz w:val="24"/>
          <w:szCs w:val="24"/>
        </w:rPr>
      </w:pPr>
      <w:r w:rsidRPr="00C35EE1">
        <w:rPr>
          <w:color w:val="000000"/>
          <w:sz w:val="24"/>
          <w:szCs w:val="24"/>
        </w:rPr>
        <w:t>El análisis de los trabajos realizados en Colombia sobre el desarraigo nos permite hacer varias consideraciones. Se destaca de entrada, el elevado número de publicaciones sobre el tema. Sin duda, en ese aspecto, los colombianos estamos a la vanguardia</w:t>
      </w:r>
      <w:r w:rsidR="00D467B8" w:rsidRPr="00C35EE1">
        <w:rPr>
          <w:color w:val="000000"/>
          <w:sz w:val="24"/>
          <w:szCs w:val="24"/>
        </w:rPr>
        <w:t xml:space="preserve">. </w:t>
      </w:r>
      <w:r w:rsidRPr="00C35EE1">
        <w:rPr>
          <w:color w:val="000000"/>
          <w:sz w:val="24"/>
          <w:szCs w:val="24"/>
        </w:rPr>
        <w:t xml:space="preserve"> Los abordajes se han hecho desde diferentes disciplinas: las ciencias jurídicas y políticas</w:t>
      </w:r>
      <w:r w:rsidRPr="00C35EE1">
        <w:rPr>
          <w:color w:val="000000"/>
        </w:rPr>
        <w:footnoteReference w:id="4"/>
      </w:r>
      <w:r w:rsidRPr="00C35EE1">
        <w:rPr>
          <w:color w:val="000000"/>
          <w:sz w:val="24"/>
          <w:szCs w:val="24"/>
        </w:rPr>
        <w:t>, la psicología</w:t>
      </w:r>
      <w:r w:rsidRPr="00C35EE1">
        <w:rPr>
          <w:color w:val="000000"/>
        </w:rPr>
        <w:footnoteReference w:id="5"/>
      </w:r>
      <w:r w:rsidRPr="00C35EE1">
        <w:rPr>
          <w:color w:val="000000"/>
          <w:sz w:val="24"/>
          <w:szCs w:val="24"/>
        </w:rPr>
        <w:t>, la demografía</w:t>
      </w:r>
      <w:r w:rsidRPr="00C35EE1">
        <w:rPr>
          <w:color w:val="000000"/>
        </w:rPr>
        <w:footnoteReference w:id="6"/>
      </w:r>
      <w:r w:rsidRPr="00C35EE1">
        <w:rPr>
          <w:color w:val="000000"/>
          <w:sz w:val="24"/>
          <w:szCs w:val="24"/>
        </w:rPr>
        <w:t>, la antropología cultural</w:t>
      </w:r>
      <w:r w:rsidRPr="00C35EE1">
        <w:rPr>
          <w:color w:val="000000"/>
        </w:rPr>
        <w:footnoteReference w:id="7"/>
      </w:r>
      <w:r w:rsidRPr="00C35EE1">
        <w:rPr>
          <w:color w:val="000000"/>
          <w:sz w:val="24"/>
          <w:szCs w:val="24"/>
        </w:rPr>
        <w:t>, el trabajo social, la teología</w:t>
      </w:r>
      <w:r w:rsidRPr="00C35EE1">
        <w:rPr>
          <w:color w:val="000000"/>
        </w:rPr>
        <w:footnoteReference w:id="8"/>
      </w:r>
      <w:r w:rsidRPr="00C35EE1">
        <w:rPr>
          <w:color w:val="000000"/>
          <w:sz w:val="24"/>
          <w:szCs w:val="24"/>
        </w:rPr>
        <w:t xml:space="preserve">, las ciencias de la salud e incluso algunos intentos interdisciplinares. Geográficamente se abordan diferentes niveles que no han sido suficientemente articulados (locales, regionales, nacionales e internacionales) y se estudian las direcciones de la movilización (de lo rural a lo urbano, al interior de una misma municipalidad, intermunicipales, intraurbanos, interdepartamentales, internacionales, de zonas de dominio de un actor a las de otro, etc). </w:t>
      </w:r>
    </w:p>
    <w:p w:rsidR="00D170E9" w:rsidRPr="00C65179" w:rsidRDefault="00D170E9" w:rsidP="00D170E9">
      <w:pPr>
        <w:keepNext/>
        <w:tabs>
          <w:tab w:val="left" w:pos="1440"/>
        </w:tabs>
        <w:spacing w:line="360" w:lineRule="auto"/>
        <w:rPr>
          <w:sz w:val="24"/>
          <w:szCs w:val="24"/>
        </w:rPr>
      </w:pPr>
      <w:r w:rsidRPr="00C65179">
        <w:rPr>
          <w:sz w:val="24"/>
          <w:szCs w:val="24"/>
        </w:rPr>
        <w:t xml:space="preserve">En cuanto a las metodologías hay trabajos basados en la medición cuantitativa, hay trabajos de carácter cualitativo y se utilizan instrumentos que van desde la encuesta hasta las entrevistas a profundidad o los relatos de vida. El interés extra - teórico que acompaña los trabajos es bien diverso: hay documentos hechos con ánimo denunciante, los que pretenden describir los hechos; algunos pretenden explicar las causas y otros sistematizar las experiencias de respuesta; hay trabajos hechos para reglamentar intervenciones y por supuesto, también hay otros que pretenden ganar legitimidad mostrando las respuestas </w:t>
      </w:r>
      <w:r w:rsidRPr="00C65179">
        <w:rPr>
          <w:sz w:val="24"/>
          <w:szCs w:val="24"/>
        </w:rPr>
        <w:lastRenderedPageBreak/>
        <w:t>desde el poder. Los enfoques sociales también son variados: con perspectiva de género, desde la niñez, desde pobladores rurales, desde grupos étnicos.</w:t>
      </w:r>
    </w:p>
    <w:p w:rsidR="00D170E9" w:rsidRPr="00C65179" w:rsidRDefault="00D170E9" w:rsidP="00D170E9">
      <w:pPr>
        <w:tabs>
          <w:tab w:val="left" w:pos="1440"/>
        </w:tabs>
        <w:spacing w:line="360" w:lineRule="auto"/>
        <w:rPr>
          <w:sz w:val="24"/>
          <w:szCs w:val="24"/>
        </w:rPr>
      </w:pPr>
    </w:p>
    <w:p w:rsidR="00D170E9" w:rsidRPr="00C65179" w:rsidRDefault="00D170E9" w:rsidP="00D170E9">
      <w:pPr>
        <w:spacing w:line="360" w:lineRule="auto"/>
        <w:rPr>
          <w:sz w:val="24"/>
          <w:szCs w:val="24"/>
        </w:rPr>
      </w:pPr>
      <w:r w:rsidRPr="00C65179">
        <w:rPr>
          <w:sz w:val="24"/>
          <w:szCs w:val="24"/>
        </w:rPr>
        <w:t>Dentro de los numerosos estudios realizados en las últimas décadas en el país, con respecto al desplazamiento es necesario resaltar el trabajo llevado a cabo por la Consultoría para los Derechos Humanos y el Desplazamiento CODHES y específicamente su monitoreo a las dinámicas del desplazamiento que ha llevado a una serie dentro de las que aparecen informes anuales hasta 2012. Dichos informes compendian un seguimiento estadístico a la magnitud del desplazamiento y su distribución territorial y en ocasiones a la afectación poblacional específica. Estos informes si bien aluden a situaciones regionales y  ocasionalmente se concentran en algunas de ellas, no implican la suficiente participación de los actores y de la academia regional y no permiten una continuidad analítica.</w:t>
      </w:r>
    </w:p>
    <w:p w:rsidR="00D170E9" w:rsidRPr="00C65179" w:rsidRDefault="00D170E9" w:rsidP="00D170E9">
      <w:pPr>
        <w:spacing w:line="360" w:lineRule="auto"/>
        <w:rPr>
          <w:sz w:val="24"/>
          <w:szCs w:val="24"/>
        </w:rPr>
      </w:pPr>
    </w:p>
    <w:p w:rsidR="00D170E9" w:rsidRPr="00C65179" w:rsidRDefault="00D170E9" w:rsidP="00D170E9">
      <w:pPr>
        <w:widowControl w:val="0"/>
        <w:spacing w:line="360" w:lineRule="auto"/>
        <w:rPr>
          <w:sz w:val="24"/>
          <w:szCs w:val="24"/>
        </w:rPr>
      </w:pPr>
      <w:r w:rsidRPr="00C65179">
        <w:rPr>
          <w:sz w:val="24"/>
          <w:szCs w:val="24"/>
        </w:rPr>
        <w:t xml:space="preserve">Dentro de esta amplia bibliografía, quedan, en síntesis, retos importantes relacionados, entre otros, con tres aspectos: el monitoreo de la dinámica del desplazamiento durante los próximos años en el marco de la evolución del conflicto armado y las conversaciones  para el fin del conflicto armado con las FARC; el análisis de los efectos que la política pública sobre desplazamiento forzado está teniendo en la prevención, atención y reparación a las víctimas; y las relaciones entre el desplazamiento y los intereses en torno a la economía extractiva en el país. </w:t>
      </w:r>
    </w:p>
    <w:p w:rsidR="00D170E9" w:rsidRPr="00C65179" w:rsidRDefault="00D170E9" w:rsidP="00D170E9">
      <w:pPr>
        <w:pStyle w:val="Prrafodelista"/>
        <w:widowControl w:val="0"/>
        <w:numPr>
          <w:ilvl w:val="0"/>
          <w:numId w:val="28"/>
        </w:numPr>
        <w:spacing w:after="120" w:line="360" w:lineRule="auto"/>
        <w:contextualSpacing w:val="0"/>
        <w:rPr>
          <w:sz w:val="24"/>
          <w:szCs w:val="24"/>
        </w:rPr>
      </w:pPr>
      <w:r w:rsidRPr="00C65179">
        <w:rPr>
          <w:sz w:val="24"/>
          <w:szCs w:val="24"/>
        </w:rPr>
        <w:t xml:space="preserve">El  seguimiento a la dinámica del desplazamiento en los próximos años conlleva una importancia especial en la medida en que se están realizando, después de una década de negación de posibilidades, conversaciones entre el gobierno y las FARC. </w:t>
      </w:r>
    </w:p>
    <w:p w:rsidR="00D170E9" w:rsidRPr="003048BE" w:rsidRDefault="00D170E9" w:rsidP="003048BE">
      <w:pPr>
        <w:pStyle w:val="Prrafodelista"/>
        <w:widowControl w:val="0"/>
        <w:numPr>
          <w:ilvl w:val="0"/>
          <w:numId w:val="28"/>
        </w:numPr>
        <w:spacing w:after="120" w:line="360" w:lineRule="auto"/>
        <w:contextualSpacing w:val="0"/>
        <w:rPr>
          <w:sz w:val="24"/>
          <w:szCs w:val="24"/>
        </w:rPr>
      </w:pPr>
      <w:r w:rsidRPr="00C65179">
        <w:rPr>
          <w:sz w:val="24"/>
          <w:szCs w:val="24"/>
        </w:rPr>
        <w:t xml:space="preserve">Los efectos de la ley 1448 promulgada en 2011 y más conocida como Ley de Víctimas y Restitución de Tierras, en la alteración de los procesos de desplazamiento, no se han estudiado aún a pesar de la trascendencia que puede lograr tanto en la posible garantía de los derechos de las víctimas como en la demostración de la viabilidad de la acción legítima del Estado frente a los poderes de las mafias regionales que impulsaron el despojo y el desplazamiento. </w:t>
      </w:r>
    </w:p>
    <w:p w:rsidR="00D170E9" w:rsidRPr="00C65179" w:rsidRDefault="00D170E9" w:rsidP="00D170E9">
      <w:pPr>
        <w:pStyle w:val="Prrafodelista"/>
        <w:widowControl w:val="0"/>
        <w:numPr>
          <w:ilvl w:val="0"/>
          <w:numId w:val="28"/>
        </w:numPr>
        <w:spacing w:after="120" w:line="360" w:lineRule="auto"/>
        <w:contextualSpacing w:val="0"/>
        <w:rPr>
          <w:sz w:val="24"/>
          <w:szCs w:val="24"/>
        </w:rPr>
      </w:pPr>
      <w:r w:rsidRPr="00C65179">
        <w:rPr>
          <w:sz w:val="24"/>
          <w:szCs w:val="24"/>
        </w:rPr>
        <w:t xml:space="preserve">Si bien algunos autores y eventos han mencionado la relación existente entre el desplazamiento y la implementación de modelos económicos específicos, dentro de </w:t>
      </w:r>
      <w:r w:rsidRPr="00C65179">
        <w:rPr>
          <w:sz w:val="24"/>
          <w:szCs w:val="24"/>
        </w:rPr>
        <w:lastRenderedPageBreak/>
        <w:t xml:space="preserve">ellos la extracción de materias primas y recursos naturales, no se ha realizado aún un estudio que permita evidenciar suficientemente las formas de esta posible relación, los actores responsables y las posibles medidas de prevención y control. Este vacío es relevante en un país que siendo el mayor productor de migración forzada en el mundo, opta de manera cada vez más clara por un modelo basado en este tipo de economía. </w:t>
      </w:r>
    </w:p>
    <w:p w:rsidR="00D170E9" w:rsidRPr="00C65179" w:rsidRDefault="00D170E9" w:rsidP="00D170E9">
      <w:pPr>
        <w:widowControl w:val="0"/>
        <w:spacing w:line="360" w:lineRule="auto"/>
        <w:rPr>
          <w:sz w:val="24"/>
          <w:szCs w:val="24"/>
        </w:rPr>
      </w:pPr>
      <w:r w:rsidRPr="00C65179">
        <w:rPr>
          <w:sz w:val="24"/>
          <w:szCs w:val="24"/>
        </w:rPr>
        <w:t xml:space="preserve">El desarrollo de la investigación en estos aspectos resulta de gran importancia tanto para la academia que quiera ser pertinente frente a las necesidades del país, como para la comunidad internacional y los decisores de política, así como para los miembros de movimientos sociales y organizaciones populares afectadas pues permite mayores elementos de juicio, así como justificación de sus acciones en la búsqueda de la garantía de la dignidad humana. </w:t>
      </w:r>
    </w:p>
    <w:p w:rsidR="00B955E1" w:rsidRDefault="00B955E1" w:rsidP="00D170E9">
      <w:pPr>
        <w:pStyle w:val="Ttulo2"/>
      </w:pPr>
      <w:bookmarkStart w:id="9" w:name="_Toc395874732"/>
      <w:r w:rsidRPr="001232DD">
        <w:t>Marco teórico</w:t>
      </w:r>
      <w:bookmarkEnd w:id="9"/>
    </w:p>
    <w:p w:rsidR="00B955E1" w:rsidRPr="00C65179" w:rsidRDefault="00B955E1" w:rsidP="00B955E1">
      <w:pPr>
        <w:pStyle w:val="Ttulo3"/>
        <w:rPr>
          <w:lang w:val="es-CO"/>
        </w:rPr>
      </w:pPr>
      <w:bookmarkStart w:id="10" w:name="_Toc395874733"/>
      <w:r w:rsidRPr="00C65179">
        <w:rPr>
          <w:lang w:val="es-CO"/>
        </w:rPr>
        <w:t>Horizonte epistemológico</w:t>
      </w:r>
      <w:bookmarkEnd w:id="10"/>
    </w:p>
    <w:p w:rsidR="00B955E1" w:rsidRPr="00C65179" w:rsidRDefault="00B955E1" w:rsidP="00B955E1">
      <w:pPr>
        <w:keepNext/>
        <w:spacing w:line="360" w:lineRule="auto"/>
        <w:rPr>
          <w:sz w:val="24"/>
          <w:szCs w:val="24"/>
        </w:rPr>
      </w:pPr>
      <w:r>
        <w:rPr>
          <w:sz w:val="24"/>
          <w:szCs w:val="24"/>
          <w:lang w:val="es-CO"/>
        </w:rPr>
        <w:t>A</w:t>
      </w:r>
      <w:r>
        <w:rPr>
          <w:sz w:val="24"/>
          <w:szCs w:val="24"/>
        </w:rPr>
        <w:t>sumi</w:t>
      </w:r>
      <w:r w:rsidRPr="00C65179">
        <w:rPr>
          <w:sz w:val="24"/>
          <w:szCs w:val="24"/>
        </w:rPr>
        <w:t xml:space="preserve">remos </w:t>
      </w:r>
      <w:r>
        <w:rPr>
          <w:sz w:val="24"/>
          <w:szCs w:val="24"/>
        </w:rPr>
        <w:t xml:space="preserve">la </w:t>
      </w:r>
      <w:r w:rsidRPr="00C65179">
        <w:rPr>
          <w:sz w:val="24"/>
          <w:szCs w:val="24"/>
        </w:rPr>
        <w:t xml:space="preserve">“hermenéutica activa” </w:t>
      </w:r>
      <w:r>
        <w:rPr>
          <w:sz w:val="24"/>
          <w:szCs w:val="24"/>
        </w:rPr>
        <w:t xml:space="preserve">como </w:t>
      </w:r>
      <w:r w:rsidRPr="00C65179">
        <w:rPr>
          <w:sz w:val="24"/>
          <w:szCs w:val="24"/>
        </w:rPr>
        <w:t xml:space="preserve">horizonte epistemológico </w:t>
      </w:r>
      <w:r>
        <w:rPr>
          <w:sz w:val="24"/>
          <w:szCs w:val="24"/>
        </w:rPr>
        <w:t>en el cual se ubica</w:t>
      </w:r>
      <w:r w:rsidRPr="00C65179">
        <w:rPr>
          <w:sz w:val="24"/>
          <w:szCs w:val="24"/>
        </w:rPr>
        <w:t xml:space="preserve"> esta investigación </w:t>
      </w:r>
      <w:r>
        <w:rPr>
          <w:sz w:val="24"/>
          <w:szCs w:val="24"/>
        </w:rPr>
        <w:t xml:space="preserve">entendiendo por tal la propuesta hecha anteriormente por el </w:t>
      </w:r>
      <w:r w:rsidRPr="00C65179">
        <w:rPr>
          <w:sz w:val="24"/>
          <w:szCs w:val="24"/>
        </w:rPr>
        <w:t>investigador principal</w:t>
      </w:r>
      <w:sdt>
        <w:sdtPr>
          <w:rPr>
            <w:sz w:val="24"/>
            <w:szCs w:val="24"/>
          </w:rPr>
          <w:id w:val="1806888579"/>
          <w:citation/>
        </w:sdtPr>
        <w:sdtContent>
          <w:r w:rsidR="00E87AE6">
            <w:rPr>
              <w:sz w:val="24"/>
              <w:szCs w:val="24"/>
            </w:rPr>
            <w:fldChar w:fldCharType="begin"/>
          </w:r>
          <w:r>
            <w:rPr>
              <w:sz w:val="24"/>
              <w:szCs w:val="24"/>
              <w:lang w:val="es-CO"/>
            </w:rPr>
            <w:instrText xml:space="preserve">CITATION Fab02 \t  \l 9226 </w:instrText>
          </w:r>
          <w:r w:rsidR="00E87AE6">
            <w:rPr>
              <w:sz w:val="24"/>
              <w:szCs w:val="24"/>
            </w:rPr>
            <w:fldChar w:fldCharType="separate"/>
          </w:r>
          <w:r w:rsidR="004B4433" w:rsidRPr="004B4433">
            <w:rPr>
              <w:noProof/>
              <w:sz w:val="24"/>
              <w:szCs w:val="24"/>
              <w:lang w:val="es-CO"/>
            </w:rPr>
            <w:t>(Lozano, 2002)</w:t>
          </w:r>
          <w:r w:rsidR="00E87AE6">
            <w:rPr>
              <w:sz w:val="24"/>
              <w:szCs w:val="24"/>
            </w:rPr>
            <w:fldChar w:fldCharType="end"/>
          </w:r>
        </w:sdtContent>
      </w:sdt>
      <w:r w:rsidRPr="00C65179">
        <w:rPr>
          <w:sz w:val="24"/>
          <w:szCs w:val="24"/>
        </w:rPr>
        <w:t xml:space="preserve"> a</w:t>
      </w:r>
      <w:r>
        <w:rPr>
          <w:sz w:val="24"/>
          <w:szCs w:val="24"/>
        </w:rPr>
        <w:t>bordando discusiones f</w:t>
      </w:r>
      <w:r w:rsidRPr="00C65179">
        <w:rPr>
          <w:sz w:val="24"/>
          <w:szCs w:val="24"/>
        </w:rPr>
        <w:t xml:space="preserve">ilosóficas </w:t>
      </w:r>
      <w:r>
        <w:rPr>
          <w:sz w:val="24"/>
          <w:szCs w:val="24"/>
        </w:rPr>
        <w:t xml:space="preserve">sobre </w:t>
      </w:r>
      <w:r w:rsidRPr="00C65179">
        <w:rPr>
          <w:sz w:val="24"/>
          <w:szCs w:val="24"/>
        </w:rPr>
        <w:t xml:space="preserve">el sentido de las ciencias </w:t>
      </w:r>
      <w:r>
        <w:rPr>
          <w:sz w:val="24"/>
          <w:szCs w:val="24"/>
        </w:rPr>
        <w:t>en el marco</w:t>
      </w:r>
      <w:r w:rsidRPr="00C65179">
        <w:rPr>
          <w:sz w:val="24"/>
          <w:szCs w:val="24"/>
        </w:rPr>
        <w:t xml:space="preserve"> del conflicto y de la realidad de las víctimas en una </w:t>
      </w:r>
      <w:r>
        <w:rPr>
          <w:sz w:val="24"/>
          <w:szCs w:val="24"/>
        </w:rPr>
        <w:t xml:space="preserve">perpetuada </w:t>
      </w:r>
      <w:r w:rsidRPr="00C65179">
        <w:rPr>
          <w:sz w:val="24"/>
          <w:szCs w:val="24"/>
        </w:rPr>
        <w:t xml:space="preserve">catástrofe humanitaria como la vivida </w:t>
      </w:r>
      <w:r>
        <w:rPr>
          <w:sz w:val="24"/>
          <w:szCs w:val="24"/>
        </w:rPr>
        <w:t>en</w:t>
      </w:r>
      <w:r w:rsidRPr="00C65179">
        <w:rPr>
          <w:sz w:val="24"/>
          <w:szCs w:val="24"/>
        </w:rPr>
        <w:t xml:space="preserve"> Colombia. </w:t>
      </w:r>
    </w:p>
    <w:p w:rsidR="00B955E1" w:rsidRPr="00C65179" w:rsidRDefault="00B955E1" w:rsidP="00B955E1">
      <w:pPr>
        <w:spacing w:line="360" w:lineRule="auto"/>
        <w:rPr>
          <w:sz w:val="24"/>
          <w:szCs w:val="24"/>
        </w:rPr>
      </w:pPr>
      <w:r w:rsidRPr="00C65179">
        <w:rPr>
          <w:sz w:val="24"/>
          <w:szCs w:val="24"/>
        </w:rPr>
        <w:t xml:space="preserve">Se esboza la hermenéutica como opción </w:t>
      </w:r>
      <w:r>
        <w:rPr>
          <w:sz w:val="24"/>
          <w:szCs w:val="24"/>
        </w:rPr>
        <w:t xml:space="preserve">alternativa </w:t>
      </w:r>
      <w:r w:rsidRPr="00C65179">
        <w:rPr>
          <w:sz w:val="24"/>
          <w:szCs w:val="24"/>
        </w:rPr>
        <w:t xml:space="preserve"> al  positivismo afirm</w:t>
      </w:r>
      <w:r w:rsidR="007E3352">
        <w:rPr>
          <w:sz w:val="24"/>
          <w:szCs w:val="24"/>
        </w:rPr>
        <w:t>á</w:t>
      </w:r>
      <w:r>
        <w:rPr>
          <w:sz w:val="24"/>
          <w:szCs w:val="24"/>
        </w:rPr>
        <w:t>ndola no existencia de</w:t>
      </w:r>
      <w:r w:rsidRPr="00C65179">
        <w:rPr>
          <w:sz w:val="24"/>
          <w:szCs w:val="24"/>
        </w:rPr>
        <w:t xml:space="preserve"> verdades absolutas</w:t>
      </w:r>
      <w:r>
        <w:rPr>
          <w:sz w:val="24"/>
          <w:szCs w:val="24"/>
        </w:rPr>
        <w:t xml:space="preserve"> o datos objetivos</w:t>
      </w:r>
      <w:r w:rsidRPr="00C65179">
        <w:rPr>
          <w:sz w:val="24"/>
          <w:szCs w:val="24"/>
        </w:rPr>
        <w:t xml:space="preserve"> y</w:t>
      </w:r>
      <w:r>
        <w:rPr>
          <w:sz w:val="24"/>
          <w:szCs w:val="24"/>
        </w:rPr>
        <w:t>,en cambio,</w:t>
      </w:r>
      <w:r w:rsidRPr="00C65179">
        <w:rPr>
          <w:sz w:val="24"/>
          <w:szCs w:val="24"/>
        </w:rPr>
        <w:t xml:space="preserve"> la </w:t>
      </w:r>
      <w:r>
        <w:rPr>
          <w:sz w:val="24"/>
          <w:szCs w:val="24"/>
        </w:rPr>
        <w:t xml:space="preserve">comprensión de las </w:t>
      </w:r>
      <w:r w:rsidRPr="00C65179">
        <w:rPr>
          <w:sz w:val="24"/>
          <w:szCs w:val="24"/>
        </w:rPr>
        <w:t>ciencia</w:t>
      </w:r>
      <w:r>
        <w:rPr>
          <w:sz w:val="24"/>
          <w:szCs w:val="24"/>
        </w:rPr>
        <w:t xml:space="preserve">s como </w:t>
      </w:r>
      <w:r w:rsidRPr="00C65179">
        <w:rPr>
          <w:sz w:val="24"/>
          <w:szCs w:val="24"/>
        </w:rPr>
        <w:t xml:space="preserve">interpretación. </w:t>
      </w:r>
      <w:r>
        <w:rPr>
          <w:sz w:val="24"/>
          <w:szCs w:val="24"/>
        </w:rPr>
        <w:t xml:space="preserve">Frente a </w:t>
      </w:r>
      <w:r w:rsidRPr="00C65179">
        <w:rPr>
          <w:sz w:val="24"/>
          <w:szCs w:val="24"/>
        </w:rPr>
        <w:t xml:space="preserve">la </w:t>
      </w:r>
      <w:r>
        <w:rPr>
          <w:sz w:val="24"/>
          <w:szCs w:val="24"/>
        </w:rPr>
        <w:t xml:space="preserve">discusión sobre la </w:t>
      </w:r>
      <w:r w:rsidRPr="00C65179">
        <w:rPr>
          <w:sz w:val="24"/>
          <w:szCs w:val="24"/>
        </w:rPr>
        <w:t>validez de</w:t>
      </w:r>
      <w:r>
        <w:rPr>
          <w:sz w:val="24"/>
          <w:szCs w:val="24"/>
        </w:rPr>
        <w:t>l conocimientola hermenéutica</w:t>
      </w:r>
      <w:r w:rsidRPr="00C65179">
        <w:rPr>
          <w:sz w:val="24"/>
          <w:szCs w:val="24"/>
        </w:rPr>
        <w:t xml:space="preserve"> significa:</w:t>
      </w:r>
    </w:p>
    <w:p w:rsidR="00B955E1" w:rsidRPr="00C65179" w:rsidRDefault="00B955E1" w:rsidP="00B955E1">
      <w:pPr>
        <w:pStyle w:val="Prrafodelista"/>
        <w:numPr>
          <w:ilvl w:val="0"/>
          <w:numId w:val="30"/>
        </w:numPr>
        <w:spacing w:after="120" w:line="360" w:lineRule="auto"/>
        <w:contextualSpacing w:val="0"/>
        <w:rPr>
          <w:sz w:val="24"/>
          <w:szCs w:val="24"/>
        </w:rPr>
      </w:pPr>
      <w:r w:rsidRPr="00C65179">
        <w:rPr>
          <w:sz w:val="24"/>
          <w:szCs w:val="24"/>
        </w:rPr>
        <w:t>Comprender el conocimiento como una interpretación creativa del mundo humano</w:t>
      </w:r>
      <w:r>
        <w:rPr>
          <w:sz w:val="24"/>
          <w:szCs w:val="24"/>
        </w:rPr>
        <w:t>, en sentido de ejercicio de construcción social de la realidad</w:t>
      </w:r>
      <w:r w:rsidRPr="00C65179">
        <w:rPr>
          <w:sz w:val="24"/>
          <w:szCs w:val="24"/>
        </w:rPr>
        <w:t xml:space="preserve">. </w:t>
      </w:r>
    </w:p>
    <w:p w:rsidR="00B955E1" w:rsidRPr="00C65179" w:rsidRDefault="00B955E1" w:rsidP="00B955E1">
      <w:pPr>
        <w:pStyle w:val="Prrafodelista"/>
        <w:numPr>
          <w:ilvl w:val="0"/>
          <w:numId w:val="30"/>
        </w:numPr>
        <w:spacing w:after="120" w:line="360" w:lineRule="auto"/>
        <w:contextualSpacing w:val="0"/>
        <w:rPr>
          <w:sz w:val="24"/>
          <w:szCs w:val="24"/>
        </w:rPr>
      </w:pPr>
      <w:r w:rsidRPr="00C65179">
        <w:rPr>
          <w:sz w:val="24"/>
          <w:szCs w:val="24"/>
        </w:rPr>
        <w:t xml:space="preserve">Denunciar de los límites del positivismo. Se reclama la validez de las ciencias sociales desde otros criterios y denuncia los límites y los </w:t>
      </w:r>
      <w:r>
        <w:rPr>
          <w:sz w:val="24"/>
          <w:szCs w:val="24"/>
        </w:rPr>
        <w:t>escondrijos existentes en</w:t>
      </w:r>
      <w:r w:rsidRPr="00C65179">
        <w:rPr>
          <w:sz w:val="24"/>
          <w:szCs w:val="24"/>
        </w:rPr>
        <w:t xml:space="preserve"> la posición positivista.</w:t>
      </w:r>
      <w:r>
        <w:rPr>
          <w:sz w:val="24"/>
          <w:szCs w:val="24"/>
        </w:rPr>
        <w:t xml:space="preserve"> Se asume así una visión crítica al positivismo desarrollada desde </w:t>
      </w:r>
      <w:r w:rsidRPr="00C65179">
        <w:rPr>
          <w:sz w:val="24"/>
          <w:szCs w:val="24"/>
        </w:rPr>
        <w:t>Weber hasta Lyotard</w:t>
      </w:r>
      <w:r>
        <w:rPr>
          <w:sz w:val="24"/>
          <w:szCs w:val="24"/>
        </w:rPr>
        <w:t xml:space="preserve"> y Vattimo pasando por supuesto por la escuela de Fanckfort y </w:t>
      </w:r>
      <w:r w:rsidRPr="00C65179">
        <w:rPr>
          <w:sz w:val="24"/>
          <w:szCs w:val="24"/>
        </w:rPr>
        <w:t>Gadamer</w:t>
      </w:r>
      <w:r>
        <w:rPr>
          <w:sz w:val="24"/>
          <w:szCs w:val="24"/>
        </w:rPr>
        <w:t>.</w:t>
      </w:r>
    </w:p>
    <w:p w:rsidR="00B955E1" w:rsidRPr="00C65179" w:rsidRDefault="00B955E1" w:rsidP="00B955E1">
      <w:pPr>
        <w:pStyle w:val="Prrafodelista"/>
        <w:numPr>
          <w:ilvl w:val="0"/>
          <w:numId w:val="30"/>
        </w:numPr>
        <w:spacing w:after="120" w:line="360" w:lineRule="auto"/>
        <w:contextualSpacing w:val="0"/>
        <w:rPr>
          <w:sz w:val="24"/>
          <w:szCs w:val="24"/>
        </w:rPr>
      </w:pPr>
      <w:r w:rsidRPr="00C65179">
        <w:rPr>
          <w:sz w:val="24"/>
          <w:szCs w:val="24"/>
        </w:rPr>
        <w:t>Controvertir las pretensiones “modernizantes”. Se pretende señalar los límites de las sociedades modernas en el sentido que muchos han formulado ya</w:t>
      </w:r>
      <w:sdt>
        <w:sdtPr>
          <w:rPr>
            <w:sz w:val="24"/>
            <w:szCs w:val="24"/>
          </w:rPr>
          <w:id w:val="1098750599"/>
          <w:citation/>
        </w:sdtPr>
        <w:sdtContent>
          <w:r w:rsidR="00E87AE6">
            <w:rPr>
              <w:sz w:val="24"/>
              <w:szCs w:val="24"/>
            </w:rPr>
            <w:fldChar w:fldCharType="begin"/>
          </w:r>
          <w:r>
            <w:rPr>
              <w:sz w:val="24"/>
              <w:szCs w:val="24"/>
            </w:rPr>
            <w:instrText xml:space="preserve"> CITATION Vat94 \l 9226 </w:instrText>
          </w:r>
          <w:r w:rsidR="00E87AE6">
            <w:rPr>
              <w:sz w:val="24"/>
              <w:szCs w:val="24"/>
            </w:rPr>
            <w:fldChar w:fldCharType="separate"/>
          </w:r>
          <w:r w:rsidR="004B4433" w:rsidRPr="004B4433">
            <w:rPr>
              <w:noProof/>
              <w:sz w:val="24"/>
              <w:szCs w:val="24"/>
            </w:rPr>
            <w:t>(Vattimo, 1994)</w:t>
          </w:r>
          <w:r w:rsidR="00E87AE6">
            <w:rPr>
              <w:sz w:val="24"/>
              <w:szCs w:val="24"/>
            </w:rPr>
            <w:fldChar w:fldCharType="end"/>
          </w:r>
        </w:sdtContent>
      </w:sdt>
      <w:r w:rsidRPr="00C65179">
        <w:rPr>
          <w:sz w:val="24"/>
          <w:szCs w:val="24"/>
        </w:rPr>
        <w:t xml:space="preserve">. Pero </w:t>
      </w:r>
      <w:r w:rsidRPr="00C65179">
        <w:rPr>
          <w:sz w:val="24"/>
          <w:szCs w:val="24"/>
        </w:rPr>
        <w:lastRenderedPageBreak/>
        <w:t>también se pretende poner en evidencia la in</w:t>
      </w:r>
      <w:r>
        <w:rPr>
          <w:sz w:val="24"/>
          <w:szCs w:val="24"/>
        </w:rPr>
        <w:t>adecuación de una lectura pluralidad de procesos</w:t>
      </w:r>
      <w:r w:rsidR="007E3352">
        <w:rPr>
          <w:sz w:val="24"/>
          <w:szCs w:val="24"/>
        </w:rPr>
        <w:t>,</w:t>
      </w:r>
      <w:r>
        <w:rPr>
          <w:sz w:val="24"/>
          <w:szCs w:val="24"/>
        </w:rPr>
        <w:t xml:space="preserve"> como por ejemplo los sucedidos en América Latina, con categoría</w:t>
      </w:r>
      <w:r w:rsidR="007E3352">
        <w:rPr>
          <w:sz w:val="24"/>
          <w:szCs w:val="24"/>
        </w:rPr>
        <w:t>s</w:t>
      </w:r>
      <w:r>
        <w:rPr>
          <w:sz w:val="24"/>
          <w:szCs w:val="24"/>
        </w:rPr>
        <w:t xml:space="preserve"> centroeuropeas con pretensiones universalistas.  </w:t>
      </w:r>
    </w:p>
    <w:p w:rsidR="007E3352" w:rsidRDefault="00B955E1" w:rsidP="008B32AD">
      <w:pPr>
        <w:pStyle w:val="Prrafodelista"/>
        <w:numPr>
          <w:ilvl w:val="0"/>
          <w:numId w:val="30"/>
        </w:numPr>
        <w:spacing w:after="120" w:line="360" w:lineRule="auto"/>
        <w:contextualSpacing w:val="0"/>
        <w:rPr>
          <w:sz w:val="24"/>
          <w:szCs w:val="24"/>
        </w:rPr>
      </w:pPr>
      <w:r w:rsidRPr="007E3352">
        <w:rPr>
          <w:sz w:val="24"/>
          <w:szCs w:val="24"/>
        </w:rPr>
        <w:t xml:space="preserve">Afirmar una aproximación comprensiva a los actos sociales. </w:t>
      </w:r>
      <w:r w:rsidR="003048BE">
        <w:rPr>
          <w:sz w:val="24"/>
          <w:szCs w:val="24"/>
        </w:rPr>
        <w:t xml:space="preserve">Asumiendo que las </w:t>
      </w:r>
      <w:r w:rsidRPr="007E3352">
        <w:rPr>
          <w:sz w:val="24"/>
          <w:szCs w:val="24"/>
        </w:rPr>
        <w:t xml:space="preserve">ciencias humanas </w:t>
      </w:r>
      <w:r w:rsidR="003048BE">
        <w:rPr>
          <w:sz w:val="24"/>
          <w:szCs w:val="24"/>
        </w:rPr>
        <w:t>realizan un ejercicio de</w:t>
      </w:r>
      <w:r w:rsidRPr="003048BE">
        <w:rPr>
          <w:i/>
          <w:sz w:val="24"/>
          <w:szCs w:val="24"/>
        </w:rPr>
        <w:t>comprensión</w:t>
      </w:r>
      <w:r w:rsidRPr="007E3352">
        <w:rPr>
          <w:sz w:val="24"/>
          <w:szCs w:val="24"/>
        </w:rPr>
        <w:t xml:space="preserve"> (Verstehen</w:t>
      </w:r>
      <w:r w:rsidR="007E3352" w:rsidRPr="007E3352">
        <w:rPr>
          <w:sz w:val="24"/>
          <w:szCs w:val="24"/>
        </w:rPr>
        <w:t>)</w:t>
      </w:r>
      <w:r w:rsidR="003048BE">
        <w:rPr>
          <w:sz w:val="24"/>
          <w:szCs w:val="24"/>
        </w:rPr>
        <w:t xml:space="preserve">y no solamente de explicación planteado por </w:t>
      </w:r>
      <w:r w:rsidR="003048BE" w:rsidRPr="007E3352">
        <w:rPr>
          <w:sz w:val="24"/>
          <w:szCs w:val="24"/>
        </w:rPr>
        <w:t>Dilthey</w:t>
      </w:r>
      <w:r w:rsidR="003048BE">
        <w:rPr>
          <w:sz w:val="24"/>
          <w:szCs w:val="24"/>
        </w:rPr>
        <w:t xml:space="preserve"> u desarrollado posteriormente</w:t>
      </w:r>
      <w:sdt>
        <w:sdtPr>
          <w:rPr>
            <w:sz w:val="24"/>
            <w:szCs w:val="24"/>
          </w:rPr>
          <w:id w:val="-900899746"/>
          <w:citation/>
        </w:sdtPr>
        <w:sdtContent>
          <w:r w:rsidR="00E87AE6">
            <w:rPr>
              <w:sz w:val="24"/>
              <w:szCs w:val="24"/>
            </w:rPr>
            <w:fldChar w:fldCharType="begin"/>
          </w:r>
          <w:r w:rsidR="003048BE">
            <w:rPr>
              <w:sz w:val="24"/>
              <w:szCs w:val="24"/>
            </w:rPr>
            <w:instrText xml:space="preserve"> CITATION Jos91 \l 9226 </w:instrText>
          </w:r>
          <w:r w:rsidR="00E87AE6">
            <w:rPr>
              <w:sz w:val="24"/>
              <w:szCs w:val="24"/>
            </w:rPr>
            <w:fldChar w:fldCharType="separate"/>
          </w:r>
          <w:r w:rsidR="003048BE" w:rsidRPr="003048BE">
            <w:rPr>
              <w:noProof/>
              <w:sz w:val="24"/>
              <w:szCs w:val="24"/>
            </w:rPr>
            <w:t>(Mardones, 1991)</w:t>
          </w:r>
          <w:r w:rsidR="00E87AE6">
            <w:rPr>
              <w:sz w:val="24"/>
              <w:szCs w:val="24"/>
            </w:rPr>
            <w:fldChar w:fldCharType="end"/>
          </w:r>
        </w:sdtContent>
      </w:sdt>
      <w:r w:rsidR="003048BE">
        <w:rPr>
          <w:sz w:val="24"/>
          <w:szCs w:val="24"/>
        </w:rPr>
        <w:t xml:space="preserve">. </w:t>
      </w:r>
    </w:p>
    <w:p w:rsidR="00B955E1" w:rsidRPr="007E3352" w:rsidRDefault="00B955E1" w:rsidP="008B32AD">
      <w:pPr>
        <w:pStyle w:val="Prrafodelista"/>
        <w:numPr>
          <w:ilvl w:val="0"/>
          <w:numId w:val="30"/>
        </w:numPr>
        <w:spacing w:after="120" w:line="360" w:lineRule="auto"/>
        <w:contextualSpacing w:val="0"/>
        <w:rPr>
          <w:sz w:val="24"/>
          <w:szCs w:val="24"/>
        </w:rPr>
      </w:pPr>
      <w:r w:rsidRPr="007E3352">
        <w:rPr>
          <w:sz w:val="24"/>
          <w:szCs w:val="24"/>
        </w:rPr>
        <w:t xml:space="preserve">Afirmar la construcción de conocimiento como relación intersubjetiva. La existencia como “ser en el mundo”, significa ante todo “ser con los demás” y por tanto el conocimiento es fundamentalmente un acto de comunicación intersubjetiva.  </w:t>
      </w:r>
    </w:p>
    <w:p w:rsidR="00B955E1" w:rsidRPr="00C65179" w:rsidRDefault="00B955E1" w:rsidP="00B955E1">
      <w:pPr>
        <w:pStyle w:val="Prrafodelista"/>
        <w:keepNext/>
        <w:widowControl w:val="0"/>
        <w:numPr>
          <w:ilvl w:val="0"/>
          <w:numId w:val="30"/>
        </w:numPr>
        <w:spacing w:after="120" w:line="360" w:lineRule="auto"/>
        <w:contextualSpacing w:val="0"/>
        <w:rPr>
          <w:b/>
          <w:bCs/>
          <w:color w:val="000000"/>
          <w:sz w:val="24"/>
          <w:szCs w:val="24"/>
        </w:rPr>
      </w:pPr>
      <w:r w:rsidRPr="00C65179">
        <w:rPr>
          <w:sz w:val="24"/>
          <w:szCs w:val="24"/>
        </w:rPr>
        <w:t xml:space="preserve">Asumir el carácter nihilista de la hermenéutica. </w:t>
      </w:r>
      <w:r>
        <w:rPr>
          <w:sz w:val="24"/>
          <w:szCs w:val="24"/>
        </w:rPr>
        <w:t xml:space="preserve">Se asume con </w:t>
      </w:r>
      <w:r w:rsidRPr="00C65179">
        <w:rPr>
          <w:sz w:val="24"/>
          <w:szCs w:val="24"/>
        </w:rPr>
        <w:t>Vattimo</w:t>
      </w:r>
      <w:r>
        <w:rPr>
          <w:sz w:val="24"/>
          <w:szCs w:val="24"/>
        </w:rPr>
        <w:t>el rechazo al</w:t>
      </w:r>
      <w:r w:rsidRPr="00C65179">
        <w:rPr>
          <w:sz w:val="24"/>
          <w:szCs w:val="24"/>
        </w:rPr>
        <w:t>intento de convertir a la hermenéutica en una especie de comunidad en la que todos caben sin peligro.</w:t>
      </w:r>
    </w:p>
    <w:p w:rsidR="00B955E1" w:rsidRPr="003B75C7" w:rsidRDefault="00B955E1" w:rsidP="003B75C7">
      <w:pPr>
        <w:pStyle w:val="Ttulo3"/>
        <w:rPr>
          <w:lang w:val="es-CO"/>
        </w:rPr>
      </w:pPr>
      <w:bookmarkStart w:id="11" w:name="_Toc395874734"/>
      <w:r w:rsidRPr="003B75C7">
        <w:rPr>
          <w:lang w:val="es-CO"/>
        </w:rPr>
        <w:t>Marco conceptual</w:t>
      </w:r>
      <w:bookmarkEnd w:id="11"/>
    </w:p>
    <w:p w:rsidR="00B955E1" w:rsidRDefault="00B955E1" w:rsidP="00B955E1">
      <w:pPr>
        <w:tabs>
          <w:tab w:val="left" w:pos="1440"/>
        </w:tabs>
        <w:spacing w:line="360" w:lineRule="auto"/>
        <w:rPr>
          <w:sz w:val="24"/>
          <w:szCs w:val="24"/>
        </w:rPr>
      </w:pPr>
      <w:r>
        <w:rPr>
          <w:sz w:val="24"/>
          <w:szCs w:val="24"/>
        </w:rPr>
        <w:t>La</w:t>
      </w:r>
      <w:r w:rsidRPr="00C65179">
        <w:rPr>
          <w:sz w:val="24"/>
          <w:szCs w:val="24"/>
        </w:rPr>
        <w:t xml:space="preserve"> Ley 387 de 1997 en Colombia, como los Principios Rectores de los Desplazamientos Internos, promulgados por  la ONU, desarrollan sus definiciones sobre desplazamiento resaltando tres características: a) La centralidad del concepto en el cambio de lugar de habitación y de trabajo. b) La ubicación de las personas dentro de las mismas fronteras de su país. c) El origen del hecho en las violaciones a Derechos Humanos y Derecho Internacional Humanitario en el marco de situaciones de guerra. </w:t>
      </w:r>
    </w:p>
    <w:p w:rsidR="00B955E1" w:rsidRDefault="00B955E1" w:rsidP="00B955E1">
      <w:pPr>
        <w:tabs>
          <w:tab w:val="left" w:pos="1440"/>
        </w:tabs>
        <w:spacing w:line="360" w:lineRule="auto"/>
        <w:rPr>
          <w:sz w:val="24"/>
          <w:szCs w:val="24"/>
        </w:rPr>
      </w:pPr>
      <w:r w:rsidRPr="00C65179">
        <w:rPr>
          <w:sz w:val="24"/>
          <w:szCs w:val="24"/>
        </w:rPr>
        <w:t xml:space="preserve">Si bien sin duda han colaborado a la exigencia de una respuesta del Estado de frente la crítica situación humanitaria, así como a una atención importante y una acción sistemática por parte de las agencias de cooperación internacional, no evidencian las rupturas de los entramados vitales integralmente, es decir, el resto de factores socio culturales que ligan las víctimas a sus  territorios. </w:t>
      </w:r>
    </w:p>
    <w:p w:rsidR="00B955E1" w:rsidRPr="00C65179" w:rsidRDefault="00B955E1" w:rsidP="00B955E1">
      <w:pPr>
        <w:tabs>
          <w:tab w:val="left" w:pos="1440"/>
        </w:tabs>
        <w:spacing w:line="360" w:lineRule="auto"/>
        <w:rPr>
          <w:sz w:val="24"/>
          <w:szCs w:val="24"/>
        </w:rPr>
      </w:pPr>
    </w:p>
    <w:p w:rsidR="00B955E1" w:rsidRPr="00C65179" w:rsidRDefault="00B955E1" w:rsidP="00B955E1">
      <w:pPr>
        <w:tabs>
          <w:tab w:val="left" w:pos="1440"/>
        </w:tabs>
        <w:spacing w:line="360" w:lineRule="auto"/>
        <w:rPr>
          <w:sz w:val="24"/>
          <w:szCs w:val="24"/>
        </w:rPr>
      </w:pPr>
      <w:r w:rsidRPr="00C65179">
        <w:rPr>
          <w:sz w:val="24"/>
          <w:szCs w:val="24"/>
        </w:rPr>
        <w:t xml:space="preserve">Estas definiciones se inscriben en general en el marco de relaciones entre ciudadanos y Estado como garante de derechos, para cuya comprensión algunos estudiosos han recurrido a la lectura de la filósofa austríaca Hannah Arendt con su reflexión sobre los apátridas en el marco de la conformación de los Estados – Nación al final de la segunda guerra europea.  Este tipo de análisis, parte de una visión liberal y abstracta del Estado olvidando la real </w:t>
      </w:r>
      <w:r w:rsidRPr="00C65179">
        <w:rPr>
          <w:sz w:val="24"/>
          <w:szCs w:val="24"/>
        </w:rPr>
        <w:lastRenderedPageBreak/>
        <w:t xml:space="preserve">conformación </w:t>
      </w:r>
      <w:r>
        <w:rPr>
          <w:sz w:val="24"/>
          <w:szCs w:val="24"/>
        </w:rPr>
        <w:t xml:space="preserve">histórica del Estado colombiano, que ha </w:t>
      </w:r>
      <w:r w:rsidRPr="00C65179">
        <w:rPr>
          <w:sz w:val="24"/>
          <w:szCs w:val="24"/>
        </w:rPr>
        <w:t>lleva</w:t>
      </w:r>
      <w:r>
        <w:rPr>
          <w:sz w:val="24"/>
          <w:szCs w:val="24"/>
        </w:rPr>
        <w:t>do</w:t>
      </w:r>
      <w:r w:rsidRPr="00C65179">
        <w:rPr>
          <w:sz w:val="24"/>
          <w:szCs w:val="24"/>
        </w:rPr>
        <w:t xml:space="preserve"> al fortalecimiento de uno de los actores de la guerra y al incremento del desarraigo. Reconociendo las virtudes del recurso a Arendt, advertimos sobre los riesgos de derivar de dicha argumentación la necesidad de fortalecimiento o legitimación del Estado. </w:t>
      </w:r>
    </w:p>
    <w:p w:rsidR="00B955E1" w:rsidRPr="00C65179" w:rsidRDefault="00B955E1" w:rsidP="00B955E1">
      <w:pPr>
        <w:tabs>
          <w:tab w:val="left" w:pos="1440"/>
        </w:tabs>
        <w:spacing w:line="360" w:lineRule="auto"/>
        <w:rPr>
          <w:sz w:val="24"/>
          <w:szCs w:val="24"/>
        </w:rPr>
      </w:pPr>
      <w:r>
        <w:rPr>
          <w:sz w:val="24"/>
          <w:szCs w:val="24"/>
        </w:rPr>
        <w:t>A su vez, l</w:t>
      </w:r>
      <w:r w:rsidRPr="00C65179">
        <w:rPr>
          <w:sz w:val="24"/>
          <w:szCs w:val="24"/>
        </w:rPr>
        <w:t>a significación social e i</w:t>
      </w:r>
      <w:r>
        <w:rPr>
          <w:sz w:val="24"/>
          <w:szCs w:val="24"/>
        </w:rPr>
        <w:t xml:space="preserve">nstitucional del desplazamiento, </w:t>
      </w:r>
      <w:r w:rsidRPr="00C65179">
        <w:rPr>
          <w:sz w:val="24"/>
          <w:szCs w:val="24"/>
        </w:rPr>
        <w:t>condujo a que la Corte Constitucional ordenara el diseño de una política gubernamental de atención mediante la Sentencia T-025 de 2004. Además, emitió varios Autos en los que se destaca la especial protección y atención que deben tener poblaciones específicas como la indígena, la afrodescendiente, la de personas en situación de discapacidad … llevando así a la precisión del enfoque diferencial para la garantía de los derechos de las víctimas</w:t>
      </w:r>
      <w:r w:rsidRPr="00C65179">
        <w:rPr>
          <w:rStyle w:val="Refdenotaalpie"/>
          <w:sz w:val="24"/>
          <w:szCs w:val="24"/>
        </w:rPr>
        <w:footnoteReference w:id="9"/>
      </w:r>
      <w:r w:rsidRPr="00C65179">
        <w:rPr>
          <w:sz w:val="24"/>
          <w:szCs w:val="24"/>
        </w:rPr>
        <w:t xml:space="preserve">.    </w:t>
      </w:r>
    </w:p>
    <w:p w:rsidR="00B955E1" w:rsidRPr="00C65179" w:rsidRDefault="00B955E1" w:rsidP="00B955E1">
      <w:pPr>
        <w:tabs>
          <w:tab w:val="left" w:pos="1440"/>
        </w:tabs>
        <w:spacing w:line="360" w:lineRule="auto"/>
        <w:rPr>
          <w:sz w:val="24"/>
          <w:szCs w:val="24"/>
        </w:rPr>
      </w:pPr>
      <w:r w:rsidRPr="00C65179">
        <w:rPr>
          <w:sz w:val="24"/>
          <w:szCs w:val="24"/>
        </w:rPr>
        <w:t>Estas consideraciones permiten plantear en síntesis como elementos centrales del bagaje conceptual de aproximación al fenómeno:</w:t>
      </w:r>
    </w:p>
    <w:p w:rsidR="00B955E1" w:rsidRPr="007E3352" w:rsidRDefault="00B955E1" w:rsidP="007E3352">
      <w:pPr>
        <w:pStyle w:val="Prrafodelista"/>
        <w:numPr>
          <w:ilvl w:val="0"/>
          <w:numId w:val="36"/>
        </w:numPr>
        <w:tabs>
          <w:tab w:val="left" w:pos="1440"/>
        </w:tabs>
        <w:spacing w:after="120" w:line="360" w:lineRule="auto"/>
        <w:rPr>
          <w:sz w:val="24"/>
          <w:szCs w:val="24"/>
        </w:rPr>
      </w:pPr>
      <w:r w:rsidRPr="007E3352">
        <w:rPr>
          <w:sz w:val="24"/>
          <w:szCs w:val="24"/>
        </w:rPr>
        <w:t xml:space="preserve">La diferencia entre desplazamiento (entendido como cambio forzado de lugar de residencia y trabajo, por acciones relacionadas con la real o potencial vulneración a derechos humanos) y desarraigo (entendido como la ruptura de tejidos vitales de carácter físico, social, económico, cultural y político generado en proceso de sometimiento y explotación de unas poblaciones con respecto a otras). </w:t>
      </w:r>
    </w:p>
    <w:p w:rsidR="00B955E1" w:rsidRPr="007E3352" w:rsidRDefault="00B955E1" w:rsidP="007E3352">
      <w:pPr>
        <w:pStyle w:val="Prrafodelista"/>
        <w:numPr>
          <w:ilvl w:val="0"/>
          <w:numId w:val="36"/>
        </w:numPr>
        <w:tabs>
          <w:tab w:val="left" w:pos="1440"/>
        </w:tabs>
        <w:spacing w:after="120" w:line="360" w:lineRule="auto"/>
        <w:rPr>
          <w:sz w:val="24"/>
          <w:szCs w:val="24"/>
        </w:rPr>
      </w:pPr>
      <w:r w:rsidRPr="007E3352">
        <w:rPr>
          <w:sz w:val="24"/>
          <w:szCs w:val="24"/>
        </w:rPr>
        <w:t xml:space="preserve">La “perspectiva de derechos” al considerar el desarraigo y por tanto el desplazamiento en él implícito, como una vulneración a los derechos humanos </w:t>
      </w:r>
    </w:p>
    <w:p w:rsidR="00B955E1" w:rsidRPr="007E3352" w:rsidRDefault="00B955E1" w:rsidP="007E3352">
      <w:pPr>
        <w:pStyle w:val="Prrafodelista"/>
        <w:numPr>
          <w:ilvl w:val="0"/>
          <w:numId w:val="36"/>
        </w:numPr>
        <w:tabs>
          <w:tab w:val="left" w:pos="1440"/>
        </w:tabs>
        <w:spacing w:after="120" w:line="360" w:lineRule="auto"/>
        <w:rPr>
          <w:sz w:val="24"/>
          <w:szCs w:val="24"/>
        </w:rPr>
      </w:pPr>
      <w:r w:rsidRPr="007E3352">
        <w:rPr>
          <w:sz w:val="24"/>
          <w:szCs w:val="24"/>
        </w:rPr>
        <w:t>La necesidad de diferenciación y precisión de actores evitando caer en la explicación simplista del conflicto armado interno protagonizado únicamente por ejércitos que en su guerra traerían como efecto secundario la afectación a población civil. En cambio, se propone una visión más amplia y compleja de actores que permita abordar la pluralidad de intereses implícitos en las dinámicas del desarraigo.</w:t>
      </w:r>
    </w:p>
    <w:p w:rsidR="00B955E1" w:rsidRPr="007E3352" w:rsidRDefault="00B955E1" w:rsidP="007E3352">
      <w:pPr>
        <w:pStyle w:val="Prrafodelista"/>
        <w:numPr>
          <w:ilvl w:val="0"/>
          <w:numId w:val="36"/>
        </w:numPr>
        <w:tabs>
          <w:tab w:val="left" w:pos="1440"/>
        </w:tabs>
        <w:spacing w:after="120" w:line="360" w:lineRule="auto"/>
        <w:rPr>
          <w:sz w:val="24"/>
          <w:szCs w:val="24"/>
        </w:rPr>
      </w:pPr>
      <w:r w:rsidRPr="007E3352">
        <w:rPr>
          <w:sz w:val="24"/>
          <w:szCs w:val="24"/>
        </w:rPr>
        <w:t xml:space="preserve">El requerimiento del enfoque diverso y diferencial que permita caracterizar con suficiente profundidad las dinámicas, actores del desarraigo en las regiones, así como s étnico, así como las expresiones en comunidades étnicas, grupos etarios, el género y de las personas en situación de discapacidad, en aras de fundamentar, en consecuencia, acciones de política pública social y estatal. </w:t>
      </w:r>
    </w:p>
    <w:p w:rsidR="00B955E1" w:rsidRPr="00470FDF" w:rsidRDefault="00B955E1" w:rsidP="00B955E1">
      <w:pPr>
        <w:tabs>
          <w:tab w:val="left" w:pos="1440"/>
        </w:tabs>
        <w:spacing w:line="360" w:lineRule="auto"/>
        <w:rPr>
          <w:sz w:val="24"/>
          <w:szCs w:val="24"/>
        </w:rPr>
      </w:pPr>
      <w:r>
        <w:rPr>
          <w:sz w:val="24"/>
          <w:szCs w:val="24"/>
        </w:rPr>
        <w:lastRenderedPageBreak/>
        <w:t>Otro eje fundamental en el entramado conceptual de este trabajo gira en torno a la  categoría de “territorio”. Se ha analizado la torre de babel que se presenta en la comprensión del territorio</w:t>
      </w:r>
      <w:sdt>
        <w:sdtPr>
          <w:rPr>
            <w:sz w:val="24"/>
            <w:szCs w:val="24"/>
          </w:rPr>
          <w:id w:val="1855538386"/>
          <w:citation/>
        </w:sdtPr>
        <w:sdtContent>
          <w:r w:rsidR="00E87AE6">
            <w:rPr>
              <w:sz w:val="24"/>
              <w:szCs w:val="24"/>
            </w:rPr>
            <w:fldChar w:fldCharType="begin"/>
          </w:r>
          <w:r>
            <w:rPr>
              <w:sz w:val="24"/>
              <w:szCs w:val="24"/>
              <w:lang w:val="es-CO"/>
            </w:rPr>
            <w:instrText xml:space="preserve">CITATION Fab \l 9226 </w:instrText>
          </w:r>
          <w:r w:rsidR="00E87AE6">
            <w:rPr>
              <w:sz w:val="24"/>
              <w:szCs w:val="24"/>
            </w:rPr>
            <w:fldChar w:fldCharType="separate"/>
          </w:r>
          <w:r w:rsidR="004B4433" w:rsidRPr="004B4433">
            <w:rPr>
              <w:noProof/>
              <w:sz w:val="24"/>
              <w:szCs w:val="24"/>
              <w:lang w:val="es-CO"/>
            </w:rPr>
            <w:t>(Lozano &amp; Ferro , Las Configuraciones de los Territorios Rurales en el Siglo XXI, 2009)</w:t>
          </w:r>
          <w:r w:rsidR="00E87AE6">
            <w:rPr>
              <w:sz w:val="24"/>
              <w:szCs w:val="24"/>
            </w:rPr>
            <w:fldChar w:fldCharType="end"/>
          </w:r>
        </w:sdtContent>
      </w:sdt>
      <w:r>
        <w:rPr>
          <w:sz w:val="24"/>
          <w:szCs w:val="24"/>
        </w:rPr>
        <w:t xml:space="preserve"> y el investigador principal de este proyecto, ha propuesto pedagógicamente hacer la diferencia entre los términos tierra, terreno, territorio y terruño como expresiones que recogen diferentes usos del concepto. Sin embargo, más allá de la deconstrucción de los significados lingüísticos escondidos en el uso que desde diversas disciplinas como la biología, la ecología, las ciencias políticas, la geografía, la antropología, se da al concepto, se requiere asumir las características que las relaciones de territorialidad implican entre las que caben resaltar las señaladas en la obra clásica de Gottmann: </w:t>
      </w:r>
      <w:r w:rsidRPr="003B74C9">
        <w:rPr>
          <w:sz w:val="24"/>
          <w:szCs w:val="24"/>
        </w:rPr>
        <w:t>soberanía, totalidad, multidimensionalidad, pluriescalaridad, intencionalidad y conflictualidad</w:t>
      </w:r>
      <w:sdt>
        <w:sdtPr>
          <w:rPr>
            <w:sz w:val="24"/>
            <w:szCs w:val="24"/>
          </w:rPr>
          <w:id w:val="743533675"/>
          <w:citation/>
        </w:sdtPr>
        <w:sdtContent>
          <w:r w:rsidR="00E87AE6">
            <w:rPr>
              <w:sz w:val="24"/>
              <w:szCs w:val="24"/>
            </w:rPr>
            <w:fldChar w:fldCharType="begin"/>
          </w:r>
          <w:r>
            <w:rPr>
              <w:sz w:val="24"/>
              <w:szCs w:val="24"/>
              <w:lang w:val="es-CO"/>
            </w:rPr>
            <w:instrText xml:space="preserve"> CITATION Jea73 \l 9226 </w:instrText>
          </w:r>
          <w:r w:rsidR="00E87AE6">
            <w:rPr>
              <w:sz w:val="24"/>
              <w:szCs w:val="24"/>
            </w:rPr>
            <w:fldChar w:fldCharType="separate"/>
          </w:r>
          <w:r w:rsidR="004B4433" w:rsidRPr="004B4433">
            <w:rPr>
              <w:noProof/>
              <w:sz w:val="24"/>
              <w:szCs w:val="24"/>
              <w:lang w:val="es-CO"/>
            </w:rPr>
            <w:t>(Gottmann, 1973)</w:t>
          </w:r>
          <w:r w:rsidR="00E87AE6">
            <w:rPr>
              <w:sz w:val="24"/>
              <w:szCs w:val="24"/>
            </w:rPr>
            <w:fldChar w:fldCharType="end"/>
          </w:r>
        </w:sdtContent>
      </w:sdt>
      <w:r>
        <w:rPr>
          <w:sz w:val="24"/>
          <w:szCs w:val="24"/>
        </w:rPr>
        <w:t xml:space="preserve"> e igualmente las visibilizadas por Lozano: </w:t>
      </w:r>
      <w:r w:rsidRPr="00470FDF">
        <w:rPr>
          <w:sz w:val="24"/>
          <w:szCs w:val="24"/>
        </w:rPr>
        <w:t xml:space="preserve">la intersubjetividad (que incluye los sujetos humanos pero también otros sujetos naturales), la dinamicidad (que implica incertidumbre, cambios, yuxtaposiciones conflictivas, emergencias, desapariciones, trasformaciones), la conflictividad (como enfrentamiento de intereses de diferente orden en un mismo momento y </w:t>
      </w:r>
      <w:r>
        <w:rPr>
          <w:sz w:val="24"/>
          <w:szCs w:val="24"/>
        </w:rPr>
        <w:t>proceso ecopolítico</w:t>
      </w:r>
      <w:r w:rsidRPr="00470FDF">
        <w:rPr>
          <w:sz w:val="24"/>
          <w:szCs w:val="24"/>
        </w:rPr>
        <w:t xml:space="preserve">). </w:t>
      </w:r>
      <w:sdt>
        <w:sdtPr>
          <w:rPr>
            <w:sz w:val="24"/>
            <w:szCs w:val="24"/>
          </w:rPr>
          <w:id w:val="-1051298885"/>
          <w:citation/>
        </w:sdtPr>
        <w:sdtContent>
          <w:r w:rsidR="00E87AE6">
            <w:rPr>
              <w:sz w:val="24"/>
              <w:szCs w:val="24"/>
            </w:rPr>
            <w:fldChar w:fldCharType="begin"/>
          </w:r>
          <w:r>
            <w:rPr>
              <w:sz w:val="24"/>
              <w:szCs w:val="24"/>
              <w:lang w:val="es-CO"/>
            </w:rPr>
            <w:instrText xml:space="preserve"> CITATION Loz09 \l 9226 </w:instrText>
          </w:r>
          <w:r w:rsidR="00E87AE6">
            <w:rPr>
              <w:sz w:val="24"/>
              <w:szCs w:val="24"/>
            </w:rPr>
            <w:fldChar w:fldCharType="separate"/>
          </w:r>
          <w:r w:rsidR="004B4433" w:rsidRPr="004B4433">
            <w:rPr>
              <w:noProof/>
              <w:sz w:val="24"/>
              <w:szCs w:val="24"/>
              <w:lang w:val="es-CO"/>
            </w:rPr>
            <w:t>(Lozano, Prologo, 2009)</w:t>
          </w:r>
          <w:r w:rsidR="00E87AE6">
            <w:rPr>
              <w:sz w:val="24"/>
              <w:szCs w:val="24"/>
            </w:rPr>
            <w:fldChar w:fldCharType="end"/>
          </w:r>
        </w:sdtContent>
      </w:sdt>
      <w:r>
        <w:rPr>
          <w:sz w:val="24"/>
          <w:szCs w:val="24"/>
        </w:rPr>
        <w:t xml:space="preserve">.  </w:t>
      </w:r>
    </w:p>
    <w:p w:rsidR="00B955E1" w:rsidRDefault="00B955E1" w:rsidP="00B955E1">
      <w:pPr>
        <w:tabs>
          <w:tab w:val="left" w:pos="1440"/>
        </w:tabs>
        <w:spacing w:line="360" w:lineRule="auto"/>
        <w:rPr>
          <w:sz w:val="24"/>
          <w:szCs w:val="24"/>
        </w:rPr>
      </w:pPr>
    </w:p>
    <w:p w:rsidR="00B955E1" w:rsidRDefault="00B955E1" w:rsidP="00B955E1">
      <w:pPr>
        <w:tabs>
          <w:tab w:val="left" w:pos="1440"/>
        </w:tabs>
        <w:spacing w:line="360" w:lineRule="auto"/>
        <w:rPr>
          <w:sz w:val="24"/>
          <w:szCs w:val="24"/>
        </w:rPr>
      </w:pPr>
      <w:r w:rsidRPr="00470FDF">
        <w:rPr>
          <w:sz w:val="24"/>
          <w:szCs w:val="24"/>
        </w:rPr>
        <w:t xml:space="preserve">En efecto, la categoría territorios nos conduce a un concepto polisémico en el que se pueden incluir tanto la consideración de la complejidad de las relaciones ecosistémicas de las cuales nos hablan especialmente los teóricos de las ciencias biológicas, como la defensa de la vida en términos planetarios en mirada alternativa a la imposición de estados y modos de poder depredadores en las que se mueve la ecología política; pero también la concepción de afirmación de identidades y de significaciones simbólicas de pertenencia a los territorios que se expresa en los movimientos aborígenes. En síntesis la categoría de territorios nos conduce a la colisión conflictiva de relaciones de carácter biológico, económico, político, cultural y social ubicadas espacial y temporalmente. </w:t>
      </w:r>
    </w:p>
    <w:p w:rsidR="00B955E1" w:rsidRPr="00470FDF" w:rsidRDefault="00B955E1" w:rsidP="00B955E1">
      <w:pPr>
        <w:tabs>
          <w:tab w:val="left" w:pos="1440"/>
        </w:tabs>
        <w:spacing w:line="360" w:lineRule="auto"/>
        <w:rPr>
          <w:sz w:val="24"/>
          <w:szCs w:val="24"/>
        </w:rPr>
      </w:pPr>
      <w:r w:rsidRPr="00470FDF">
        <w:rPr>
          <w:sz w:val="24"/>
          <w:szCs w:val="24"/>
        </w:rPr>
        <w:t xml:space="preserve">En el momento actual colombiano la categoría territorio abarca tanto la disputa de carácter militar emprendida por actores que defienden legitimidades legales e ilegales y que desarrollan estrategias de invasión, enfrentamiento, desprestigio, persecución, etc. con el ánimo de consolidar poderes o por lo menos evitar que el considerado “enemigo” logre </w:t>
      </w:r>
      <w:r w:rsidRPr="00470FDF">
        <w:rPr>
          <w:sz w:val="24"/>
          <w:szCs w:val="24"/>
        </w:rPr>
        <w:lastRenderedPageBreak/>
        <w:t>ejercer eficientemente su poder en espacios socio-políticos determinados; como la defensa de determinadas formas de producción y reproducción social por garantizar su permanencia o su hegemonía (Por ejemplo producción campesina frente a producción agroindustrial o de gran minería); como la reivindicación de derechos ancestrales de carácter colectivo frente a las imposiciones de soberanía de estados-nación al servicio de pequeñas élites nacionales y extranjeras.  Dentro de esta disputa territorial se incluye, como uno de los aspectos integrantes, el conflicto por la propiedad y el uso de la tierra, que ha acompañado de manera radicalmente violenta la construcción de la historia y la estructura social colombiana, sin haber nunca logrado una solución aceptable.</w:t>
      </w:r>
    </w:p>
    <w:p w:rsidR="00B955E1" w:rsidRPr="00470FDF" w:rsidRDefault="00B955E1" w:rsidP="00B955E1">
      <w:pPr>
        <w:tabs>
          <w:tab w:val="left" w:pos="1440"/>
        </w:tabs>
        <w:spacing w:line="360" w:lineRule="auto"/>
        <w:rPr>
          <w:sz w:val="24"/>
          <w:szCs w:val="24"/>
        </w:rPr>
      </w:pPr>
      <w:r w:rsidRPr="00470FDF">
        <w:rPr>
          <w:sz w:val="24"/>
          <w:szCs w:val="24"/>
        </w:rPr>
        <w:t xml:space="preserve">Las conversaciones para la finalización del conflicto en La Habana y las que se logren establecer con los miembros del ELN, incluyen los aspectos señalados. La sociedad deberá abordarlos incluso más allá, más profundamente y más activamente de lo que se logré en los acuerdos sobre la mesa y en las posibles reformas legales que les seguirán. De hecho desde largos lustros miles de personas han estado construyendo territorios para darle sentido a sus vidas en forma colectiva. </w:t>
      </w:r>
    </w:p>
    <w:p w:rsidR="00B955E1" w:rsidRPr="00470FDF" w:rsidRDefault="00B955E1" w:rsidP="00B955E1">
      <w:pPr>
        <w:tabs>
          <w:tab w:val="left" w:pos="1440"/>
        </w:tabs>
        <w:spacing w:line="360" w:lineRule="auto"/>
        <w:rPr>
          <w:sz w:val="24"/>
          <w:szCs w:val="24"/>
        </w:rPr>
      </w:pPr>
      <w:r w:rsidRPr="00470FDF">
        <w:rPr>
          <w:sz w:val="24"/>
          <w:szCs w:val="24"/>
        </w:rPr>
        <w:t>Muchos han emprendido la construcción de “territorios de paz”, de “territorios de jóvenes”, de territorios étnicos, de zonas de reserva campesina, etc. todos los cuales surgen desde l</w:t>
      </w:r>
      <w:r>
        <w:rPr>
          <w:sz w:val="24"/>
          <w:szCs w:val="24"/>
        </w:rPr>
        <w:t>as experiencias históricas de</w:t>
      </w:r>
      <w:r w:rsidRPr="00470FDF">
        <w:rPr>
          <w:sz w:val="24"/>
          <w:szCs w:val="24"/>
        </w:rPr>
        <w:t xml:space="preserve"> violencia y agresión, desde las vulneraciones a la dignidad y la vida hechas por los que se pretenden conquistadores y dominadores. Ello lleva a la identificación de “territorios de la diferencia” (Escobar, 2010) que más que a definiciones conceptuales abstractas nos lleva a la comprensión de dinámicas sociales que articuladas con la realidad biogeográfica constituye formas de afirmación y reivindicación de la dignidad de colectivos en lugares y momentos específicos mediante redes y movimientos soci</w:t>
      </w:r>
      <w:r>
        <w:rPr>
          <w:sz w:val="24"/>
          <w:szCs w:val="24"/>
        </w:rPr>
        <w:t>a</w:t>
      </w:r>
      <w:r w:rsidRPr="00470FDF">
        <w:rPr>
          <w:sz w:val="24"/>
          <w:szCs w:val="24"/>
        </w:rPr>
        <w:t>les</w:t>
      </w:r>
      <w:r>
        <w:rPr>
          <w:sz w:val="24"/>
          <w:szCs w:val="24"/>
        </w:rPr>
        <w:t>.</w:t>
      </w:r>
    </w:p>
    <w:p w:rsidR="002D7509" w:rsidRDefault="002D7509" w:rsidP="002D7509">
      <w:pPr>
        <w:pStyle w:val="Ttulo2"/>
      </w:pPr>
      <w:bookmarkStart w:id="12" w:name="_Toc395874735"/>
      <w:r>
        <w:t>Contribución del proyecto a las líneas de investigación del grupo</w:t>
      </w:r>
      <w:bookmarkEnd w:id="12"/>
    </w:p>
    <w:p w:rsidR="00B955E1" w:rsidRDefault="002D7509" w:rsidP="00B955E1">
      <w:pPr>
        <w:suppressAutoHyphens/>
        <w:autoSpaceDN w:val="0"/>
        <w:spacing w:line="360" w:lineRule="auto"/>
        <w:textAlignment w:val="baseline"/>
        <w:rPr>
          <w:color w:val="000000"/>
          <w:sz w:val="24"/>
          <w:szCs w:val="24"/>
        </w:rPr>
      </w:pPr>
      <w:r>
        <w:rPr>
          <w:color w:val="000000"/>
          <w:sz w:val="24"/>
          <w:szCs w:val="24"/>
        </w:rPr>
        <w:t>Este proyecto contribuye de manera medular a dos de las líneas del Grupo de investigación a saber: Política, Conflicto y Democracia y Desarrollo, Políticas Públicas y Planeación participativa en la medida en que estas pretenden:</w:t>
      </w:r>
    </w:p>
    <w:p w:rsidR="002D7509" w:rsidRPr="002D7509" w:rsidRDefault="002D7509" w:rsidP="002D7509">
      <w:pPr>
        <w:pStyle w:val="Prrafodelista"/>
        <w:numPr>
          <w:ilvl w:val="0"/>
          <w:numId w:val="29"/>
        </w:numPr>
        <w:suppressAutoHyphens/>
        <w:autoSpaceDN w:val="0"/>
        <w:spacing w:line="360" w:lineRule="auto"/>
        <w:textAlignment w:val="baseline"/>
        <w:rPr>
          <w:color w:val="000000"/>
          <w:sz w:val="24"/>
          <w:szCs w:val="24"/>
        </w:rPr>
      </w:pPr>
      <w:r>
        <w:rPr>
          <w:color w:val="000000"/>
          <w:sz w:val="24"/>
          <w:szCs w:val="24"/>
        </w:rPr>
        <w:t>Realizar una“</w:t>
      </w:r>
      <w:r w:rsidRPr="002D7509">
        <w:rPr>
          <w:color w:val="000000"/>
          <w:sz w:val="24"/>
          <w:szCs w:val="24"/>
        </w:rPr>
        <w:t>comprensión transformadora de la complejidad del(os) conflicto(s) social(es) abordando tanto su concepto y  naturaleza como las dinámicas y relaciones del mismo en la actualidad</w:t>
      </w:r>
      <w:r>
        <w:rPr>
          <w:color w:val="000000"/>
          <w:sz w:val="24"/>
          <w:szCs w:val="24"/>
        </w:rPr>
        <w:t>”</w:t>
      </w:r>
      <w:r w:rsidRPr="002D7509">
        <w:rPr>
          <w:color w:val="000000"/>
          <w:sz w:val="24"/>
          <w:szCs w:val="24"/>
        </w:rPr>
        <w:t>.</w:t>
      </w:r>
    </w:p>
    <w:p w:rsidR="002D7509" w:rsidRDefault="002D7509" w:rsidP="002D7509">
      <w:pPr>
        <w:pStyle w:val="Prrafodelista"/>
        <w:numPr>
          <w:ilvl w:val="0"/>
          <w:numId w:val="29"/>
        </w:numPr>
        <w:suppressAutoHyphens/>
        <w:autoSpaceDN w:val="0"/>
        <w:spacing w:line="360" w:lineRule="auto"/>
        <w:textAlignment w:val="baseline"/>
        <w:rPr>
          <w:color w:val="000000"/>
          <w:sz w:val="24"/>
          <w:szCs w:val="24"/>
        </w:rPr>
      </w:pPr>
      <w:r>
        <w:rPr>
          <w:color w:val="000000"/>
          <w:sz w:val="24"/>
          <w:szCs w:val="24"/>
        </w:rPr>
        <w:lastRenderedPageBreak/>
        <w:t>I</w:t>
      </w:r>
      <w:r w:rsidRPr="002D7509">
        <w:rPr>
          <w:color w:val="000000"/>
          <w:sz w:val="24"/>
          <w:szCs w:val="24"/>
        </w:rPr>
        <w:t xml:space="preserve">dentificar </w:t>
      </w:r>
      <w:r>
        <w:rPr>
          <w:color w:val="000000"/>
          <w:sz w:val="24"/>
          <w:szCs w:val="24"/>
        </w:rPr>
        <w:t>modelos “</w:t>
      </w:r>
      <w:r w:rsidRPr="002D7509">
        <w:rPr>
          <w:color w:val="000000"/>
          <w:sz w:val="24"/>
          <w:szCs w:val="24"/>
        </w:rPr>
        <w:t>de desarrollo  que sea</w:t>
      </w:r>
      <w:r>
        <w:rPr>
          <w:color w:val="000000"/>
          <w:sz w:val="24"/>
          <w:szCs w:val="24"/>
        </w:rPr>
        <w:t>n</w:t>
      </w:r>
      <w:r w:rsidRPr="002D7509">
        <w:rPr>
          <w:color w:val="000000"/>
          <w:sz w:val="24"/>
          <w:szCs w:val="24"/>
        </w:rPr>
        <w:t xml:space="preserve"> correspondido</w:t>
      </w:r>
      <w:r>
        <w:rPr>
          <w:color w:val="000000"/>
          <w:sz w:val="24"/>
          <w:szCs w:val="24"/>
        </w:rPr>
        <w:t>s</w:t>
      </w:r>
      <w:r w:rsidRPr="002D7509">
        <w:rPr>
          <w:color w:val="000000"/>
          <w:sz w:val="24"/>
          <w:szCs w:val="24"/>
        </w:rPr>
        <w:t xml:space="preserve"> y potenciado</w:t>
      </w:r>
      <w:r>
        <w:rPr>
          <w:color w:val="000000"/>
          <w:sz w:val="24"/>
          <w:szCs w:val="24"/>
        </w:rPr>
        <w:t>s</w:t>
      </w:r>
      <w:r w:rsidRPr="002D7509">
        <w:rPr>
          <w:color w:val="000000"/>
          <w:sz w:val="24"/>
          <w:szCs w:val="24"/>
        </w:rPr>
        <w:t xml:space="preserve"> en unas políticas y en unas maneras de planificar  enfocadas a la disminución de la inequidad social y la pobreza, a la construcción de ciudadanía en socio-territorios</w:t>
      </w:r>
      <w:r>
        <w:rPr>
          <w:color w:val="000000"/>
          <w:sz w:val="24"/>
          <w:szCs w:val="24"/>
        </w:rPr>
        <w:t>”</w:t>
      </w:r>
      <w:r w:rsidRPr="002D7509">
        <w:rPr>
          <w:color w:val="000000"/>
          <w:sz w:val="24"/>
          <w:szCs w:val="24"/>
        </w:rPr>
        <w:t>.</w:t>
      </w:r>
    </w:p>
    <w:p w:rsidR="00C65179" w:rsidRPr="001232DD" w:rsidRDefault="00C65179" w:rsidP="001232DD">
      <w:pPr>
        <w:pStyle w:val="Ttulo2"/>
      </w:pPr>
      <w:bookmarkStart w:id="13" w:name="_Toc395874736"/>
      <w:r w:rsidRPr="001232DD">
        <w:t>Metodología</w:t>
      </w:r>
      <w:bookmarkEnd w:id="13"/>
    </w:p>
    <w:p w:rsidR="00F91D93" w:rsidRDefault="00F91D93" w:rsidP="00C65179">
      <w:pPr>
        <w:widowControl w:val="0"/>
        <w:spacing w:line="360" w:lineRule="auto"/>
        <w:rPr>
          <w:color w:val="000000"/>
          <w:sz w:val="24"/>
          <w:szCs w:val="24"/>
        </w:rPr>
      </w:pPr>
      <w:r>
        <w:rPr>
          <w:color w:val="000000"/>
          <w:sz w:val="24"/>
          <w:szCs w:val="24"/>
        </w:rPr>
        <w:t>Para lograr los objetivos planteados en este proyecto se desarrollaran contemporánea y articuladamente dos procesos metodológicos:</w:t>
      </w:r>
    </w:p>
    <w:p w:rsidR="00F91D93" w:rsidRDefault="0078087D" w:rsidP="00F91D93">
      <w:pPr>
        <w:pStyle w:val="Prrafodelista"/>
        <w:widowControl w:val="0"/>
        <w:numPr>
          <w:ilvl w:val="0"/>
          <w:numId w:val="28"/>
        </w:numPr>
        <w:spacing w:line="360" w:lineRule="auto"/>
        <w:rPr>
          <w:color w:val="000000"/>
          <w:sz w:val="24"/>
          <w:szCs w:val="24"/>
        </w:rPr>
      </w:pPr>
      <w:r>
        <w:rPr>
          <w:color w:val="000000"/>
          <w:sz w:val="24"/>
          <w:szCs w:val="24"/>
        </w:rPr>
        <w:t xml:space="preserve"> U</w:t>
      </w:r>
      <w:r w:rsidR="00F91D93" w:rsidRPr="00F91D93">
        <w:rPr>
          <w:color w:val="000000"/>
          <w:sz w:val="24"/>
          <w:szCs w:val="24"/>
        </w:rPr>
        <w:t xml:space="preserve">n proceso de monitoreo del desplazamiento </w:t>
      </w:r>
      <w:r w:rsidR="00F91D93">
        <w:rPr>
          <w:color w:val="000000"/>
          <w:sz w:val="24"/>
          <w:szCs w:val="24"/>
        </w:rPr>
        <w:t>a nivel nacional</w:t>
      </w:r>
    </w:p>
    <w:p w:rsidR="00C65179" w:rsidRDefault="00F91D93" w:rsidP="00F91D93">
      <w:pPr>
        <w:widowControl w:val="0"/>
        <w:spacing w:line="360" w:lineRule="auto"/>
        <w:rPr>
          <w:color w:val="000000"/>
          <w:sz w:val="24"/>
          <w:szCs w:val="24"/>
        </w:rPr>
      </w:pPr>
      <w:r>
        <w:rPr>
          <w:color w:val="000000"/>
          <w:sz w:val="24"/>
          <w:szCs w:val="24"/>
          <w:lang w:val="es-CO"/>
        </w:rPr>
        <w:t>S</w:t>
      </w:r>
      <w:r w:rsidRPr="00F91D93">
        <w:rPr>
          <w:color w:val="000000"/>
          <w:sz w:val="24"/>
          <w:szCs w:val="24"/>
        </w:rPr>
        <w:t>erealizará</w:t>
      </w:r>
      <w:r w:rsidR="00A56C0A">
        <w:rPr>
          <w:color w:val="000000"/>
          <w:sz w:val="24"/>
          <w:szCs w:val="24"/>
        </w:rPr>
        <w:t>,</w:t>
      </w:r>
      <w:r w:rsidRPr="00F91D93">
        <w:rPr>
          <w:color w:val="000000"/>
          <w:sz w:val="24"/>
          <w:szCs w:val="24"/>
        </w:rPr>
        <w:t xml:space="preserve"> mediante el seguimiento y contrastación de diversas fuentes nacionales, regionales y locales</w:t>
      </w:r>
      <w:r>
        <w:rPr>
          <w:color w:val="000000"/>
          <w:sz w:val="24"/>
          <w:szCs w:val="24"/>
        </w:rPr>
        <w:t xml:space="preserve"> entre las que se cuentan</w:t>
      </w:r>
      <w:r w:rsidRPr="00F91D93">
        <w:rPr>
          <w:color w:val="000000"/>
          <w:sz w:val="24"/>
          <w:szCs w:val="24"/>
        </w:rPr>
        <w:t xml:space="preserve"> medios masivos de comunicación, medios alternativos de organizaciones y movimientos sociales y</w:t>
      </w:r>
      <w:r>
        <w:rPr>
          <w:color w:val="000000"/>
          <w:sz w:val="24"/>
          <w:szCs w:val="24"/>
        </w:rPr>
        <w:t xml:space="preserve"> seguimiento a los registros oficiales de víctimas. Esta información se recopila en una base de datos con tres componentes: </w:t>
      </w:r>
      <w:r w:rsidR="0078087D">
        <w:rPr>
          <w:color w:val="000000"/>
          <w:sz w:val="24"/>
          <w:szCs w:val="24"/>
        </w:rPr>
        <w:t xml:space="preserve">desplazamientos, dinámica de actores armados, vulneraciones a derechos humanos. </w:t>
      </w:r>
    </w:p>
    <w:p w:rsidR="0078087D" w:rsidRDefault="0078087D" w:rsidP="00F91D93">
      <w:pPr>
        <w:widowControl w:val="0"/>
        <w:spacing w:line="360" w:lineRule="auto"/>
        <w:rPr>
          <w:color w:val="000000"/>
          <w:sz w:val="24"/>
          <w:szCs w:val="24"/>
        </w:rPr>
      </w:pPr>
      <w:r>
        <w:rPr>
          <w:color w:val="000000"/>
          <w:sz w:val="24"/>
          <w:szCs w:val="24"/>
        </w:rPr>
        <w:t xml:space="preserve">Además se realizará una consulta a todas las personerías del país para tener una información de primera mano sobre los eventos de desplazamiento y algunas de las características de las víctimas, (edad, sexo, pertenencia étnica y lugares de origen). </w:t>
      </w:r>
    </w:p>
    <w:p w:rsidR="0078087D" w:rsidRDefault="0078087D" w:rsidP="00F91D93">
      <w:pPr>
        <w:widowControl w:val="0"/>
        <w:spacing w:line="360" w:lineRule="auto"/>
        <w:rPr>
          <w:color w:val="000000"/>
          <w:sz w:val="24"/>
          <w:szCs w:val="24"/>
        </w:rPr>
      </w:pPr>
    </w:p>
    <w:p w:rsidR="0078087D" w:rsidRDefault="0078087D" w:rsidP="00F91D93">
      <w:pPr>
        <w:widowControl w:val="0"/>
        <w:spacing w:line="360" w:lineRule="auto"/>
        <w:rPr>
          <w:color w:val="000000"/>
          <w:sz w:val="24"/>
          <w:szCs w:val="24"/>
        </w:rPr>
      </w:pPr>
      <w:r>
        <w:rPr>
          <w:color w:val="000000"/>
          <w:sz w:val="24"/>
          <w:szCs w:val="24"/>
        </w:rPr>
        <w:t xml:space="preserve">Con base de estas fuentes se estableceuna confrontación: </w:t>
      </w:r>
    </w:p>
    <w:p w:rsidR="0078087D" w:rsidRDefault="0078087D" w:rsidP="0078087D">
      <w:pPr>
        <w:pStyle w:val="Prrafodelista"/>
        <w:widowControl w:val="0"/>
        <w:numPr>
          <w:ilvl w:val="0"/>
          <w:numId w:val="34"/>
        </w:numPr>
        <w:spacing w:line="360" w:lineRule="auto"/>
        <w:rPr>
          <w:color w:val="000000"/>
          <w:sz w:val="24"/>
          <w:szCs w:val="24"/>
        </w:rPr>
      </w:pPr>
      <w:r>
        <w:rPr>
          <w:color w:val="000000"/>
          <w:sz w:val="24"/>
          <w:szCs w:val="24"/>
        </w:rPr>
        <w:t xml:space="preserve">Una matriz de información cuantitativa discriminada municipalmente y se genera un estimado del total de población desplazada según lugar de llegada. </w:t>
      </w:r>
    </w:p>
    <w:p w:rsidR="0078087D" w:rsidRDefault="0078087D" w:rsidP="0078087D">
      <w:pPr>
        <w:pStyle w:val="Prrafodelista"/>
        <w:widowControl w:val="0"/>
        <w:numPr>
          <w:ilvl w:val="0"/>
          <w:numId w:val="34"/>
        </w:numPr>
        <w:spacing w:line="360" w:lineRule="auto"/>
        <w:rPr>
          <w:color w:val="000000"/>
          <w:sz w:val="24"/>
          <w:szCs w:val="24"/>
        </w:rPr>
      </w:pPr>
      <w:r>
        <w:rPr>
          <w:color w:val="000000"/>
          <w:sz w:val="24"/>
          <w:szCs w:val="24"/>
        </w:rPr>
        <w:t>Ese estimado se analiza cualitativamente confrontando la información con los datos de dinámica de los actores armados y vulneraciones a los derechos humanos.</w:t>
      </w:r>
      <w:r w:rsidR="007F5331">
        <w:rPr>
          <w:color w:val="000000"/>
          <w:sz w:val="24"/>
          <w:szCs w:val="24"/>
        </w:rPr>
        <w:t xml:space="preserve"> (Producto: 2 boletines informativos de desplazamiento masivo)</w:t>
      </w:r>
    </w:p>
    <w:p w:rsidR="0078087D" w:rsidRDefault="0078087D" w:rsidP="0078087D">
      <w:pPr>
        <w:pStyle w:val="Prrafodelista"/>
        <w:widowControl w:val="0"/>
        <w:numPr>
          <w:ilvl w:val="0"/>
          <w:numId w:val="34"/>
        </w:numPr>
        <w:spacing w:line="360" w:lineRule="auto"/>
        <w:rPr>
          <w:color w:val="000000"/>
          <w:sz w:val="24"/>
          <w:szCs w:val="24"/>
        </w:rPr>
      </w:pPr>
      <w:r>
        <w:rPr>
          <w:color w:val="000000"/>
          <w:sz w:val="24"/>
          <w:szCs w:val="24"/>
        </w:rPr>
        <w:t xml:space="preserve">Los </w:t>
      </w:r>
      <w:r w:rsidR="007F5331">
        <w:rPr>
          <w:color w:val="000000"/>
          <w:sz w:val="24"/>
          <w:szCs w:val="24"/>
        </w:rPr>
        <w:t>datos</w:t>
      </w:r>
      <w:r>
        <w:rPr>
          <w:color w:val="000000"/>
          <w:sz w:val="24"/>
          <w:szCs w:val="24"/>
        </w:rPr>
        <w:t xml:space="preserve"> se confrontan y retroalimentan con </w:t>
      </w:r>
      <w:r w:rsidR="007F5331">
        <w:rPr>
          <w:color w:val="000000"/>
          <w:sz w:val="24"/>
          <w:szCs w:val="24"/>
        </w:rPr>
        <w:t>organizaciones regio</w:t>
      </w:r>
      <w:r>
        <w:rPr>
          <w:color w:val="000000"/>
          <w:sz w:val="24"/>
          <w:szCs w:val="24"/>
        </w:rPr>
        <w:t>n</w:t>
      </w:r>
      <w:r w:rsidR="007F5331">
        <w:rPr>
          <w:color w:val="000000"/>
          <w:sz w:val="24"/>
          <w:szCs w:val="24"/>
        </w:rPr>
        <w:t>a</w:t>
      </w:r>
      <w:r>
        <w:rPr>
          <w:color w:val="000000"/>
          <w:sz w:val="24"/>
          <w:szCs w:val="24"/>
        </w:rPr>
        <w:t>les y locales y se gen</w:t>
      </w:r>
      <w:r w:rsidR="007F5331">
        <w:rPr>
          <w:color w:val="000000"/>
          <w:sz w:val="24"/>
          <w:szCs w:val="24"/>
        </w:rPr>
        <w:t>era ent</w:t>
      </w:r>
      <w:r>
        <w:rPr>
          <w:color w:val="000000"/>
          <w:sz w:val="24"/>
          <w:szCs w:val="24"/>
        </w:rPr>
        <w:t xml:space="preserve">onces una lectura analítica de los hechos. </w:t>
      </w:r>
      <w:r w:rsidR="007F5331">
        <w:rPr>
          <w:color w:val="000000"/>
          <w:sz w:val="24"/>
          <w:szCs w:val="24"/>
        </w:rPr>
        <w:t>(Producto: Un informe anual de desplazamiento general)</w:t>
      </w:r>
    </w:p>
    <w:p w:rsidR="00FC66D1" w:rsidRDefault="007F5331" w:rsidP="00FC66D1">
      <w:pPr>
        <w:pStyle w:val="Prrafodelista"/>
        <w:widowControl w:val="0"/>
        <w:numPr>
          <w:ilvl w:val="0"/>
          <w:numId w:val="28"/>
        </w:numPr>
        <w:spacing w:line="360" w:lineRule="auto"/>
        <w:rPr>
          <w:color w:val="000000"/>
          <w:sz w:val="24"/>
          <w:szCs w:val="24"/>
        </w:rPr>
      </w:pPr>
      <w:r w:rsidRPr="007F5331">
        <w:rPr>
          <w:color w:val="000000"/>
          <w:sz w:val="24"/>
          <w:szCs w:val="24"/>
        </w:rPr>
        <w:t>Un análisis del caso del departamento de Chocó</w:t>
      </w:r>
    </w:p>
    <w:p w:rsidR="00FC66D1" w:rsidRDefault="00FC66D1" w:rsidP="00FC66D1">
      <w:pPr>
        <w:widowControl w:val="0"/>
        <w:spacing w:line="360" w:lineRule="auto"/>
        <w:rPr>
          <w:color w:val="000000"/>
          <w:sz w:val="24"/>
          <w:szCs w:val="24"/>
        </w:rPr>
      </w:pPr>
      <w:r>
        <w:rPr>
          <w:color w:val="000000"/>
          <w:sz w:val="24"/>
          <w:szCs w:val="24"/>
        </w:rPr>
        <w:t xml:space="preserve">Este análisis se realizará mediante un conversatorio permanente con grupos focales en la zona. Este ejercicio implica cuatro encuentros presenciales en el año con varios actores: iglesia católica, organizaciones sociales indígenas, organizaciones sociales afros, Ongs, funcionarios del Estado y miembros de la academia regional.   </w:t>
      </w:r>
    </w:p>
    <w:p w:rsidR="00FC66D1" w:rsidRDefault="00FC66D1" w:rsidP="00FC66D1">
      <w:pPr>
        <w:widowControl w:val="0"/>
        <w:spacing w:line="360" w:lineRule="auto"/>
        <w:rPr>
          <w:color w:val="000000"/>
          <w:sz w:val="24"/>
          <w:szCs w:val="24"/>
        </w:rPr>
      </w:pPr>
      <w:r>
        <w:rPr>
          <w:color w:val="000000"/>
          <w:sz w:val="24"/>
          <w:szCs w:val="24"/>
        </w:rPr>
        <w:lastRenderedPageBreak/>
        <w:t xml:space="preserve">Estos conversatorios tendrán la misión de: socializar la información existente sobre desplazamiento; analizar las características de la disputa territorial en el departamento a partir de la identificación de los actores, sus intereses, sus estrategias y sus relaciones; </w:t>
      </w:r>
      <w:r w:rsidR="007520B2">
        <w:rPr>
          <w:color w:val="000000"/>
          <w:sz w:val="24"/>
          <w:szCs w:val="24"/>
        </w:rPr>
        <w:t>determinar posibles formas de acción para el fortalecimiento de la afirmación de las territorialidades de comunidades indígenas y negras, de protección del ecosistema y de la garantía de los derechos de todos los pobladores.</w:t>
      </w:r>
    </w:p>
    <w:p w:rsidR="007520B2" w:rsidRDefault="007520B2" w:rsidP="00FC66D1">
      <w:pPr>
        <w:widowControl w:val="0"/>
        <w:spacing w:line="360" w:lineRule="auto"/>
        <w:rPr>
          <w:color w:val="000000"/>
          <w:sz w:val="24"/>
          <w:szCs w:val="24"/>
        </w:rPr>
      </w:pPr>
      <w:r>
        <w:rPr>
          <w:color w:val="000000"/>
          <w:sz w:val="24"/>
          <w:szCs w:val="24"/>
        </w:rPr>
        <w:t xml:space="preserve">Los análisis allí realizados se sistematizarán y se recogerán en un informe popular, dos artículos y un libro. </w:t>
      </w:r>
    </w:p>
    <w:p w:rsidR="006F69D3" w:rsidRDefault="006F69D3" w:rsidP="00FC66D1">
      <w:pPr>
        <w:widowControl w:val="0"/>
        <w:spacing w:line="360" w:lineRule="auto"/>
        <w:rPr>
          <w:color w:val="000000"/>
          <w:sz w:val="24"/>
          <w:szCs w:val="24"/>
        </w:rPr>
      </w:pPr>
      <w:r>
        <w:rPr>
          <w:color w:val="000000"/>
          <w:sz w:val="24"/>
          <w:szCs w:val="24"/>
        </w:rPr>
        <w:t>Para la realización de estas acciones se contará con</w:t>
      </w:r>
      <w:r w:rsidR="00C40E53">
        <w:rPr>
          <w:color w:val="000000"/>
          <w:sz w:val="24"/>
          <w:szCs w:val="24"/>
        </w:rPr>
        <w:t xml:space="preserve"> el siguiente personal: investigador principal con </w:t>
      </w:r>
      <w:r w:rsidR="003048BE">
        <w:rPr>
          <w:color w:val="000000"/>
          <w:sz w:val="24"/>
          <w:szCs w:val="24"/>
        </w:rPr>
        <w:t>10 horas</w:t>
      </w:r>
      <w:r w:rsidR="00C40E53">
        <w:rPr>
          <w:color w:val="000000"/>
          <w:sz w:val="24"/>
          <w:szCs w:val="24"/>
        </w:rPr>
        <w:t xml:space="preserve"> de dedicación; co-investigador con 10 horas de dedicación semanal; </w:t>
      </w:r>
      <w:r w:rsidR="00155528">
        <w:rPr>
          <w:color w:val="000000"/>
          <w:sz w:val="24"/>
          <w:szCs w:val="24"/>
        </w:rPr>
        <w:t xml:space="preserve">un </w:t>
      </w:r>
      <w:r w:rsidR="00C40E53">
        <w:rPr>
          <w:color w:val="000000"/>
          <w:sz w:val="24"/>
          <w:szCs w:val="24"/>
        </w:rPr>
        <w:t xml:space="preserve">auxiliar de investigación elegidos entre estudiantes y o recién egresados de la facultad de la facultad de Sociología de la Universidad Santo Tomás. </w:t>
      </w:r>
    </w:p>
    <w:p w:rsidR="002D7509" w:rsidRDefault="002D7509" w:rsidP="004B4433">
      <w:pPr>
        <w:pStyle w:val="Ttulo2"/>
      </w:pPr>
      <w:bookmarkStart w:id="14" w:name="_Toc395874737"/>
      <w:r w:rsidRPr="004B4433">
        <w:t>Resultados e impactos esperados</w:t>
      </w:r>
      <w:bookmarkEnd w:id="14"/>
    </w:p>
    <w:p w:rsidR="003964FB" w:rsidRPr="004E7B01" w:rsidRDefault="003964FB" w:rsidP="004E7B01">
      <w:pPr>
        <w:widowControl w:val="0"/>
        <w:spacing w:line="360" w:lineRule="auto"/>
        <w:rPr>
          <w:color w:val="000000"/>
          <w:sz w:val="24"/>
          <w:szCs w:val="24"/>
        </w:rPr>
      </w:pPr>
      <w:r w:rsidRPr="004E7B01">
        <w:rPr>
          <w:color w:val="000000"/>
          <w:sz w:val="24"/>
          <w:szCs w:val="24"/>
        </w:rPr>
        <w:t>En generación de nuevo conocimiento se espera tener como resultado la descripción y análisis actualizado de situación humanitaria relacionada con desplazamiento forzado</w:t>
      </w:r>
      <w:r w:rsidR="00421646" w:rsidRPr="004E7B01">
        <w:rPr>
          <w:color w:val="000000"/>
          <w:sz w:val="24"/>
          <w:szCs w:val="24"/>
        </w:rPr>
        <w:t xml:space="preserve">, registrando su evolución durante las conversaciones para la finalización del conflicto armado </w:t>
      </w:r>
      <w:r w:rsidRPr="004E7B01">
        <w:rPr>
          <w:color w:val="000000"/>
          <w:sz w:val="24"/>
          <w:szCs w:val="24"/>
        </w:rPr>
        <w:t xml:space="preserve"> y una identificación de dinámicas sociales de construcción de territorios  en el departamento del Chocó</w:t>
      </w:r>
      <w:r w:rsidR="00421646" w:rsidRPr="004E7B01">
        <w:rPr>
          <w:color w:val="000000"/>
          <w:sz w:val="24"/>
          <w:szCs w:val="24"/>
        </w:rPr>
        <w:t xml:space="preserve">. </w:t>
      </w:r>
      <w:r w:rsidR="00D467B8" w:rsidRPr="004E7B01">
        <w:rPr>
          <w:color w:val="000000"/>
          <w:sz w:val="24"/>
          <w:szCs w:val="24"/>
        </w:rPr>
        <w:t>Como</w:t>
      </w:r>
      <w:r w:rsidR="00421646" w:rsidRPr="004E7B01">
        <w:rPr>
          <w:color w:val="000000"/>
          <w:sz w:val="24"/>
          <w:szCs w:val="24"/>
        </w:rPr>
        <w:t xml:space="preserve"> impacto</w:t>
      </w:r>
      <w:r w:rsidR="00D467B8" w:rsidRPr="004E7B01">
        <w:rPr>
          <w:color w:val="000000"/>
          <w:sz w:val="24"/>
          <w:szCs w:val="24"/>
        </w:rPr>
        <w:t xml:space="preserve"> a mediano plazo se</w:t>
      </w:r>
      <w:r w:rsidR="00421646" w:rsidRPr="004E7B01">
        <w:rPr>
          <w:color w:val="000000"/>
          <w:sz w:val="24"/>
          <w:szCs w:val="24"/>
        </w:rPr>
        <w:t xml:space="preserve"> espera</w:t>
      </w:r>
      <w:r w:rsidR="00D467B8" w:rsidRPr="004E7B01">
        <w:rPr>
          <w:color w:val="000000"/>
          <w:sz w:val="24"/>
          <w:szCs w:val="24"/>
        </w:rPr>
        <w:t xml:space="preserve"> que</w:t>
      </w:r>
      <w:r w:rsidR="00421646" w:rsidRPr="004E7B01">
        <w:rPr>
          <w:color w:val="000000"/>
          <w:sz w:val="24"/>
          <w:szCs w:val="24"/>
        </w:rPr>
        <w:t xml:space="preserve"> e</w:t>
      </w:r>
      <w:r w:rsidR="00D467B8" w:rsidRPr="004E7B01">
        <w:rPr>
          <w:color w:val="000000"/>
          <w:sz w:val="24"/>
          <w:szCs w:val="24"/>
        </w:rPr>
        <w:t>s</w:t>
      </w:r>
      <w:r w:rsidR="00421646" w:rsidRPr="004E7B01">
        <w:rPr>
          <w:color w:val="000000"/>
          <w:sz w:val="24"/>
          <w:szCs w:val="24"/>
        </w:rPr>
        <w:t>ta información incida en el fortalecimiento de los movimientos soci</w:t>
      </w:r>
      <w:r w:rsidR="00D467B8" w:rsidRPr="004E7B01">
        <w:rPr>
          <w:color w:val="000000"/>
          <w:sz w:val="24"/>
          <w:szCs w:val="24"/>
        </w:rPr>
        <w:t>a</w:t>
      </w:r>
      <w:r w:rsidR="00421646" w:rsidRPr="004E7B01">
        <w:rPr>
          <w:color w:val="000000"/>
          <w:sz w:val="24"/>
          <w:szCs w:val="24"/>
        </w:rPr>
        <w:t>les y en la orientación de políticas públicas. Los beneficiarios por tanto serán: Movimientos de víctimas y poblaciones afectadas, diseñadores de política pública, comunidad internacional de cooperación, defensores de Derechos Humanos, estudiosos de migración forzada, comunicadores sociales</w:t>
      </w:r>
    </w:p>
    <w:p w:rsidR="008C7F85" w:rsidRPr="004E7B01" w:rsidRDefault="00D467B8" w:rsidP="004E7B01">
      <w:pPr>
        <w:widowControl w:val="0"/>
        <w:spacing w:line="360" w:lineRule="auto"/>
        <w:rPr>
          <w:color w:val="000000"/>
          <w:sz w:val="24"/>
          <w:szCs w:val="24"/>
        </w:rPr>
      </w:pPr>
      <w:r w:rsidRPr="004E7B01">
        <w:rPr>
          <w:color w:val="000000"/>
          <w:sz w:val="24"/>
          <w:szCs w:val="24"/>
        </w:rPr>
        <w:t>En apropiación social de conocimiento se tendrán como resultados la opinión pública y líderes de movimientos sociales informados sobre desplazamiento y construcción de territorios. Ello se hará por medio de los trabajos con grupos focales en lo que habrá una socialización y retroalimentaci</w:t>
      </w:r>
      <w:r w:rsidR="008C7F85" w:rsidRPr="004E7B01">
        <w:rPr>
          <w:color w:val="000000"/>
          <w:sz w:val="24"/>
          <w:szCs w:val="24"/>
        </w:rPr>
        <w:t xml:space="preserve">ón de conocimientos dentro de las que se incluyen ruedas de prensa. </w:t>
      </w:r>
    </w:p>
    <w:p w:rsidR="008C7F85" w:rsidRPr="004E7B01" w:rsidRDefault="008C7F85" w:rsidP="004E7B01">
      <w:pPr>
        <w:widowControl w:val="0"/>
        <w:spacing w:line="360" w:lineRule="auto"/>
        <w:rPr>
          <w:color w:val="000000"/>
          <w:sz w:val="24"/>
          <w:szCs w:val="24"/>
        </w:rPr>
      </w:pPr>
    </w:p>
    <w:p w:rsidR="003964FB" w:rsidRPr="004E7B01" w:rsidRDefault="008C7F85" w:rsidP="004E7B01">
      <w:pPr>
        <w:widowControl w:val="0"/>
        <w:spacing w:line="360" w:lineRule="auto"/>
        <w:rPr>
          <w:color w:val="000000"/>
          <w:sz w:val="24"/>
          <w:szCs w:val="24"/>
        </w:rPr>
      </w:pPr>
      <w:r w:rsidRPr="004E7B01">
        <w:rPr>
          <w:color w:val="000000"/>
          <w:sz w:val="24"/>
          <w:szCs w:val="24"/>
        </w:rPr>
        <w:t xml:space="preserve">El resultado del esta investigación será igualmente socializado </w:t>
      </w:r>
      <w:r w:rsidR="00BB4C85" w:rsidRPr="004E7B01">
        <w:rPr>
          <w:color w:val="000000"/>
          <w:sz w:val="24"/>
          <w:szCs w:val="24"/>
        </w:rPr>
        <w:t>en los cursos de la maestría en P</w:t>
      </w:r>
      <w:r w:rsidRPr="004E7B01">
        <w:rPr>
          <w:color w:val="000000"/>
          <w:sz w:val="24"/>
          <w:szCs w:val="24"/>
        </w:rPr>
        <w:t>laneaci</w:t>
      </w:r>
      <w:r w:rsidR="00BB4C85" w:rsidRPr="004E7B01">
        <w:rPr>
          <w:color w:val="000000"/>
          <w:sz w:val="24"/>
          <w:szCs w:val="24"/>
        </w:rPr>
        <w:t>ón y D</w:t>
      </w:r>
      <w:r w:rsidRPr="004E7B01">
        <w:rPr>
          <w:color w:val="000000"/>
          <w:sz w:val="24"/>
          <w:szCs w:val="24"/>
        </w:rPr>
        <w:t xml:space="preserve">esarrollo que durante el </w:t>
      </w:r>
      <w:r w:rsidR="00BB4C85" w:rsidRPr="004E7B01">
        <w:rPr>
          <w:color w:val="000000"/>
          <w:sz w:val="24"/>
          <w:szCs w:val="24"/>
        </w:rPr>
        <w:t>tiempo</w:t>
      </w:r>
      <w:r w:rsidRPr="004E7B01">
        <w:rPr>
          <w:color w:val="000000"/>
          <w:sz w:val="24"/>
          <w:szCs w:val="24"/>
        </w:rPr>
        <w:t xml:space="preserve"> de </w:t>
      </w:r>
      <w:r w:rsidR="00BB4C85" w:rsidRPr="004E7B01">
        <w:rPr>
          <w:color w:val="000000"/>
          <w:sz w:val="24"/>
          <w:szCs w:val="24"/>
        </w:rPr>
        <w:t>realización</w:t>
      </w:r>
      <w:r w:rsidRPr="004E7B01">
        <w:rPr>
          <w:color w:val="000000"/>
          <w:sz w:val="24"/>
          <w:szCs w:val="24"/>
        </w:rPr>
        <w:t xml:space="preserve"> de la investigación llegar</w:t>
      </w:r>
      <w:r w:rsidR="00BB4C85" w:rsidRPr="004E7B01">
        <w:rPr>
          <w:color w:val="000000"/>
          <w:sz w:val="24"/>
          <w:szCs w:val="24"/>
        </w:rPr>
        <w:t xml:space="preserve">á </w:t>
      </w:r>
      <w:r w:rsidR="00BB4C85" w:rsidRPr="004E7B01">
        <w:rPr>
          <w:color w:val="000000"/>
          <w:sz w:val="24"/>
          <w:szCs w:val="24"/>
        </w:rPr>
        <w:lastRenderedPageBreak/>
        <w:t>a por lo men</w:t>
      </w:r>
      <w:r w:rsidRPr="004E7B01">
        <w:rPr>
          <w:color w:val="000000"/>
          <w:sz w:val="24"/>
          <w:szCs w:val="24"/>
        </w:rPr>
        <w:t>o</w:t>
      </w:r>
      <w:r w:rsidR="00BB4C85" w:rsidRPr="004E7B01">
        <w:rPr>
          <w:color w:val="000000"/>
          <w:sz w:val="24"/>
          <w:szCs w:val="24"/>
        </w:rPr>
        <w:t>s</w:t>
      </w:r>
      <w:r w:rsidRPr="004E7B01">
        <w:rPr>
          <w:color w:val="000000"/>
          <w:sz w:val="24"/>
          <w:szCs w:val="24"/>
        </w:rPr>
        <w:t xml:space="preserve"> 30 maestrantes</w:t>
      </w:r>
      <w:r w:rsidR="00BB4C85" w:rsidRPr="004E7B01">
        <w:rPr>
          <w:color w:val="000000"/>
          <w:sz w:val="24"/>
          <w:szCs w:val="24"/>
        </w:rPr>
        <w:t xml:space="preserve">. </w:t>
      </w:r>
    </w:p>
    <w:p w:rsidR="00BB4C85" w:rsidRPr="004E7B01" w:rsidRDefault="00BB4C85" w:rsidP="004E7B01">
      <w:pPr>
        <w:widowControl w:val="0"/>
        <w:spacing w:line="360" w:lineRule="auto"/>
        <w:rPr>
          <w:color w:val="000000"/>
          <w:sz w:val="24"/>
          <w:szCs w:val="24"/>
        </w:rPr>
      </w:pPr>
    </w:p>
    <w:p w:rsidR="00BB4C85" w:rsidRPr="004E7B01" w:rsidRDefault="00BB4C85" w:rsidP="004E7B01">
      <w:pPr>
        <w:widowControl w:val="0"/>
        <w:spacing w:line="360" w:lineRule="auto"/>
        <w:rPr>
          <w:color w:val="000000"/>
          <w:sz w:val="24"/>
          <w:szCs w:val="24"/>
        </w:rPr>
      </w:pPr>
      <w:r w:rsidRPr="004E7B01">
        <w:rPr>
          <w:color w:val="000000"/>
          <w:sz w:val="24"/>
          <w:szCs w:val="24"/>
        </w:rPr>
        <w:t xml:space="preserve">Como proceso de socialización también se contempla la participación en un evento académico de carácter nacional y en un evento académico de carácter internacional donde los investigadores presentarán ponencias. </w:t>
      </w:r>
    </w:p>
    <w:p w:rsidR="008C7F85" w:rsidRDefault="002D7509" w:rsidP="004B4433">
      <w:pPr>
        <w:pStyle w:val="Ttulo2"/>
      </w:pPr>
      <w:bookmarkStart w:id="15" w:name="_Toc395874738"/>
      <w:r w:rsidRPr="00971F51">
        <w:t>Productos esperados</w:t>
      </w:r>
      <w:bookmarkEnd w:id="15"/>
    </w:p>
    <w:p w:rsidR="004B4433" w:rsidRPr="004E7B01" w:rsidRDefault="008C7F85" w:rsidP="004E7B01">
      <w:pPr>
        <w:widowControl w:val="0"/>
        <w:spacing w:line="360" w:lineRule="auto"/>
        <w:rPr>
          <w:color w:val="000000"/>
          <w:sz w:val="24"/>
          <w:szCs w:val="24"/>
        </w:rPr>
      </w:pPr>
      <w:r w:rsidRPr="004E7B01">
        <w:rPr>
          <w:color w:val="000000"/>
          <w:sz w:val="24"/>
          <w:szCs w:val="24"/>
        </w:rPr>
        <w:t>Como productos de generación de nuevo conocimiento el proyecto considera:</w:t>
      </w:r>
    </w:p>
    <w:p w:rsidR="008C7F85" w:rsidRPr="004E7B01" w:rsidRDefault="008C7F85" w:rsidP="004E7B01">
      <w:pPr>
        <w:pStyle w:val="Prrafodelista"/>
        <w:widowControl w:val="0"/>
        <w:numPr>
          <w:ilvl w:val="0"/>
          <w:numId w:val="34"/>
        </w:numPr>
        <w:spacing w:line="360" w:lineRule="auto"/>
        <w:rPr>
          <w:color w:val="000000"/>
          <w:sz w:val="24"/>
          <w:szCs w:val="24"/>
        </w:rPr>
      </w:pPr>
      <w:r w:rsidRPr="004E7B01">
        <w:rPr>
          <w:color w:val="000000"/>
          <w:sz w:val="24"/>
          <w:szCs w:val="24"/>
        </w:rPr>
        <w:t xml:space="preserve">La publicación de dos boletines sobre desplazamiento forzado masivo en el país que se colocará en página web y se entregará en ruedas de prensa a periodistas especializados en el tema. </w:t>
      </w:r>
    </w:p>
    <w:p w:rsidR="008C7F85" w:rsidRPr="004E7B01" w:rsidRDefault="008C7F85" w:rsidP="004E7B01">
      <w:pPr>
        <w:pStyle w:val="Prrafodelista"/>
        <w:widowControl w:val="0"/>
        <w:numPr>
          <w:ilvl w:val="0"/>
          <w:numId w:val="34"/>
        </w:numPr>
        <w:spacing w:line="360" w:lineRule="auto"/>
        <w:rPr>
          <w:color w:val="000000"/>
          <w:sz w:val="24"/>
          <w:szCs w:val="24"/>
        </w:rPr>
      </w:pPr>
      <w:r w:rsidRPr="004E7B01">
        <w:rPr>
          <w:color w:val="000000"/>
          <w:sz w:val="24"/>
          <w:szCs w:val="24"/>
        </w:rPr>
        <w:t xml:space="preserve">Un informe sobre el desplazamiento total en el país  durante el período del estudio  </w:t>
      </w:r>
      <w:r w:rsidR="00BB4C85" w:rsidRPr="004E7B01">
        <w:rPr>
          <w:color w:val="000000"/>
          <w:sz w:val="24"/>
          <w:szCs w:val="24"/>
        </w:rPr>
        <w:t>que se entregará en versión digital (páginas web y cd)</w:t>
      </w:r>
    </w:p>
    <w:p w:rsidR="002F0E24" w:rsidRPr="004E7B01" w:rsidRDefault="00BB4C85" w:rsidP="004E7B01">
      <w:pPr>
        <w:pStyle w:val="Prrafodelista"/>
        <w:widowControl w:val="0"/>
        <w:numPr>
          <w:ilvl w:val="0"/>
          <w:numId w:val="34"/>
        </w:numPr>
        <w:spacing w:line="360" w:lineRule="auto"/>
        <w:rPr>
          <w:color w:val="000000"/>
          <w:sz w:val="24"/>
          <w:szCs w:val="24"/>
        </w:rPr>
      </w:pPr>
      <w:r w:rsidRPr="004E7B01">
        <w:rPr>
          <w:color w:val="000000"/>
          <w:sz w:val="24"/>
          <w:szCs w:val="24"/>
        </w:rPr>
        <w:t xml:space="preserve">Un artículo en revista indexada. El </w:t>
      </w:r>
      <w:r w:rsidR="007E3352" w:rsidRPr="004E7B01">
        <w:rPr>
          <w:color w:val="000000"/>
          <w:sz w:val="24"/>
          <w:szCs w:val="24"/>
        </w:rPr>
        <w:t>artículo</w:t>
      </w:r>
      <w:r w:rsidRPr="004E7B01">
        <w:rPr>
          <w:color w:val="000000"/>
          <w:sz w:val="24"/>
          <w:szCs w:val="24"/>
        </w:rPr>
        <w:t xml:space="preserve"> deberá estar escrito en el mes de noviembre de 2015 y colocado en revista para su validación. Se espera que el artículo esté realmente en circulación a más tardar en marzo de 2016. </w:t>
      </w:r>
    </w:p>
    <w:p w:rsidR="002F0E24" w:rsidRPr="004E7B01" w:rsidRDefault="00BB4C85" w:rsidP="004E7B01">
      <w:pPr>
        <w:pStyle w:val="Prrafodelista"/>
        <w:widowControl w:val="0"/>
        <w:numPr>
          <w:ilvl w:val="0"/>
          <w:numId w:val="34"/>
        </w:numPr>
        <w:spacing w:line="360" w:lineRule="auto"/>
        <w:rPr>
          <w:color w:val="000000"/>
          <w:sz w:val="24"/>
          <w:szCs w:val="24"/>
          <w:lang w:val="es-ES"/>
        </w:rPr>
      </w:pPr>
      <w:r w:rsidRPr="004E7B01">
        <w:rPr>
          <w:color w:val="000000"/>
          <w:sz w:val="24"/>
          <w:szCs w:val="24"/>
        </w:rPr>
        <w:t xml:space="preserve">Un libro que recogerá </w:t>
      </w:r>
      <w:r w:rsidR="007E3352" w:rsidRPr="004E7B01">
        <w:rPr>
          <w:color w:val="000000"/>
          <w:sz w:val="24"/>
          <w:szCs w:val="24"/>
        </w:rPr>
        <w:t xml:space="preserve">la totalidad de los análisis hechos y que </w:t>
      </w:r>
      <w:r w:rsidRPr="004E7B01">
        <w:rPr>
          <w:color w:val="000000"/>
          <w:sz w:val="24"/>
          <w:szCs w:val="24"/>
        </w:rPr>
        <w:t>estará finalizado</w:t>
      </w:r>
      <w:r w:rsidR="007E3352" w:rsidRPr="004E7B01">
        <w:rPr>
          <w:color w:val="000000"/>
          <w:sz w:val="24"/>
          <w:szCs w:val="24"/>
        </w:rPr>
        <w:t>y entregado a editorial en noviembre de 2015. La publicación del mismo depender</w:t>
      </w:r>
      <w:r w:rsidR="004E7B01">
        <w:rPr>
          <w:color w:val="000000"/>
          <w:sz w:val="24"/>
          <w:szCs w:val="24"/>
        </w:rPr>
        <w:t>á de l</w:t>
      </w:r>
      <w:r w:rsidR="007E3352" w:rsidRPr="004E7B01">
        <w:rPr>
          <w:color w:val="000000"/>
          <w:sz w:val="24"/>
          <w:szCs w:val="24"/>
        </w:rPr>
        <w:t>o</w:t>
      </w:r>
      <w:r w:rsidR="004E7B01">
        <w:rPr>
          <w:color w:val="000000"/>
          <w:sz w:val="24"/>
          <w:szCs w:val="24"/>
        </w:rPr>
        <w:t>s</w:t>
      </w:r>
      <w:r w:rsidR="007E3352" w:rsidRPr="004E7B01">
        <w:rPr>
          <w:color w:val="000000"/>
          <w:sz w:val="24"/>
          <w:szCs w:val="24"/>
        </w:rPr>
        <w:t xml:space="preserve"> ritmos de la editorial universitaria y se espera que esté en circulación a más tardar en mayo de 2016. </w:t>
      </w:r>
    </w:p>
    <w:p w:rsidR="00C65179" w:rsidRPr="001232DD" w:rsidRDefault="00C65179" w:rsidP="001232DD">
      <w:pPr>
        <w:pStyle w:val="Ttulo2"/>
      </w:pPr>
      <w:bookmarkStart w:id="16" w:name="_Toc395874739"/>
      <w:r w:rsidRPr="001232DD">
        <w:t>Cronograma general</w:t>
      </w:r>
      <w:bookmarkEnd w:id="16"/>
    </w:p>
    <w:tbl>
      <w:tblPr>
        <w:tblW w:w="0" w:type="auto"/>
        <w:tblInd w:w="2" w:type="dxa"/>
        <w:tblCellMar>
          <w:left w:w="70" w:type="dxa"/>
          <w:right w:w="70" w:type="dxa"/>
        </w:tblCellMar>
        <w:tblLook w:val="00A0"/>
      </w:tblPr>
      <w:tblGrid>
        <w:gridCol w:w="6478"/>
        <w:gridCol w:w="260"/>
        <w:gridCol w:w="260"/>
        <w:gridCol w:w="260"/>
        <w:gridCol w:w="260"/>
        <w:gridCol w:w="260"/>
        <w:gridCol w:w="260"/>
        <w:gridCol w:w="260"/>
        <w:gridCol w:w="260"/>
        <w:gridCol w:w="260"/>
      </w:tblGrid>
      <w:tr w:rsidR="00396523" w:rsidRPr="00C65179" w:rsidTr="00C14503">
        <w:trPr>
          <w:trHeight w:val="375"/>
        </w:trPr>
        <w:tc>
          <w:tcPr>
            <w:tcW w:w="0" w:type="auto"/>
            <w:tcBorders>
              <w:top w:val="single" w:sz="8" w:space="0" w:color="auto"/>
              <w:left w:val="single" w:sz="8" w:space="0" w:color="auto"/>
              <w:bottom w:val="single" w:sz="4" w:space="0" w:color="auto"/>
              <w:right w:val="single" w:sz="4" w:space="0" w:color="auto"/>
            </w:tcBorders>
            <w:noWrap/>
            <w:vAlign w:val="bottom"/>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MESES</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1</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2</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3</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4</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5</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6</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7</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8</w:t>
            </w:r>
          </w:p>
        </w:tc>
        <w:tc>
          <w:tcPr>
            <w:tcW w:w="0" w:type="auto"/>
            <w:vMerge w:val="restart"/>
            <w:tcBorders>
              <w:top w:val="single" w:sz="8" w:space="0" w:color="auto"/>
              <w:left w:val="single" w:sz="4" w:space="0" w:color="auto"/>
              <w:bottom w:val="single" w:sz="4" w:space="0" w:color="auto"/>
              <w:right w:val="single" w:sz="4" w:space="0" w:color="auto"/>
            </w:tcBorders>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9</w:t>
            </w:r>
          </w:p>
        </w:tc>
      </w:tr>
      <w:tr w:rsidR="00396523" w:rsidRPr="00C65179" w:rsidTr="00C14503">
        <w:trPr>
          <w:trHeight w:val="375"/>
        </w:trPr>
        <w:tc>
          <w:tcPr>
            <w:tcW w:w="0" w:type="auto"/>
            <w:tcBorders>
              <w:top w:val="nil"/>
              <w:left w:val="single" w:sz="8" w:space="0" w:color="auto"/>
              <w:bottom w:val="single" w:sz="4" w:space="0" w:color="auto"/>
              <w:right w:val="single" w:sz="4" w:space="0" w:color="auto"/>
            </w:tcBorders>
            <w:noWrap/>
            <w:vAlign w:val="bottom"/>
          </w:tcPr>
          <w:p w:rsidR="00396523" w:rsidRPr="00C65179" w:rsidRDefault="00396523" w:rsidP="00C14503">
            <w:pPr>
              <w:spacing w:line="360" w:lineRule="auto"/>
              <w:jc w:val="center"/>
              <w:rPr>
                <w:color w:val="000000"/>
                <w:sz w:val="24"/>
                <w:szCs w:val="24"/>
                <w:lang w:val="es-CO" w:eastAsia="es-CO"/>
              </w:rPr>
            </w:pPr>
            <w:r w:rsidRPr="00C65179">
              <w:rPr>
                <w:color w:val="000000"/>
                <w:sz w:val="24"/>
                <w:szCs w:val="24"/>
                <w:lang w:val="es-CO" w:eastAsia="es-CO"/>
              </w:rPr>
              <w:t>ACTIVIDADES</w:t>
            </w: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c>
          <w:tcPr>
            <w:tcW w:w="0" w:type="auto"/>
            <w:vMerge/>
            <w:tcBorders>
              <w:top w:val="single" w:sz="8" w:space="0" w:color="auto"/>
              <w:left w:val="single" w:sz="4" w:space="0" w:color="auto"/>
              <w:bottom w:val="single" w:sz="4" w:space="0" w:color="auto"/>
              <w:right w:val="single" w:sz="4" w:space="0" w:color="auto"/>
            </w:tcBorders>
            <w:vAlign w:val="center"/>
          </w:tcPr>
          <w:p w:rsidR="00396523" w:rsidRPr="00C65179" w:rsidRDefault="00396523" w:rsidP="00C14503">
            <w:pPr>
              <w:spacing w:line="360" w:lineRule="auto"/>
              <w:rPr>
                <w:color w:val="000000"/>
                <w:sz w:val="24"/>
                <w:szCs w:val="24"/>
                <w:lang w:val="es-CO" w:eastAsia="es-CO"/>
              </w:rPr>
            </w:pPr>
          </w:p>
        </w:tc>
      </w:tr>
      <w:tr w:rsidR="00396523" w:rsidRPr="00C65179" w:rsidTr="00C14503">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C14503">
            <w:pPr>
              <w:spacing w:line="360" w:lineRule="auto"/>
              <w:rPr>
                <w:color w:val="000000"/>
                <w:sz w:val="24"/>
                <w:szCs w:val="24"/>
                <w:lang w:val="es-CO" w:eastAsia="es-CO"/>
              </w:rPr>
            </w:pPr>
            <w:r w:rsidRPr="00C65179">
              <w:rPr>
                <w:color w:val="000000"/>
                <w:sz w:val="24"/>
                <w:szCs w:val="24"/>
                <w:lang w:eastAsia="es-CO"/>
              </w:rPr>
              <w:t>Diseño y prueba de instrumentos de recolección de información.</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C14503">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155528">
            <w:pPr>
              <w:spacing w:line="360" w:lineRule="auto"/>
              <w:rPr>
                <w:color w:val="000000"/>
                <w:sz w:val="24"/>
                <w:szCs w:val="24"/>
                <w:lang w:val="es-CO" w:eastAsia="es-CO"/>
              </w:rPr>
            </w:pPr>
            <w:r w:rsidRPr="00C65179">
              <w:rPr>
                <w:color w:val="000000"/>
                <w:sz w:val="24"/>
                <w:szCs w:val="24"/>
                <w:lang w:eastAsia="es-CO"/>
              </w:rPr>
              <w:t>Encuentros con expertos regionales y nacionales</w:t>
            </w:r>
            <w:r w:rsidR="00155528">
              <w:rPr>
                <w:color w:val="000000"/>
                <w:sz w:val="24"/>
                <w:szCs w:val="24"/>
                <w:lang w:eastAsia="es-CO"/>
              </w:rPr>
              <w:t xml:space="preserve"> e internacionales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4E7B01">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C14503">
            <w:pPr>
              <w:spacing w:line="360" w:lineRule="auto"/>
              <w:rPr>
                <w:color w:val="000000"/>
                <w:sz w:val="24"/>
                <w:szCs w:val="24"/>
                <w:lang w:val="es-CO" w:eastAsia="es-CO"/>
              </w:rPr>
            </w:pPr>
            <w:r w:rsidRPr="00C65179">
              <w:rPr>
                <w:color w:val="000000"/>
                <w:sz w:val="24"/>
                <w:szCs w:val="24"/>
                <w:lang w:eastAsia="es-CO"/>
              </w:rPr>
              <w:t>Monitoreo</w:t>
            </w:r>
            <w:r w:rsidR="004E7B01">
              <w:rPr>
                <w:color w:val="000000"/>
                <w:sz w:val="24"/>
                <w:szCs w:val="24"/>
                <w:lang w:eastAsia="es-CO"/>
              </w:rPr>
              <w:t xml:space="preserve"> de fuentes de información secundaria</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7B31CA" w:rsidRPr="00C65179" w:rsidTr="004E7B01">
        <w:trPr>
          <w:trHeight w:val="375"/>
        </w:trPr>
        <w:tc>
          <w:tcPr>
            <w:tcW w:w="0" w:type="auto"/>
            <w:tcBorders>
              <w:top w:val="nil"/>
              <w:left w:val="single" w:sz="8" w:space="0" w:color="auto"/>
              <w:bottom w:val="single" w:sz="4" w:space="0" w:color="auto"/>
              <w:right w:val="single" w:sz="4" w:space="0" w:color="auto"/>
            </w:tcBorders>
            <w:noWrap/>
            <w:vAlign w:val="center"/>
          </w:tcPr>
          <w:p w:rsidR="004E7B01" w:rsidRPr="00C65179" w:rsidRDefault="004E7B01" w:rsidP="0072583B">
            <w:pPr>
              <w:spacing w:line="360" w:lineRule="auto"/>
              <w:rPr>
                <w:color w:val="000000"/>
                <w:sz w:val="24"/>
                <w:szCs w:val="24"/>
                <w:lang w:val="es-CO" w:eastAsia="es-CO"/>
              </w:rPr>
            </w:pPr>
            <w:r>
              <w:rPr>
                <w:color w:val="000000"/>
                <w:sz w:val="24"/>
                <w:szCs w:val="24"/>
                <w:lang w:eastAsia="es-CO"/>
              </w:rPr>
              <w:t>A</w:t>
            </w:r>
            <w:r w:rsidRPr="00C65179">
              <w:rPr>
                <w:color w:val="000000"/>
                <w:sz w:val="24"/>
                <w:szCs w:val="24"/>
                <w:lang w:eastAsia="es-CO"/>
              </w:rPr>
              <w:t>limentación</w:t>
            </w:r>
            <w:r>
              <w:rPr>
                <w:color w:val="000000"/>
                <w:sz w:val="24"/>
                <w:szCs w:val="24"/>
                <w:lang w:eastAsia="es-CO"/>
              </w:rPr>
              <w:t xml:space="preserve"> del banco de datos</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4E7B01" w:rsidRPr="00C65179" w:rsidRDefault="004E7B01" w:rsidP="0072583B">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4E7B01">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4E7B01" w:rsidP="00C14503">
            <w:pPr>
              <w:spacing w:line="360" w:lineRule="auto"/>
              <w:rPr>
                <w:color w:val="000000"/>
                <w:sz w:val="24"/>
                <w:szCs w:val="24"/>
                <w:lang w:val="es-CO" w:eastAsia="es-CO"/>
              </w:rPr>
            </w:pPr>
            <w:r>
              <w:rPr>
                <w:color w:val="000000"/>
                <w:sz w:val="24"/>
                <w:szCs w:val="24"/>
                <w:lang w:eastAsia="es-CO"/>
              </w:rPr>
              <w:t>Salidas de campo para trabajos con grupos focales</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95B3D7" w:themeFill="accent1" w:themeFillTint="99"/>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95B3D7" w:themeFill="accent1" w:themeFillTint="99"/>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95B3D7" w:themeFill="accent1" w:themeFillTint="99"/>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C14503">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7B31CA">
            <w:pPr>
              <w:spacing w:line="360" w:lineRule="auto"/>
              <w:rPr>
                <w:color w:val="000000"/>
                <w:sz w:val="24"/>
                <w:szCs w:val="24"/>
                <w:lang w:val="es-CO" w:eastAsia="es-CO"/>
              </w:rPr>
            </w:pPr>
            <w:r w:rsidRPr="00C65179">
              <w:rPr>
                <w:color w:val="000000"/>
                <w:sz w:val="24"/>
                <w:szCs w:val="24"/>
                <w:lang w:eastAsia="es-CO"/>
              </w:rPr>
              <w:t xml:space="preserve">Elaboración y difusión de boletines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7B31CA">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7B31CA" w:rsidP="007B31CA">
            <w:pPr>
              <w:spacing w:line="360" w:lineRule="auto"/>
              <w:rPr>
                <w:color w:val="000000"/>
                <w:sz w:val="24"/>
                <w:szCs w:val="24"/>
                <w:lang w:val="es-CO" w:eastAsia="es-CO"/>
              </w:rPr>
            </w:pPr>
            <w:r>
              <w:rPr>
                <w:color w:val="000000"/>
                <w:sz w:val="24"/>
                <w:szCs w:val="24"/>
                <w:lang w:eastAsia="es-CO"/>
              </w:rPr>
              <w:t>Diseño y elaboración de informegeneral</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B8CCE4" w:themeFill="accent1" w:themeFillTint="66"/>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7B31CA">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7B31CA">
            <w:pPr>
              <w:spacing w:line="360" w:lineRule="auto"/>
              <w:rPr>
                <w:color w:val="000000"/>
                <w:sz w:val="24"/>
                <w:szCs w:val="24"/>
                <w:lang w:val="es-CO" w:eastAsia="es-CO"/>
              </w:rPr>
            </w:pPr>
            <w:r w:rsidRPr="00C65179">
              <w:rPr>
                <w:color w:val="000000"/>
                <w:sz w:val="24"/>
                <w:szCs w:val="24"/>
                <w:lang w:eastAsia="es-CO"/>
              </w:rPr>
              <w:t xml:space="preserve">Redacción </w:t>
            </w:r>
            <w:r w:rsidR="007B31CA">
              <w:rPr>
                <w:color w:val="000000"/>
                <w:sz w:val="24"/>
                <w:szCs w:val="24"/>
                <w:lang w:eastAsia="es-CO"/>
              </w:rPr>
              <w:t xml:space="preserve">y entrega de manuscrito del libro.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B8CCE4" w:themeFill="accent1" w:themeFillTint="66"/>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r w:rsidR="00396523" w:rsidRPr="00C65179" w:rsidTr="007B31CA">
        <w:trPr>
          <w:trHeight w:val="315"/>
        </w:trPr>
        <w:tc>
          <w:tcPr>
            <w:tcW w:w="0" w:type="auto"/>
            <w:tcBorders>
              <w:top w:val="nil"/>
              <w:left w:val="single" w:sz="8" w:space="0" w:color="auto"/>
              <w:bottom w:val="single" w:sz="4" w:space="0" w:color="auto"/>
              <w:right w:val="single" w:sz="4" w:space="0" w:color="auto"/>
            </w:tcBorders>
            <w:noWrap/>
            <w:vAlign w:val="center"/>
          </w:tcPr>
          <w:p w:rsidR="00396523" w:rsidRPr="00C65179" w:rsidRDefault="00396523" w:rsidP="007B31CA">
            <w:pPr>
              <w:spacing w:line="360" w:lineRule="auto"/>
              <w:rPr>
                <w:color w:val="000000"/>
                <w:sz w:val="24"/>
                <w:szCs w:val="24"/>
                <w:lang w:val="es-CO" w:eastAsia="es-CO"/>
              </w:rPr>
            </w:pPr>
            <w:r w:rsidRPr="00C65179">
              <w:rPr>
                <w:color w:val="000000"/>
                <w:sz w:val="24"/>
                <w:szCs w:val="24"/>
                <w:lang w:eastAsia="es-CO"/>
              </w:rPr>
              <w:lastRenderedPageBreak/>
              <w:t xml:space="preserve">Participación en </w:t>
            </w:r>
            <w:r w:rsidR="007B31CA">
              <w:rPr>
                <w:color w:val="000000"/>
                <w:sz w:val="24"/>
                <w:szCs w:val="24"/>
                <w:lang w:eastAsia="es-CO"/>
              </w:rPr>
              <w:t xml:space="preserve">eventos académicos (ponencias)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auto" w:fill="FFFFFF" w:themeFill="background1"/>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shd w:val="clear" w:color="000000" w:fill="95B3D7"/>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c>
          <w:tcPr>
            <w:tcW w:w="0" w:type="auto"/>
            <w:tcBorders>
              <w:top w:val="nil"/>
              <w:left w:val="nil"/>
              <w:bottom w:val="single" w:sz="4" w:space="0" w:color="auto"/>
              <w:right w:val="single" w:sz="4" w:space="0" w:color="auto"/>
            </w:tcBorders>
            <w:vAlign w:val="bottom"/>
          </w:tcPr>
          <w:p w:rsidR="00396523" w:rsidRPr="00C65179" w:rsidRDefault="00396523" w:rsidP="00C14503">
            <w:pPr>
              <w:spacing w:line="360" w:lineRule="auto"/>
              <w:rPr>
                <w:color w:val="000000"/>
                <w:sz w:val="24"/>
                <w:szCs w:val="24"/>
                <w:lang w:val="es-CO" w:eastAsia="es-CO"/>
              </w:rPr>
            </w:pPr>
            <w:r w:rsidRPr="00C65179">
              <w:rPr>
                <w:color w:val="000000"/>
                <w:sz w:val="24"/>
                <w:szCs w:val="24"/>
                <w:lang w:val="es-CO" w:eastAsia="es-CO"/>
              </w:rPr>
              <w:t> </w:t>
            </w:r>
          </w:p>
        </w:tc>
      </w:tr>
    </w:tbl>
    <w:p w:rsidR="00C65179" w:rsidRPr="00C65179" w:rsidRDefault="00C65179" w:rsidP="00C65179">
      <w:pPr>
        <w:widowControl w:val="0"/>
        <w:spacing w:line="360" w:lineRule="auto"/>
        <w:rPr>
          <w:color w:val="000000"/>
          <w:sz w:val="24"/>
          <w:szCs w:val="24"/>
        </w:rPr>
      </w:pPr>
    </w:p>
    <w:p w:rsidR="00C65179" w:rsidRPr="00C65179" w:rsidRDefault="00C65179" w:rsidP="00C65179">
      <w:pPr>
        <w:jc w:val="center"/>
        <w:rPr>
          <w:sz w:val="24"/>
          <w:szCs w:val="24"/>
          <w:lang w:val="es-CO"/>
        </w:rPr>
      </w:pPr>
    </w:p>
    <w:bookmarkStart w:id="17" w:name="_Toc395874740" w:displacedByCustomXml="next"/>
    <w:sdt>
      <w:sdtPr>
        <w:rPr>
          <w:b w:val="0"/>
          <w:color w:val="auto"/>
          <w:sz w:val="20"/>
          <w:lang w:val="es-ES"/>
        </w:rPr>
        <w:id w:val="-1632543047"/>
        <w:docPartObj>
          <w:docPartGallery w:val="Bibliographies"/>
          <w:docPartUnique/>
        </w:docPartObj>
      </w:sdtPr>
      <w:sdtEndPr>
        <w:rPr>
          <w:bCs/>
        </w:rPr>
      </w:sdtEndPr>
      <w:sdtContent>
        <w:p w:rsidR="00F137A2" w:rsidRDefault="00F137A2">
          <w:pPr>
            <w:pStyle w:val="Ttulo1"/>
          </w:pPr>
          <w:r>
            <w:rPr>
              <w:lang w:val="es-ES"/>
            </w:rPr>
            <w:t>Trabajos citados</w:t>
          </w:r>
          <w:bookmarkEnd w:id="17"/>
        </w:p>
        <w:p w:rsidR="004B4433" w:rsidRPr="00C35EE1" w:rsidRDefault="00E87AE6" w:rsidP="007B31CA">
          <w:pPr>
            <w:pStyle w:val="Textoscitados"/>
            <w:rPr>
              <w:i/>
              <w:iCs/>
            </w:rPr>
          </w:pPr>
          <w:r w:rsidRPr="00C35EE1">
            <w:rPr>
              <w:i/>
              <w:iCs/>
            </w:rPr>
            <w:fldChar w:fldCharType="begin"/>
          </w:r>
          <w:r w:rsidR="00F137A2" w:rsidRPr="00C35EE1">
            <w:rPr>
              <w:i/>
              <w:iCs/>
            </w:rPr>
            <w:instrText>BIBLIOGRAPHY</w:instrText>
          </w:r>
          <w:r w:rsidRPr="00C35EE1">
            <w:rPr>
              <w:i/>
              <w:iCs/>
            </w:rPr>
            <w:fldChar w:fldCharType="separate"/>
          </w:r>
          <w:r w:rsidR="004B4433" w:rsidRPr="00C35EE1">
            <w:rPr>
              <w:i/>
              <w:iCs/>
            </w:rPr>
            <w:t xml:space="preserve">Codhes. (2014). </w:t>
          </w:r>
          <w:r w:rsidR="004B4433">
            <w:rPr>
              <w:i/>
              <w:iCs/>
            </w:rPr>
            <w:t>El Desplazamiento Forzado y la Imperiosa Necesidad de la Paz</w:t>
          </w:r>
          <w:r w:rsidR="004B4433" w:rsidRPr="00C35EE1">
            <w:rPr>
              <w:i/>
              <w:iCs/>
            </w:rPr>
            <w:t>. Recuperado el 10 de Agosto de 2014, de http://www.usbbog.edu.co/opla/images/PDF/informe-codhes-usb-2013.pdf</w:t>
          </w:r>
        </w:p>
        <w:p w:rsidR="004B4433" w:rsidRPr="00C35EE1" w:rsidRDefault="004B4433" w:rsidP="004B4433">
          <w:pPr>
            <w:pStyle w:val="Bibliografa"/>
            <w:ind w:left="720" w:hanging="720"/>
            <w:rPr>
              <w:i/>
              <w:iCs/>
              <w:noProof/>
              <w:sz w:val="24"/>
            </w:rPr>
          </w:pPr>
          <w:r w:rsidRPr="00C35EE1">
            <w:rPr>
              <w:i/>
              <w:iCs/>
              <w:noProof/>
              <w:sz w:val="24"/>
            </w:rPr>
            <w:t xml:space="preserve">EFE, A. (17 de Julio de 2014). El Espectador. Obtenido de </w:t>
          </w:r>
          <w:bookmarkStart w:id="18" w:name="_GoBack"/>
          <w:bookmarkEnd w:id="18"/>
          <w:r w:rsidRPr="00C35EE1">
            <w:rPr>
              <w:i/>
              <w:iCs/>
              <w:noProof/>
              <w:sz w:val="24"/>
            </w:rPr>
            <w:t>http://www.elespectador.com/noticias/proceso-de-paz/acnur-paz-no-reducira-corto-plazo-el-desplazamiento-for-articulo-505016</w:t>
          </w:r>
        </w:p>
        <w:p w:rsidR="004B4433" w:rsidRPr="00C35EE1" w:rsidRDefault="004B4433" w:rsidP="004B4433">
          <w:pPr>
            <w:pStyle w:val="Bibliografa"/>
            <w:ind w:left="720" w:hanging="720"/>
            <w:rPr>
              <w:i/>
              <w:iCs/>
              <w:noProof/>
              <w:sz w:val="24"/>
            </w:rPr>
          </w:pPr>
          <w:r w:rsidRPr="00C35EE1">
            <w:rPr>
              <w:i/>
              <w:iCs/>
              <w:noProof/>
              <w:sz w:val="24"/>
            </w:rPr>
            <w:t>Escobar, A. (2010). Territorios de diferencia: lugar, movimientos, vida, redes.Popayán: Envión.</w:t>
          </w:r>
        </w:p>
        <w:p w:rsidR="004B4433" w:rsidRPr="00C35EE1" w:rsidRDefault="004B4433" w:rsidP="004B4433">
          <w:pPr>
            <w:pStyle w:val="Bibliografa"/>
            <w:ind w:left="720" w:hanging="720"/>
            <w:rPr>
              <w:i/>
              <w:iCs/>
              <w:noProof/>
              <w:sz w:val="24"/>
            </w:rPr>
          </w:pPr>
          <w:r w:rsidRPr="00C35EE1">
            <w:rPr>
              <w:i/>
              <w:iCs/>
              <w:noProof/>
              <w:sz w:val="24"/>
            </w:rPr>
            <w:t>Gottmann, J. (1973). The significance of territory . Charlottesville: The University Press of Virginia.</w:t>
          </w:r>
        </w:p>
        <w:p w:rsidR="004B4433" w:rsidRPr="00C35EE1" w:rsidRDefault="004B4433" w:rsidP="004B4433">
          <w:pPr>
            <w:pStyle w:val="Bibliografa"/>
            <w:ind w:left="720" w:hanging="720"/>
            <w:rPr>
              <w:i/>
              <w:iCs/>
              <w:noProof/>
              <w:sz w:val="24"/>
            </w:rPr>
          </w:pPr>
          <w:r w:rsidRPr="00C35EE1">
            <w:rPr>
              <w:i/>
              <w:iCs/>
              <w:noProof/>
              <w:sz w:val="24"/>
            </w:rPr>
            <w:t>Ibañez, A. M. (2008). El desplazamiento forzoso en Colombia : ¿Un camino sin retorno a la pobreza? Bogotá: CEDE, Ediciones Uniandes.</w:t>
          </w:r>
        </w:p>
        <w:p w:rsidR="004B4433" w:rsidRPr="00C35EE1" w:rsidRDefault="004B4433" w:rsidP="004B4433">
          <w:pPr>
            <w:pStyle w:val="Bibliografa"/>
            <w:ind w:left="720" w:hanging="720"/>
            <w:rPr>
              <w:i/>
              <w:iCs/>
              <w:noProof/>
              <w:sz w:val="24"/>
            </w:rPr>
          </w:pPr>
          <w:r w:rsidRPr="00C35EE1">
            <w:rPr>
              <w:i/>
              <w:iCs/>
              <w:noProof/>
              <w:sz w:val="24"/>
            </w:rPr>
            <w:t>IDMC. (2014). Internal displacement Monitoring Centre. Recuperado el 10 de Agosto de 2014, de http://www.internal-displacement.org/global-figures</w:t>
          </w:r>
        </w:p>
        <w:p w:rsidR="004B4433" w:rsidRPr="00C35EE1" w:rsidRDefault="004B4433" w:rsidP="004B4433">
          <w:pPr>
            <w:pStyle w:val="Bibliografa"/>
            <w:ind w:left="720" w:hanging="720"/>
            <w:rPr>
              <w:i/>
              <w:iCs/>
              <w:noProof/>
              <w:sz w:val="24"/>
            </w:rPr>
          </w:pPr>
          <w:r w:rsidRPr="00C35EE1">
            <w:rPr>
              <w:i/>
              <w:iCs/>
              <w:noProof/>
              <w:sz w:val="24"/>
            </w:rPr>
            <w:t>Lozano, F. (2002). Polyphonie en deracinement majeur. Mentalités religieuses, déplacement forcé et violence sociopolitique en Colombie à la fin du vingtieme siécle. Toulouse.</w:t>
          </w:r>
        </w:p>
        <w:p w:rsidR="004B4433" w:rsidRPr="00C35EE1" w:rsidRDefault="004B4433" w:rsidP="004B4433">
          <w:pPr>
            <w:pStyle w:val="Bibliografa"/>
            <w:ind w:left="720" w:hanging="720"/>
            <w:rPr>
              <w:i/>
              <w:iCs/>
              <w:noProof/>
              <w:sz w:val="24"/>
            </w:rPr>
          </w:pPr>
          <w:r w:rsidRPr="00C35EE1">
            <w:rPr>
              <w:i/>
              <w:iCs/>
              <w:noProof/>
              <w:sz w:val="24"/>
            </w:rPr>
            <w:t>Lozano, F. (2009). Prologo. En F. Lozano, &amp; J. G. Ferro, Las Configuraciones de los Territorios Rurales en el Siglo XXI (págs. 23 - 31). Bogotá : Pontificia Universidad Javeriana.</w:t>
          </w:r>
        </w:p>
        <w:p w:rsidR="004B4433" w:rsidRPr="00C35EE1" w:rsidRDefault="004B4433" w:rsidP="004B4433">
          <w:pPr>
            <w:pStyle w:val="Bibliografa"/>
            <w:ind w:left="720" w:hanging="720"/>
            <w:rPr>
              <w:i/>
              <w:iCs/>
              <w:noProof/>
              <w:sz w:val="24"/>
            </w:rPr>
          </w:pPr>
          <w:r w:rsidRPr="00C35EE1">
            <w:rPr>
              <w:i/>
              <w:iCs/>
              <w:noProof/>
              <w:sz w:val="24"/>
            </w:rPr>
            <w:t>Lozano, F., &amp; Ferro , J. G. (2009). Las Configuraciones de los Territorios Rurales en el Siglo XXI. Bogotá: Pontificia Universidad Javeriana.</w:t>
          </w:r>
        </w:p>
        <w:p w:rsidR="004B4433" w:rsidRPr="00C35EE1" w:rsidRDefault="004B4433" w:rsidP="004B4433">
          <w:pPr>
            <w:pStyle w:val="Bibliografa"/>
            <w:ind w:left="720" w:hanging="720"/>
            <w:rPr>
              <w:i/>
              <w:iCs/>
              <w:noProof/>
              <w:sz w:val="24"/>
            </w:rPr>
          </w:pPr>
          <w:r w:rsidRPr="00C35EE1">
            <w:rPr>
              <w:i/>
              <w:iCs/>
              <w:noProof/>
              <w:sz w:val="24"/>
            </w:rPr>
            <w:t>Mardones, J. M. (1991). Filosofía de las ciencias humanas y sociales: materiales para una fundamentación científica. Barcelona: Anthopos.</w:t>
          </w:r>
        </w:p>
        <w:p w:rsidR="004B4433" w:rsidRPr="00C35EE1" w:rsidRDefault="004B4433" w:rsidP="004B4433">
          <w:pPr>
            <w:pStyle w:val="Bibliografa"/>
            <w:ind w:left="720" w:hanging="720"/>
            <w:rPr>
              <w:i/>
              <w:iCs/>
              <w:noProof/>
              <w:sz w:val="24"/>
            </w:rPr>
          </w:pPr>
          <w:r w:rsidRPr="00C35EE1">
            <w:rPr>
              <w:i/>
              <w:iCs/>
              <w:noProof/>
              <w:sz w:val="24"/>
            </w:rPr>
            <w:t>Vattimo, G. (1994). Hermeneútica y Posmodernidad. Barcelona: Gedisa.</w:t>
          </w:r>
        </w:p>
        <w:p w:rsidR="004B4433" w:rsidRPr="00C35EE1" w:rsidRDefault="004B4433" w:rsidP="004B4433">
          <w:pPr>
            <w:pStyle w:val="Bibliografa"/>
            <w:ind w:left="720" w:hanging="720"/>
            <w:rPr>
              <w:i/>
              <w:iCs/>
              <w:noProof/>
              <w:sz w:val="24"/>
            </w:rPr>
          </w:pPr>
          <w:r w:rsidRPr="00C35EE1">
            <w:rPr>
              <w:i/>
              <w:iCs/>
              <w:noProof/>
              <w:sz w:val="24"/>
            </w:rPr>
            <w:t>Zuluaga, J. (2004). La guerra interna y el desplazamiento forzado. En Varios, Desplazamiento forzado: Dinámicas de guerra, exclusión y desarraigo. (págs. 31 - 47). Bogotá: ACNUR Universidad Nacional.</w:t>
          </w:r>
        </w:p>
        <w:p w:rsidR="00F137A2" w:rsidRDefault="00E87AE6" w:rsidP="004B4433">
          <w:r w:rsidRPr="00C35EE1">
            <w:rPr>
              <w:i/>
              <w:iCs/>
              <w:noProof/>
              <w:sz w:val="24"/>
            </w:rPr>
            <w:fldChar w:fldCharType="end"/>
          </w:r>
        </w:p>
      </w:sdtContent>
    </w:sdt>
    <w:p w:rsidR="005B5AE9" w:rsidRPr="00C65179" w:rsidRDefault="005B5AE9" w:rsidP="005B5AE9">
      <w:pPr>
        <w:autoSpaceDE w:val="0"/>
        <w:autoSpaceDN w:val="0"/>
        <w:adjustRightInd w:val="0"/>
        <w:spacing w:line="360" w:lineRule="auto"/>
        <w:rPr>
          <w:rFonts w:ascii="Arial" w:hAnsi="Arial" w:cs="Arial"/>
          <w:sz w:val="24"/>
          <w:szCs w:val="24"/>
        </w:rPr>
      </w:pPr>
    </w:p>
    <w:sectPr w:rsidR="005B5AE9" w:rsidRPr="00C65179" w:rsidSect="00F848A3">
      <w:footerReference w:type="default" r:id="rId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28A" w:rsidRDefault="0034228A" w:rsidP="007F27DC">
      <w:r>
        <w:separator/>
      </w:r>
    </w:p>
  </w:endnote>
  <w:endnote w:type="continuationSeparator" w:id="1">
    <w:p w:rsidR="0034228A" w:rsidRDefault="0034228A" w:rsidP="007F27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3609429"/>
      <w:docPartObj>
        <w:docPartGallery w:val="Page Numbers (Bottom of Page)"/>
        <w:docPartUnique/>
      </w:docPartObj>
    </w:sdtPr>
    <w:sdtContent>
      <w:p w:rsidR="003964FB" w:rsidRDefault="00E87AE6">
        <w:pPr>
          <w:pStyle w:val="Piedepgina"/>
          <w:jc w:val="right"/>
        </w:pPr>
        <w:r>
          <w:fldChar w:fldCharType="begin"/>
        </w:r>
        <w:r w:rsidR="003964FB">
          <w:instrText>PAGE   \* MERGEFORMAT</w:instrText>
        </w:r>
        <w:r>
          <w:fldChar w:fldCharType="separate"/>
        </w:r>
        <w:r w:rsidR="008E1708">
          <w:rPr>
            <w:noProof/>
          </w:rPr>
          <w:t>1</w:t>
        </w:r>
        <w:r>
          <w:fldChar w:fldCharType="end"/>
        </w:r>
      </w:p>
    </w:sdtContent>
  </w:sdt>
  <w:p w:rsidR="003964FB" w:rsidRDefault="003964F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28A" w:rsidRDefault="0034228A" w:rsidP="007F27DC">
      <w:r>
        <w:separator/>
      </w:r>
    </w:p>
  </w:footnote>
  <w:footnote w:type="continuationSeparator" w:id="1">
    <w:p w:rsidR="0034228A" w:rsidRDefault="0034228A" w:rsidP="007F27DC">
      <w:r>
        <w:continuationSeparator/>
      </w:r>
    </w:p>
  </w:footnote>
  <w:footnote w:id="2">
    <w:p w:rsidR="003964FB" w:rsidRPr="002F0E24" w:rsidRDefault="003964FB" w:rsidP="00B7323F">
      <w:pPr>
        <w:pStyle w:val="Textonotapie"/>
        <w:rPr>
          <w:sz w:val="18"/>
          <w:szCs w:val="18"/>
        </w:rPr>
      </w:pPr>
      <w:r w:rsidRPr="002F0E24">
        <w:rPr>
          <w:rStyle w:val="Refdenotaalpie"/>
          <w:rFonts w:ascii="Arial" w:hAnsi="Arial" w:cs="Arial"/>
          <w:sz w:val="18"/>
          <w:szCs w:val="18"/>
        </w:rPr>
        <w:t>1</w:t>
      </w:r>
      <w:r w:rsidRPr="00CC48E2">
        <w:t>Uno de los  más reciente informes internacionales del desplazamiento forzado interno se produjo por el Interna</w:t>
      </w:r>
      <w:r>
        <w:t>cion</w:t>
      </w:r>
      <w:r w:rsidRPr="00CC48E2">
        <w:t>lDisplacemantMonitoring Centre. En él se reseña a Colombia comp</w:t>
      </w:r>
      <w:r>
        <w:t xml:space="preserve">artiendo el nivel más alto con </w:t>
      </w:r>
      <w:r w:rsidRPr="00CC48E2">
        <w:t>Siria y muy por encima de</w:t>
      </w:r>
      <w:r>
        <w:t xml:space="preserve"> la República Democrática del</w:t>
      </w:r>
      <w:r w:rsidRPr="00CC48E2">
        <w:t xml:space="preserve"> Congo que ocupa el tercer lugar en el mundo</w:t>
      </w:r>
      <w:sdt>
        <w:sdtPr>
          <w:id w:val="-1338762376"/>
          <w:citation/>
        </w:sdtPr>
        <w:sdtContent>
          <w:r w:rsidR="00E87AE6">
            <w:fldChar w:fldCharType="begin"/>
          </w:r>
          <w:r>
            <w:rPr>
              <w:lang w:val="es-CO"/>
            </w:rPr>
            <w:instrText xml:space="preserve"> CITATION IDM14 \l 9226 </w:instrText>
          </w:r>
          <w:r w:rsidR="00E87AE6">
            <w:fldChar w:fldCharType="separate"/>
          </w:r>
          <w:r w:rsidRPr="004B4433">
            <w:rPr>
              <w:noProof/>
              <w:lang w:val="es-CO"/>
            </w:rPr>
            <w:t>(IDMC, 2014)</w:t>
          </w:r>
          <w:r w:rsidR="00E87AE6">
            <w:fldChar w:fldCharType="end"/>
          </w:r>
        </w:sdtContent>
      </w:sdt>
    </w:p>
  </w:footnote>
  <w:footnote w:id="3">
    <w:p w:rsidR="003964FB" w:rsidRPr="00CB4508" w:rsidRDefault="003964FB" w:rsidP="00CC48E2">
      <w:pPr>
        <w:pStyle w:val="Textonotapie"/>
        <w:rPr>
          <w:lang w:val="es-CO"/>
        </w:rPr>
      </w:pPr>
      <w:r>
        <w:rPr>
          <w:rStyle w:val="Refdenotaalpie"/>
        </w:rPr>
        <w:footnoteRef/>
      </w:r>
      <w:r>
        <w:t xml:space="preserve"> “Un acuerdo de paz entre el Gobierno y las guerrillas no resolverá a corto plazo el problema del desplazamiento forzoso en este país porque surgirían nuevos grupos armados, advirtió hoy el Alto Comisionado de las Naciones Unidas para los Refugiados (ACNUR). En una entrevista con Efe, el representante adjunto de ACNUR en Colombia, Martin Gottwald, aclaró que si bien "gran parte de la violencia" acabaría con la desmovilización de las guerrillas, el conflicto se mantendría por los "nuevos actores violentos"</w:t>
      </w:r>
      <w:sdt>
        <w:sdtPr>
          <w:id w:val="345067901"/>
          <w:citation/>
        </w:sdtPr>
        <w:sdtContent>
          <w:r w:rsidR="00E87AE6">
            <w:fldChar w:fldCharType="begin"/>
          </w:r>
          <w:r>
            <w:rPr>
              <w:lang w:val="es-CO"/>
            </w:rPr>
            <w:instrText xml:space="preserve"> CITATION Age14 \l 9226 </w:instrText>
          </w:r>
          <w:r w:rsidR="00E87AE6">
            <w:fldChar w:fldCharType="separate"/>
          </w:r>
          <w:r w:rsidRPr="004B4433">
            <w:rPr>
              <w:noProof/>
              <w:lang w:val="es-CO"/>
            </w:rPr>
            <w:t>(EFE, 2014)</w:t>
          </w:r>
          <w:r w:rsidR="00E87AE6">
            <w:fldChar w:fldCharType="end"/>
          </w:r>
        </w:sdtContent>
      </w:sdt>
      <w:r>
        <w:t>.</w:t>
      </w:r>
    </w:p>
  </w:footnote>
  <w:footnote w:id="4">
    <w:p w:rsidR="003964FB" w:rsidRPr="00C65179" w:rsidRDefault="003964FB" w:rsidP="00D170E9">
      <w:pPr>
        <w:pStyle w:val="Textonotapie"/>
        <w:rPr>
          <w:sz w:val="18"/>
          <w:szCs w:val="18"/>
        </w:rPr>
      </w:pPr>
      <w:r w:rsidRPr="00C65179">
        <w:rPr>
          <w:rStyle w:val="Refdenotaalpie"/>
          <w:rFonts w:ascii="Arial" w:hAnsi="Arial" w:cs="Arial"/>
          <w:sz w:val="18"/>
          <w:szCs w:val="18"/>
        </w:rPr>
        <w:footnoteRef/>
      </w:r>
      <w:r w:rsidRPr="00563BAF">
        <w:t>Véase Legrand, Catherine. El Conflicto de las Bananeras. En Nueva Historia de Colombia. Tomo III. Planeta Editorial Colombiana. 1989. Bogotá; Garay y otros. (2011). El Reto ante la tragedia humanitaria del desplazamiento forzado. Garantizar la observancia de los derechos de la población desplazada II; Comisión de seguimiento a la política pública sobre desplazamiento forzado (2011); Documentos Codhes (2012); Ley de Víctimas y Restitución de Tierras; Ley 387de 1997, Decreto 2569 de 2000; además de varias sentencias de la Corte Constitucional entre las que  figuran la SU-1150- 2000,  la I – 635-2000, la T-327-2001.</w:t>
      </w:r>
    </w:p>
  </w:footnote>
  <w:footnote w:id="5">
    <w:p w:rsidR="003964FB" w:rsidRPr="00563BAF" w:rsidRDefault="003964FB" w:rsidP="00D170E9">
      <w:pPr>
        <w:pStyle w:val="Textonotapie"/>
      </w:pPr>
      <w:r w:rsidRPr="00C65179">
        <w:rPr>
          <w:rStyle w:val="Refdenotaalpie"/>
          <w:rFonts w:ascii="Arial" w:hAnsi="Arial" w:cs="Arial"/>
          <w:sz w:val="18"/>
          <w:szCs w:val="18"/>
        </w:rPr>
        <w:footnoteRef/>
      </w:r>
      <w:r w:rsidRPr="00563BAF">
        <w:t>Véase Camilo, Gloria Amparo. 2000. Impacto Psicológico del Desplazamiento Forzoso: Estrategia de Intervención. En Bello y otros. 2000. (a) y Bello, Martha. 2000. Narrativas Alternativas: Rutas para Reconstruir la Identidad. En Bello y otros. 2000. (a)</w:t>
      </w:r>
    </w:p>
  </w:footnote>
  <w:footnote w:id="6">
    <w:p w:rsidR="003964FB" w:rsidRPr="00563BAF" w:rsidRDefault="003964FB" w:rsidP="00D170E9">
      <w:pPr>
        <w:pStyle w:val="Textonotapie"/>
      </w:pPr>
      <w:r w:rsidRPr="00C65179">
        <w:rPr>
          <w:rStyle w:val="Refdenotaalpie"/>
          <w:rFonts w:ascii="Arial" w:hAnsi="Arial" w:cs="Arial"/>
          <w:sz w:val="18"/>
          <w:szCs w:val="18"/>
        </w:rPr>
        <w:footnoteRef/>
      </w:r>
      <w:r w:rsidRPr="00563BAF">
        <w:t>Véase Documento Codhes Nº 26 e Informes de la Agencia de las Naciones Unidas para los Refugiados-ACNUR 2012.</w:t>
      </w:r>
    </w:p>
  </w:footnote>
  <w:footnote w:id="7">
    <w:p w:rsidR="003964FB" w:rsidRPr="00563BAF" w:rsidRDefault="003964FB" w:rsidP="00D170E9">
      <w:pPr>
        <w:pStyle w:val="Textonotapie"/>
      </w:pPr>
      <w:r w:rsidRPr="00C65179">
        <w:rPr>
          <w:rStyle w:val="Refdenotaalpie"/>
          <w:rFonts w:ascii="Arial" w:hAnsi="Arial" w:cs="Arial"/>
          <w:sz w:val="18"/>
          <w:szCs w:val="18"/>
        </w:rPr>
        <w:footnoteRef/>
      </w:r>
      <w:r w:rsidRPr="00563BAF">
        <w:t>Véase Molano, Alfredo. Selva Adentro: Una Historia de la Colonización del Guaviare. El Ancora Editores. 1987. Bogotá; Negrete, Vctor. “Los Desplazados por la Violencia en Colombia. El caso de Córdoba”. Editorial Antillas. 1995. Córdoba.</w:t>
      </w:r>
    </w:p>
  </w:footnote>
  <w:footnote w:id="8">
    <w:p w:rsidR="003964FB" w:rsidRPr="00C65179" w:rsidRDefault="003964FB" w:rsidP="00D170E9">
      <w:pPr>
        <w:pStyle w:val="Textonotapie"/>
        <w:rPr>
          <w:sz w:val="18"/>
          <w:szCs w:val="18"/>
        </w:rPr>
      </w:pPr>
      <w:r w:rsidRPr="00C65179">
        <w:rPr>
          <w:rStyle w:val="Refdenotaalpie"/>
          <w:rFonts w:ascii="Arial" w:hAnsi="Arial" w:cs="Arial"/>
          <w:sz w:val="18"/>
          <w:szCs w:val="18"/>
        </w:rPr>
        <w:footnoteRef/>
      </w:r>
      <w:r w:rsidRPr="00563BAF">
        <w:t>2000; Houtart, François. LaViolence au Nom de la Religion. En Concilium Revue International de Théologie. # 272 Les Religions Source de Violence. BeauchesneEditeurs. 1997. París</w:t>
      </w:r>
      <w:r w:rsidRPr="00C65179">
        <w:rPr>
          <w:rFonts w:ascii="Arial" w:hAnsi="Arial" w:cs="Arial"/>
          <w:sz w:val="18"/>
          <w:szCs w:val="18"/>
        </w:rPr>
        <w:t>.</w:t>
      </w:r>
    </w:p>
  </w:footnote>
  <w:footnote w:id="9">
    <w:p w:rsidR="003964FB" w:rsidRDefault="003964FB" w:rsidP="00B955E1">
      <w:pPr>
        <w:pStyle w:val="Textonotapie"/>
      </w:pPr>
      <w:r w:rsidRPr="00BF56D9">
        <w:rPr>
          <w:rStyle w:val="Refdenotaalpie"/>
          <w:rFonts w:ascii="Arial" w:hAnsi="Arial" w:cs="Arial"/>
        </w:rPr>
        <w:footnoteRef/>
      </w:r>
      <w:r w:rsidRPr="00563BAF">
        <w:t>Ver Autos 004, 005 y 006 de 2009 de la Corte Constitucional colombiana.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E7809"/>
    <w:multiLevelType w:val="hybridMultilevel"/>
    <w:tmpl w:val="2CDA31E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5D62225"/>
    <w:multiLevelType w:val="hybridMultilevel"/>
    <w:tmpl w:val="3E8266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F00CF7"/>
    <w:multiLevelType w:val="hybridMultilevel"/>
    <w:tmpl w:val="A068603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
    <w:nsid w:val="0D994D3E"/>
    <w:multiLevelType w:val="hybridMultilevel"/>
    <w:tmpl w:val="FE0CBB22"/>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12E75DA8"/>
    <w:multiLevelType w:val="hybridMultilevel"/>
    <w:tmpl w:val="7FE2A19E"/>
    <w:lvl w:ilvl="0" w:tplc="240A0009">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14E84460"/>
    <w:multiLevelType w:val="hybridMultilevel"/>
    <w:tmpl w:val="D8945234"/>
    <w:lvl w:ilvl="0" w:tplc="23F61ED6">
      <w:numFmt w:val="bullet"/>
      <w:lvlText w:val=""/>
      <w:lvlJc w:val="left"/>
      <w:pPr>
        <w:tabs>
          <w:tab w:val="num" w:pos="360"/>
        </w:tabs>
        <w:ind w:left="360" w:hanging="360"/>
      </w:pPr>
      <w:rPr>
        <w:rFonts w:ascii="Symbol" w:hAnsi="Symbol" w:hint="default"/>
        <w:color w:val="auto"/>
        <w:sz w:val="24"/>
        <w:szCs w:val="24"/>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16381CF4"/>
    <w:multiLevelType w:val="hybridMultilevel"/>
    <w:tmpl w:val="C45C85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66B4E27"/>
    <w:multiLevelType w:val="hybridMultilevel"/>
    <w:tmpl w:val="45345406"/>
    <w:lvl w:ilvl="0" w:tplc="240A000B">
      <w:start w:val="1"/>
      <w:numFmt w:val="bullet"/>
      <w:lvlText w:val=""/>
      <w:lvlJc w:val="left"/>
      <w:pPr>
        <w:ind w:left="360" w:hanging="360"/>
      </w:pPr>
      <w:rPr>
        <w:rFonts w:ascii="Wingdings" w:hAnsi="Wingdings"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8">
    <w:nsid w:val="1E044389"/>
    <w:multiLevelType w:val="hybridMultilevel"/>
    <w:tmpl w:val="60AE4A5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9">
    <w:nsid w:val="20BF6A63"/>
    <w:multiLevelType w:val="hybridMultilevel"/>
    <w:tmpl w:val="D878F912"/>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0">
    <w:nsid w:val="27D30057"/>
    <w:multiLevelType w:val="hybridMultilevel"/>
    <w:tmpl w:val="6700CCBC"/>
    <w:lvl w:ilvl="0" w:tplc="C91E0722">
      <w:numFmt w:val="bullet"/>
      <w:lvlText w:val="-"/>
      <w:lvlJc w:val="left"/>
      <w:pPr>
        <w:tabs>
          <w:tab w:val="num" w:pos="360"/>
        </w:tabs>
        <w:ind w:left="360" w:hanging="360"/>
      </w:pPr>
      <w:rPr>
        <w:rFonts w:ascii="Times New Roman" w:hAnsi="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8707EE0"/>
    <w:multiLevelType w:val="hybridMultilevel"/>
    <w:tmpl w:val="528ADDB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2BB15F37"/>
    <w:multiLevelType w:val="hybridMultilevel"/>
    <w:tmpl w:val="0494EF1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0765026"/>
    <w:multiLevelType w:val="hybridMultilevel"/>
    <w:tmpl w:val="D648FEB0"/>
    <w:lvl w:ilvl="0" w:tplc="95381726">
      <w:start w:val="1"/>
      <w:numFmt w:val="decimal"/>
      <w:pStyle w:val="Titulo1Numeral"/>
      <w:lvlText w:val="%1."/>
      <w:lvlJc w:val="left"/>
      <w:pPr>
        <w:tabs>
          <w:tab w:val="num" w:pos="720"/>
        </w:tabs>
        <w:ind w:left="720" w:hanging="360"/>
      </w:pPr>
      <w:rPr>
        <w:rFonts w:cs="Times New Roman"/>
      </w:rPr>
    </w:lvl>
    <w:lvl w:ilvl="1" w:tplc="23F61ED6">
      <w:numFmt w:val="bullet"/>
      <w:lvlText w:val=""/>
      <w:lvlJc w:val="left"/>
      <w:pPr>
        <w:tabs>
          <w:tab w:val="num" w:pos="1440"/>
        </w:tabs>
        <w:ind w:left="1440" w:hanging="360"/>
      </w:pPr>
      <w:rPr>
        <w:rFonts w:ascii="Symbol" w:hAnsi="Symbol" w:hint="default"/>
        <w:color w:val="auto"/>
        <w:sz w:val="24"/>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4">
    <w:nsid w:val="37A329FF"/>
    <w:multiLevelType w:val="hybridMultilevel"/>
    <w:tmpl w:val="ADB6A588"/>
    <w:lvl w:ilvl="0" w:tplc="6E5E88EA">
      <w:numFmt w:val="bullet"/>
      <w:lvlText w:val="-"/>
      <w:lvlJc w:val="left"/>
      <w:pPr>
        <w:tabs>
          <w:tab w:val="num" w:pos="360"/>
        </w:tabs>
        <w:ind w:left="36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07F0C19"/>
    <w:multiLevelType w:val="hybridMultilevel"/>
    <w:tmpl w:val="09622DE4"/>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1FB7F8E"/>
    <w:multiLevelType w:val="hybridMultilevel"/>
    <w:tmpl w:val="70E6856E"/>
    <w:lvl w:ilvl="0" w:tplc="0C0A0005">
      <w:start w:val="1"/>
      <w:numFmt w:val="bullet"/>
      <w:lvlText w:val=""/>
      <w:lvlJc w:val="left"/>
      <w:pPr>
        <w:tabs>
          <w:tab w:val="num" w:pos="360"/>
        </w:tabs>
        <w:ind w:left="360" w:hanging="360"/>
      </w:pPr>
      <w:rPr>
        <w:rFonts w:ascii="Wingdings" w:hAnsi="Wingdings"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8">
    <w:nsid w:val="463A712A"/>
    <w:multiLevelType w:val="multilevel"/>
    <w:tmpl w:val="47469694"/>
    <w:lvl w:ilvl="0">
      <w:start w:val="1"/>
      <w:numFmt w:val="decimal"/>
      <w:lvlText w:val="%1"/>
      <w:lvlJc w:val="left"/>
      <w:pPr>
        <w:tabs>
          <w:tab w:val="num" w:pos="360"/>
        </w:tabs>
        <w:ind w:left="360" w:hanging="360"/>
      </w:pPr>
    </w:lvl>
    <w:lvl w:ilvl="1">
      <w:start w:val="1"/>
      <w:numFmt w:val="decimal"/>
      <w:lvlText w:val="%1.%2"/>
      <w:lvlJc w:val="left"/>
      <w:pPr>
        <w:tabs>
          <w:tab w:val="num" w:pos="600"/>
        </w:tabs>
        <w:ind w:left="60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9">
    <w:nsid w:val="4FF82A4D"/>
    <w:multiLevelType w:val="hybridMultilevel"/>
    <w:tmpl w:val="2AB4AAEA"/>
    <w:lvl w:ilvl="0" w:tplc="A60E0A94">
      <w:numFmt w:val="bullet"/>
      <w:lvlText w:val="-"/>
      <w:lvlJc w:val="left"/>
      <w:pPr>
        <w:ind w:left="360" w:hanging="360"/>
      </w:pPr>
      <w:rPr>
        <w:rFonts w:ascii="Calibri" w:eastAsia="Times New Roman" w:hAnsi="Calibri"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0">
    <w:nsid w:val="56A117B0"/>
    <w:multiLevelType w:val="hybridMultilevel"/>
    <w:tmpl w:val="8E18C6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7E419F5"/>
    <w:multiLevelType w:val="hybridMultilevel"/>
    <w:tmpl w:val="B4E06D92"/>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22">
    <w:nsid w:val="61122A53"/>
    <w:multiLevelType w:val="hybridMultilevel"/>
    <w:tmpl w:val="5B38C9DC"/>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617E6831"/>
    <w:multiLevelType w:val="hybridMultilevel"/>
    <w:tmpl w:val="C276D78A"/>
    <w:lvl w:ilvl="0" w:tplc="A60E0A94">
      <w:numFmt w:val="bullet"/>
      <w:lvlText w:val="-"/>
      <w:lvlJc w:val="left"/>
      <w:pPr>
        <w:ind w:left="360" w:hanging="360"/>
      </w:pPr>
      <w:rPr>
        <w:rFonts w:ascii="Calibri" w:eastAsia="Times New Roman" w:hAnsi="Calibri"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24">
    <w:nsid w:val="61925D0F"/>
    <w:multiLevelType w:val="hybridMultilevel"/>
    <w:tmpl w:val="2C0C5598"/>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cs="Wingdings" w:hint="default"/>
      </w:rPr>
    </w:lvl>
    <w:lvl w:ilvl="3" w:tplc="240A0001">
      <w:start w:val="1"/>
      <w:numFmt w:val="bullet"/>
      <w:lvlText w:val=""/>
      <w:lvlJc w:val="left"/>
      <w:pPr>
        <w:ind w:left="2520" w:hanging="360"/>
      </w:pPr>
      <w:rPr>
        <w:rFonts w:ascii="Symbol" w:hAnsi="Symbol" w:cs="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cs="Wingdings" w:hint="default"/>
      </w:rPr>
    </w:lvl>
    <w:lvl w:ilvl="6" w:tplc="240A0001">
      <w:start w:val="1"/>
      <w:numFmt w:val="bullet"/>
      <w:lvlText w:val=""/>
      <w:lvlJc w:val="left"/>
      <w:pPr>
        <w:ind w:left="4680" w:hanging="360"/>
      </w:pPr>
      <w:rPr>
        <w:rFonts w:ascii="Symbol" w:hAnsi="Symbol" w:cs="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cs="Wingdings" w:hint="default"/>
      </w:rPr>
    </w:lvl>
  </w:abstractNum>
  <w:abstractNum w:abstractNumId="25">
    <w:nsid w:val="62482F13"/>
    <w:multiLevelType w:val="hybridMultilevel"/>
    <w:tmpl w:val="D6B0BF9A"/>
    <w:lvl w:ilvl="0" w:tplc="2128702C">
      <w:numFmt w:val="bullet"/>
      <w:lvlText w:val="-"/>
      <w:lvlJc w:val="left"/>
      <w:pPr>
        <w:ind w:left="360" w:hanging="360"/>
      </w:pPr>
      <w:rPr>
        <w:rFonts w:ascii="Times New Roman" w:eastAsia="Calibri" w:hAnsi="Times New Roman"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6">
    <w:nsid w:val="66E36003"/>
    <w:multiLevelType w:val="hybridMultilevel"/>
    <w:tmpl w:val="2668CA20"/>
    <w:lvl w:ilvl="0" w:tplc="C91E0722">
      <w:numFmt w:val="bullet"/>
      <w:lvlText w:val="-"/>
      <w:lvlJc w:val="left"/>
      <w:pPr>
        <w:tabs>
          <w:tab w:val="num" w:pos="360"/>
        </w:tabs>
        <w:ind w:left="360" w:hanging="360"/>
      </w:pPr>
      <w:rPr>
        <w:rFonts w:ascii="Times New Roman" w:hAnsi="Times New Roman"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69953D10"/>
    <w:multiLevelType w:val="hybridMultilevel"/>
    <w:tmpl w:val="F8706460"/>
    <w:lvl w:ilvl="0" w:tplc="2128702C">
      <w:numFmt w:val="bullet"/>
      <w:lvlText w:val="-"/>
      <w:lvlJc w:val="left"/>
      <w:pPr>
        <w:ind w:left="36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FCB0291"/>
    <w:multiLevelType w:val="hybridMultilevel"/>
    <w:tmpl w:val="5B70660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71CE37A8"/>
    <w:multiLevelType w:val="hybridMultilevel"/>
    <w:tmpl w:val="CEF886AC"/>
    <w:lvl w:ilvl="0" w:tplc="C91E0722">
      <w:numFmt w:val="bullet"/>
      <w:lvlText w:val="-"/>
      <w:lvlJc w:val="left"/>
      <w:pPr>
        <w:tabs>
          <w:tab w:val="num" w:pos="360"/>
        </w:tabs>
        <w:ind w:left="360" w:hanging="360"/>
      </w:pPr>
      <w:rPr>
        <w:rFonts w:ascii="Times New Roman" w:hAnsi="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7686524E"/>
    <w:multiLevelType w:val="hybridMultilevel"/>
    <w:tmpl w:val="F600E4BC"/>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78CD1EF9"/>
    <w:multiLevelType w:val="hybridMultilevel"/>
    <w:tmpl w:val="EBF6ED1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2">
    <w:nsid w:val="7ACE7725"/>
    <w:multiLevelType w:val="hybridMultilevel"/>
    <w:tmpl w:val="36C0F6C8"/>
    <w:lvl w:ilvl="0" w:tplc="240A0011">
      <w:start w:val="1"/>
      <w:numFmt w:val="decimal"/>
      <w:lvlText w:val="%1)"/>
      <w:lvlJc w:val="left"/>
      <w:pPr>
        <w:ind w:left="360" w:hanging="360"/>
      </w:pPr>
    </w:lvl>
    <w:lvl w:ilvl="1" w:tplc="240A0019">
      <w:start w:val="1"/>
      <w:numFmt w:val="lowerLetter"/>
      <w:lvlText w:val="%2."/>
      <w:lvlJc w:val="left"/>
      <w:pPr>
        <w:ind w:left="1080" w:hanging="360"/>
      </w:pPr>
    </w:lvl>
    <w:lvl w:ilvl="2" w:tplc="240A001B">
      <w:start w:val="1"/>
      <w:numFmt w:val="lowerRoman"/>
      <w:lvlText w:val="%3."/>
      <w:lvlJc w:val="right"/>
      <w:pPr>
        <w:ind w:left="1800" w:hanging="180"/>
      </w:pPr>
    </w:lvl>
    <w:lvl w:ilvl="3" w:tplc="240A000F">
      <w:start w:val="1"/>
      <w:numFmt w:val="decimal"/>
      <w:lvlText w:val="%4."/>
      <w:lvlJc w:val="left"/>
      <w:pPr>
        <w:ind w:left="2520" w:hanging="360"/>
      </w:pPr>
    </w:lvl>
    <w:lvl w:ilvl="4" w:tplc="240A0019">
      <w:start w:val="1"/>
      <w:numFmt w:val="lowerLetter"/>
      <w:lvlText w:val="%5."/>
      <w:lvlJc w:val="left"/>
      <w:pPr>
        <w:ind w:left="3240" w:hanging="360"/>
      </w:pPr>
    </w:lvl>
    <w:lvl w:ilvl="5" w:tplc="240A001B">
      <w:start w:val="1"/>
      <w:numFmt w:val="lowerRoman"/>
      <w:lvlText w:val="%6."/>
      <w:lvlJc w:val="right"/>
      <w:pPr>
        <w:ind w:left="3960" w:hanging="180"/>
      </w:pPr>
    </w:lvl>
    <w:lvl w:ilvl="6" w:tplc="240A000F">
      <w:start w:val="1"/>
      <w:numFmt w:val="decimal"/>
      <w:lvlText w:val="%7."/>
      <w:lvlJc w:val="left"/>
      <w:pPr>
        <w:ind w:left="4680" w:hanging="360"/>
      </w:pPr>
    </w:lvl>
    <w:lvl w:ilvl="7" w:tplc="240A0019">
      <w:start w:val="1"/>
      <w:numFmt w:val="lowerLetter"/>
      <w:lvlText w:val="%8."/>
      <w:lvlJc w:val="left"/>
      <w:pPr>
        <w:ind w:left="5400" w:hanging="360"/>
      </w:pPr>
    </w:lvl>
    <w:lvl w:ilvl="8" w:tplc="240A001B">
      <w:start w:val="1"/>
      <w:numFmt w:val="lowerRoman"/>
      <w:lvlText w:val="%9."/>
      <w:lvlJc w:val="right"/>
      <w:pPr>
        <w:ind w:left="6120" w:hanging="180"/>
      </w:pPr>
    </w:lvl>
  </w:abstractNum>
  <w:abstractNum w:abstractNumId="33">
    <w:nsid w:val="7C6507D8"/>
    <w:multiLevelType w:val="multilevel"/>
    <w:tmpl w:val="21E21F12"/>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bullet"/>
      <w:lvlText w:val=""/>
      <w:lvlJc w:val="left"/>
      <w:pPr>
        <w:ind w:left="2880" w:hanging="360"/>
      </w:pPr>
      <w:rPr>
        <w:rFonts w:ascii="Symbol" w:hAnsi="Symbol" w:hint="default"/>
      </w:rPr>
    </w:lvl>
    <w:lvl w:ilvl="8">
      <w:start w:val="1"/>
      <w:numFmt w:val="lowerRoman"/>
      <w:lvlText w:val="%9."/>
      <w:lvlJc w:val="left"/>
      <w:pPr>
        <w:ind w:left="3240" w:hanging="360"/>
      </w:pPr>
    </w:lvl>
  </w:abstractNum>
  <w:abstractNum w:abstractNumId="34">
    <w:nsid w:val="7D3C4D24"/>
    <w:multiLevelType w:val="hybridMultilevel"/>
    <w:tmpl w:val="92ECEB4E"/>
    <w:lvl w:ilvl="0" w:tplc="BDE4818C">
      <w:start w:val="1"/>
      <w:numFmt w:val="bullet"/>
      <w:lvlText w:val=""/>
      <w:lvlJc w:val="left"/>
      <w:pPr>
        <w:tabs>
          <w:tab w:val="num" w:pos="360"/>
        </w:tabs>
        <w:ind w:left="360" w:hanging="360"/>
      </w:pPr>
      <w:rPr>
        <w:rFonts w:ascii="Wingdings" w:hAnsi="Wingdings"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7FB04B71"/>
    <w:multiLevelType w:val="hybridMultilevel"/>
    <w:tmpl w:val="F2042E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3"/>
  </w:num>
  <w:num w:numId="2">
    <w:abstractNumId w:val="17"/>
  </w:num>
  <w:num w:numId="3">
    <w:abstractNumId w:val="12"/>
  </w:num>
  <w:num w:numId="4">
    <w:abstractNumId w:val="34"/>
  </w:num>
  <w:num w:numId="5">
    <w:abstractNumId w:val="11"/>
  </w:num>
  <w:num w:numId="6">
    <w:abstractNumId w:val="16"/>
  </w:num>
  <w:num w:numId="7">
    <w:abstractNumId w:val="22"/>
  </w:num>
  <w:num w:numId="8">
    <w:abstractNumId w:val="1"/>
  </w:num>
  <w:num w:numId="9">
    <w:abstractNumId w:val="31"/>
  </w:num>
  <w:num w:numId="10">
    <w:abstractNumId w:val="35"/>
  </w:num>
  <w:num w:numId="11">
    <w:abstractNumId w:val="33"/>
  </w:num>
  <w:num w:numId="12">
    <w:abstractNumId w:val="26"/>
  </w:num>
  <w:num w:numId="13">
    <w:abstractNumId w:val="29"/>
  </w:num>
  <w:num w:numId="14">
    <w:abstractNumId w:val="5"/>
  </w:num>
  <w:num w:numId="15">
    <w:abstractNumId w:val="14"/>
  </w:num>
  <w:num w:numId="16">
    <w:abstractNumId w:val="10"/>
  </w:num>
  <w:num w:numId="17">
    <w:abstractNumId w:val="28"/>
  </w:num>
  <w:num w:numId="18">
    <w:abstractNumId w:val="0"/>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20"/>
  </w:num>
  <w:num w:numId="22">
    <w:abstractNumId w:val="21"/>
  </w:num>
  <w:num w:numId="23">
    <w:abstractNumId w:val="6"/>
  </w:num>
  <w:num w:numId="24">
    <w:abstractNumId w:val="4"/>
  </w:num>
  <w:num w:numId="25">
    <w:abstractNumId w:val="8"/>
  </w:num>
  <w:num w:numId="26">
    <w:abstractNumId w:val="9"/>
  </w:num>
  <w:num w:numId="27">
    <w:abstractNumId w:val="2"/>
  </w:num>
  <w:num w:numId="28">
    <w:abstractNumId w:val="7"/>
  </w:num>
  <w:num w:numId="29">
    <w:abstractNumId w:val="24"/>
  </w:num>
  <w:num w:numId="30">
    <w:abstractNumId w:val="32"/>
  </w:num>
  <w:num w:numId="31">
    <w:abstractNumId w:val="19"/>
  </w:num>
  <w:num w:numId="32">
    <w:abstractNumId w:val="23"/>
  </w:num>
  <w:num w:numId="33">
    <w:abstractNumId w:val="15"/>
  </w:num>
  <w:num w:numId="34">
    <w:abstractNumId w:val="25"/>
  </w:num>
  <w:num w:numId="35">
    <w:abstractNumId w:val="27"/>
  </w:num>
  <w:num w:numId="3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45420"/>
    <w:rsid w:val="00001830"/>
    <w:rsid w:val="00007A72"/>
    <w:rsid w:val="000127AF"/>
    <w:rsid w:val="00040867"/>
    <w:rsid w:val="00041475"/>
    <w:rsid w:val="00056B28"/>
    <w:rsid w:val="000650C2"/>
    <w:rsid w:val="00083785"/>
    <w:rsid w:val="000A4BAB"/>
    <w:rsid w:val="000B49B1"/>
    <w:rsid w:val="000E68BE"/>
    <w:rsid w:val="001232DD"/>
    <w:rsid w:val="00155528"/>
    <w:rsid w:val="001560D1"/>
    <w:rsid w:val="00184115"/>
    <w:rsid w:val="001C1A08"/>
    <w:rsid w:val="002154C9"/>
    <w:rsid w:val="00234BAD"/>
    <w:rsid w:val="0028424D"/>
    <w:rsid w:val="002D7509"/>
    <w:rsid w:val="002E1AED"/>
    <w:rsid w:val="002F0E24"/>
    <w:rsid w:val="002F708C"/>
    <w:rsid w:val="003048BE"/>
    <w:rsid w:val="0032355A"/>
    <w:rsid w:val="0033071A"/>
    <w:rsid w:val="0034228A"/>
    <w:rsid w:val="00345420"/>
    <w:rsid w:val="00366C34"/>
    <w:rsid w:val="00384A83"/>
    <w:rsid w:val="003964FB"/>
    <w:rsid w:val="00396523"/>
    <w:rsid w:val="003B4D2F"/>
    <w:rsid w:val="003B74C9"/>
    <w:rsid w:val="003B75C7"/>
    <w:rsid w:val="004033BE"/>
    <w:rsid w:val="00421646"/>
    <w:rsid w:val="00470FDF"/>
    <w:rsid w:val="004974BC"/>
    <w:rsid w:val="004B3DDA"/>
    <w:rsid w:val="004B4433"/>
    <w:rsid w:val="004E7B01"/>
    <w:rsid w:val="00563BAF"/>
    <w:rsid w:val="0056601A"/>
    <w:rsid w:val="0058585E"/>
    <w:rsid w:val="005B2614"/>
    <w:rsid w:val="005B5AE9"/>
    <w:rsid w:val="005F73BB"/>
    <w:rsid w:val="00612AEA"/>
    <w:rsid w:val="00615E88"/>
    <w:rsid w:val="006320CE"/>
    <w:rsid w:val="006B717F"/>
    <w:rsid w:val="006F69D3"/>
    <w:rsid w:val="00733B08"/>
    <w:rsid w:val="007369E5"/>
    <w:rsid w:val="007520B2"/>
    <w:rsid w:val="0078087D"/>
    <w:rsid w:val="007B31CA"/>
    <w:rsid w:val="007C31A0"/>
    <w:rsid w:val="007E279E"/>
    <w:rsid w:val="007E3352"/>
    <w:rsid w:val="007F27DC"/>
    <w:rsid w:val="007F5331"/>
    <w:rsid w:val="00803301"/>
    <w:rsid w:val="00832676"/>
    <w:rsid w:val="00846209"/>
    <w:rsid w:val="0084658D"/>
    <w:rsid w:val="00884A28"/>
    <w:rsid w:val="008A08B6"/>
    <w:rsid w:val="008B0B01"/>
    <w:rsid w:val="008C7F85"/>
    <w:rsid w:val="008E1708"/>
    <w:rsid w:val="008E5744"/>
    <w:rsid w:val="008F2855"/>
    <w:rsid w:val="009701A4"/>
    <w:rsid w:val="009822C8"/>
    <w:rsid w:val="009D473F"/>
    <w:rsid w:val="00A115E8"/>
    <w:rsid w:val="00A14F66"/>
    <w:rsid w:val="00A21B37"/>
    <w:rsid w:val="00A56C0A"/>
    <w:rsid w:val="00A9019E"/>
    <w:rsid w:val="00AB692A"/>
    <w:rsid w:val="00AC4B80"/>
    <w:rsid w:val="00B00A30"/>
    <w:rsid w:val="00B04BB9"/>
    <w:rsid w:val="00B35D6C"/>
    <w:rsid w:val="00B41829"/>
    <w:rsid w:val="00B7323F"/>
    <w:rsid w:val="00B73DDF"/>
    <w:rsid w:val="00B955E1"/>
    <w:rsid w:val="00BB4C85"/>
    <w:rsid w:val="00BD1E25"/>
    <w:rsid w:val="00BF0605"/>
    <w:rsid w:val="00C14503"/>
    <w:rsid w:val="00C35EE1"/>
    <w:rsid w:val="00C40E53"/>
    <w:rsid w:val="00C65179"/>
    <w:rsid w:val="00CA7B5C"/>
    <w:rsid w:val="00CB44C2"/>
    <w:rsid w:val="00CB4508"/>
    <w:rsid w:val="00CB7ECD"/>
    <w:rsid w:val="00CC48E2"/>
    <w:rsid w:val="00CE18A7"/>
    <w:rsid w:val="00D141C1"/>
    <w:rsid w:val="00D170E9"/>
    <w:rsid w:val="00D467B8"/>
    <w:rsid w:val="00D5286B"/>
    <w:rsid w:val="00D72CA6"/>
    <w:rsid w:val="00D84FE7"/>
    <w:rsid w:val="00DA1ED2"/>
    <w:rsid w:val="00DC28E5"/>
    <w:rsid w:val="00DD7955"/>
    <w:rsid w:val="00DE1653"/>
    <w:rsid w:val="00DE3EA3"/>
    <w:rsid w:val="00E0035F"/>
    <w:rsid w:val="00E17158"/>
    <w:rsid w:val="00E6300D"/>
    <w:rsid w:val="00E64AFC"/>
    <w:rsid w:val="00E746E9"/>
    <w:rsid w:val="00E87AE6"/>
    <w:rsid w:val="00EF28B4"/>
    <w:rsid w:val="00F137A2"/>
    <w:rsid w:val="00F161C0"/>
    <w:rsid w:val="00F5190E"/>
    <w:rsid w:val="00F53447"/>
    <w:rsid w:val="00F67BE2"/>
    <w:rsid w:val="00F848A3"/>
    <w:rsid w:val="00F91D93"/>
    <w:rsid w:val="00F973D9"/>
    <w:rsid w:val="00FA7FDA"/>
    <w:rsid w:val="00FC66D1"/>
    <w:rsid w:val="00FC6DC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6209"/>
    <w:pPr>
      <w:spacing w:after="0" w:line="240" w:lineRule="auto"/>
      <w:jc w:val="both"/>
    </w:pPr>
    <w:rPr>
      <w:rFonts w:ascii="Times New Roman" w:eastAsia="Calibri" w:hAnsi="Times New Roman" w:cs="Times New Roman"/>
      <w:sz w:val="20"/>
      <w:szCs w:val="20"/>
      <w:lang w:val="es-ES" w:eastAsia="es-ES"/>
    </w:rPr>
  </w:style>
  <w:style w:type="paragraph" w:styleId="Ttulo1">
    <w:name w:val="heading 1"/>
    <w:basedOn w:val="Normal"/>
    <w:next w:val="Normal"/>
    <w:link w:val="Ttulo1Car"/>
    <w:uiPriority w:val="9"/>
    <w:qFormat/>
    <w:rsid w:val="001232DD"/>
    <w:pPr>
      <w:keepNext/>
      <w:widowControl w:val="0"/>
      <w:jc w:val="center"/>
      <w:outlineLvl w:val="0"/>
    </w:pPr>
    <w:rPr>
      <w:b/>
      <w:color w:val="4F81BD" w:themeColor="accent1"/>
      <w:sz w:val="32"/>
      <w:lang w:val="es-ES_tradnl"/>
    </w:rPr>
  </w:style>
  <w:style w:type="paragraph" w:styleId="Ttulo2">
    <w:name w:val="heading 2"/>
    <w:basedOn w:val="Normal"/>
    <w:next w:val="Normal"/>
    <w:link w:val="Ttulo2Car"/>
    <w:autoRedefine/>
    <w:qFormat/>
    <w:rsid w:val="00563BAF"/>
    <w:pPr>
      <w:keepNext/>
      <w:keepLines/>
      <w:spacing w:before="120" w:after="120"/>
      <w:outlineLvl w:val="1"/>
    </w:pPr>
    <w:rPr>
      <w:b/>
      <w:bCs/>
      <w:color w:val="4F81BD"/>
      <w:sz w:val="26"/>
      <w:szCs w:val="26"/>
      <w:lang w:val="es-CO"/>
    </w:rPr>
  </w:style>
  <w:style w:type="paragraph" w:styleId="Ttulo3">
    <w:name w:val="heading 3"/>
    <w:basedOn w:val="Normal"/>
    <w:next w:val="Normal"/>
    <w:link w:val="Ttulo3Car"/>
    <w:uiPriority w:val="9"/>
    <w:unhideWhenUsed/>
    <w:qFormat/>
    <w:rsid w:val="00BF060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qFormat/>
    <w:rsid w:val="00345420"/>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232DD"/>
    <w:rPr>
      <w:rFonts w:ascii="Times New Roman" w:eastAsia="Calibri" w:hAnsi="Times New Roman" w:cs="Times New Roman"/>
      <w:b/>
      <w:color w:val="4F81BD" w:themeColor="accent1"/>
      <w:sz w:val="32"/>
      <w:szCs w:val="20"/>
      <w:lang w:val="es-ES_tradnl" w:eastAsia="es-ES"/>
    </w:rPr>
  </w:style>
  <w:style w:type="character" w:customStyle="1" w:styleId="Ttulo2Car">
    <w:name w:val="Título 2 Car"/>
    <w:basedOn w:val="Fuentedeprrafopredeter"/>
    <w:link w:val="Ttulo2"/>
    <w:rsid w:val="00563BAF"/>
    <w:rPr>
      <w:rFonts w:ascii="Times New Roman" w:eastAsia="Calibri" w:hAnsi="Times New Roman" w:cs="Times New Roman"/>
      <w:b/>
      <w:bCs/>
      <w:color w:val="4F81BD"/>
      <w:sz w:val="26"/>
      <w:szCs w:val="26"/>
      <w:lang w:eastAsia="es-ES"/>
    </w:rPr>
  </w:style>
  <w:style w:type="character" w:customStyle="1" w:styleId="Ttulo4Car">
    <w:name w:val="Título 4 Car"/>
    <w:basedOn w:val="Fuentedeprrafopredeter"/>
    <w:link w:val="Ttulo4"/>
    <w:rsid w:val="00345420"/>
    <w:rPr>
      <w:rFonts w:ascii="Times New Roman" w:eastAsia="Calibri" w:hAnsi="Times New Roman" w:cs="Times New Roman"/>
      <w:b/>
      <w:bCs/>
      <w:sz w:val="28"/>
      <w:szCs w:val="28"/>
      <w:lang w:val="es-ES" w:eastAsia="es-ES"/>
    </w:rPr>
  </w:style>
  <w:style w:type="paragraph" w:styleId="Textoindependiente">
    <w:name w:val="Body Text"/>
    <w:basedOn w:val="Normal"/>
    <w:link w:val="TextoindependienteCar"/>
    <w:rsid w:val="00345420"/>
  </w:style>
  <w:style w:type="character" w:customStyle="1" w:styleId="TextoindependienteCar">
    <w:name w:val="Texto independiente Car"/>
    <w:basedOn w:val="Fuentedeprrafopredeter"/>
    <w:link w:val="Textoindependiente"/>
    <w:rsid w:val="00345420"/>
    <w:rPr>
      <w:rFonts w:ascii="Times New Roman" w:eastAsia="Calibri" w:hAnsi="Times New Roman" w:cs="Times New Roman"/>
      <w:sz w:val="20"/>
      <w:szCs w:val="20"/>
      <w:lang w:eastAsia="es-ES"/>
    </w:rPr>
  </w:style>
  <w:style w:type="paragraph" w:customStyle="1" w:styleId="Default">
    <w:name w:val="Default"/>
    <w:rsid w:val="00345420"/>
    <w:pPr>
      <w:autoSpaceDE w:val="0"/>
      <w:autoSpaceDN w:val="0"/>
      <w:adjustRightInd w:val="0"/>
      <w:spacing w:after="0" w:line="240" w:lineRule="auto"/>
    </w:pPr>
    <w:rPr>
      <w:rFonts w:ascii="Arial" w:eastAsia="Times New Roman" w:hAnsi="Arial" w:cs="Arial"/>
      <w:color w:val="000000"/>
      <w:sz w:val="24"/>
      <w:szCs w:val="24"/>
    </w:rPr>
  </w:style>
  <w:style w:type="paragraph" w:styleId="Textonotapie">
    <w:name w:val="footnote text"/>
    <w:aliases w:val="ft,Texto nota pie_mujer,texto de nota al pie,Texto nota pie Car Car Car,FA Fu,Car,Geomatica_Texto nota pie"/>
    <w:basedOn w:val="Normal"/>
    <w:link w:val="TextonotapieCar"/>
    <w:uiPriority w:val="99"/>
    <w:rsid w:val="00345420"/>
    <w:rPr>
      <w:lang w:val="es-ES_tradnl"/>
    </w:rPr>
  </w:style>
  <w:style w:type="character" w:customStyle="1" w:styleId="TextonotapieCar">
    <w:name w:val="Texto nota pie Car"/>
    <w:aliases w:val="ft Car,Texto nota pie_mujer Car,texto de nota al pie Car,Texto nota pie Car Car Car Car,FA Fu Car,Car Car,Geomatica_Texto nota pie Car"/>
    <w:basedOn w:val="Fuentedeprrafopredeter"/>
    <w:link w:val="Textonotapie"/>
    <w:uiPriority w:val="99"/>
    <w:rsid w:val="00345420"/>
    <w:rPr>
      <w:rFonts w:ascii="Times New Roman" w:eastAsia="Calibri" w:hAnsi="Times New Roman" w:cs="Times New Roman"/>
      <w:sz w:val="20"/>
      <w:szCs w:val="20"/>
      <w:lang w:val="es-ES_tradnl" w:eastAsia="es-ES"/>
    </w:rPr>
  </w:style>
  <w:style w:type="paragraph" w:styleId="Textoindependiente2">
    <w:name w:val="Body Text 2"/>
    <w:basedOn w:val="Normal"/>
    <w:link w:val="Textoindependiente2Car"/>
    <w:rsid w:val="00345420"/>
  </w:style>
  <w:style w:type="character" w:customStyle="1" w:styleId="Textoindependiente2Car">
    <w:name w:val="Texto independiente 2 Car"/>
    <w:basedOn w:val="Fuentedeprrafopredeter"/>
    <w:link w:val="Textoindependiente2"/>
    <w:rsid w:val="00345420"/>
    <w:rPr>
      <w:rFonts w:ascii="Times New Roman" w:eastAsia="Calibri" w:hAnsi="Times New Roman" w:cs="Times New Roman"/>
      <w:sz w:val="20"/>
      <w:szCs w:val="20"/>
      <w:lang w:eastAsia="es-ES"/>
    </w:rPr>
  </w:style>
  <w:style w:type="paragraph" w:customStyle="1" w:styleId="Titulo1Numeral">
    <w:name w:val="Titulo 1 Numeral"/>
    <w:basedOn w:val="Normal"/>
    <w:rsid w:val="00345420"/>
    <w:pPr>
      <w:numPr>
        <w:numId w:val="1"/>
      </w:numPr>
      <w:spacing w:before="240" w:after="120"/>
    </w:pPr>
    <w:rPr>
      <w:rFonts w:ascii="Arial" w:hAnsi="Arial"/>
      <w:b/>
      <w:sz w:val="22"/>
      <w:lang w:val="es-CO"/>
    </w:rPr>
  </w:style>
  <w:style w:type="paragraph" w:customStyle="1" w:styleId="Textoindependiente21">
    <w:name w:val="Texto independiente 21"/>
    <w:basedOn w:val="Normal"/>
    <w:rsid w:val="00345420"/>
    <w:pPr>
      <w:ind w:left="708"/>
    </w:pPr>
    <w:rPr>
      <w:rFonts w:ascii="Arial Narrow" w:hAnsi="Arial Narrow"/>
      <w:color w:val="008000"/>
      <w:sz w:val="22"/>
      <w:lang w:val="es-CO"/>
    </w:rPr>
  </w:style>
  <w:style w:type="paragraph" w:styleId="Prrafodelista">
    <w:name w:val="List Paragraph"/>
    <w:basedOn w:val="Normal"/>
    <w:uiPriority w:val="99"/>
    <w:qFormat/>
    <w:rsid w:val="00CB44C2"/>
    <w:pPr>
      <w:contextualSpacing/>
    </w:pPr>
    <w:rPr>
      <w:rFonts w:eastAsia="Times New Roman"/>
      <w:lang w:val="es-CO"/>
    </w:rPr>
  </w:style>
  <w:style w:type="paragraph" w:styleId="Textodeglobo">
    <w:name w:val="Balloon Text"/>
    <w:basedOn w:val="Normal"/>
    <w:link w:val="TextodegloboCar"/>
    <w:uiPriority w:val="99"/>
    <w:semiHidden/>
    <w:unhideWhenUsed/>
    <w:rsid w:val="00B73DDF"/>
    <w:rPr>
      <w:rFonts w:ascii="Tahoma" w:hAnsi="Tahoma" w:cs="Tahoma"/>
      <w:sz w:val="16"/>
      <w:szCs w:val="16"/>
    </w:rPr>
  </w:style>
  <w:style w:type="character" w:customStyle="1" w:styleId="TextodegloboCar">
    <w:name w:val="Texto de globo Car"/>
    <w:basedOn w:val="Fuentedeprrafopredeter"/>
    <w:link w:val="Textodeglobo"/>
    <w:uiPriority w:val="99"/>
    <w:semiHidden/>
    <w:rsid w:val="00B73DDF"/>
    <w:rPr>
      <w:rFonts w:ascii="Tahoma" w:eastAsia="Calibri" w:hAnsi="Tahoma" w:cs="Tahoma"/>
      <w:sz w:val="16"/>
      <w:szCs w:val="16"/>
      <w:lang w:val="es-ES" w:eastAsia="es-ES"/>
    </w:rPr>
  </w:style>
  <w:style w:type="character" w:styleId="Hipervnculo">
    <w:name w:val="Hyperlink"/>
    <w:basedOn w:val="Fuentedeprrafopredeter"/>
    <w:uiPriority w:val="99"/>
    <w:unhideWhenUsed/>
    <w:rsid w:val="001C1A08"/>
    <w:rPr>
      <w:color w:val="0000FF" w:themeColor="hyperlink"/>
      <w:u w:val="single"/>
    </w:rPr>
  </w:style>
  <w:style w:type="paragraph" w:styleId="NormalWeb">
    <w:name w:val="Normal (Web)"/>
    <w:basedOn w:val="Normal"/>
    <w:uiPriority w:val="99"/>
    <w:semiHidden/>
    <w:unhideWhenUsed/>
    <w:rsid w:val="00A9019E"/>
    <w:pPr>
      <w:spacing w:before="100" w:beforeAutospacing="1" w:after="100" w:afterAutospacing="1"/>
    </w:pPr>
    <w:rPr>
      <w:rFonts w:ascii="Arial Unicode MS" w:eastAsia="Arial Unicode MS" w:hAnsi="Arial Unicode MS" w:cs="Arial Unicode MS"/>
      <w:color w:val="000000"/>
      <w:sz w:val="24"/>
      <w:szCs w:val="24"/>
    </w:rPr>
  </w:style>
  <w:style w:type="paragraph" w:customStyle="1" w:styleId="CM9">
    <w:name w:val="CM9"/>
    <w:basedOn w:val="Normal"/>
    <w:next w:val="Normal"/>
    <w:rsid w:val="00A9019E"/>
    <w:pPr>
      <w:widowControl w:val="0"/>
      <w:autoSpaceDE w:val="0"/>
      <w:autoSpaceDN w:val="0"/>
      <w:adjustRightInd w:val="0"/>
      <w:spacing w:line="268" w:lineRule="atLeast"/>
    </w:pPr>
    <w:rPr>
      <w:rFonts w:ascii="Arial" w:eastAsia="Times New Roman" w:hAnsi="Arial"/>
      <w:color w:val="000000"/>
      <w:sz w:val="24"/>
      <w:szCs w:val="24"/>
    </w:rPr>
  </w:style>
  <w:style w:type="paragraph" w:customStyle="1" w:styleId="CM106">
    <w:name w:val="CM106"/>
    <w:basedOn w:val="Normal"/>
    <w:next w:val="Normal"/>
    <w:rsid w:val="00A9019E"/>
    <w:pPr>
      <w:widowControl w:val="0"/>
      <w:autoSpaceDE w:val="0"/>
      <w:autoSpaceDN w:val="0"/>
      <w:adjustRightInd w:val="0"/>
      <w:spacing w:after="58"/>
    </w:pPr>
    <w:rPr>
      <w:rFonts w:ascii="Arial" w:eastAsia="Times New Roman" w:hAnsi="Arial"/>
      <w:color w:val="000000"/>
      <w:sz w:val="24"/>
      <w:szCs w:val="24"/>
    </w:rPr>
  </w:style>
  <w:style w:type="character" w:styleId="Textoennegrita">
    <w:name w:val="Strong"/>
    <w:basedOn w:val="Fuentedeprrafopredeter"/>
    <w:qFormat/>
    <w:rsid w:val="008B0B01"/>
    <w:rPr>
      <w:b/>
      <w:bCs/>
    </w:rPr>
  </w:style>
  <w:style w:type="character" w:styleId="Refdenotaalpie">
    <w:name w:val="footnote reference"/>
    <w:uiPriority w:val="99"/>
    <w:semiHidden/>
    <w:unhideWhenUsed/>
    <w:rsid w:val="007F27DC"/>
    <w:rPr>
      <w:vertAlign w:val="superscript"/>
    </w:rPr>
  </w:style>
  <w:style w:type="paragraph" w:styleId="Epgrafe">
    <w:name w:val="caption"/>
    <w:basedOn w:val="Normal"/>
    <w:next w:val="Normal"/>
    <w:semiHidden/>
    <w:unhideWhenUsed/>
    <w:qFormat/>
    <w:rsid w:val="009822C8"/>
    <w:rPr>
      <w:rFonts w:eastAsia="Times New Roman"/>
      <w:b/>
      <w:bCs/>
    </w:rPr>
  </w:style>
  <w:style w:type="paragraph" w:customStyle="1" w:styleId="xl31">
    <w:name w:val="xl31"/>
    <w:basedOn w:val="Normal"/>
    <w:rsid w:val="00803301"/>
    <w:pPr>
      <w:spacing w:before="100" w:beforeAutospacing="1" w:after="100" w:afterAutospacing="1"/>
    </w:pPr>
    <w:rPr>
      <w:rFonts w:eastAsia="Times New Roman"/>
      <w:sz w:val="24"/>
      <w:szCs w:val="24"/>
    </w:rPr>
  </w:style>
  <w:style w:type="paragraph" w:styleId="Bibliografa">
    <w:name w:val="Bibliography"/>
    <w:basedOn w:val="Normal"/>
    <w:next w:val="Normal"/>
    <w:link w:val="BibliografaCar"/>
    <w:uiPriority w:val="37"/>
    <w:unhideWhenUsed/>
    <w:rsid w:val="00F137A2"/>
  </w:style>
  <w:style w:type="character" w:customStyle="1" w:styleId="Ttulo3Car">
    <w:name w:val="Título 3 Car"/>
    <w:basedOn w:val="Fuentedeprrafopredeter"/>
    <w:link w:val="Ttulo3"/>
    <w:uiPriority w:val="9"/>
    <w:rsid w:val="00BF0605"/>
    <w:rPr>
      <w:rFonts w:asciiTheme="majorHAnsi" w:eastAsiaTheme="majorEastAsia" w:hAnsiTheme="majorHAnsi" w:cstheme="majorBidi"/>
      <w:color w:val="243F60" w:themeColor="accent1" w:themeShade="7F"/>
      <w:sz w:val="24"/>
      <w:szCs w:val="24"/>
      <w:lang w:val="es-ES" w:eastAsia="es-ES"/>
    </w:rPr>
  </w:style>
  <w:style w:type="paragraph" w:styleId="TtulodeTDC">
    <w:name w:val="TOC Heading"/>
    <w:basedOn w:val="Ttulo1"/>
    <w:next w:val="Normal"/>
    <w:uiPriority w:val="39"/>
    <w:unhideWhenUsed/>
    <w:qFormat/>
    <w:rsid w:val="003B75C7"/>
    <w:pPr>
      <w:keepLines/>
      <w:widowControl/>
      <w:spacing w:before="240" w:line="259" w:lineRule="auto"/>
      <w:jc w:val="left"/>
      <w:outlineLvl w:val="9"/>
    </w:pPr>
    <w:rPr>
      <w:rFonts w:asciiTheme="majorHAnsi" w:eastAsiaTheme="majorEastAsia" w:hAnsiTheme="majorHAnsi" w:cstheme="majorBidi"/>
      <w:b w:val="0"/>
      <w:color w:val="365F91" w:themeColor="accent1" w:themeShade="BF"/>
      <w:szCs w:val="32"/>
      <w:lang w:val="es-CO" w:eastAsia="es-CO"/>
    </w:rPr>
  </w:style>
  <w:style w:type="paragraph" w:styleId="TDC1">
    <w:name w:val="toc 1"/>
    <w:basedOn w:val="Normal"/>
    <w:next w:val="Normal"/>
    <w:autoRedefine/>
    <w:uiPriority w:val="39"/>
    <w:unhideWhenUsed/>
    <w:rsid w:val="003B75C7"/>
    <w:pPr>
      <w:spacing w:after="100"/>
    </w:pPr>
  </w:style>
  <w:style w:type="paragraph" w:styleId="TDC2">
    <w:name w:val="toc 2"/>
    <w:basedOn w:val="Normal"/>
    <w:next w:val="Normal"/>
    <w:autoRedefine/>
    <w:uiPriority w:val="39"/>
    <w:unhideWhenUsed/>
    <w:rsid w:val="003B75C7"/>
    <w:pPr>
      <w:spacing w:after="100"/>
      <w:ind w:left="200"/>
    </w:pPr>
  </w:style>
  <w:style w:type="paragraph" w:styleId="TDC3">
    <w:name w:val="toc 3"/>
    <w:basedOn w:val="Normal"/>
    <w:next w:val="Normal"/>
    <w:autoRedefine/>
    <w:uiPriority w:val="39"/>
    <w:unhideWhenUsed/>
    <w:rsid w:val="003B75C7"/>
    <w:pPr>
      <w:spacing w:after="100"/>
      <w:ind w:left="400"/>
    </w:pPr>
  </w:style>
  <w:style w:type="paragraph" w:styleId="Encabezado">
    <w:name w:val="header"/>
    <w:basedOn w:val="Normal"/>
    <w:link w:val="EncabezadoCar"/>
    <w:uiPriority w:val="99"/>
    <w:unhideWhenUsed/>
    <w:rsid w:val="00563BAF"/>
    <w:pPr>
      <w:tabs>
        <w:tab w:val="center" w:pos="4419"/>
        <w:tab w:val="right" w:pos="8838"/>
      </w:tabs>
    </w:pPr>
  </w:style>
  <w:style w:type="character" w:customStyle="1" w:styleId="EncabezadoCar">
    <w:name w:val="Encabezado Car"/>
    <w:basedOn w:val="Fuentedeprrafopredeter"/>
    <w:link w:val="Encabezado"/>
    <w:uiPriority w:val="99"/>
    <w:rsid w:val="00563BAF"/>
    <w:rPr>
      <w:rFonts w:ascii="Times New Roman" w:eastAsia="Calibri" w:hAnsi="Times New Roman" w:cs="Times New Roman"/>
      <w:sz w:val="20"/>
      <w:szCs w:val="20"/>
      <w:lang w:val="es-ES" w:eastAsia="es-ES"/>
    </w:rPr>
  </w:style>
  <w:style w:type="paragraph" w:styleId="Piedepgina">
    <w:name w:val="footer"/>
    <w:basedOn w:val="Normal"/>
    <w:link w:val="PiedepginaCar"/>
    <w:uiPriority w:val="99"/>
    <w:unhideWhenUsed/>
    <w:rsid w:val="00563BAF"/>
    <w:pPr>
      <w:tabs>
        <w:tab w:val="center" w:pos="4419"/>
        <w:tab w:val="right" w:pos="8838"/>
      </w:tabs>
    </w:pPr>
  </w:style>
  <w:style w:type="character" w:customStyle="1" w:styleId="PiedepginaCar">
    <w:name w:val="Pie de página Car"/>
    <w:basedOn w:val="Fuentedeprrafopredeter"/>
    <w:link w:val="Piedepgina"/>
    <w:uiPriority w:val="99"/>
    <w:rsid w:val="00563BAF"/>
    <w:rPr>
      <w:rFonts w:ascii="Times New Roman" w:eastAsia="Calibri" w:hAnsi="Times New Roman" w:cs="Times New Roman"/>
      <w:sz w:val="20"/>
      <w:szCs w:val="20"/>
      <w:lang w:val="es-ES" w:eastAsia="es-ES"/>
    </w:rPr>
  </w:style>
  <w:style w:type="paragraph" w:customStyle="1" w:styleId="Textoscitados">
    <w:name w:val="Textos citados"/>
    <w:basedOn w:val="Bibliografa"/>
    <w:link w:val="TextoscitadosCar"/>
    <w:autoRedefine/>
    <w:qFormat/>
    <w:rsid w:val="007B31CA"/>
    <w:pPr>
      <w:ind w:left="720" w:hanging="720"/>
    </w:pPr>
    <w:rPr>
      <w:noProof/>
      <w:sz w:val="24"/>
    </w:rPr>
  </w:style>
  <w:style w:type="character" w:customStyle="1" w:styleId="BibliografaCar">
    <w:name w:val="Bibliografía Car"/>
    <w:basedOn w:val="Fuentedeprrafopredeter"/>
    <w:link w:val="Bibliografa"/>
    <w:uiPriority w:val="37"/>
    <w:rsid w:val="007B31CA"/>
    <w:rPr>
      <w:rFonts w:ascii="Times New Roman" w:eastAsia="Calibri" w:hAnsi="Times New Roman" w:cs="Times New Roman"/>
      <w:sz w:val="20"/>
      <w:szCs w:val="20"/>
      <w:lang w:val="es-ES" w:eastAsia="es-ES"/>
    </w:rPr>
  </w:style>
  <w:style w:type="character" w:customStyle="1" w:styleId="TextoscitadosCar">
    <w:name w:val="Textos citados Car"/>
    <w:basedOn w:val="BibliografaCar"/>
    <w:link w:val="Textoscitados"/>
    <w:rsid w:val="007B31CA"/>
    <w:rPr>
      <w:rFonts w:ascii="Times New Roman" w:eastAsia="Calibri" w:hAnsi="Times New Roman" w:cs="Times New Roman"/>
      <w:noProof/>
      <w:sz w:val="24"/>
      <w:szCs w:val="20"/>
      <w:lang w:val="es-ES" w:eastAsia="es-ES"/>
    </w:rPr>
  </w:style>
</w:styles>
</file>

<file path=word/webSettings.xml><?xml version="1.0" encoding="utf-8"?>
<w:webSettings xmlns:r="http://schemas.openxmlformats.org/officeDocument/2006/relationships" xmlns:w="http://schemas.openxmlformats.org/wordprocessingml/2006/main">
  <w:divs>
    <w:div w:id="59644548">
      <w:bodyDiv w:val="1"/>
      <w:marLeft w:val="0"/>
      <w:marRight w:val="0"/>
      <w:marTop w:val="0"/>
      <w:marBottom w:val="0"/>
      <w:divBdr>
        <w:top w:val="none" w:sz="0" w:space="0" w:color="auto"/>
        <w:left w:val="none" w:sz="0" w:space="0" w:color="auto"/>
        <w:bottom w:val="none" w:sz="0" w:space="0" w:color="auto"/>
        <w:right w:val="none" w:sz="0" w:space="0" w:color="auto"/>
      </w:divBdr>
    </w:div>
    <w:div w:id="99566097">
      <w:bodyDiv w:val="1"/>
      <w:marLeft w:val="0"/>
      <w:marRight w:val="0"/>
      <w:marTop w:val="0"/>
      <w:marBottom w:val="0"/>
      <w:divBdr>
        <w:top w:val="none" w:sz="0" w:space="0" w:color="auto"/>
        <w:left w:val="none" w:sz="0" w:space="0" w:color="auto"/>
        <w:bottom w:val="none" w:sz="0" w:space="0" w:color="auto"/>
        <w:right w:val="none" w:sz="0" w:space="0" w:color="auto"/>
      </w:divBdr>
    </w:div>
    <w:div w:id="108009270">
      <w:bodyDiv w:val="1"/>
      <w:marLeft w:val="0"/>
      <w:marRight w:val="0"/>
      <w:marTop w:val="0"/>
      <w:marBottom w:val="0"/>
      <w:divBdr>
        <w:top w:val="none" w:sz="0" w:space="0" w:color="auto"/>
        <w:left w:val="none" w:sz="0" w:space="0" w:color="auto"/>
        <w:bottom w:val="none" w:sz="0" w:space="0" w:color="auto"/>
        <w:right w:val="none" w:sz="0" w:space="0" w:color="auto"/>
      </w:divBdr>
    </w:div>
    <w:div w:id="127207683">
      <w:bodyDiv w:val="1"/>
      <w:marLeft w:val="0"/>
      <w:marRight w:val="0"/>
      <w:marTop w:val="0"/>
      <w:marBottom w:val="0"/>
      <w:divBdr>
        <w:top w:val="none" w:sz="0" w:space="0" w:color="auto"/>
        <w:left w:val="none" w:sz="0" w:space="0" w:color="auto"/>
        <w:bottom w:val="none" w:sz="0" w:space="0" w:color="auto"/>
        <w:right w:val="none" w:sz="0" w:space="0" w:color="auto"/>
      </w:divBdr>
    </w:div>
    <w:div w:id="172569949">
      <w:bodyDiv w:val="1"/>
      <w:marLeft w:val="0"/>
      <w:marRight w:val="0"/>
      <w:marTop w:val="0"/>
      <w:marBottom w:val="0"/>
      <w:divBdr>
        <w:top w:val="none" w:sz="0" w:space="0" w:color="auto"/>
        <w:left w:val="none" w:sz="0" w:space="0" w:color="auto"/>
        <w:bottom w:val="none" w:sz="0" w:space="0" w:color="auto"/>
        <w:right w:val="none" w:sz="0" w:space="0" w:color="auto"/>
      </w:divBdr>
    </w:div>
    <w:div w:id="209810255">
      <w:bodyDiv w:val="1"/>
      <w:marLeft w:val="0"/>
      <w:marRight w:val="0"/>
      <w:marTop w:val="0"/>
      <w:marBottom w:val="0"/>
      <w:divBdr>
        <w:top w:val="none" w:sz="0" w:space="0" w:color="auto"/>
        <w:left w:val="none" w:sz="0" w:space="0" w:color="auto"/>
        <w:bottom w:val="none" w:sz="0" w:space="0" w:color="auto"/>
        <w:right w:val="none" w:sz="0" w:space="0" w:color="auto"/>
      </w:divBdr>
    </w:div>
    <w:div w:id="217210025">
      <w:bodyDiv w:val="1"/>
      <w:marLeft w:val="0"/>
      <w:marRight w:val="0"/>
      <w:marTop w:val="0"/>
      <w:marBottom w:val="0"/>
      <w:divBdr>
        <w:top w:val="none" w:sz="0" w:space="0" w:color="auto"/>
        <w:left w:val="none" w:sz="0" w:space="0" w:color="auto"/>
        <w:bottom w:val="none" w:sz="0" w:space="0" w:color="auto"/>
        <w:right w:val="none" w:sz="0" w:space="0" w:color="auto"/>
      </w:divBdr>
    </w:div>
    <w:div w:id="220946259">
      <w:bodyDiv w:val="1"/>
      <w:marLeft w:val="0"/>
      <w:marRight w:val="0"/>
      <w:marTop w:val="0"/>
      <w:marBottom w:val="0"/>
      <w:divBdr>
        <w:top w:val="none" w:sz="0" w:space="0" w:color="auto"/>
        <w:left w:val="none" w:sz="0" w:space="0" w:color="auto"/>
        <w:bottom w:val="none" w:sz="0" w:space="0" w:color="auto"/>
        <w:right w:val="none" w:sz="0" w:space="0" w:color="auto"/>
      </w:divBdr>
    </w:div>
    <w:div w:id="267662188">
      <w:bodyDiv w:val="1"/>
      <w:marLeft w:val="0"/>
      <w:marRight w:val="0"/>
      <w:marTop w:val="0"/>
      <w:marBottom w:val="0"/>
      <w:divBdr>
        <w:top w:val="none" w:sz="0" w:space="0" w:color="auto"/>
        <w:left w:val="none" w:sz="0" w:space="0" w:color="auto"/>
        <w:bottom w:val="none" w:sz="0" w:space="0" w:color="auto"/>
        <w:right w:val="none" w:sz="0" w:space="0" w:color="auto"/>
      </w:divBdr>
    </w:div>
    <w:div w:id="297533836">
      <w:bodyDiv w:val="1"/>
      <w:marLeft w:val="0"/>
      <w:marRight w:val="0"/>
      <w:marTop w:val="0"/>
      <w:marBottom w:val="0"/>
      <w:divBdr>
        <w:top w:val="none" w:sz="0" w:space="0" w:color="auto"/>
        <w:left w:val="none" w:sz="0" w:space="0" w:color="auto"/>
        <w:bottom w:val="none" w:sz="0" w:space="0" w:color="auto"/>
        <w:right w:val="none" w:sz="0" w:space="0" w:color="auto"/>
      </w:divBdr>
    </w:div>
    <w:div w:id="340936024">
      <w:bodyDiv w:val="1"/>
      <w:marLeft w:val="0"/>
      <w:marRight w:val="0"/>
      <w:marTop w:val="0"/>
      <w:marBottom w:val="0"/>
      <w:divBdr>
        <w:top w:val="none" w:sz="0" w:space="0" w:color="auto"/>
        <w:left w:val="none" w:sz="0" w:space="0" w:color="auto"/>
        <w:bottom w:val="none" w:sz="0" w:space="0" w:color="auto"/>
        <w:right w:val="none" w:sz="0" w:space="0" w:color="auto"/>
      </w:divBdr>
    </w:div>
    <w:div w:id="367415169">
      <w:bodyDiv w:val="1"/>
      <w:marLeft w:val="0"/>
      <w:marRight w:val="0"/>
      <w:marTop w:val="0"/>
      <w:marBottom w:val="0"/>
      <w:divBdr>
        <w:top w:val="none" w:sz="0" w:space="0" w:color="auto"/>
        <w:left w:val="none" w:sz="0" w:space="0" w:color="auto"/>
        <w:bottom w:val="none" w:sz="0" w:space="0" w:color="auto"/>
        <w:right w:val="none" w:sz="0" w:space="0" w:color="auto"/>
      </w:divBdr>
    </w:div>
    <w:div w:id="410614927">
      <w:bodyDiv w:val="1"/>
      <w:marLeft w:val="0"/>
      <w:marRight w:val="0"/>
      <w:marTop w:val="0"/>
      <w:marBottom w:val="0"/>
      <w:divBdr>
        <w:top w:val="none" w:sz="0" w:space="0" w:color="auto"/>
        <w:left w:val="none" w:sz="0" w:space="0" w:color="auto"/>
        <w:bottom w:val="none" w:sz="0" w:space="0" w:color="auto"/>
        <w:right w:val="none" w:sz="0" w:space="0" w:color="auto"/>
      </w:divBdr>
    </w:div>
    <w:div w:id="485320448">
      <w:bodyDiv w:val="1"/>
      <w:marLeft w:val="0"/>
      <w:marRight w:val="0"/>
      <w:marTop w:val="0"/>
      <w:marBottom w:val="0"/>
      <w:divBdr>
        <w:top w:val="none" w:sz="0" w:space="0" w:color="auto"/>
        <w:left w:val="none" w:sz="0" w:space="0" w:color="auto"/>
        <w:bottom w:val="none" w:sz="0" w:space="0" w:color="auto"/>
        <w:right w:val="none" w:sz="0" w:space="0" w:color="auto"/>
      </w:divBdr>
    </w:div>
    <w:div w:id="624698876">
      <w:bodyDiv w:val="1"/>
      <w:marLeft w:val="0"/>
      <w:marRight w:val="0"/>
      <w:marTop w:val="0"/>
      <w:marBottom w:val="0"/>
      <w:divBdr>
        <w:top w:val="none" w:sz="0" w:space="0" w:color="auto"/>
        <w:left w:val="none" w:sz="0" w:space="0" w:color="auto"/>
        <w:bottom w:val="none" w:sz="0" w:space="0" w:color="auto"/>
        <w:right w:val="none" w:sz="0" w:space="0" w:color="auto"/>
      </w:divBdr>
    </w:div>
    <w:div w:id="653069319">
      <w:bodyDiv w:val="1"/>
      <w:marLeft w:val="0"/>
      <w:marRight w:val="0"/>
      <w:marTop w:val="0"/>
      <w:marBottom w:val="0"/>
      <w:divBdr>
        <w:top w:val="none" w:sz="0" w:space="0" w:color="auto"/>
        <w:left w:val="none" w:sz="0" w:space="0" w:color="auto"/>
        <w:bottom w:val="none" w:sz="0" w:space="0" w:color="auto"/>
        <w:right w:val="none" w:sz="0" w:space="0" w:color="auto"/>
      </w:divBdr>
    </w:div>
    <w:div w:id="828862490">
      <w:bodyDiv w:val="1"/>
      <w:marLeft w:val="0"/>
      <w:marRight w:val="0"/>
      <w:marTop w:val="0"/>
      <w:marBottom w:val="0"/>
      <w:divBdr>
        <w:top w:val="none" w:sz="0" w:space="0" w:color="auto"/>
        <w:left w:val="none" w:sz="0" w:space="0" w:color="auto"/>
        <w:bottom w:val="none" w:sz="0" w:space="0" w:color="auto"/>
        <w:right w:val="none" w:sz="0" w:space="0" w:color="auto"/>
      </w:divBdr>
    </w:div>
    <w:div w:id="835609533">
      <w:bodyDiv w:val="1"/>
      <w:marLeft w:val="0"/>
      <w:marRight w:val="0"/>
      <w:marTop w:val="0"/>
      <w:marBottom w:val="0"/>
      <w:divBdr>
        <w:top w:val="none" w:sz="0" w:space="0" w:color="auto"/>
        <w:left w:val="none" w:sz="0" w:space="0" w:color="auto"/>
        <w:bottom w:val="none" w:sz="0" w:space="0" w:color="auto"/>
        <w:right w:val="none" w:sz="0" w:space="0" w:color="auto"/>
      </w:divBdr>
    </w:div>
    <w:div w:id="861284501">
      <w:bodyDiv w:val="1"/>
      <w:marLeft w:val="0"/>
      <w:marRight w:val="0"/>
      <w:marTop w:val="0"/>
      <w:marBottom w:val="0"/>
      <w:divBdr>
        <w:top w:val="none" w:sz="0" w:space="0" w:color="auto"/>
        <w:left w:val="none" w:sz="0" w:space="0" w:color="auto"/>
        <w:bottom w:val="none" w:sz="0" w:space="0" w:color="auto"/>
        <w:right w:val="none" w:sz="0" w:space="0" w:color="auto"/>
      </w:divBdr>
    </w:div>
    <w:div w:id="864976054">
      <w:bodyDiv w:val="1"/>
      <w:marLeft w:val="0"/>
      <w:marRight w:val="0"/>
      <w:marTop w:val="0"/>
      <w:marBottom w:val="0"/>
      <w:divBdr>
        <w:top w:val="none" w:sz="0" w:space="0" w:color="auto"/>
        <w:left w:val="none" w:sz="0" w:space="0" w:color="auto"/>
        <w:bottom w:val="none" w:sz="0" w:space="0" w:color="auto"/>
        <w:right w:val="none" w:sz="0" w:space="0" w:color="auto"/>
      </w:divBdr>
    </w:div>
    <w:div w:id="933124285">
      <w:bodyDiv w:val="1"/>
      <w:marLeft w:val="0"/>
      <w:marRight w:val="0"/>
      <w:marTop w:val="0"/>
      <w:marBottom w:val="0"/>
      <w:divBdr>
        <w:top w:val="none" w:sz="0" w:space="0" w:color="auto"/>
        <w:left w:val="none" w:sz="0" w:space="0" w:color="auto"/>
        <w:bottom w:val="none" w:sz="0" w:space="0" w:color="auto"/>
        <w:right w:val="none" w:sz="0" w:space="0" w:color="auto"/>
      </w:divBdr>
    </w:div>
    <w:div w:id="993871810">
      <w:bodyDiv w:val="1"/>
      <w:marLeft w:val="0"/>
      <w:marRight w:val="0"/>
      <w:marTop w:val="0"/>
      <w:marBottom w:val="0"/>
      <w:divBdr>
        <w:top w:val="none" w:sz="0" w:space="0" w:color="auto"/>
        <w:left w:val="none" w:sz="0" w:space="0" w:color="auto"/>
        <w:bottom w:val="none" w:sz="0" w:space="0" w:color="auto"/>
        <w:right w:val="none" w:sz="0" w:space="0" w:color="auto"/>
      </w:divBdr>
    </w:div>
    <w:div w:id="1058824516">
      <w:bodyDiv w:val="1"/>
      <w:marLeft w:val="0"/>
      <w:marRight w:val="0"/>
      <w:marTop w:val="0"/>
      <w:marBottom w:val="0"/>
      <w:divBdr>
        <w:top w:val="none" w:sz="0" w:space="0" w:color="auto"/>
        <w:left w:val="none" w:sz="0" w:space="0" w:color="auto"/>
        <w:bottom w:val="none" w:sz="0" w:space="0" w:color="auto"/>
        <w:right w:val="none" w:sz="0" w:space="0" w:color="auto"/>
      </w:divBdr>
    </w:div>
    <w:div w:id="1076321651">
      <w:bodyDiv w:val="1"/>
      <w:marLeft w:val="0"/>
      <w:marRight w:val="0"/>
      <w:marTop w:val="0"/>
      <w:marBottom w:val="0"/>
      <w:divBdr>
        <w:top w:val="none" w:sz="0" w:space="0" w:color="auto"/>
        <w:left w:val="none" w:sz="0" w:space="0" w:color="auto"/>
        <w:bottom w:val="none" w:sz="0" w:space="0" w:color="auto"/>
        <w:right w:val="none" w:sz="0" w:space="0" w:color="auto"/>
      </w:divBdr>
    </w:div>
    <w:div w:id="1078014674">
      <w:bodyDiv w:val="1"/>
      <w:marLeft w:val="0"/>
      <w:marRight w:val="0"/>
      <w:marTop w:val="0"/>
      <w:marBottom w:val="0"/>
      <w:divBdr>
        <w:top w:val="none" w:sz="0" w:space="0" w:color="auto"/>
        <w:left w:val="none" w:sz="0" w:space="0" w:color="auto"/>
        <w:bottom w:val="none" w:sz="0" w:space="0" w:color="auto"/>
        <w:right w:val="none" w:sz="0" w:space="0" w:color="auto"/>
      </w:divBdr>
    </w:div>
    <w:div w:id="1086926275">
      <w:bodyDiv w:val="1"/>
      <w:marLeft w:val="0"/>
      <w:marRight w:val="0"/>
      <w:marTop w:val="0"/>
      <w:marBottom w:val="0"/>
      <w:divBdr>
        <w:top w:val="none" w:sz="0" w:space="0" w:color="auto"/>
        <w:left w:val="none" w:sz="0" w:space="0" w:color="auto"/>
        <w:bottom w:val="none" w:sz="0" w:space="0" w:color="auto"/>
        <w:right w:val="none" w:sz="0" w:space="0" w:color="auto"/>
      </w:divBdr>
    </w:div>
    <w:div w:id="1094668673">
      <w:bodyDiv w:val="1"/>
      <w:marLeft w:val="0"/>
      <w:marRight w:val="0"/>
      <w:marTop w:val="0"/>
      <w:marBottom w:val="0"/>
      <w:divBdr>
        <w:top w:val="none" w:sz="0" w:space="0" w:color="auto"/>
        <w:left w:val="none" w:sz="0" w:space="0" w:color="auto"/>
        <w:bottom w:val="none" w:sz="0" w:space="0" w:color="auto"/>
        <w:right w:val="none" w:sz="0" w:space="0" w:color="auto"/>
      </w:divBdr>
    </w:div>
    <w:div w:id="1130397137">
      <w:bodyDiv w:val="1"/>
      <w:marLeft w:val="0"/>
      <w:marRight w:val="0"/>
      <w:marTop w:val="0"/>
      <w:marBottom w:val="0"/>
      <w:divBdr>
        <w:top w:val="none" w:sz="0" w:space="0" w:color="auto"/>
        <w:left w:val="none" w:sz="0" w:space="0" w:color="auto"/>
        <w:bottom w:val="none" w:sz="0" w:space="0" w:color="auto"/>
        <w:right w:val="none" w:sz="0" w:space="0" w:color="auto"/>
      </w:divBdr>
    </w:div>
    <w:div w:id="1131633123">
      <w:bodyDiv w:val="1"/>
      <w:marLeft w:val="0"/>
      <w:marRight w:val="0"/>
      <w:marTop w:val="0"/>
      <w:marBottom w:val="0"/>
      <w:divBdr>
        <w:top w:val="none" w:sz="0" w:space="0" w:color="auto"/>
        <w:left w:val="none" w:sz="0" w:space="0" w:color="auto"/>
        <w:bottom w:val="none" w:sz="0" w:space="0" w:color="auto"/>
        <w:right w:val="none" w:sz="0" w:space="0" w:color="auto"/>
      </w:divBdr>
    </w:div>
    <w:div w:id="1166944372">
      <w:bodyDiv w:val="1"/>
      <w:marLeft w:val="0"/>
      <w:marRight w:val="0"/>
      <w:marTop w:val="0"/>
      <w:marBottom w:val="0"/>
      <w:divBdr>
        <w:top w:val="none" w:sz="0" w:space="0" w:color="auto"/>
        <w:left w:val="none" w:sz="0" w:space="0" w:color="auto"/>
        <w:bottom w:val="none" w:sz="0" w:space="0" w:color="auto"/>
        <w:right w:val="none" w:sz="0" w:space="0" w:color="auto"/>
      </w:divBdr>
    </w:div>
    <w:div w:id="1183786134">
      <w:bodyDiv w:val="1"/>
      <w:marLeft w:val="0"/>
      <w:marRight w:val="0"/>
      <w:marTop w:val="0"/>
      <w:marBottom w:val="0"/>
      <w:divBdr>
        <w:top w:val="none" w:sz="0" w:space="0" w:color="auto"/>
        <w:left w:val="none" w:sz="0" w:space="0" w:color="auto"/>
        <w:bottom w:val="none" w:sz="0" w:space="0" w:color="auto"/>
        <w:right w:val="none" w:sz="0" w:space="0" w:color="auto"/>
      </w:divBdr>
    </w:div>
    <w:div w:id="1186482238">
      <w:bodyDiv w:val="1"/>
      <w:marLeft w:val="0"/>
      <w:marRight w:val="0"/>
      <w:marTop w:val="0"/>
      <w:marBottom w:val="0"/>
      <w:divBdr>
        <w:top w:val="none" w:sz="0" w:space="0" w:color="auto"/>
        <w:left w:val="none" w:sz="0" w:space="0" w:color="auto"/>
        <w:bottom w:val="none" w:sz="0" w:space="0" w:color="auto"/>
        <w:right w:val="none" w:sz="0" w:space="0" w:color="auto"/>
      </w:divBdr>
    </w:div>
    <w:div w:id="1191407618">
      <w:bodyDiv w:val="1"/>
      <w:marLeft w:val="0"/>
      <w:marRight w:val="0"/>
      <w:marTop w:val="0"/>
      <w:marBottom w:val="0"/>
      <w:divBdr>
        <w:top w:val="none" w:sz="0" w:space="0" w:color="auto"/>
        <w:left w:val="none" w:sz="0" w:space="0" w:color="auto"/>
        <w:bottom w:val="none" w:sz="0" w:space="0" w:color="auto"/>
        <w:right w:val="none" w:sz="0" w:space="0" w:color="auto"/>
      </w:divBdr>
    </w:div>
    <w:div w:id="1201236611">
      <w:bodyDiv w:val="1"/>
      <w:marLeft w:val="0"/>
      <w:marRight w:val="0"/>
      <w:marTop w:val="0"/>
      <w:marBottom w:val="0"/>
      <w:divBdr>
        <w:top w:val="none" w:sz="0" w:space="0" w:color="auto"/>
        <w:left w:val="none" w:sz="0" w:space="0" w:color="auto"/>
        <w:bottom w:val="none" w:sz="0" w:space="0" w:color="auto"/>
        <w:right w:val="none" w:sz="0" w:space="0" w:color="auto"/>
      </w:divBdr>
    </w:div>
    <w:div w:id="1242377096">
      <w:bodyDiv w:val="1"/>
      <w:marLeft w:val="0"/>
      <w:marRight w:val="0"/>
      <w:marTop w:val="0"/>
      <w:marBottom w:val="0"/>
      <w:divBdr>
        <w:top w:val="none" w:sz="0" w:space="0" w:color="auto"/>
        <w:left w:val="none" w:sz="0" w:space="0" w:color="auto"/>
        <w:bottom w:val="none" w:sz="0" w:space="0" w:color="auto"/>
        <w:right w:val="none" w:sz="0" w:space="0" w:color="auto"/>
      </w:divBdr>
    </w:div>
    <w:div w:id="1287084417">
      <w:bodyDiv w:val="1"/>
      <w:marLeft w:val="0"/>
      <w:marRight w:val="0"/>
      <w:marTop w:val="0"/>
      <w:marBottom w:val="0"/>
      <w:divBdr>
        <w:top w:val="none" w:sz="0" w:space="0" w:color="auto"/>
        <w:left w:val="none" w:sz="0" w:space="0" w:color="auto"/>
        <w:bottom w:val="none" w:sz="0" w:space="0" w:color="auto"/>
        <w:right w:val="none" w:sz="0" w:space="0" w:color="auto"/>
      </w:divBdr>
    </w:div>
    <w:div w:id="1299799727">
      <w:bodyDiv w:val="1"/>
      <w:marLeft w:val="0"/>
      <w:marRight w:val="0"/>
      <w:marTop w:val="0"/>
      <w:marBottom w:val="0"/>
      <w:divBdr>
        <w:top w:val="none" w:sz="0" w:space="0" w:color="auto"/>
        <w:left w:val="none" w:sz="0" w:space="0" w:color="auto"/>
        <w:bottom w:val="none" w:sz="0" w:space="0" w:color="auto"/>
        <w:right w:val="none" w:sz="0" w:space="0" w:color="auto"/>
      </w:divBdr>
    </w:div>
    <w:div w:id="1303730287">
      <w:bodyDiv w:val="1"/>
      <w:marLeft w:val="0"/>
      <w:marRight w:val="0"/>
      <w:marTop w:val="0"/>
      <w:marBottom w:val="0"/>
      <w:divBdr>
        <w:top w:val="none" w:sz="0" w:space="0" w:color="auto"/>
        <w:left w:val="none" w:sz="0" w:space="0" w:color="auto"/>
        <w:bottom w:val="none" w:sz="0" w:space="0" w:color="auto"/>
        <w:right w:val="none" w:sz="0" w:space="0" w:color="auto"/>
      </w:divBdr>
    </w:div>
    <w:div w:id="1464155176">
      <w:bodyDiv w:val="1"/>
      <w:marLeft w:val="0"/>
      <w:marRight w:val="0"/>
      <w:marTop w:val="0"/>
      <w:marBottom w:val="0"/>
      <w:divBdr>
        <w:top w:val="none" w:sz="0" w:space="0" w:color="auto"/>
        <w:left w:val="none" w:sz="0" w:space="0" w:color="auto"/>
        <w:bottom w:val="none" w:sz="0" w:space="0" w:color="auto"/>
        <w:right w:val="none" w:sz="0" w:space="0" w:color="auto"/>
      </w:divBdr>
    </w:div>
    <w:div w:id="1493569664">
      <w:bodyDiv w:val="1"/>
      <w:marLeft w:val="0"/>
      <w:marRight w:val="0"/>
      <w:marTop w:val="0"/>
      <w:marBottom w:val="0"/>
      <w:divBdr>
        <w:top w:val="none" w:sz="0" w:space="0" w:color="auto"/>
        <w:left w:val="none" w:sz="0" w:space="0" w:color="auto"/>
        <w:bottom w:val="none" w:sz="0" w:space="0" w:color="auto"/>
        <w:right w:val="none" w:sz="0" w:space="0" w:color="auto"/>
      </w:divBdr>
    </w:div>
    <w:div w:id="1556349648">
      <w:bodyDiv w:val="1"/>
      <w:marLeft w:val="0"/>
      <w:marRight w:val="0"/>
      <w:marTop w:val="0"/>
      <w:marBottom w:val="0"/>
      <w:divBdr>
        <w:top w:val="none" w:sz="0" w:space="0" w:color="auto"/>
        <w:left w:val="none" w:sz="0" w:space="0" w:color="auto"/>
        <w:bottom w:val="none" w:sz="0" w:space="0" w:color="auto"/>
        <w:right w:val="none" w:sz="0" w:space="0" w:color="auto"/>
      </w:divBdr>
    </w:div>
    <w:div w:id="1564759510">
      <w:bodyDiv w:val="1"/>
      <w:marLeft w:val="0"/>
      <w:marRight w:val="0"/>
      <w:marTop w:val="0"/>
      <w:marBottom w:val="0"/>
      <w:divBdr>
        <w:top w:val="none" w:sz="0" w:space="0" w:color="auto"/>
        <w:left w:val="none" w:sz="0" w:space="0" w:color="auto"/>
        <w:bottom w:val="none" w:sz="0" w:space="0" w:color="auto"/>
        <w:right w:val="none" w:sz="0" w:space="0" w:color="auto"/>
      </w:divBdr>
    </w:div>
    <w:div w:id="1570966156">
      <w:bodyDiv w:val="1"/>
      <w:marLeft w:val="0"/>
      <w:marRight w:val="0"/>
      <w:marTop w:val="0"/>
      <w:marBottom w:val="0"/>
      <w:divBdr>
        <w:top w:val="none" w:sz="0" w:space="0" w:color="auto"/>
        <w:left w:val="none" w:sz="0" w:space="0" w:color="auto"/>
        <w:bottom w:val="none" w:sz="0" w:space="0" w:color="auto"/>
        <w:right w:val="none" w:sz="0" w:space="0" w:color="auto"/>
      </w:divBdr>
    </w:div>
    <w:div w:id="1574507224">
      <w:bodyDiv w:val="1"/>
      <w:marLeft w:val="0"/>
      <w:marRight w:val="0"/>
      <w:marTop w:val="0"/>
      <w:marBottom w:val="0"/>
      <w:divBdr>
        <w:top w:val="none" w:sz="0" w:space="0" w:color="auto"/>
        <w:left w:val="none" w:sz="0" w:space="0" w:color="auto"/>
        <w:bottom w:val="none" w:sz="0" w:space="0" w:color="auto"/>
        <w:right w:val="none" w:sz="0" w:space="0" w:color="auto"/>
      </w:divBdr>
    </w:div>
    <w:div w:id="1589658363">
      <w:bodyDiv w:val="1"/>
      <w:marLeft w:val="0"/>
      <w:marRight w:val="0"/>
      <w:marTop w:val="0"/>
      <w:marBottom w:val="0"/>
      <w:divBdr>
        <w:top w:val="none" w:sz="0" w:space="0" w:color="auto"/>
        <w:left w:val="none" w:sz="0" w:space="0" w:color="auto"/>
        <w:bottom w:val="none" w:sz="0" w:space="0" w:color="auto"/>
        <w:right w:val="none" w:sz="0" w:space="0" w:color="auto"/>
      </w:divBdr>
    </w:div>
    <w:div w:id="1591809964">
      <w:bodyDiv w:val="1"/>
      <w:marLeft w:val="0"/>
      <w:marRight w:val="0"/>
      <w:marTop w:val="0"/>
      <w:marBottom w:val="0"/>
      <w:divBdr>
        <w:top w:val="none" w:sz="0" w:space="0" w:color="auto"/>
        <w:left w:val="none" w:sz="0" w:space="0" w:color="auto"/>
        <w:bottom w:val="none" w:sz="0" w:space="0" w:color="auto"/>
        <w:right w:val="none" w:sz="0" w:space="0" w:color="auto"/>
      </w:divBdr>
    </w:div>
    <w:div w:id="1621765103">
      <w:bodyDiv w:val="1"/>
      <w:marLeft w:val="0"/>
      <w:marRight w:val="0"/>
      <w:marTop w:val="0"/>
      <w:marBottom w:val="0"/>
      <w:divBdr>
        <w:top w:val="none" w:sz="0" w:space="0" w:color="auto"/>
        <w:left w:val="none" w:sz="0" w:space="0" w:color="auto"/>
        <w:bottom w:val="none" w:sz="0" w:space="0" w:color="auto"/>
        <w:right w:val="none" w:sz="0" w:space="0" w:color="auto"/>
      </w:divBdr>
    </w:div>
    <w:div w:id="1622036461">
      <w:bodyDiv w:val="1"/>
      <w:marLeft w:val="0"/>
      <w:marRight w:val="0"/>
      <w:marTop w:val="0"/>
      <w:marBottom w:val="0"/>
      <w:divBdr>
        <w:top w:val="none" w:sz="0" w:space="0" w:color="auto"/>
        <w:left w:val="none" w:sz="0" w:space="0" w:color="auto"/>
        <w:bottom w:val="none" w:sz="0" w:space="0" w:color="auto"/>
        <w:right w:val="none" w:sz="0" w:space="0" w:color="auto"/>
      </w:divBdr>
    </w:div>
    <w:div w:id="1661228879">
      <w:bodyDiv w:val="1"/>
      <w:marLeft w:val="0"/>
      <w:marRight w:val="0"/>
      <w:marTop w:val="0"/>
      <w:marBottom w:val="0"/>
      <w:divBdr>
        <w:top w:val="none" w:sz="0" w:space="0" w:color="auto"/>
        <w:left w:val="none" w:sz="0" w:space="0" w:color="auto"/>
        <w:bottom w:val="none" w:sz="0" w:space="0" w:color="auto"/>
        <w:right w:val="none" w:sz="0" w:space="0" w:color="auto"/>
      </w:divBdr>
    </w:div>
    <w:div w:id="1703558274">
      <w:bodyDiv w:val="1"/>
      <w:marLeft w:val="0"/>
      <w:marRight w:val="0"/>
      <w:marTop w:val="0"/>
      <w:marBottom w:val="0"/>
      <w:divBdr>
        <w:top w:val="none" w:sz="0" w:space="0" w:color="auto"/>
        <w:left w:val="none" w:sz="0" w:space="0" w:color="auto"/>
        <w:bottom w:val="none" w:sz="0" w:space="0" w:color="auto"/>
        <w:right w:val="none" w:sz="0" w:space="0" w:color="auto"/>
      </w:divBdr>
    </w:div>
    <w:div w:id="1779831156">
      <w:bodyDiv w:val="1"/>
      <w:marLeft w:val="0"/>
      <w:marRight w:val="0"/>
      <w:marTop w:val="0"/>
      <w:marBottom w:val="0"/>
      <w:divBdr>
        <w:top w:val="none" w:sz="0" w:space="0" w:color="auto"/>
        <w:left w:val="none" w:sz="0" w:space="0" w:color="auto"/>
        <w:bottom w:val="none" w:sz="0" w:space="0" w:color="auto"/>
        <w:right w:val="none" w:sz="0" w:space="0" w:color="auto"/>
      </w:divBdr>
    </w:div>
    <w:div w:id="1881622060">
      <w:bodyDiv w:val="1"/>
      <w:marLeft w:val="0"/>
      <w:marRight w:val="0"/>
      <w:marTop w:val="0"/>
      <w:marBottom w:val="0"/>
      <w:divBdr>
        <w:top w:val="none" w:sz="0" w:space="0" w:color="auto"/>
        <w:left w:val="none" w:sz="0" w:space="0" w:color="auto"/>
        <w:bottom w:val="none" w:sz="0" w:space="0" w:color="auto"/>
        <w:right w:val="none" w:sz="0" w:space="0" w:color="auto"/>
      </w:divBdr>
    </w:div>
    <w:div w:id="1929464169">
      <w:bodyDiv w:val="1"/>
      <w:marLeft w:val="0"/>
      <w:marRight w:val="0"/>
      <w:marTop w:val="0"/>
      <w:marBottom w:val="0"/>
      <w:divBdr>
        <w:top w:val="none" w:sz="0" w:space="0" w:color="auto"/>
        <w:left w:val="none" w:sz="0" w:space="0" w:color="auto"/>
        <w:bottom w:val="none" w:sz="0" w:space="0" w:color="auto"/>
        <w:right w:val="none" w:sz="0" w:space="0" w:color="auto"/>
      </w:divBdr>
    </w:div>
    <w:div w:id="1957903289">
      <w:bodyDiv w:val="1"/>
      <w:marLeft w:val="0"/>
      <w:marRight w:val="0"/>
      <w:marTop w:val="0"/>
      <w:marBottom w:val="0"/>
      <w:divBdr>
        <w:top w:val="none" w:sz="0" w:space="0" w:color="auto"/>
        <w:left w:val="none" w:sz="0" w:space="0" w:color="auto"/>
        <w:bottom w:val="none" w:sz="0" w:space="0" w:color="auto"/>
        <w:right w:val="none" w:sz="0" w:space="0" w:color="auto"/>
      </w:divBdr>
    </w:div>
    <w:div w:id="1962110477">
      <w:bodyDiv w:val="1"/>
      <w:marLeft w:val="0"/>
      <w:marRight w:val="0"/>
      <w:marTop w:val="0"/>
      <w:marBottom w:val="0"/>
      <w:divBdr>
        <w:top w:val="none" w:sz="0" w:space="0" w:color="auto"/>
        <w:left w:val="none" w:sz="0" w:space="0" w:color="auto"/>
        <w:bottom w:val="none" w:sz="0" w:space="0" w:color="auto"/>
        <w:right w:val="none" w:sz="0" w:space="0" w:color="auto"/>
      </w:divBdr>
    </w:div>
    <w:div w:id="1974749335">
      <w:bodyDiv w:val="1"/>
      <w:marLeft w:val="0"/>
      <w:marRight w:val="0"/>
      <w:marTop w:val="0"/>
      <w:marBottom w:val="0"/>
      <w:divBdr>
        <w:top w:val="none" w:sz="0" w:space="0" w:color="auto"/>
        <w:left w:val="none" w:sz="0" w:space="0" w:color="auto"/>
        <w:bottom w:val="none" w:sz="0" w:space="0" w:color="auto"/>
        <w:right w:val="none" w:sz="0" w:space="0" w:color="auto"/>
      </w:divBdr>
    </w:div>
    <w:div w:id="1992176501">
      <w:bodyDiv w:val="1"/>
      <w:marLeft w:val="0"/>
      <w:marRight w:val="0"/>
      <w:marTop w:val="0"/>
      <w:marBottom w:val="0"/>
      <w:divBdr>
        <w:top w:val="none" w:sz="0" w:space="0" w:color="auto"/>
        <w:left w:val="none" w:sz="0" w:space="0" w:color="auto"/>
        <w:bottom w:val="none" w:sz="0" w:space="0" w:color="auto"/>
        <w:right w:val="none" w:sz="0" w:space="0" w:color="auto"/>
      </w:divBdr>
    </w:div>
    <w:div w:id="1995064469">
      <w:bodyDiv w:val="1"/>
      <w:marLeft w:val="0"/>
      <w:marRight w:val="0"/>
      <w:marTop w:val="0"/>
      <w:marBottom w:val="0"/>
      <w:divBdr>
        <w:top w:val="none" w:sz="0" w:space="0" w:color="auto"/>
        <w:left w:val="none" w:sz="0" w:space="0" w:color="auto"/>
        <w:bottom w:val="none" w:sz="0" w:space="0" w:color="auto"/>
        <w:right w:val="none" w:sz="0" w:space="0" w:color="auto"/>
      </w:divBdr>
    </w:div>
    <w:div w:id="2039699836">
      <w:bodyDiv w:val="1"/>
      <w:marLeft w:val="0"/>
      <w:marRight w:val="0"/>
      <w:marTop w:val="0"/>
      <w:marBottom w:val="0"/>
      <w:divBdr>
        <w:top w:val="none" w:sz="0" w:space="0" w:color="auto"/>
        <w:left w:val="none" w:sz="0" w:space="0" w:color="auto"/>
        <w:bottom w:val="none" w:sz="0" w:space="0" w:color="auto"/>
        <w:right w:val="none" w:sz="0" w:space="0" w:color="auto"/>
      </w:divBdr>
    </w:div>
    <w:div w:id="2043170926">
      <w:bodyDiv w:val="1"/>
      <w:marLeft w:val="0"/>
      <w:marRight w:val="0"/>
      <w:marTop w:val="0"/>
      <w:marBottom w:val="0"/>
      <w:divBdr>
        <w:top w:val="none" w:sz="0" w:space="0" w:color="auto"/>
        <w:left w:val="none" w:sz="0" w:space="0" w:color="auto"/>
        <w:bottom w:val="none" w:sz="0" w:space="0" w:color="auto"/>
        <w:right w:val="none" w:sz="0" w:space="0" w:color="auto"/>
      </w:divBdr>
    </w:div>
    <w:div w:id="2051102199">
      <w:bodyDiv w:val="1"/>
      <w:marLeft w:val="0"/>
      <w:marRight w:val="0"/>
      <w:marTop w:val="0"/>
      <w:marBottom w:val="0"/>
      <w:divBdr>
        <w:top w:val="none" w:sz="0" w:space="0" w:color="auto"/>
        <w:left w:val="none" w:sz="0" w:space="0" w:color="auto"/>
        <w:bottom w:val="none" w:sz="0" w:space="0" w:color="auto"/>
        <w:right w:val="none" w:sz="0" w:space="0" w:color="auto"/>
      </w:divBdr>
    </w:div>
    <w:div w:id="2070642050">
      <w:bodyDiv w:val="1"/>
      <w:marLeft w:val="0"/>
      <w:marRight w:val="0"/>
      <w:marTop w:val="0"/>
      <w:marBottom w:val="0"/>
      <w:divBdr>
        <w:top w:val="none" w:sz="0" w:space="0" w:color="auto"/>
        <w:left w:val="none" w:sz="0" w:space="0" w:color="auto"/>
        <w:bottom w:val="none" w:sz="0" w:space="0" w:color="auto"/>
        <w:right w:val="none" w:sz="0" w:space="0" w:color="auto"/>
      </w:divBdr>
    </w:div>
    <w:div w:id="2121027012">
      <w:bodyDiv w:val="1"/>
      <w:marLeft w:val="0"/>
      <w:marRight w:val="0"/>
      <w:marTop w:val="0"/>
      <w:marBottom w:val="0"/>
      <w:divBdr>
        <w:top w:val="none" w:sz="0" w:space="0" w:color="auto"/>
        <w:left w:val="none" w:sz="0" w:space="0" w:color="auto"/>
        <w:bottom w:val="none" w:sz="0" w:space="0" w:color="auto"/>
        <w:right w:val="none" w:sz="0" w:space="0" w:color="auto"/>
      </w:divBdr>
    </w:div>
    <w:div w:id="214623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Ana08</b:Tag>
    <b:SourceType>Book</b:SourceType>
    <b:Guid>{AD01C121-845F-4E18-ADE7-579A54C5A80C}</b:Guid>
    <b:Author>
      <b:Author>
        <b:NameList>
          <b:Person>
            <b:Last>Ibañez</b:Last>
            <b:First>Ana</b:First>
            <b:Middle>María</b:Middle>
          </b:Person>
        </b:NameList>
      </b:Author>
    </b:Author>
    <b:Title>El desplazamiento forzoso en Colombia : ¿Un camino sin retorno a la pobreza?</b:Title>
    <b:Year>2008</b:Year>
    <b:City>Bogotá</b:City>
    <b:Publisher>CEDE, Ediciones Uniandes</b:Publisher>
    <b:RefOrder>2</b:RefOrder>
  </b:Source>
  <b:Source>
    <b:Tag>Zul04</b:Tag>
    <b:SourceType>BookSection</b:SourceType>
    <b:Guid>{299A2B9A-7885-488C-B1B3-6F9C724C5249}</b:Guid>
    <b:Author>
      <b:Author>
        <b:NameList>
          <b:Person>
            <b:Last>Zuluaga</b:Last>
            <b:First>Jaime</b:First>
          </b:Person>
        </b:NameList>
      </b:Author>
      <b:BookAuthor>
        <b:NameList>
          <b:Person>
            <b:Last>Varios</b:Last>
          </b:Person>
        </b:NameList>
      </b:BookAuthor>
    </b:Author>
    <b:Title>La guerra interna y el desplazamiento forzado</b:Title>
    <b:Year>2004</b:Year>
    <b:City>Bogotá</b:City>
    <b:Publisher>ACNUR Universidad Nacional</b:Publisher>
    <b:BookTitle>Desplazamiento forzado: Dinámicas de guerra, exclusión y desarraigo.</b:BookTitle>
    <b:Pages>31 - 47</b:Pages>
    <b:RefOrder>3</b:RefOrder>
  </b:Source>
  <b:Source>
    <b:Tag>Age14</b:Tag>
    <b:SourceType>InternetSite</b:SourceType>
    <b:Guid>{8553FBAB-C12C-46D6-8D55-579CDA996B81}</b:Guid>
    <b:Title>El Espectador</b:Title>
    <b:Year>2014</b:Year>
    <b:Author>
      <b:Author>
        <b:NameList>
          <b:Person>
            <b:Last>EFE</b:Last>
            <b:First>Agencia</b:First>
          </b:Person>
        </b:NameList>
      </b:Author>
    </b:Author>
    <b:Month>Julio</b:Month>
    <b:Day>17</b:Day>
    <b:URL>http://www.elespectador.com/noticias/proceso-de-paz/acnur-paz-no-reducira-corto-plazo-el-desplazamiento-for-articulo-505016</b:URL>
    <b:RefOrder>10</b:RefOrder>
  </b:Source>
  <b:Source>
    <b:Tag>IDM14</b:Tag>
    <b:SourceType>InternetSite</b:SourceType>
    <b:Guid>{BE28D44F-EB52-42A5-A4BA-91813CADA67F}</b:Guid>
    <b:Author>
      <b:Author>
        <b:Corporate>IDMC</b:Corporate>
      </b:Author>
    </b:Author>
    <b:Title>Internal displacement Monitoring Centre</b:Title>
    <b:Year>2014</b:Year>
    <b:URL>http://www.internal-displacement.org/global-figures</b:URL>
    <b:YearAccessed>2014</b:YearAccessed>
    <b:MonthAccessed>Agosto</b:MonthAccessed>
    <b:DayAccessed>10</b:DayAccessed>
    <b:RefOrder>11</b:RefOrder>
  </b:Source>
  <b:Source>
    <b:Tag>Jos91</b:Tag>
    <b:SourceType>Report</b:SourceType>
    <b:Guid>{E2817F69-78A6-41EE-AEB9-C0F556CC5937}</b:Guid>
    <b:Author>
      <b:Author>
        <b:NameList>
          <b:Person>
            <b:Last>Mardones</b:Last>
            <b:First>José</b:First>
            <b:Middle>María</b:Middle>
          </b:Person>
        </b:NameList>
      </b:Author>
    </b:Author>
    <b:Title>Filosofía de las ciencias humanas y sociales: materiales para una fundamentación científica</b:Title>
    <b:Year>1991</b:Year>
    <b:Publisher>Anthopos</b:Publisher>
    <b:City>Barcelona</b:City>
    <b:RefOrder>6</b:RefOrder>
  </b:Source>
  <b:Source>
    <b:Tag>Vat94</b:Tag>
    <b:SourceType>Book</b:SourceType>
    <b:Guid>{731EC77F-4A4E-4942-9425-854ACAA98A10}</b:Guid>
    <b:Author>
      <b:Author>
        <b:NameList>
          <b:Person>
            <b:Last>Vattimo</b:Last>
            <b:First>Gianni</b:First>
          </b:Person>
        </b:NameList>
      </b:Author>
    </b:Author>
    <b:Title>Hermeneútica y Posmodernidad</b:Title>
    <b:Year>1994</b:Year>
    <b:Publisher>Gedisa</b:Publisher>
    <b:City>Barcelona</b:City>
    <b:RefOrder>5</b:RefOrder>
  </b:Source>
  <b:Source>
    <b:Tag>Fab</b:Tag>
    <b:SourceType>Book</b:SourceType>
    <b:Guid>{7F5DD0BB-13BB-4DA5-983F-B61816FC5A4E}</b:Guid>
    <b:Author>
      <b:Author>
        <b:NameList>
          <b:Person>
            <b:Last>Lozano</b:Last>
            <b:First>Fabio</b:First>
          </b:Person>
          <b:Person>
            <b:Last>Ferro </b:Last>
            <b:Middle>Guillermo</b:Middle>
            <b:First>Juan </b:First>
          </b:Person>
        </b:NameList>
      </b:Author>
    </b:Author>
    <b:Title>Las Configuraciones de los Territorios Rurales en el Siglo XXI</b:Title>
    <b:Year>2009</b:Year>
    <b:City>Bogotá</b:City>
    <b:Publisher>Pontificia Universidad Javeriana</b:Publisher>
    <b:RefOrder>7</b:RefOrder>
  </b:Source>
  <b:Source>
    <b:Tag>Jea73</b:Tag>
    <b:SourceType>Book</b:SourceType>
    <b:Guid>{F60AEA92-A557-4216-82AC-BDE35F8E777F}</b:Guid>
    <b:Author>
      <b:Author>
        <b:NameList>
          <b:Person>
            <b:Last>Gottmann</b:Last>
            <b:First>Jean</b:First>
          </b:Person>
        </b:NameList>
      </b:Author>
    </b:Author>
    <b:Title>The significance of territory </b:Title>
    <b:Year>1973</b:Year>
    <b:City>Charlottesville</b:City>
    <b:Publisher>The University Press of Virginia</b:Publisher>
    <b:RefOrder>8</b:RefOrder>
  </b:Source>
  <b:Source>
    <b:Tag>Loz09</b:Tag>
    <b:SourceType>BookSection</b:SourceType>
    <b:Guid>{E712FCDB-DFEE-45D5-B88F-5B65AFB84C98}</b:Guid>
    <b:Title>Prologo</b:Title>
    <b:Year>2009</b:Year>
    <b:City>Bogotá </b:City>
    <b:Publisher>Pontificia Universidad Javeriana</b:Publisher>
    <b:Author>
      <b:Author>
        <b:NameList>
          <b:Person>
            <b:Last>Lozano</b:Last>
            <b:First>Fabio</b:First>
          </b:Person>
        </b:NameList>
      </b:Author>
      <b:BookAuthor>
        <b:NameList>
          <b:Person>
            <b:Last>Lozano</b:Last>
            <b:First>Fabio</b:First>
          </b:Person>
          <b:Person>
            <b:Last>Ferro</b:Last>
            <b:Middle>Guillermo</b:Middle>
            <b:First>Juan </b:First>
          </b:Person>
        </b:NameList>
      </b:BookAuthor>
    </b:Author>
    <b:BookTitle>Las Configuraciones de los Territorios Rurales en el Siglo XXI</b:BookTitle>
    <b:Pages>23 - 31</b:Pages>
    <b:RefOrder>9</b:RefOrder>
  </b:Source>
  <b:Source>
    <b:Tag>Art10</b:Tag>
    <b:SourceType>Book</b:SourceType>
    <b:Guid>{EAA12040-C96B-415B-8E65-2459E5B508FF}</b:Guid>
    <b:Author>
      <b:Author>
        <b:NameList>
          <b:Person>
            <b:Last>Escobar</b:Last>
            <b:First>Arturo</b:First>
          </b:Person>
        </b:NameList>
      </b:Author>
    </b:Author>
    <b:Title>Territorios de diferencia: lugar, movimientos, vida, redes</b:Title>
    <b:Year>2010</b:Year>
    <b:City>Popayán</b:City>
    <b:Publisher>Envión</b:Publisher>
    <b:RefOrder>12</b:RefOrder>
  </b:Source>
  <b:Source>
    <b:Tag>Cod14</b:Tag>
    <b:SourceType>InternetSite</b:SourceType>
    <b:Guid>{79777617-F81F-4255-A92F-860760F8BF37}</b:Guid>
    <b:Author>
      <b:Author>
        <b:Corporate>Codhes</b:Corporate>
      </b:Author>
    </b:Author>
    <b:Title>El Desplazamiento Forzado y la Imperiosa Necesidad de la Paz</b:Title>
    <b:Year>2014</b:Year>
    <b:URL>http://www.usbbog.edu.co/opla/images/PDF/informe-codhes-usb-2013.pdf</b:URL>
    <b:YearAccessed>2014</b:YearAccessed>
    <b:MonthAccessed>Agosto </b:MonthAccessed>
    <b:DayAccessed>10</b:DayAccessed>
    <b:RefOrder>1</b:RefOrder>
  </b:Source>
  <b:Source>
    <b:Tag>Fab02</b:Tag>
    <b:SourceType>Report</b:SourceType>
    <b:Guid>{10469783-AE86-481A-B4CC-A4660DA0AB77}</b:Guid>
    <b:Year>2002</b:Year>
    <b:Author>
      <b:Author>
        <b:NameList>
          <b:Person>
            <b:Last>Lozano</b:Last>
            <b:First>Fabio</b:First>
          </b:Person>
        </b:NameList>
      </b:Author>
    </b:Author>
    <b:City>Toulouse</b:City>
    <b:Title>Polyphonie en deracinement majeur. Mentalités religieuses, déplacement forcé et violence sociopolitique en Colombie à la fin du vingtieme siécle</b:Title>
    <b:RefOrder>4</b:RefOrder>
  </b:Source>
</b:Sources>
</file>

<file path=customXml/itemProps1.xml><?xml version="1.0" encoding="utf-8"?>
<ds:datastoreItem xmlns:ds="http://schemas.openxmlformats.org/officeDocument/2006/customXml" ds:itemID="{3DDD9539-7352-4AB9-A19B-E3CE34FEE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5076</Words>
  <Characters>27924</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salas</dc:creator>
  <cp:lastModifiedBy>Doc12UnidInves</cp:lastModifiedBy>
  <cp:revision>2</cp:revision>
  <dcterms:created xsi:type="dcterms:W3CDTF">2014-08-26T21:46:00Z</dcterms:created>
  <dcterms:modified xsi:type="dcterms:W3CDTF">2014-08-26T21:46:00Z</dcterms:modified>
</cp:coreProperties>
</file>