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44CB" w:rsidRPr="00EE44CB" w:rsidRDefault="00EE44CB" w:rsidP="00EE44CB">
      <w:pPr>
        <w:shd w:val="clear" w:color="auto" w:fill="FFFFFF"/>
        <w:spacing w:before="100" w:beforeAutospacing="1" w:after="100" w:afterAutospacing="1" w:line="240" w:lineRule="auto"/>
        <w:ind w:left="945"/>
        <w:jc w:val="center"/>
        <w:rPr>
          <w:rFonts w:ascii="Arial" w:eastAsia="Times New Roman" w:hAnsi="Arial" w:cs="Arial"/>
          <w:color w:val="222222"/>
          <w:sz w:val="20"/>
          <w:szCs w:val="20"/>
          <w:lang w:eastAsia="es-CO"/>
        </w:rPr>
      </w:pPr>
      <w:bookmarkStart w:id="0" w:name="_GoBack"/>
      <w:bookmarkEnd w:id="0"/>
      <w:r>
        <w:rPr>
          <w:rFonts w:ascii="Tahoma" w:eastAsia="Times New Roman" w:hAnsi="Tahoma" w:cs="Tahoma"/>
          <w:b/>
          <w:bCs/>
          <w:color w:val="222222"/>
          <w:sz w:val="20"/>
          <w:szCs w:val="20"/>
          <w:lang w:eastAsia="es-CO"/>
        </w:rPr>
        <w:t>Estado del arte sobre acciones de la actividad física en la Atención Primaria en Salud</w:t>
      </w:r>
      <w:r>
        <w:rPr>
          <w:rStyle w:val="Refdenotaalpie"/>
          <w:rFonts w:ascii="Tahoma" w:eastAsia="Times New Roman" w:hAnsi="Tahoma" w:cs="Tahoma"/>
          <w:b/>
          <w:bCs/>
          <w:color w:val="222222"/>
          <w:sz w:val="20"/>
          <w:szCs w:val="20"/>
          <w:lang w:eastAsia="es-CO"/>
        </w:rPr>
        <w:footnoteReference w:id="1"/>
      </w:r>
    </w:p>
    <w:p w:rsidR="00EE44CB" w:rsidRPr="00EE44CB" w:rsidRDefault="00F2663C" w:rsidP="00EE44CB">
      <w:pPr>
        <w:shd w:val="clear" w:color="auto" w:fill="FFFFFF"/>
        <w:spacing w:before="100" w:beforeAutospacing="1" w:after="100" w:afterAutospacing="1" w:line="240" w:lineRule="auto"/>
        <w:ind w:left="945"/>
        <w:rPr>
          <w:rFonts w:ascii="Arial" w:eastAsia="Times New Roman" w:hAnsi="Arial" w:cs="Arial"/>
          <w:color w:val="222222"/>
          <w:sz w:val="20"/>
          <w:szCs w:val="20"/>
          <w:lang w:eastAsia="es-CO"/>
        </w:rPr>
      </w:pPr>
      <w:r>
        <w:rPr>
          <w:rFonts w:ascii="Arial" w:eastAsia="Times New Roman" w:hAnsi="Arial" w:cs="Arial"/>
          <w:color w:val="222222"/>
          <w:sz w:val="20"/>
          <w:szCs w:val="20"/>
          <w:lang w:eastAsia="es-CO"/>
        </w:rPr>
        <w:t>Laura Elizabeth Castro Jiménez</w:t>
      </w:r>
      <w:r>
        <w:rPr>
          <w:rStyle w:val="Refdenotaalpie"/>
          <w:rFonts w:ascii="Arial" w:eastAsia="Times New Roman" w:hAnsi="Arial" w:cs="Arial"/>
          <w:color w:val="222222"/>
          <w:sz w:val="20"/>
          <w:szCs w:val="20"/>
          <w:lang w:eastAsia="es-CO"/>
        </w:rPr>
        <w:footnoteReference w:id="2"/>
      </w:r>
      <w:r>
        <w:rPr>
          <w:rFonts w:ascii="Arial" w:eastAsia="Times New Roman" w:hAnsi="Arial" w:cs="Arial"/>
          <w:color w:val="222222"/>
          <w:sz w:val="20"/>
          <w:szCs w:val="20"/>
          <w:lang w:eastAsia="es-CO"/>
        </w:rPr>
        <w:t xml:space="preserve"> Yenny Paola Argüello </w:t>
      </w:r>
      <w:r w:rsidR="0060265B">
        <w:rPr>
          <w:rFonts w:ascii="Arial" w:eastAsia="Times New Roman" w:hAnsi="Arial" w:cs="Arial"/>
          <w:color w:val="222222"/>
          <w:sz w:val="20"/>
          <w:szCs w:val="20"/>
          <w:lang w:eastAsia="es-CO"/>
        </w:rPr>
        <w:t>Gutiérrez</w:t>
      </w:r>
      <w:r>
        <w:rPr>
          <w:rStyle w:val="Refdenotaalpie"/>
          <w:rFonts w:ascii="Arial" w:eastAsia="Times New Roman" w:hAnsi="Arial" w:cs="Arial"/>
          <w:color w:val="222222"/>
          <w:sz w:val="20"/>
          <w:szCs w:val="20"/>
          <w:lang w:eastAsia="es-CO"/>
        </w:rPr>
        <w:footnoteReference w:id="3"/>
      </w:r>
      <w:r w:rsidR="00C97988">
        <w:rPr>
          <w:rFonts w:ascii="Arial" w:eastAsia="Times New Roman" w:hAnsi="Arial" w:cs="Arial"/>
          <w:color w:val="222222"/>
          <w:sz w:val="20"/>
          <w:szCs w:val="20"/>
          <w:lang w:eastAsia="es-CO"/>
        </w:rPr>
        <w:t xml:space="preserve"> Jaison Cucarian</w:t>
      </w:r>
      <w:r w:rsidR="00C97988">
        <w:rPr>
          <w:rStyle w:val="Refdenotaalpie"/>
          <w:rFonts w:ascii="Arial" w:eastAsia="Times New Roman" w:hAnsi="Arial" w:cs="Arial"/>
          <w:color w:val="222222"/>
          <w:sz w:val="20"/>
          <w:szCs w:val="20"/>
          <w:lang w:eastAsia="es-CO"/>
        </w:rPr>
        <w:footnoteReference w:id="4"/>
      </w:r>
    </w:p>
    <w:p w:rsidR="00C00FA0" w:rsidRDefault="00C00FA0" w:rsidP="00B90D6E">
      <w:pPr>
        <w:shd w:val="clear" w:color="auto" w:fill="FFFFFF"/>
        <w:spacing w:before="100" w:beforeAutospacing="1" w:after="100" w:afterAutospacing="1"/>
        <w:jc w:val="both"/>
        <w:rPr>
          <w:rFonts w:ascii="Tahoma" w:eastAsia="Times New Roman" w:hAnsi="Tahoma" w:cs="Tahoma"/>
          <w:b/>
          <w:bCs/>
          <w:color w:val="222222"/>
          <w:sz w:val="20"/>
          <w:szCs w:val="20"/>
          <w:lang w:eastAsia="es-CO"/>
        </w:rPr>
      </w:pPr>
    </w:p>
    <w:p w:rsidR="00EE44CB" w:rsidRPr="00EE44CB" w:rsidRDefault="00EE44CB" w:rsidP="00B90D6E">
      <w:pPr>
        <w:shd w:val="clear" w:color="auto" w:fill="FFFFFF"/>
        <w:spacing w:before="100" w:beforeAutospacing="1" w:after="100" w:afterAutospacing="1"/>
        <w:jc w:val="both"/>
        <w:rPr>
          <w:rFonts w:ascii="Arial" w:eastAsia="Times New Roman" w:hAnsi="Arial" w:cs="Arial"/>
          <w:color w:val="222222"/>
          <w:sz w:val="20"/>
          <w:szCs w:val="20"/>
          <w:lang w:eastAsia="es-CO"/>
        </w:rPr>
      </w:pPr>
      <w:r w:rsidRPr="00EE44CB">
        <w:rPr>
          <w:rFonts w:ascii="Tahoma" w:eastAsia="Times New Roman" w:hAnsi="Tahoma" w:cs="Tahoma"/>
          <w:b/>
          <w:bCs/>
          <w:color w:val="222222"/>
          <w:sz w:val="20"/>
          <w:szCs w:val="20"/>
          <w:lang w:eastAsia="es-CO"/>
        </w:rPr>
        <w:t>Resumen. </w:t>
      </w:r>
      <w:r w:rsidR="00D903DF">
        <w:rPr>
          <w:rFonts w:ascii="Tahoma" w:eastAsia="Times New Roman" w:hAnsi="Tahoma" w:cs="Tahoma"/>
          <w:color w:val="222222"/>
          <w:sz w:val="20"/>
          <w:szCs w:val="20"/>
          <w:lang w:eastAsia="es-CO"/>
        </w:rPr>
        <w:t xml:space="preserve">La Atención Primaria en Salud </w:t>
      </w:r>
      <w:r w:rsidR="00741AA9">
        <w:rPr>
          <w:rFonts w:ascii="Tahoma" w:eastAsia="Times New Roman" w:hAnsi="Tahoma" w:cs="Tahoma"/>
          <w:color w:val="222222"/>
          <w:sz w:val="20"/>
          <w:szCs w:val="20"/>
          <w:lang w:eastAsia="es-CO"/>
        </w:rPr>
        <w:t xml:space="preserve">(APS) </w:t>
      </w:r>
      <w:r w:rsidR="00D903DF">
        <w:rPr>
          <w:rFonts w:ascii="Tahoma" w:eastAsia="Times New Roman" w:hAnsi="Tahoma" w:cs="Tahoma"/>
          <w:color w:val="222222"/>
          <w:sz w:val="20"/>
          <w:szCs w:val="20"/>
          <w:lang w:eastAsia="es-CO"/>
        </w:rPr>
        <w:t xml:space="preserve">es una estrategia mundial planteada por la Organización Mundial de la Salud, que busca reducir las barreras de acceso al sistema de salud y mejorar las condiciones de calidad de vida y salud de las poblaciones. En Colombia es adoptada la estrategia en la ley 1438 del 2011 </w:t>
      </w:r>
      <w:r w:rsidR="00741AA9">
        <w:rPr>
          <w:rFonts w:ascii="Tahoma" w:eastAsia="Times New Roman" w:hAnsi="Tahoma" w:cs="Tahoma"/>
          <w:color w:val="222222"/>
          <w:sz w:val="20"/>
          <w:szCs w:val="20"/>
          <w:lang w:eastAsia="es-CO"/>
        </w:rPr>
        <w:t xml:space="preserve">la cual es </w:t>
      </w:r>
      <w:r w:rsidR="00D903DF">
        <w:rPr>
          <w:rFonts w:ascii="Tahoma" w:eastAsia="Times New Roman" w:hAnsi="Tahoma" w:cs="Tahoma"/>
          <w:color w:val="222222"/>
          <w:sz w:val="20"/>
          <w:szCs w:val="20"/>
          <w:lang w:eastAsia="es-CO"/>
        </w:rPr>
        <w:t xml:space="preserve">la reforma a la ley 100 de 1993 (Ley que reglamenta el Sistema de Seguridad Social en Colombia), y refiere que el </w:t>
      </w:r>
      <w:r w:rsidR="00D903DF" w:rsidRPr="00D903DF">
        <w:rPr>
          <w:rFonts w:ascii="Tahoma" w:eastAsia="Times New Roman" w:hAnsi="Tahoma" w:cs="Tahoma"/>
          <w:color w:val="222222"/>
          <w:sz w:val="20"/>
          <w:szCs w:val="20"/>
          <w:lang w:eastAsia="es-CO"/>
        </w:rPr>
        <w:t xml:space="preserve">modelo de prestación del servicio público en salud </w:t>
      </w:r>
      <w:r w:rsidR="00D903DF">
        <w:rPr>
          <w:rFonts w:ascii="Tahoma" w:eastAsia="Times New Roman" w:hAnsi="Tahoma" w:cs="Tahoma"/>
          <w:color w:val="222222"/>
          <w:sz w:val="20"/>
          <w:szCs w:val="20"/>
          <w:lang w:eastAsia="es-CO"/>
        </w:rPr>
        <w:t xml:space="preserve">se hará a través </w:t>
      </w:r>
      <w:r w:rsidR="00D903DF" w:rsidRPr="00D903DF">
        <w:rPr>
          <w:rFonts w:ascii="Tahoma" w:eastAsia="Times New Roman" w:hAnsi="Tahoma" w:cs="Tahoma"/>
          <w:color w:val="222222"/>
          <w:sz w:val="20"/>
          <w:szCs w:val="20"/>
          <w:lang w:eastAsia="es-CO"/>
        </w:rPr>
        <w:t xml:space="preserve">de la estrategia Atención Primaria en Salud </w:t>
      </w:r>
      <w:r w:rsidR="00A354BC">
        <w:rPr>
          <w:rFonts w:ascii="Tahoma" w:eastAsia="Times New Roman" w:hAnsi="Tahoma" w:cs="Tahoma"/>
          <w:color w:val="222222"/>
          <w:sz w:val="20"/>
          <w:szCs w:val="20"/>
          <w:lang w:eastAsia="es-CO"/>
        </w:rPr>
        <w:t xml:space="preserve">para </w:t>
      </w:r>
      <w:r w:rsidR="00D903DF">
        <w:rPr>
          <w:rFonts w:ascii="Tahoma" w:eastAsia="Times New Roman" w:hAnsi="Tahoma" w:cs="Tahoma"/>
          <w:color w:val="222222"/>
          <w:sz w:val="20"/>
          <w:szCs w:val="20"/>
          <w:lang w:eastAsia="es-CO"/>
        </w:rPr>
        <w:t xml:space="preserve">permitir </w:t>
      </w:r>
      <w:r w:rsidR="00D903DF" w:rsidRPr="00D903DF">
        <w:rPr>
          <w:rFonts w:ascii="Tahoma" w:eastAsia="Times New Roman" w:hAnsi="Tahoma" w:cs="Tahoma"/>
          <w:color w:val="222222"/>
          <w:sz w:val="20"/>
          <w:szCs w:val="20"/>
          <w:lang w:eastAsia="es-CO"/>
        </w:rPr>
        <w:t>la acción coordinada del Estado, las instituciones y la sociedad</w:t>
      </w:r>
      <w:r w:rsidR="00D903DF">
        <w:rPr>
          <w:rFonts w:ascii="Tahoma" w:eastAsia="Times New Roman" w:hAnsi="Tahoma" w:cs="Tahoma"/>
          <w:color w:val="222222"/>
          <w:sz w:val="20"/>
          <w:szCs w:val="20"/>
          <w:lang w:eastAsia="es-CO"/>
        </w:rPr>
        <w:t>. Dentro de las acciones de la estrategia se encuentra la actividad física, pero en términos operativos existe u</w:t>
      </w:r>
      <w:r w:rsidR="00960542">
        <w:rPr>
          <w:rFonts w:ascii="Tahoma" w:eastAsia="Times New Roman" w:hAnsi="Tahoma" w:cs="Tahoma"/>
          <w:color w:val="222222"/>
          <w:sz w:val="20"/>
          <w:szCs w:val="20"/>
          <w:lang w:eastAsia="es-CO"/>
        </w:rPr>
        <w:t>n desconocimiento frente al que</w:t>
      </w:r>
      <w:r w:rsidR="00D903DF">
        <w:rPr>
          <w:rFonts w:ascii="Tahoma" w:eastAsia="Times New Roman" w:hAnsi="Tahoma" w:cs="Tahoma"/>
          <w:color w:val="222222"/>
          <w:sz w:val="20"/>
          <w:szCs w:val="20"/>
          <w:lang w:eastAsia="es-CO"/>
        </w:rPr>
        <w:t xml:space="preserve">hacer </w:t>
      </w:r>
      <w:r w:rsidR="00741AA9">
        <w:rPr>
          <w:rFonts w:ascii="Tahoma" w:eastAsia="Times New Roman" w:hAnsi="Tahoma" w:cs="Tahoma"/>
          <w:color w:val="222222"/>
          <w:sz w:val="20"/>
          <w:szCs w:val="20"/>
          <w:lang w:eastAsia="es-CO"/>
        </w:rPr>
        <w:t>en esta área, así como en las acciones que específicamente se deben realizar y los profesionales a cargo</w:t>
      </w:r>
      <w:r w:rsidR="00960542">
        <w:rPr>
          <w:rFonts w:ascii="Tahoma" w:eastAsia="Times New Roman" w:hAnsi="Tahoma" w:cs="Tahoma"/>
          <w:color w:val="222222"/>
          <w:sz w:val="20"/>
          <w:szCs w:val="20"/>
          <w:lang w:eastAsia="es-CO"/>
        </w:rPr>
        <w:t xml:space="preserve"> de las mismas</w:t>
      </w:r>
      <w:r w:rsidR="00741AA9">
        <w:rPr>
          <w:rFonts w:ascii="Tahoma" w:eastAsia="Times New Roman" w:hAnsi="Tahoma" w:cs="Tahoma"/>
          <w:color w:val="222222"/>
          <w:sz w:val="20"/>
          <w:szCs w:val="20"/>
          <w:lang w:eastAsia="es-CO"/>
        </w:rPr>
        <w:t xml:space="preserve">. Esta revisión busco reconocer lo que se encuentra en el plano internacional y como se está desplegando la estrategia a </w:t>
      </w:r>
      <w:r w:rsidR="00A354BC">
        <w:rPr>
          <w:rFonts w:ascii="Tahoma" w:eastAsia="Times New Roman" w:hAnsi="Tahoma" w:cs="Tahoma"/>
          <w:color w:val="222222"/>
          <w:sz w:val="20"/>
          <w:szCs w:val="20"/>
          <w:lang w:eastAsia="es-CO"/>
        </w:rPr>
        <w:t xml:space="preserve">este </w:t>
      </w:r>
      <w:r w:rsidR="00741AA9">
        <w:rPr>
          <w:rFonts w:ascii="Tahoma" w:eastAsia="Times New Roman" w:hAnsi="Tahoma" w:cs="Tahoma"/>
          <w:color w:val="222222"/>
          <w:sz w:val="20"/>
          <w:szCs w:val="20"/>
          <w:lang w:eastAsia="es-CO"/>
        </w:rPr>
        <w:t>nivel, para tener un referente y así poder tener un punto de partida para la revisión a nivel nacional. Al finalizar la búsqueda se encontró que no existe una apropiación clara en la estrategia de APS y que esta es confundida con la Atención inicial, así mismo se encuentra que la estrategia es utilizada tanto para promoción de la salud, prevención de la enfermedad y rehabilitación, y no es clara la articulación entre estado-instituciones prestadoras de servicios de salud-sociedad.</w:t>
      </w:r>
    </w:p>
    <w:p w:rsidR="00EE44CB" w:rsidRPr="00741AA9" w:rsidRDefault="00EE44CB" w:rsidP="00B90D6E">
      <w:pPr>
        <w:shd w:val="clear" w:color="auto" w:fill="FFFFFF"/>
        <w:spacing w:before="100" w:beforeAutospacing="1" w:after="100" w:afterAutospacing="1"/>
        <w:rPr>
          <w:rFonts w:ascii="Arial" w:eastAsia="Times New Roman" w:hAnsi="Arial" w:cs="Arial"/>
          <w:color w:val="222222"/>
          <w:sz w:val="20"/>
          <w:szCs w:val="20"/>
          <w:lang w:eastAsia="es-CO"/>
        </w:rPr>
      </w:pPr>
      <w:r w:rsidRPr="00EE44CB">
        <w:rPr>
          <w:rFonts w:ascii="Tahoma" w:eastAsia="Times New Roman" w:hAnsi="Tahoma" w:cs="Tahoma"/>
          <w:b/>
          <w:bCs/>
          <w:color w:val="222222"/>
          <w:sz w:val="20"/>
          <w:szCs w:val="20"/>
          <w:lang w:eastAsia="es-CO"/>
        </w:rPr>
        <w:t>Palabras clave. </w:t>
      </w:r>
      <w:r w:rsidR="00741AA9">
        <w:rPr>
          <w:rFonts w:ascii="Tahoma" w:eastAsia="Times New Roman" w:hAnsi="Tahoma" w:cs="Tahoma"/>
          <w:color w:val="222222"/>
          <w:sz w:val="20"/>
          <w:szCs w:val="20"/>
          <w:lang w:eastAsia="es-CO"/>
        </w:rPr>
        <w:t>Atención primaria en Salud, Actividad Física, Promoción de la salud, Prevención Primaria, Rehabilitación.</w:t>
      </w:r>
    </w:p>
    <w:p w:rsidR="00EE44CB" w:rsidRDefault="00EE44CB" w:rsidP="00B90D6E">
      <w:pPr>
        <w:shd w:val="clear" w:color="auto" w:fill="FFFFFF"/>
        <w:spacing w:before="100" w:beforeAutospacing="1" w:after="100" w:afterAutospacing="1"/>
        <w:rPr>
          <w:rFonts w:ascii="Tahoma" w:eastAsia="Times New Roman" w:hAnsi="Tahoma" w:cs="Tahoma"/>
          <w:color w:val="222222"/>
          <w:sz w:val="20"/>
          <w:szCs w:val="20"/>
          <w:lang w:eastAsia="es-CO"/>
        </w:rPr>
      </w:pPr>
      <w:r w:rsidRPr="00EE44CB">
        <w:rPr>
          <w:rFonts w:ascii="Tahoma" w:eastAsia="Times New Roman" w:hAnsi="Tahoma" w:cs="Tahoma"/>
          <w:b/>
          <w:bCs/>
          <w:color w:val="222222"/>
          <w:sz w:val="20"/>
          <w:szCs w:val="20"/>
          <w:lang w:eastAsia="es-CO"/>
        </w:rPr>
        <w:t>Introducción. </w:t>
      </w:r>
      <w:r w:rsidRPr="00EE44CB">
        <w:rPr>
          <w:rFonts w:ascii="Tahoma" w:eastAsia="Times New Roman" w:hAnsi="Tahoma" w:cs="Tahoma"/>
          <w:color w:val="222222"/>
          <w:sz w:val="20"/>
          <w:szCs w:val="20"/>
          <w:lang w:eastAsia="es-CO"/>
        </w:rPr>
        <w:t>La introducción debe contener aspectos como el contexto general, los antecedentes de la investigación y los objetivos (generales y específicos). Extensión máxima: 4 páginas </w:t>
      </w:r>
    </w:p>
    <w:p w:rsidR="00C10AE1" w:rsidRPr="002D00B1" w:rsidRDefault="00C10AE1" w:rsidP="00B90D6E">
      <w:pPr>
        <w:shd w:val="clear" w:color="auto" w:fill="FFFFFF"/>
        <w:spacing w:before="100" w:beforeAutospacing="1" w:after="100" w:afterAutospacing="1"/>
        <w:jc w:val="both"/>
        <w:rPr>
          <w:rFonts w:ascii="Tahoma" w:eastAsia="Times New Roman" w:hAnsi="Tahoma" w:cs="Tahoma"/>
          <w:color w:val="222222"/>
          <w:sz w:val="20"/>
          <w:szCs w:val="20"/>
          <w:lang w:eastAsia="es-CO"/>
        </w:rPr>
      </w:pPr>
      <w:r w:rsidRPr="002D00B1">
        <w:rPr>
          <w:rFonts w:ascii="Tahoma" w:eastAsia="Times New Roman" w:hAnsi="Tahoma" w:cs="Tahoma"/>
          <w:color w:val="222222"/>
          <w:sz w:val="20"/>
          <w:szCs w:val="20"/>
          <w:lang w:eastAsia="es-CO"/>
        </w:rPr>
        <w:t>La estrategia de Atención Primaria en Salud (APS), promovida por la Organización Mundial de la Salud desde el año de 1978, busco en un principio el objetivo de “salud para todos”, posteriormente bajo el estandarte de la APS renovada y APS integral busca</w:t>
      </w:r>
      <w:r w:rsidR="00B84F11" w:rsidRPr="002D00B1">
        <w:rPr>
          <w:rFonts w:ascii="Tahoma" w:eastAsia="Times New Roman" w:hAnsi="Tahoma" w:cs="Tahoma"/>
          <w:color w:val="222222"/>
          <w:sz w:val="20"/>
          <w:szCs w:val="20"/>
          <w:lang w:eastAsia="es-CO"/>
        </w:rPr>
        <w:t xml:space="preserve"> alcanzar</w:t>
      </w:r>
      <w:r w:rsidRPr="002D00B1">
        <w:rPr>
          <w:rFonts w:ascii="Tahoma" w:eastAsia="Times New Roman" w:hAnsi="Tahoma" w:cs="Tahoma"/>
          <w:color w:val="222222"/>
          <w:sz w:val="20"/>
          <w:szCs w:val="20"/>
          <w:lang w:eastAsia="es-CO"/>
        </w:rPr>
        <w:t xml:space="preserve"> los objetivos del milenio</w:t>
      </w:r>
      <w:r w:rsidR="00B84F11" w:rsidRPr="002D00B1">
        <w:rPr>
          <w:rFonts w:ascii="Tahoma" w:eastAsia="Times New Roman" w:hAnsi="Tahoma" w:cs="Tahoma"/>
          <w:color w:val="222222"/>
          <w:sz w:val="20"/>
          <w:szCs w:val="20"/>
          <w:lang w:eastAsia="es-CO"/>
        </w:rPr>
        <w:t>. En la actualidad es una de las estrategia</w:t>
      </w:r>
      <w:r w:rsidR="00A354BC">
        <w:rPr>
          <w:rFonts w:ascii="Tahoma" w:eastAsia="Times New Roman" w:hAnsi="Tahoma" w:cs="Tahoma"/>
          <w:color w:val="222222"/>
          <w:sz w:val="20"/>
          <w:szCs w:val="20"/>
          <w:lang w:eastAsia="es-CO"/>
        </w:rPr>
        <w:t>s</w:t>
      </w:r>
      <w:r w:rsidR="00B84F11" w:rsidRPr="002D00B1">
        <w:rPr>
          <w:rFonts w:ascii="Tahoma" w:eastAsia="Times New Roman" w:hAnsi="Tahoma" w:cs="Tahoma"/>
          <w:color w:val="222222"/>
          <w:sz w:val="20"/>
          <w:szCs w:val="20"/>
          <w:lang w:eastAsia="es-CO"/>
        </w:rPr>
        <w:t xml:space="preserve"> que ha tenido mayor reconocimiento a nivel internacional para conseguir logros en salud y en otros sectores que permiten mejorar las condiciones de calidad de vida de la población, en </w:t>
      </w:r>
      <w:r w:rsidR="00D80D0F" w:rsidRPr="002D00B1">
        <w:rPr>
          <w:rFonts w:ascii="Tahoma" w:eastAsia="Times New Roman" w:hAnsi="Tahoma" w:cs="Tahoma"/>
          <w:color w:val="222222"/>
          <w:sz w:val="20"/>
          <w:szCs w:val="20"/>
          <w:lang w:eastAsia="es-CO"/>
        </w:rPr>
        <w:t>La</w:t>
      </w:r>
      <w:r w:rsidR="00D80D0F">
        <w:rPr>
          <w:rFonts w:ascii="Tahoma" w:eastAsia="Times New Roman" w:hAnsi="Tahoma" w:cs="Tahoma"/>
          <w:color w:val="222222"/>
          <w:sz w:val="20"/>
          <w:szCs w:val="20"/>
          <w:lang w:eastAsia="es-CO"/>
        </w:rPr>
        <w:t>tinoamérica</w:t>
      </w:r>
      <w:r w:rsidR="00B84F11" w:rsidRPr="002D00B1">
        <w:rPr>
          <w:rFonts w:ascii="Tahoma" w:eastAsia="Times New Roman" w:hAnsi="Tahoma" w:cs="Tahoma"/>
          <w:color w:val="222222"/>
          <w:sz w:val="20"/>
          <w:szCs w:val="20"/>
          <w:lang w:eastAsia="es-CO"/>
        </w:rPr>
        <w:t xml:space="preserve"> no se ha quedado atrás el </w:t>
      </w:r>
      <w:r w:rsidR="00B84F11" w:rsidRPr="002D00B1">
        <w:rPr>
          <w:rFonts w:ascii="Tahoma" w:eastAsia="Times New Roman" w:hAnsi="Tahoma" w:cs="Tahoma"/>
          <w:color w:val="222222"/>
          <w:sz w:val="20"/>
          <w:szCs w:val="20"/>
          <w:lang w:eastAsia="es-CO"/>
        </w:rPr>
        <w:lastRenderedPageBreak/>
        <w:t>reconocimiento a la estrategia y la publicación de exitosas experiencias que han mejorado los indicadores trazadores en salud de los países y ha permitido una relación entre el estado, las instituciones prestadoras de salud y la sociedad civil.</w:t>
      </w:r>
    </w:p>
    <w:p w:rsidR="00B84F11" w:rsidRPr="002D00B1" w:rsidRDefault="00B84F11" w:rsidP="00B90D6E">
      <w:pPr>
        <w:shd w:val="clear" w:color="auto" w:fill="FFFFFF"/>
        <w:spacing w:before="100" w:beforeAutospacing="1" w:after="100" w:afterAutospacing="1"/>
        <w:jc w:val="both"/>
        <w:rPr>
          <w:rFonts w:ascii="Tahoma" w:eastAsia="Times New Roman" w:hAnsi="Tahoma" w:cs="Tahoma"/>
          <w:color w:val="222222"/>
          <w:sz w:val="20"/>
          <w:szCs w:val="20"/>
          <w:lang w:eastAsia="es-CO"/>
        </w:rPr>
      </w:pPr>
      <w:r w:rsidRPr="002D00B1">
        <w:rPr>
          <w:rFonts w:ascii="Tahoma" w:eastAsia="Times New Roman" w:hAnsi="Tahoma" w:cs="Tahoma"/>
          <w:color w:val="222222"/>
          <w:sz w:val="20"/>
          <w:szCs w:val="20"/>
          <w:lang w:eastAsia="es-CO"/>
        </w:rPr>
        <w:t>Los retos que se presentan en la actualidad como el aumento de las enfermedades crónicas no transmisibles, así el cambio de las pirámides demográficas,</w:t>
      </w:r>
      <w:r w:rsidR="002D00B1" w:rsidRPr="002D00B1">
        <w:rPr>
          <w:rFonts w:ascii="Tahoma" w:eastAsia="Times New Roman" w:hAnsi="Tahoma" w:cs="Tahoma"/>
          <w:color w:val="222222"/>
          <w:sz w:val="20"/>
          <w:szCs w:val="20"/>
          <w:lang w:eastAsia="es-CO"/>
        </w:rPr>
        <w:t xml:space="preserve"> incremento de la esperanza de vida,</w:t>
      </w:r>
      <w:r w:rsidRPr="002D00B1">
        <w:rPr>
          <w:rFonts w:ascii="Tahoma" w:eastAsia="Times New Roman" w:hAnsi="Tahoma" w:cs="Tahoma"/>
          <w:color w:val="222222"/>
          <w:sz w:val="20"/>
          <w:szCs w:val="20"/>
          <w:lang w:eastAsia="es-CO"/>
        </w:rPr>
        <w:t xml:space="preserve"> la presencia en países como Colombia de enfermedades transmisibles y crónicas al tiempo  ha generado retos que es necesario que el sistema de salud afronte, por lo que h</w:t>
      </w:r>
      <w:r w:rsidR="00C10AE1" w:rsidRPr="002D00B1">
        <w:rPr>
          <w:rFonts w:ascii="Tahoma" w:eastAsia="Times New Roman" w:hAnsi="Tahoma" w:cs="Tahoma"/>
          <w:color w:val="222222"/>
          <w:sz w:val="20"/>
          <w:szCs w:val="20"/>
          <w:lang w:eastAsia="es-CO"/>
        </w:rPr>
        <w:t xml:space="preserve">oy se avanza en un proceso de renovación de la APS </w:t>
      </w:r>
      <w:r w:rsidRPr="002D00B1">
        <w:rPr>
          <w:rFonts w:ascii="Tahoma" w:eastAsia="Times New Roman" w:hAnsi="Tahoma" w:cs="Tahoma"/>
          <w:color w:val="222222"/>
          <w:sz w:val="20"/>
          <w:szCs w:val="20"/>
          <w:lang w:eastAsia="es-CO"/>
        </w:rPr>
        <w:t xml:space="preserve">cuyo fin es </w:t>
      </w:r>
      <w:r w:rsidR="00C10AE1" w:rsidRPr="002D00B1">
        <w:rPr>
          <w:rFonts w:ascii="Tahoma" w:eastAsia="Times New Roman" w:hAnsi="Tahoma" w:cs="Tahoma"/>
          <w:color w:val="222222"/>
          <w:sz w:val="20"/>
          <w:szCs w:val="20"/>
          <w:lang w:eastAsia="es-CO"/>
        </w:rPr>
        <w:t xml:space="preserve">revitalizar </w:t>
      </w:r>
      <w:r w:rsidRPr="002D00B1">
        <w:rPr>
          <w:rFonts w:ascii="Tahoma" w:eastAsia="Times New Roman" w:hAnsi="Tahoma" w:cs="Tahoma"/>
          <w:color w:val="222222"/>
          <w:sz w:val="20"/>
          <w:szCs w:val="20"/>
          <w:lang w:eastAsia="es-CO"/>
        </w:rPr>
        <w:t xml:space="preserve">el sistema de salud desde su infraestructura, recursos humanos y técnicos; así la posibilidad de organizarse </w:t>
      </w:r>
      <w:r w:rsidR="00C10AE1" w:rsidRPr="002D00B1">
        <w:rPr>
          <w:rFonts w:ascii="Tahoma" w:eastAsia="Times New Roman" w:hAnsi="Tahoma" w:cs="Tahoma"/>
          <w:color w:val="222222"/>
          <w:sz w:val="20"/>
          <w:szCs w:val="20"/>
          <w:lang w:eastAsia="es-CO"/>
        </w:rPr>
        <w:t xml:space="preserve"> coordinada</w:t>
      </w:r>
      <w:r w:rsidRPr="002D00B1">
        <w:rPr>
          <w:rFonts w:ascii="Tahoma" w:eastAsia="Times New Roman" w:hAnsi="Tahoma" w:cs="Tahoma"/>
          <w:color w:val="222222"/>
          <w:sz w:val="20"/>
          <w:szCs w:val="20"/>
          <w:lang w:eastAsia="es-CO"/>
        </w:rPr>
        <w:t>mente</w:t>
      </w:r>
      <w:r w:rsidR="00C10AE1" w:rsidRPr="002D00B1">
        <w:rPr>
          <w:rFonts w:ascii="Tahoma" w:eastAsia="Times New Roman" w:hAnsi="Tahoma" w:cs="Tahoma"/>
          <w:color w:val="222222"/>
          <w:sz w:val="20"/>
          <w:szCs w:val="20"/>
          <w:lang w:eastAsia="es-CO"/>
        </w:rPr>
        <w:t>, efectiva</w:t>
      </w:r>
      <w:r w:rsidRPr="002D00B1">
        <w:rPr>
          <w:rFonts w:ascii="Tahoma" w:eastAsia="Times New Roman" w:hAnsi="Tahoma" w:cs="Tahoma"/>
          <w:color w:val="222222"/>
          <w:sz w:val="20"/>
          <w:szCs w:val="20"/>
          <w:lang w:eastAsia="es-CO"/>
        </w:rPr>
        <w:t>mente</w:t>
      </w:r>
      <w:r w:rsidR="00C10AE1" w:rsidRPr="002D00B1">
        <w:rPr>
          <w:rFonts w:ascii="Tahoma" w:eastAsia="Times New Roman" w:hAnsi="Tahoma" w:cs="Tahoma"/>
          <w:color w:val="222222"/>
          <w:sz w:val="20"/>
          <w:szCs w:val="20"/>
          <w:lang w:eastAsia="es-CO"/>
        </w:rPr>
        <w:t xml:space="preserve"> y sostenible</w:t>
      </w:r>
      <w:r w:rsidRPr="002D00B1">
        <w:rPr>
          <w:rFonts w:ascii="Tahoma" w:eastAsia="Times New Roman" w:hAnsi="Tahoma" w:cs="Tahoma"/>
          <w:color w:val="222222"/>
          <w:sz w:val="20"/>
          <w:szCs w:val="20"/>
          <w:lang w:eastAsia="es-CO"/>
        </w:rPr>
        <w:t xml:space="preserve">mente y </w:t>
      </w:r>
      <w:r w:rsidR="00C10AE1" w:rsidRPr="002D00B1">
        <w:rPr>
          <w:rFonts w:ascii="Tahoma" w:eastAsia="Times New Roman" w:hAnsi="Tahoma" w:cs="Tahoma"/>
          <w:color w:val="222222"/>
          <w:sz w:val="20"/>
          <w:szCs w:val="20"/>
          <w:lang w:eastAsia="es-CO"/>
        </w:rPr>
        <w:t xml:space="preserve">resolver los problemas de salud existentes, afrontar los nuevos desafíos </w:t>
      </w:r>
      <w:r w:rsidRPr="002D00B1">
        <w:rPr>
          <w:rFonts w:ascii="Tahoma" w:eastAsia="Times New Roman" w:hAnsi="Tahoma" w:cs="Tahoma"/>
          <w:color w:val="222222"/>
          <w:sz w:val="20"/>
          <w:szCs w:val="20"/>
          <w:lang w:eastAsia="es-CO"/>
        </w:rPr>
        <w:t xml:space="preserve">y avanzar en la equidad del pueblo. </w:t>
      </w:r>
    </w:p>
    <w:p w:rsidR="002D00B1" w:rsidRPr="002D00B1" w:rsidRDefault="002D00B1" w:rsidP="00B90D6E">
      <w:pPr>
        <w:shd w:val="clear" w:color="auto" w:fill="FFFFFF"/>
        <w:spacing w:before="100" w:beforeAutospacing="1" w:after="100" w:afterAutospacing="1"/>
        <w:jc w:val="both"/>
        <w:rPr>
          <w:rFonts w:ascii="Tahoma" w:eastAsia="Times New Roman" w:hAnsi="Tahoma" w:cs="Tahoma"/>
          <w:color w:val="222222"/>
          <w:sz w:val="20"/>
          <w:szCs w:val="20"/>
          <w:lang w:eastAsia="es-CO"/>
        </w:rPr>
      </w:pPr>
      <w:r w:rsidRPr="002D00B1">
        <w:rPr>
          <w:rFonts w:ascii="Tahoma" w:eastAsia="Times New Roman" w:hAnsi="Tahoma" w:cs="Tahoma"/>
          <w:color w:val="222222"/>
          <w:sz w:val="20"/>
          <w:szCs w:val="20"/>
          <w:lang w:eastAsia="es-CO"/>
        </w:rPr>
        <w:t xml:space="preserve">En Colombia, se asumió un compromiso real frente a la estrategia en la ley 1438 de 2011, en </w:t>
      </w:r>
      <w:r w:rsidR="00D80D0F" w:rsidRPr="002D00B1">
        <w:rPr>
          <w:rFonts w:ascii="Tahoma" w:eastAsia="Times New Roman" w:hAnsi="Tahoma" w:cs="Tahoma"/>
          <w:color w:val="222222"/>
          <w:sz w:val="20"/>
          <w:szCs w:val="20"/>
          <w:lang w:eastAsia="es-CO"/>
        </w:rPr>
        <w:t>el</w:t>
      </w:r>
      <w:r w:rsidRPr="002D00B1">
        <w:rPr>
          <w:rFonts w:ascii="Tahoma" w:eastAsia="Times New Roman" w:hAnsi="Tahoma" w:cs="Tahoma"/>
          <w:color w:val="222222"/>
          <w:sz w:val="20"/>
          <w:szCs w:val="20"/>
          <w:lang w:eastAsia="es-CO"/>
        </w:rPr>
        <w:t xml:space="preserve"> que se menciona en artículo 1 y 2 de la ley:</w:t>
      </w:r>
    </w:p>
    <w:p w:rsidR="002D00B1" w:rsidRDefault="002D00B1" w:rsidP="00B90D6E">
      <w:pPr>
        <w:shd w:val="clear" w:color="auto" w:fill="FFFFFF"/>
        <w:spacing w:before="100" w:beforeAutospacing="1" w:after="100" w:afterAutospacing="1"/>
        <w:ind w:left="284"/>
        <w:jc w:val="both"/>
        <w:rPr>
          <w:rFonts w:ascii="Tahoma" w:eastAsia="Times New Roman" w:hAnsi="Tahoma" w:cs="Tahoma"/>
          <w:color w:val="222222"/>
          <w:sz w:val="18"/>
          <w:szCs w:val="20"/>
          <w:lang w:eastAsia="es-CO"/>
        </w:rPr>
      </w:pPr>
      <w:r w:rsidRPr="002D00B1">
        <w:rPr>
          <w:rFonts w:ascii="Tahoma" w:eastAsia="Times New Roman" w:hAnsi="Tahoma" w:cs="Tahoma"/>
          <w:color w:val="222222"/>
          <w:sz w:val="20"/>
          <w:szCs w:val="20"/>
          <w:lang w:eastAsia="es-CO"/>
        </w:rPr>
        <w:tab/>
      </w:r>
      <w:r w:rsidRPr="002D00B1">
        <w:rPr>
          <w:rFonts w:ascii="Tahoma" w:eastAsia="Times New Roman" w:hAnsi="Tahoma" w:cs="Tahoma"/>
          <w:color w:val="222222"/>
          <w:sz w:val="18"/>
          <w:szCs w:val="20"/>
          <w:lang w:eastAsia="es-CO"/>
        </w:rPr>
        <w:t>“Artículo 1°. Objeto de la ley.</w:t>
      </w:r>
      <w:r>
        <w:rPr>
          <w:rFonts w:ascii="Tahoma" w:eastAsia="Times New Roman" w:hAnsi="Tahoma" w:cs="Tahoma"/>
          <w:color w:val="222222"/>
          <w:sz w:val="18"/>
          <w:szCs w:val="20"/>
          <w:lang w:eastAsia="es-CO"/>
        </w:rPr>
        <w:t xml:space="preserve"> </w:t>
      </w:r>
      <w:r w:rsidRPr="002D00B1">
        <w:rPr>
          <w:rFonts w:ascii="Tahoma" w:eastAsia="Times New Roman" w:hAnsi="Tahoma" w:cs="Tahoma"/>
          <w:color w:val="222222"/>
          <w:sz w:val="18"/>
          <w:szCs w:val="20"/>
          <w:lang w:eastAsia="es-CO"/>
        </w:rPr>
        <w:t xml:space="preserve"> Esta ley tiene como objeto el fortalecimiento del Sistema General de Seguridad Social en Salud, a través de un modelo de prestación del servicio público en salud que en el marco de la estrategia Atención Primaria en Salud permita la acción coordinada del Estado, las instituciones y la sociedad para el mejoramiento de la salud y la creación de un ambiente sano y saludable, que brinde servicios de mayor calidad, incluyente y equitativo, donde el centro y objetivo de todos los esfuerzos sean los residentes en el país.</w:t>
      </w:r>
      <w:r>
        <w:rPr>
          <w:rFonts w:ascii="Tahoma" w:eastAsia="Times New Roman" w:hAnsi="Tahoma" w:cs="Tahoma"/>
          <w:color w:val="222222"/>
          <w:sz w:val="18"/>
          <w:szCs w:val="20"/>
          <w:lang w:eastAsia="es-CO"/>
        </w:rPr>
        <w:t xml:space="preserve"> </w:t>
      </w:r>
    </w:p>
    <w:p w:rsidR="002D00B1" w:rsidRDefault="002D00B1" w:rsidP="00B90D6E">
      <w:pPr>
        <w:shd w:val="clear" w:color="auto" w:fill="FFFFFF"/>
        <w:spacing w:before="100" w:beforeAutospacing="1" w:after="100" w:afterAutospacing="1"/>
        <w:ind w:left="284"/>
        <w:jc w:val="both"/>
        <w:rPr>
          <w:rFonts w:ascii="Tahoma" w:eastAsia="Times New Roman" w:hAnsi="Tahoma" w:cs="Tahoma"/>
          <w:color w:val="222222"/>
          <w:sz w:val="18"/>
          <w:szCs w:val="20"/>
          <w:lang w:eastAsia="es-CO"/>
        </w:rPr>
      </w:pPr>
      <w:r w:rsidRPr="002D00B1">
        <w:rPr>
          <w:rFonts w:ascii="Tahoma" w:eastAsia="Times New Roman" w:hAnsi="Tahoma" w:cs="Tahoma"/>
          <w:color w:val="222222"/>
          <w:sz w:val="18"/>
          <w:szCs w:val="20"/>
          <w:lang w:eastAsia="es-CO"/>
        </w:rPr>
        <w:t xml:space="preserve">Artículo 2°. Orientación del Sistema General de Seguridad Social en Salud. El Sistema General de Seguridad Social en Salud estará orientado a generar condiciones que protejan la salud de los colombianos, siendo el bienestar del usuario el eje central y núcleo articulador de las políticas en salud. Para esto concurrirán acciones de salud pública, promoción de la salud, prevención de la enfermedad y demás prestaciones que, en el marco de una estrategia de Atención Primaria en Salud, sean necesarias para promover de manera constante la salud de la población. Para lograr este propósito, se unificará el Plan de Beneficios para todos los residentes, se garantizará la universalidad del aseguramiento, la portabilidad o prestación de los beneficios en cualquier lugar del país y se preservará la sostenibilidad financiera del </w:t>
      </w:r>
      <w:r>
        <w:rPr>
          <w:rFonts w:ascii="Tahoma" w:eastAsia="Times New Roman" w:hAnsi="Tahoma" w:cs="Tahoma"/>
          <w:color w:val="222222"/>
          <w:sz w:val="18"/>
          <w:szCs w:val="20"/>
          <w:lang w:eastAsia="es-CO"/>
        </w:rPr>
        <w:t>Sistema, entre otros.</w:t>
      </w:r>
    </w:p>
    <w:p w:rsidR="002D00B1" w:rsidRDefault="002D00B1" w:rsidP="00B90D6E">
      <w:pPr>
        <w:shd w:val="clear" w:color="auto" w:fill="FFFFFF"/>
        <w:spacing w:before="100" w:beforeAutospacing="1" w:after="100" w:afterAutospacing="1"/>
        <w:ind w:left="284"/>
        <w:jc w:val="both"/>
        <w:rPr>
          <w:rFonts w:ascii="Tahoma" w:eastAsia="Times New Roman" w:hAnsi="Tahoma" w:cs="Tahoma"/>
          <w:color w:val="222222"/>
          <w:sz w:val="18"/>
          <w:szCs w:val="20"/>
          <w:lang w:eastAsia="es-CO"/>
        </w:rPr>
      </w:pPr>
      <w:r w:rsidRPr="002D00B1">
        <w:rPr>
          <w:rFonts w:ascii="Tahoma" w:eastAsia="Times New Roman" w:hAnsi="Tahoma" w:cs="Tahoma"/>
          <w:color w:val="222222"/>
          <w:sz w:val="18"/>
          <w:szCs w:val="20"/>
          <w:lang w:eastAsia="es-CO"/>
        </w:rPr>
        <w:t>Para dar cumplimiento a lo anterior, el Gobierno Nacional definirá metas e indicadores de resultados en salud que incluyan a todos los niveles de gobierno, instituciones púbicas (Sic)</w:t>
      </w:r>
      <w:r w:rsidR="00D80D0F">
        <w:rPr>
          <w:rFonts w:ascii="Tahoma" w:eastAsia="Times New Roman" w:hAnsi="Tahoma" w:cs="Tahoma"/>
          <w:color w:val="222222"/>
          <w:sz w:val="18"/>
          <w:szCs w:val="20"/>
          <w:lang w:eastAsia="es-CO"/>
        </w:rPr>
        <w:t xml:space="preserve"> </w:t>
      </w:r>
      <w:r w:rsidRPr="002D00B1">
        <w:rPr>
          <w:rFonts w:ascii="Tahoma" w:eastAsia="Times New Roman" w:hAnsi="Tahoma" w:cs="Tahoma"/>
          <w:color w:val="222222"/>
          <w:sz w:val="18"/>
          <w:szCs w:val="20"/>
          <w:lang w:eastAsia="es-CO"/>
        </w:rPr>
        <w:t>y privadas y demás actores que participan dentro del sistema. Estos indicadores estarán basados en criterios técnicos, que como mínimo incluirán:</w:t>
      </w:r>
    </w:p>
    <w:p w:rsidR="002D00B1" w:rsidRDefault="002D00B1" w:rsidP="00B90D6E">
      <w:pPr>
        <w:pStyle w:val="Prrafodelista"/>
        <w:numPr>
          <w:ilvl w:val="0"/>
          <w:numId w:val="2"/>
        </w:numPr>
        <w:shd w:val="clear" w:color="auto" w:fill="FFFFFF"/>
        <w:spacing w:before="100" w:beforeAutospacing="1" w:after="100" w:afterAutospacing="1"/>
        <w:jc w:val="both"/>
        <w:rPr>
          <w:rFonts w:ascii="Tahoma" w:eastAsia="Times New Roman" w:hAnsi="Tahoma" w:cs="Tahoma"/>
          <w:color w:val="222222"/>
          <w:sz w:val="18"/>
          <w:szCs w:val="20"/>
          <w:lang w:eastAsia="es-CO"/>
        </w:rPr>
      </w:pPr>
      <w:r w:rsidRPr="002D00B1">
        <w:rPr>
          <w:rFonts w:ascii="Tahoma" w:eastAsia="Times New Roman" w:hAnsi="Tahoma" w:cs="Tahoma"/>
          <w:color w:val="222222"/>
          <w:sz w:val="18"/>
          <w:szCs w:val="20"/>
          <w:lang w:eastAsia="es-CO"/>
        </w:rPr>
        <w:t>Prevalencia e incidencia en morbilidad y mortalidad materna perinatal e infantil.</w:t>
      </w:r>
    </w:p>
    <w:p w:rsidR="002D00B1" w:rsidRDefault="002D00B1" w:rsidP="00B90D6E">
      <w:pPr>
        <w:pStyle w:val="Prrafodelista"/>
        <w:numPr>
          <w:ilvl w:val="0"/>
          <w:numId w:val="2"/>
        </w:numPr>
        <w:shd w:val="clear" w:color="auto" w:fill="FFFFFF"/>
        <w:spacing w:before="100" w:beforeAutospacing="1" w:after="100" w:afterAutospacing="1"/>
        <w:jc w:val="both"/>
        <w:rPr>
          <w:rFonts w:ascii="Tahoma" w:eastAsia="Times New Roman" w:hAnsi="Tahoma" w:cs="Tahoma"/>
          <w:color w:val="222222"/>
          <w:sz w:val="18"/>
          <w:szCs w:val="20"/>
          <w:lang w:eastAsia="es-CO"/>
        </w:rPr>
      </w:pPr>
      <w:r w:rsidRPr="002D00B1">
        <w:rPr>
          <w:rFonts w:ascii="Tahoma" w:eastAsia="Times New Roman" w:hAnsi="Tahoma" w:cs="Tahoma"/>
          <w:color w:val="222222"/>
          <w:sz w:val="18"/>
          <w:szCs w:val="20"/>
          <w:lang w:eastAsia="es-CO"/>
        </w:rPr>
        <w:t>Incidencia de enfermedades de interés en salud pública.</w:t>
      </w:r>
    </w:p>
    <w:p w:rsidR="002D00B1" w:rsidRDefault="002D00B1" w:rsidP="00B90D6E">
      <w:pPr>
        <w:pStyle w:val="Prrafodelista"/>
        <w:numPr>
          <w:ilvl w:val="0"/>
          <w:numId w:val="2"/>
        </w:numPr>
        <w:shd w:val="clear" w:color="auto" w:fill="FFFFFF"/>
        <w:spacing w:before="100" w:beforeAutospacing="1" w:after="100" w:afterAutospacing="1"/>
        <w:jc w:val="both"/>
        <w:rPr>
          <w:rFonts w:ascii="Tahoma" w:eastAsia="Times New Roman" w:hAnsi="Tahoma" w:cs="Tahoma"/>
          <w:color w:val="222222"/>
          <w:sz w:val="18"/>
          <w:szCs w:val="20"/>
          <w:lang w:eastAsia="es-CO"/>
        </w:rPr>
      </w:pPr>
      <w:r w:rsidRPr="002D00B1">
        <w:rPr>
          <w:rFonts w:ascii="Tahoma" w:eastAsia="Times New Roman" w:hAnsi="Tahoma" w:cs="Tahoma"/>
          <w:color w:val="222222"/>
          <w:sz w:val="18"/>
          <w:szCs w:val="20"/>
          <w:lang w:eastAsia="es-CO"/>
        </w:rPr>
        <w:t xml:space="preserve">Incidencia de enfermedades crónicas no transmisibles y en general las precursoras de eventos de alto costo. </w:t>
      </w:r>
    </w:p>
    <w:p w:rsidR="002D00B1" w:rsidRDefault="002D00B1" w:rsidP="00B90D6E">
      <w:pPr>
        <w:pStyle w:val="Prrafodelista"/>
        <w:numPr>
          <w:ilvl w:val="0"/>
          <w:numId w:val="2"/>
        </w:numPr>
        <w:shd w:val="clear" w:color="auto" w:fill="FFFFFF"/>
        <w:spacing w:before="100" w:beforeAutospacing="1" w:after="100" w:afterAutospacing="1"/>
        <w:jc w:val="both"/>
        <w:rPr>
          <w:rFonts w:ascii="Tahoma" w:eastAsia="Times New Roman" w:hAnsi="Tahoma" w:cs="Tahoma"/>
          <w:color w:val="222222"/>
          <w:sz w:val="18"/>
          <w:szCs w:val="20"/>
          <w:lang w:eastAsia="es-CO"/>
        </w:rPr>
      </w:pPr>
      <w:r w:rsidRPr="002D00B1">
        <w:rPr>
          <w:rFonts w:ascii="Tahoma" w:eastAsia="Times New Roman" w:hAnsi="Tahoma" w:cs="Tahoma"/>
          <w:color w:val="222222"/>
          <w:sz w:val="18"/>
          <w:szCs w:val="20"/>
          <w:lang w:eastAsia="es-CO"/>
        </w:rPr>
        <w:t>Incidencia de enfermedades prevalentes transmisibles incluyendo las inmunoprevenibles.</w:t>
      </w:r>
    </w:p>
    <w:p w:rsidR="002D00B1" w:rsidRDefault="002D00B1" w:rsidP="00B90D6E">
      <w:pPr>
        <w:pStyle w:val="Prrafodelista"/>
        <w:numPr>
          <w:ilvl w:val="0"/>
          <w:numId w:val="2"/>
        </w:numPr>
        <w:shd w:val="clear" w:color="auto" w:fill="FFFFFF"/>
        <w:spacing w:before="100" w:beforeAutospacing="1" w:after="100" w:afterAutospacing="1"/>
        <w:jc w:val="both"/>
        <w:rPr>
          <w:rFonts w:ascii="Tahoma" w:eastAsia="Times New Roman" w:hAnsi="Tahoma" w:cs="Tahoma"/>
          <w:color w:val="222222"/>
          <w:sz w:val="18"/>
          <w:szCs w:val="20"/>
          <w:lang w:eastAsia="es-CO"/>
        </w:rPr>
      </w:pPr>
      <w:r w:rsidRPr="002D00B1">
        <w:rPr>
          <w:rFonts w:ascii="Tahoma" w:eastAsia="Times New Roman" w:hAnsi="Tahoma" w:cs="Tahoma"/>
          <w:color w:val="222222"/>
          <w:sz w:val="18"/>
          <w:szCs w:val="20"/>
          <w:lang w:eastAsia="es-CO"/>
        </w:rPr>
        <w:t xml:space="preserve">Acceso efectivo a los servicios de salud. </w:t>
      </w:r>
    </w:p>
    <w:p w:rsidR="002D00B1" w:rsidRDefault="002D00B1" w:rsidP="00B90D6E">
      <w:pPr>
        <w:pStyle w:val="Prrafodelista"/>
        <w:shd w:val="clear" w:color="auto" w:fill="FFFFFF"/>
        <w:spacing w:before="100" w:beforeAutospacing="1" w:after="100" w:afterAutospacing="1"/>
        <w:ind w:left="644"/>
        <w:jc w:val="both"/>
        <w:rPr>
          <w:rFonts w:ascii="Tahoma" w:eastAsia="Times New Roman" w:hAnsi="Tahoma" w:cs="Tahoma"/>
          <w:color w:val="222222"/>
          <w:sz w:val="18"/>
          <w:szCs w:val="20"/>
          <w:lang w:eastAsia="es-CO"/>
        </w:rPr>
      </w:pPr>
    </w:p>
    <w:p w:rsidR="002D00B1" w:rsidRPr="002D00B1" w:rsidRDefault="002D00B1" w:rsidP="00B90D6E">
      <w:pPr>
        <w:pStyle w:val="Prrafodelista"/>
        <w:shd w:val="clear" w:color="auto" w:fill="FFFFFF"/>
        <w:spacing w:before="100" w:beforeAutospacing="1" w:after="100" w:afterAutospacing="1"/>
        <w:ind w:left="644"/>
        <w:jc w:val="both"/>
        <w:rPr>
          <w:rFonts w:ascii="Tahoma" w:eastAsia="Times New Roman" w:hAnsi="Tahoma" w:cs="Tahoma"/>
          <w:color w:val="222222"/>
          <w:sz w:val="18"/>
          <w:szCs w:val="20"/>
          <w:lang w:eastAsia="es-CO"/>
        </w:rPr>
      </w:pPr>
      <w:r w:rsidRPr="002D00B1">
        <w:rPr>
          <w:rFonts w:ascii="Tahoma" w:eastAsia="Times New Roman" w:hAnsi="Tahoma" w:cs="Tahoma"/>
          <w:color w:val="222222"/>
          <w:sz w:val="18"/>
          <w:szCs w:val="20"/>
          <w:lang w:eastAsia="es-CO"/>
        </w:rPr>
        <w:t>Cada cuatro (4) años el Gobierno Nacional hará una evaluación integral del Sistema General de Seguridad Social en Salud con base en estos indicadores. Cuando esta evaluación muestre que los resultados en salud deficientes, el Ministerio de la Protección Social y la Superintendencia Nacional de Salud evaluarán y determinarán las medidas a seguir</w:t>
      </w:r>
      <w:r>
        <w:rPr>
          <w:rFonts w:ascii="Tahoma" w:eastAsia="Times New Roman" w:hAnsi="Tahoma" w:cs="Tahoma"/>
          <w:color w:val="222222"/>
          <w:sz w:val="18"/>
          <w:szCs w:val="20"/>
          <w:lang w:eastAsia="es-CO"/>
        </w:rPr>
        <w:t>”</w:t>
      </w:r>
      <w:sdt>
        <w:sdtPr>
          <w:rPr>
            <w:rFonts w:ascii="Tahoma" w:eastAsia="Times New Roman" w:hAnsi="Tahoma" w:cs="Tahoma"/>
            <w:color w:val="222222"/>
            <w:sz w:val="18"/>
            <w:szCs w:val="20"/>
            <w:lang w:eastAsia="es-CO"/>
          </w:rPr>
          <w:id w:val="-1231918661"/>
          <w:citation/>
        </w:sdtPr>
        <w:sdtEndPr/>
        <w:sdtContent>
          <w:r>
            <w:rPr>
              <w:rFonts w:ascii="Tahoma" w:eastAsia="Times New Roman" w:hAnsi="Tahoma" w:cs="Tahoma"/>
              <w:color w:val="222222"/>
              <w:sz w:val="18"/>
              <w:szCs w:val="20"/>
              <w:lang w:eastAsia="es-CO"/>
            </w:rPr>
            <w:fldChar w:fldCharType="begin"/>
          </w:r>
          <w:r>
            <w:rPr>
              <w:rFonts w:ascii="Tahoma" w:eastAsia="Times New Roman" w:hAnsi="Tahoma" w:cs="Tahoma"/>
              <w:color w:val="222222"/>
              <w:sz w:val="18"/>
              <w:szCs w:val="20"/>
              <w:lang w:eastAsia="es-CO"/>
            </w:rPr>
            <w:instrText xml:space="preserve"> CITATION REP11 \l 9226 </w:instrText>
          </w:r>
          <w:r>
            <w:rPr>
              <w:rFonts w:ascii="Tahoma" w:eastAsia="Times New Roman" w:hAnsi="Tahoma" w:cs="Tahoma"/>
              <w:color w:val="222222"/>
              <w:sz w:val="18"/>
              <w:szCs w:val="20"/>
              <w:lang w:eastAsia="es-CO"/>
            </w:rPr>
            <w:fldChar w:fldCharType="separate"/>
          </w:r>
          <w:r w:rsidR="005876E0">
            <w:rPr>
              <w:rFonts w:ascii="Tahoma" w:eastAsia="Times New Roman" w:hAnsi="Tahoma" w:cs="Tahoma"/>
              <w:noProof/>
              <w:color w:val="222222"/>
              <w:sz w:val="18"/>
              <w:szCs w:val="20"/>
              <w:lang w:eastAsia="es-CO"/>
            </w:rPr>
            <w:t xml:space="preserve"> </w:t>
          </w:r>
          <w:r w:rsidR="005876E0" w:rsidRPr="005876E0">
            <w:rPr>
              <w:rFonts w:ascii="Tahoma" w:eastAsia="Times New Roman" w:hAnsi="Tahoma" w:cs="Tahoma"/>
              <w:noProof/>
              <w:color w:val="222222"/>
              <w:sz w:val="18"/>
              <w:szCs w:val="20"/>
              <w:lang w:eastAsia="es-CO"/>
            </w:rPr>
            <w:t>(REPÚBLICA DE COLOMBIA - GOBIERNO NACIONAL, 2011)</w:t>
          </w:r>
          <w:r>
            <w:rPr>
              <w:rFonts w:ascii="Tahoma" w:eastAsia="Times New Roman" w:hAnsi="Tahoma" w:cs="Tahoma"/>
              <w:color w:val="222222"/>
              <w:sz w:val="18"/>
              <w:szCs w:val="20"/>
              <w:lang w:eastAsia="es-CO"/>
            </w:rPr>
            <w:fldChar w:fldCharType="end"/>
          </w:r>
        </w:sdtContent>
      </w:sdt>
      <w:r w:rsidRPr="002D00B1">
        <w:rPr>
          <w:rFonts w:ascii="Tahoma" w:eastAsia="Times New Roman" w:hAnsi="Tahoma" w:cs="Tahoma"/>
          <w:color w:val="222222"/>
          <w:sz w:val="18"/>
          <w:szCs w:val="20"/>
          <w:lang w:eastAsia="es-CO"/>
        </w:rPr>
        <w:t>.</w:t>
      </w:r>
    </w:p>
    <w:p w:rsidR="00CF2213" w:rsidRDefault="00CF2213" w:rsidP="00B90D6E">
      <w:pPr>
        <w:shd w:val="clear" w:color="auto" w:fill="FFFFFF"/>
        <w:spacing w:before="100" w:beforeAutospacing="1" w:after="100" w:afterAutospacing="1"/>
        <w:jc w:val="both"/>
        <w:rPr>
          <w:rFonts w:ascii="Arial" w:eastAsia="Times New Roman" w:hAnsi="Arial" w:cs="Arial"/>
          <w:color w:val="222222"/>
          <w:sz w:val="20"/>
          <w:szCs w:val="20"/>
          <w:lang w:eastAsia="es-CO"/>
        </w:rPr>
      </w:pPr>
      <w:r>
        <w:rPr>
          <w:rFonts w:ascii="Arial" w:eastAsia="Times New Roman" w:hAnsi="Arial" w:cs="Arial"/>
          <w:color w:val="222222"/>
          <w:sz w:val="20"/>
          <w:szCs w:val="20"/>
          <w:lang w:eastAsia="es-CO"/>
        </w:rPr>
        <w:lastRenderedPageBreak/>
        <w:t xml:space="preserve">Es así, como a partir de esta fecha se adopta la estrategia de manera oficial y se </w:t>
      </w:r>
      <w:r w:rsidR="003734C8">
        <w:rPr>
          <w:rFonts w:ascii="Arial" w:eastAsia="Times New Roman" w:hAnsi="Arial" w:cs="Arial"/>
          <w:color w:val="222222"/>
          <w:sz w:val="20"/>
          <w:szCs w:val="20"/>
          <w:lang w:eastAsia="es-CO"/>
        </w:rPr>
        <w:t>comunica que se</w:t>
      </w:r>
      <w:r w:rsidR="0061075F">
        <w:rPr>
          <w:rFonts w:ascii="Arial" w:eastAsia="Times New Roman" w:hAnsi="Arial" w:cs="Arial"/>
          <w:color w:val="222222"/>
          <w:sz w:val="20"/>
          <w:szCs w:val="20"/>
          <w:lang w:eastAsia="es-CO"/>
        </w:rPr>
        <w:t xml:space="preserve"> debe dar</w:t>
      </w:r>
      <w:r w:rsidR="007C5447">
        <w:rPr>
          <w:rFonts w:ascii="Arial" w:eastAsia="Times New Roman" w:hAnsi="Arial" w:cs="Arial"/>
          <w:color w:val="222222"/>
          <w:sz w:val="20"/>
          <w:szCs w:val="20"/>
          <w:lang w:eastAsia="es-CO"/>
        </w:rPr>
        <w:t xml:space="preserve"> cumplimiento</w:t>
      </w:r>
      <w:r w:rsidR="0061075F">
        <w:rPr>
          <w:rFonts w:ascii="Arial" w:eastAsia="Times New Roman" w:hAnsi="Arial" w:cs="Arial"/>
          <w:color w:val="222222"/>
          <w:sz w:val="20"/>
          <w:szCs w:val="20"/>
          <w:lang w:eastAsia="es-CO"/>
        </w:rPr>
        <w:t xml:space="preserve"> </w:t>
      </w:r>
      <w:r w:rsidR="007C5447">
        <w:rPr>
          <w:rFonts w:ascii="Arial" w:eastAsia="Times New Roman" w:hAnsi="Arial" w:cs="Arial"/>
          <w:color w:val="222222"/>
          <w:sz w:val="20"/>
          <w:szCs w:val="20"/>
          <w:lang w:eastAsia="es-CO"/>
        </w:rPr>
        <w:t>a</w:t>
      </w:r>
      <w:r w:rsidR="0061075F">
        <w:rPr>
          <w:rFonts w:ascii="Arial" w:eastAsia="Times New Roman" w:hAnsi="Arial" w:cs="Arial"/>
          <w:color w:val="222222"/>
          <w:sz w:val="20"/>
          <w:szCs w:val="20"/>
          <w:lang w:eastAsia="es-CO"/>
        </w:rPr>
        <w:t xml:space="preserve"> todo nivel en el país. En la implementació</w:t>
      </w:r>
      <w:r w:rsidR="00450AD5">
        <w:rPr>
          <w:rFonts w:ascii="Arial" w:eastAsia="Times New Roman" w:hAnsi="Arial" w:cs="Arial"/>
          <w:color w:val="222222"/>
          <w:sz w:val="20"/>
          <w:szCs w:val="20"/>
          <w:lang w:eastAsia="es-CO"/>
        </w:rPr>
        <w:t xml:space="preserve">n de la estrategia se ha usado </w:t>
      </w:r>
      <w:r w:rsidR="0061075F">
        <w:rPr>
          <w:rFonts w:ascii="Arial" w:eastAsia="Times New Roman" w:hAnsi="Arial" w:cs="Arial"/>
          <w:color w:val="222222"/>
          <w:sz w:val="20"/>
          <w:szCs w:val="20"/>
          <w:lang w:eastAsia="es-CO"/>
        </w:rPr>
        <w:t xml:space="preserve"> a</w:t>
      </w:r>
      <w:r w:rsidR="00450AD5">
        <w:rPr>
          <w:rFonts w:ascii="Arial" w:eastAsia="Times New Roman" w:hAnsi="Arial" w:cs="Arial"/>
          <w:color w:val="222222"/>
          <w:sz w:val="20"/>
          <w:szCs w:val="20"/>
          <w:lang w:eastAsia="es-CO"/>
        </w:rPr>
        <w:t xml:space="preserve"> </w:t>
      </w:r>
      <w:r w:rsidR="0061075F">
        <w:rPr>
          <w:rFonts w:ascii="Arial" w:eastAsia="Times New Roman" w:hAnsi="Arial" w:cs="Arial"/>
          <w:color w:val="222222"/>
          <w:sz w:val="20"/>
          <w:szCs w:val="20"/>
          <w:lang w:eastAsia="es-CO"/>
        </w:rPr>
        <w:t xml:space="preserve">su vez varias actividades </w:t>
      </w:r>
      <w:r w:rsidR="00996229">
        <w:rPr>
          <w:rFonts w:ascii="Arial" w:eastAsia="Times New Roman" w:hAnsi="Arial" w:cs="Arial"/>
          <w:color w:val="222222"/>
          <w:sz w:val="20"/>
          <w:szCs w:val="20"/>
          <w:lang w:eastAsia="es-CO"/>
        </w:rPr>
        <w:t xml:space="preserve">como lo es la actividad física,  </w:t>
      </w:r>
      <w:r w:rsidR="0061075F">
        <w:rPr>
          <w:rFonts w:ascii="Arial" w:eastAsia="Times New Roman" w:hAnsi="Arial" w:cs="Arial"/>
          <w:color w:val="222222"/>
          <w:sz w:val="20"/>
          <w:szCs w:val="20"/>
          <w:lang w:eastAsia="es-CO"/>
        </w:rPr>
        <w:t xml:space="preserve">que </w:t>
      </w:r>
      <w:r w:rsidR="00996229">
        <w:rPr>
          <w:rFonts w:ascii="Arial" w:eastAsia="Times New Roman" w:hAnsi="Arial" w:cs="Arial"/>
          <w:color w:val="222222"/>
          <w:sz w:val="20"/>
          <w:szCs w:val="20"/>
          <w:lang w:eastAsia="es-CO"/>
        </w:rPr>
        <w:t xml:space="preserve">busca el empoderamiento de la población en estilos de vida saludable </w:t>
      </w:r>
      <w:r w:rsidR="0061075F">
        <w:rPr>
          <w:rFonts w:ascii="Arial" w:eastAsia="Times New Roman" w:hAnsi="Arial" w:cs="Arial"/>
          <w:color w:val="222222"/>
          <w:sz w:val="20"/>
          <w:szCs w:val="20"/>
          <w:lang w:eastAsia="es-CO"/>
        </w:rPr>
        <w:t xml:space="preserve">y lograr mejores </w:t>
      </w:r>
      <w:r w:rsidR="007C5447">
        <w:rPr>
          <w:rFonts w:ascii="Arial" w:eastAsia="Times New Roman" w:hAnsi="Arial" w:cs="Arial"/>
          <w:color w:val="222222"/>
          <w:sz w:val="20"/>
          <w:szCs w:val="20"/>
          <w:lang w:eastAsia="es-CO"/>
        </w:rPr>
        <w:t xml:space="preserve">condiciones de salud. </w:t>
      </w:r>
    </w:p>
    <w:p w:rsidR="00C10AE1" w:rsidRPr="00C10AE1" w:rsidRDefault="00EB5528" w:rsidP="00B90D6E">
      <w:pPr>
        <w:shd w:val="clear" w:color="auto" w:fill="FFFFFF"/>
        <w:spacing w:before="100" w:beforeAutospacing="1" w:after="100" w:afterAutospacing="1"/>
        <w:jc w:val="both"/>
        <w:rPr>
          <w:rFonts w:ascii="Arial" w:eastAsia="Times New Roman" w:hAnsi="Arial" w:cs="Arial"/>
          <w:color w:val="222222"/>
          <w:sz w:val="20"/>
          <w:szCs w:val="20"/>
          <w:lang w:eastAsia="es-CO"/>
        </w:rPr>
      </w:pPr>
      <w:r>
        <w:rPr>
          <w:rFonts w:ascii="Arial" w:eastAsia="Times New Roman" w:hAnsi="Arial" w:cs="Arial"/>
          <w:color w:val="222222"/>
          <w:sz w:val="20"/>
          <w:szCs w:val="20"/>
          <w:lang w:eastAsia="es-CO"/>
        </w:rPr>
        <w:t xml:space="preserve">A nivel internacional se encuentra la iniciativa de la Organización Panamericana de la Salud (OPS), que se llama CARMEN, la cual busca prevenir y controlar las enfermedades no transmisibles. </w:t>
      </w:r>
      <w:r w:rsidR="00C10AE1" w:rsidRPr="00C10AE1">
        <w:rPr>
          <w:rFonts w:ascii="Arial" w:eastAsia="Times New Roman" w:hAnsi="Arial" w:cs="Arial"/>
          <w:color w:val="222222"/>
          <w:sz w:val="20"/>
          <w:szCs w:val="20"/>
          <w:lang w:eastAsia="es-CO"/>
        </w:rPr>
        <w:t xml:space="preserve">De acuerdo a </w:t>
      </w:r>
      <w:r>
        <w:rPr>
          <w:rFonts w:ascii="Arial" w:eastAsia="Times New Roman" w:hAnsi="Arial" w:cs="Arial"/>
          <w:color w:val="222222"/>
          <w:sz w:val="20"/>
          <w:szCs w:val="20"/>
          <w:lang w:eastAsia="es-CO"/>
        </w:rPr>
        <w:t xml:space="preserve">lo mencionado por </w:t>
      </w:r>
      <w:r w:rsidR="00C10AE1" w:rsidRPr="00C10AE1">
        <w:rPr>
          <w:rFonts w:ascii="Arial" w:eastAsia="Times New Roman" w:hAnsi="Arial" w:cs="Arial"/>
          <w:color w:val="222222"/>
          <w:sz w:val="20"/>
          <w:szCs w:val="20"/>
          <w:lang w:eastAsia="es-CO"/>
        </w:rPr>
        <w:t>García, uno de los principales problemas  en la población colombiana es la morbi-mortalidad causada  por las enfermedades crónicas; factores como el consumo de tabaco, el exceso de alcohol, una</w:t>
      </w:r>
      <w:r>
        <w:rPr>
          <w:rFonts w:ascii="Arial" w:eastAsia="Times New Roman" w:hAnsi="Arial" w:cs="Arial"/>
          <w:color w:val="222222"/>
          <w:sz w:val="20"/>
          <w:szCs w:val="20"/>
          <w:lang w:eastAsia="es-CO"/>
        </w:rPr>
        <w:t xml:space="preserve"> inadecuada </w:t>
      </w:r>
      <w:r w:rsidR="00C10AE1" w:rsidRPr="00C10AE1">
        <w:rPr>
          <w:rFonts w:ascii="Arial" w:eastAsia="Times New Roman" w:hAnsi="Arial" w:cs="Arial"/>
          <w:color w:val="222222"/>
          <w:sz w:val="20"/>
          <w:szCs w:val="20"/>
          <w:lang w:eastAsia="es-CO"/>
        </w:rPr>
        <w:t xml:space="preserve">nutrición  y el sedentarismo  son </w:t>
      </w:r>
      <w:r>
        <w:rPr>
          <w:rFonts w:ascii="Arial" w:eastAsia="Times New Roman" w:hAnsi="Arial" w:cs="Arial"/>
          <w:color w:val="222222"/>
          <w:sz w:val="20"/>
          <w:szCs w:val="20"/>
          <w:lang w:eastAsia="es-CO"/>
        </w:rPr>
        <w:t xml:space="preserve">factores de riesgo que propician </w:t>
      </w:r>
      <w:r w:rsidR="00C10AE1" w:rsidRPr="00C10AE1">
        <w:rPr>
          <w:rFonts w:ascii="Arial" w:eastAsia="Times New Roman" w:hAnsi="Arial" w:cs="Arial"/>
          <w:color w:val="222222"/>
          <w:sz w:val="20"/>
          <w:szCs w:val="20"/>
          <w:lang w:eastAsia="es-CO"/>
        </w:rPr>
        <w:t>la generación de enfermedades en la población.</w:t>
      </w:r>
      <w:r>
        <w:rPr>
          <w:rFonts w:ascii="Arial" w:eastAsia="Times New Roman" w:hAnsi="Arial" w:cs="Arial"/>
          <w:color w:val="222222"/>
          <w:sz w:val="20"/>
          <w:szCs w:val="20"/>
          <w:lang w:eastAsia="es-CO"/>
        </w:rPr>
        <w:t xml:space="preserve"> Esto sumado con </w:t>
      </w:r>
      <w:r w:rsidR="00C10AE1" w:rsidRPr="00C10AE1">
        <w:rPr>
          <w:rFonts w:ascii="Arial" w:eastAsia="Times New Roman" w:hAnsi="Arial" w:cs="Arial"/>
          <w:color w:val="222222"/>
          <w:sz w:val="20"/>
          <w:szCs w:val="20"/>
          <w:lang w:eastAsia="es-CO"/>
        </w:rPr>
        <w:t>componentes como el estrés, los trastornos del sueño, la mala utilización del tiempo libre, l</w:t>
      </w:r>
      <w:r w:rsidR="00526F9E">
        <w:rPr>
          <w:rFonts w:ascii="Arial" w:eastAsia="Times New Roman" w:hAnsi="Arial" w:cs="Arial"/>
          <w:color w:val="222222"/>
          <w:sz w:val="20"/>
          <w:szCs w:val="20"/>
          <w:lang w:eastAsia="es-CO"/>
        </w:rPr>
        <w:t>os malos hábitos alimenticios y</w:t>
      </w:r>
      <w:r w:rsidR="00C10AE1" w:rsidRPr="00C10AE1">
        <w:rPr>
          <w:rFonts w:ascii="Arial" w:eastAsia="Times New Roman" w:hAnsi="Arial" w:cs="Arial"/>
          <w:color w:val="222222"/>
          <w:sz w:val="20"/>
          <w:szCs w:val="20"/>
          <w:lang w:eastAsia="es-CO"/>
        </w:rPr>
        <w:t xml:space="preserve"> las relaciones interpersonales del sujeto entre otros</w:t>
      </w:r>
      <w:r>
        <w:rPr>
          <w:rFonts w:ascii="Arial" w:eastAsia="Times New Roman" w:hAnsi="Arial" w:cs="Arial"/>
          <w:color w:val="222222"/>
          <w:sz w:val="20"/>
          <w:szCs w:val="20"/>
          <w:lang w:eastAsia="es-CO"/>
        </w:rPr>
        <w:t>, debido a condiciones laborales precarias, aumento en el costo de vida, políticas que van en detrimento de las condiciones de la población</w:t>
      </w:r>
      <w:r w:rsidR="00526F9E">
        <w:rPr>
          <w:rFonts w:ascii="Arial" w:eastAsia="Times New Roman" w:hAnsi="Arial" w:cs="Arial"/>
          <w:color w:val="222222"/>
          <w:sz w:val="20"/>
          <w:szCs w:val="20"/>
          <w:lang w:eastAsia="es-CO"/>
        </w:rPr>
        <w:t>, han generado el aumento y la complejidad de la presencia de</w:t>
      </w:r>
      <w:r w:rsidR="00C10AE1" w:rsidRPr="00C10AE1">
        <w:rPr>
          <w:rFonts w:ascii="Arial" w:eastAsia="Times New Roman" w:hAnsi="Arial" w:cs="Arial"/>
          <w:color w:val="222222"/>
          <w:sz w:val="20"/>
          <w:szCs w:val="20"/>
          <w:lang w:eastAsia="es-CO"/>
        </w:rPr>
        <w:t xml:space="preserve"> Enfermedades Crónicas No Transmisibles (ECNT) tales como enfermedades cardiovasculares</w:t>
      </w:r>
      <w:r w:rsidR="00D80D0F">
        <w:rPr>
          <w:rFonts w:ascii="Arial" w:eastAsia="Times New Roman" w:hAnsi="Arial" w:cs="Arial"/>
          <w:color w:val="222222"/>
          <w:sz w:val="20"/>
          <w:szCs w:val="20"/>
          <w:lang w:eastAsia="es-CO"/>
        </w:rPr>
        <w:t>,</w:t>
      </w:r>
      <w:r w:rsidR="00C10AE1" w:rsidRPr="00C10AE1">
        <w:rPr>
          <w:rFonts w:ascii="Arial" w:eastAsia="Times New Roman" w:hAnsi="Arial" w:cs="Arial"/>
          <w:color w:val="222222"/>
          <w:sz w:val="20"/>
          <w:szCs w:val="20"/>
          <w:lang w:eastAsia="es-CO"/>
        </w:rPr>
        <w:t xml:space="preserve"> hipertensión arterial, diabetes tipo I</w:t>
      </w:r>
      <w:r w:rsidR="00526F9E">
        <w:rPr>
          <w:rFonts w:ascii="Arial" w:eastAsia="Times New Roman" w:hAnsi="Arial" w:cs="Arial"/>
          <w:color w:val="222222"/>
          <w:sz w:val="20"/>
          <w:szCs w:val="20"/>
          <w:lang w:eastAsia="es-CO"/>
        </w:rPr>
        <w:t>I, estrés, depresión y dislipidemias</w:t>
      </w:r>
      <w:r w:rsidR="00D80D0F">
        <w:rPr>
          <w:rFonts w:ascii="Arial" w:eastAsia="Times New Roman" w:hAnsi="Arial" w:cs="Arial"/>
          <w:color w:val="222222"/>
          <w:sz w:val="20"/>
          <w:szCs w:val="20"/>
          <w:lang w:eastAsia="es-CO"/>
        </w:rPr>
        <w:t xml:space="preserve"> que afectan</w:t>
      </w:r>
      <w:r w:rsidR="00C10AE1" w:rsidRPr="00C10AE1">
        <w:rPr>
          <w:rFonts w:ascii="Arial" w:eastAsia="Times New Roman" w:hAnsi="Arial" w:cs="Arial"/>
          <w:color w:val="222222"/>
          <w:sz w:val="20"/>
          <w:szCs w:val="20"/>
          <w:lang w:eastAsia="es-CO"/>
        </w:rPr>
        <w:t xml:space="preserve"> a gran parte de la población</w:t>
      </w:r>
      <w:r w:rsidR="00211814">
        <w:rPr>
          <w:rFonts w:ascii="Arial" w:eastAsia="Times New Roman" w:hAnsi="Arial" w:cs="Arial"/>
          <w:color w:val="222222"/>
          <w:sz w:val="20"/>
          <w:szCs w:val="20"/>
          <w:lang w:eastAsia="es-CO"/>
        </w:rPr>
        <w:t xml:space="preserve"> </w:t>
      </w:r>
      <w:sdt>
        <w:sdtPr>
          <w:rPr>
            <w:rFonts w:ascii="Arial" w:eastAsia="Times New Roman" w:hAnsi="Arial" w:cs="Arial"/>
            <w:color w:val="222222"/>
            <w:sz w:val="20"/>
            <w:szCs w:val="20"/>
            <w:lang w:eastAsia="es-CO"/>
          </w:rPr>
          <w:id w:val="-749429759"/>
          <w:citation/>
        </w:sdtPr>
        <w:sdtEndPr/>
        <w:sdtContent>
          <w:r w:rsidR="00211814">
            <w:rPr>
              <w:rFonts w:ascii="Arial" w:eastAsia="Times New Roman" w:hAnsi="Arial" w:cs="Arial"/>
              <w:color w:val="222222"/>
              <w:sz w:val="20"/>
              <w:szCs w:val="20"/>
              <w:lang w:eastAsia="es-CO"/>
            </w:rPr>
            <w:fldChar w:fldCharType="begin"/>
          </w:r>
          <w:r w:rsidR="00211814">
            <w:rPr>
              <w:rFonts w:ascii="Arial" w:eastAsia="Times New Roman" w:hAnsi="Arial" w:cs="Arial"/>
              <w:color w:val="222222"/>
              <w:sz w:val="20"/>
              <w:szCs w:val="20"/>
              <w:lang w:eastAsia="es-CO"/>
            </w:rPr>
            <w:instrText xml:space="preserve"> CITATION Gar12 \l 9226 </w:instrText>
          </w:r>
          <w:r w:rsidR="00211814">
            <w:rPr>
              <w:rFonts w:ascii="Arial" w:eastAsia="Times New Roman" w:hAnsi="Arial" w:cs="Arial"/>
              <w:color w:val="222222"/>
              <w:sz w:val="20"/>
              <w:szCs w:val="20"/>
              <w:lang w:eastAsia="es-CO"/>
            </w:rPr>
            <w:fldChar w:fldCharType="separate"/>
          </w:r>
          <w:r w:rsidR="005876E0" w:rsidRPr="005876E0">
            <w:rPr>
              <w:rFonts w:ascii="Arial" w:eastAsia="Times New Roman" w:hAnsi="Arial" w:cs="Arial"/>
              <w:noProof/>
              <w:color w:val="222222"/>
              <w:sz w:val="20"/>
              <w:szCs w:val="20"/>
              <w:lang w:eastAsia="es-CO"/>
            </w:rPr>
            <w:t>(García-Laguna, García-Salamanca, Tapiero-Paipa, &amp; Ramos, 2012)</w:t>
          </w:r>
          <w:r w:rsidR="00211814">
            <w:rPr>
              <w:rFonts w:ascii="Arial" w:eastAsia="Times New Roman" w:hAnsi="Arial" w:cs="Arial"/>
              <w:color w:val="222222"/>
              <w:sz w:val="20"/>
              <w:szCs w:val="20"/>
              <w:lang w:eastAsia="es-CO"/>
            </w:rPr>
            <w:fldChar w:fldCharType="end"/>
          </w:r>
        </w:sdtContent>
      </w:sdt>
      <w:r w:rsidR="00C10AE1" w:rsidRPr="00C10AE1">
        <w:rPr>
          <w:rFonts w:ascii="Arial" w:eastAsia="Times New Roman" w:hAnsi="Arial" w:cs="Arial"/>
          <w:color w:val="222222"/>
          <w:sz w:val="20"/>
          <w:szCs w:val="20"/>
          <w:lang w:eastAsia="es-CO"/>
        </w:rPr>
        <w:t xml:space="preserve">. </w:t>
      </w:r>
    </w:p>
    <w:p w:rsidR="00C10AE1" w:rsidRPr="00EE36B9" w:rsidRDefault="00C10AE1" w:rsidP="00B90D6E">
      <w:pPr>
        <w:shd w:val="clear" w:color="auto" w:fill="FFFFFF"/>
        <w:spacing w:before="100" w:beforeAutospacing="1" w:after="100" w:afterAutospacing="1"/>
        <w:jc w:val="both"/>
        <w:rPr>
          <w:rFonts w:ascii="Tahoma" w:eastAsia="Times New Roman" w:hAnsi="Tahoma" w:cs="Tahoma"/>
          <w:color w:val="222222"/>
          <w:sz w:val="20"/>
          <w:szCs w:val="20"/>
          <w:lang w:eastAsia="es-CO"/>
        </w:rPr>
      </w:pPr>
      <w:r w:rsidRPr="00C10AE1">
        <w:rPr>
          <w:rFonts w:ascii="Arial" w:eastAsia="Times New Roman" w:hAnsi="Arial" w:cs="Arial"/>
          <w:color w:val="222222"/>
          <w:sz w:val="20"/>
          <w:szCs w:val="20"/>
          <w:lang w:eastAsia="es-CO"/>
        </w:rPr>
        <w:t>El desarrollo de hábitos de vida saludable (HVS) son importantes</w:t>
      </w:r>
      <w:r w:rsidR="00E23704">
        <w:rPr>
          <w:rFonts w:ascii="Arial" w:eastAsia="Times New Roman" w:hAnsi="Arial" w:cs="Arial"/>
          <w:color w:val="222222"/>
          <w:sz w:val="20"/>
          <w:szCs w:val="20"/>
          <w:lang w:eastAsia="es-CO"/>
        </w:rPr>
        <w:t xml:space="preserve"> y necesarios para romper muchas de las condiciones que generan factores de riesgo</w:t>
      </w:r>
      <w:r w:rsidRPr="00C10AE1">
        <w:rPr>
          <w:rFonts w:ascii="Arial" w:eastAsia="Times New Roman" w:hAnsi="Arial" w:cs="Arial"/>
          <w:color w:val="222222"/>
          <w:sz w:val="20"/>
          <w:szCs w:val="20"/>
          <w:lang w:eastAsia="es-CO"/>
        </w:rPr>
        <w:t>,</w:t>
      </w:r>
      <w:r w:rsidR="00E23704">
        <w:rPr>
          <w:rFonts w:ascii="Arial" w:eastAsia="Times New Roman" w:hAnsi="Arial" w:cs="Arial"/>
          <w:color w:val="222222"/>
          <w:sz w:val="20"/>
          <w:szCs w:val="20"/>
          <w:lang w:eastAsia="es-CO"/>
        </w:rPr>
        <w:t xml:space="preserve"> así mismo, al buscar el empoderamiento de la población permite</w:t>
      </w:r>
      <w:r w:rsidRPr="00C10AE1">
        <w:rPr>
          <w:rFonts w:ascii="Arial" w:eastAsia="Times New Roman" w:hAnsi="Arial" w:cs="Arial"/>
          <w:color w:val="222222"/>
          <w:sz w:val="20"/>
          <w:szCs w:val="20"/>
          <w:lang w:eastAsia="es-CO"/>
        </w:rPr>
        <w:t xml:space="preserve"> la toma de conc</w:t>
      </w:r>
      <w:r w:rsidR="00E23704">
        <w:rPr>
          <w:rFonts w:ascii="Arial" w:eastAsia="Times New Roman" w:hAnsi="Arial" w:cs="Arial"/>
          <w:color w:val="222222"/>
          <w:sz w:val="20"/>
          <w:szCs w:val="20"/>
          <w:lang w:eastAsia="es-CO"/>
        </w:rPr>
        <w:t>iencia sobre mejorar las condicio</w:t>
      </w:r>
      <w:r w:rsidRPr="00C10AE1">
        <w:rPr>
          <w:rFonts w:ascii="Arial" w:eastAsia="Times New Roman" w:hAnsi="Arial" w:cs="Arial"/>
          <w:color w:val="222222"/>
          <w:sz w:val="20"/>
          <w:szCs w:val="20"/>
          <w:lang w:eastAsia="es-CO"/>
        </w:rPr>
        <w:t>n</w:t>
      </w:r>
      <w:r w:rsidR="00E23704">
        <w:rPr>
          <w:rFonts w:ascii="Arial" w:eastAsia="Times New Roman" w:hAnsi="Arial" w:cs="Arial"/>
          <w:color w:val="222222"/>
          <w:sz w:val="20"/>
          <w:szCs w:val="20"/>
          <w:lang w:eastAsia="es-CO"/>
        </w:rPr>
        <w:t>es</w:t>
      </w:r>
      <w:r w:rsidRPr="00C10AE1">
        <w:rPr>
          <w:rFonts w:ascii="Arial" w:eastAsia="Times New Roman" w:hAnsi="Arial" w:cs="Arial"/>
          <w:color w:val="222222"/>
          <w:sz w:val="20"/>
          <w:szCs w:val="20"/>
          <w:lang w:eastAsia="es-CO"/>
        </w:rPr>
        <w:t xml:space="preserve"> de salud </w:t>
      </w:r>
      <w:r w:rsidR="00E23704">
        <w:rPr>
          <w:rFonts w:ascii="Arial" w:eastAsia="Times New Roman" w:hAnsi="Arial" w:cs="Arial"/>
          <w:color w:val="222222"/>
          <w:sz w:val="20"/>
          <w:szCs w:val="20"/>
          <w:lang w:eastAsia="es-CO"/>
        </w:rPr>
        <w:t>y contribuir a</w:t>
      </w:r>
      <w:r w:rsidRPr="00C10AE1">
        <w:rPr>
          <w:rFonts w:ascii="Arial" w:eastAsia="Times New Roman" w:hAnsi="Arial" w:cs="Arial"/>
          <w:color w:val="222222"/>
          <w:sz w:val="20"/>
          <w:szCs w:val="20"/>
          <w:lang w:eastAsia="es-CO"/>
        </w:rPr>
        <w:t xml:space="preserve"> una vida en plenitud </w:t>
      </w:r>
      <w:r w:rsidR="00E23704">
        <w:rPr>
          <w:rFonts w:ascii="Arial" w:eastAsia="Times New Roman" w:hAnsi="Arial" w:cs="Arial"/>
          <w:color w:val="222222"/>
          <w:sz w:val="20"/>
          <w:szCs w:val="20"/>
          <w:lang w:eastAsia="es-CO"/>
        </w:rPr>
        <w:t xml:space="preserve">alcanzando </w:t>
      </w:r>
      <w:r w:rsidRPr="00C10AE1">
        <w:rPr>
          <w:rFonts w:ascii="Arial" w:eastAsia="Times New Roman" w:hAnsi="Arial" w:cs="Arial"/>
          <w:color w:val="222222"/>
          <w:sz w:val="20"/>
          <w:szCs w:val="20"/>
          <w:lang w:eastAsia="es-CO"/>
        </w:rPr>
        <w:t>el bienestar físico y mental de las personas</w:t>
      </w:r>
      <w:r w:rsidR="00E23704">
        <w:rPr>
          <w:rFonts w:ascii="Arial" w:eastAsia="Times New Roman" w:hAnsi="Arial" w:cs="Arial"/>
          <w:color w:val="222222"/>
          <w:sz w:val="20"/>
          <w:szCs w:val="20"/>
          <w:lang w:eastAsia="es-CO"/>
        </w:rPr>
        <w:t>.</w:t>
      </w:r>
      <w:r w:rsidRPr="00C10AE1">
        <w:rPr>
          <w:rFonts w:ascii="Arial" w:eastAsia="Times New Roman" w:hAnsi="Arial" w:cs="Arial"/>
          <w:color w:val="222222"/>
          <w:sz w:val="20"/>
          <w:szCs w:val="20"/>
          <w:lang w:eastAsia="es-CO"/>
        </w:rPr>
        <w:t xml:space="preserve"> La promoción de los estilos de vida saludable (EVS) implica el trabajo mancomunado de grupos multidisciplinarios que favorezcan los cambios de hábitos negativos de salud, prevención de los hábitos inadecuados  y l</w:t>
      </w:r>
      <w:r w:rsidR="00E23704">
        <w:rPr>
          <w:rFonts w:ascii="Arial" w:eastAsia="Times New Roman" w:hAnsi="Arial" w:cs="Arial"/>
          <w:color w:val="222222"/>
          <w:sz w:val="20"/>
          <w:szCs w:val="20"/>
          <w:lang w:eastAsia="es-CO"/>
        </w:rPr>
        <w:t xml:space="preserve">a </w:t>
      </w:r>
      <w:r w:rsidR="00E23704" w:rsidRPr="00EE36B9">
        <w:rPr>
          <w:rFonts w:ascii="Tahoma" w:eastAsia="Times New Roman" w:hAnsi="Tahoma" w:cs="Tahoma"/>
          <w:color w:val="222222"/>
          <w:sz w:val="20"/>
          <w:szCs w:val="20"/>
          <w:lang w:eastAsia="es-CO"/>
        </w:rPr>
        <w:t>adopción de hábitos positivos; de esta manera l</w:t>
      </w:r>
      <w:r w:rsidRPr="00EE36B9">
        <w:rPr>
          <w:rFonts w:ascii="Tahoma" w:eastAsia="Times New Roman" w:hAnsi="Tahoma" w:cs="Tahoma"/>
          <w:color w:val="222222"/>
          <w:sz w:val="20"/>
          <w:szCs w:val="20"/>
          <w:lang w:eastAsia="es-CO"/>
        </w:rPr>
        <w:t xml:space="preserve">a actividad física (AF) es un determinante fundamental en los EVS debido a los beneficios que aporta al individuo. </w:t>
      </w:r>
    </w:p>
    <w:p w:rsidR="00D72787" w:rsidRPr="00EE36B9" w:rsidRDefault="00E23704" w:rsidP="00D72787">
      <w:pPr>
        <w:shd w:val="clear" w:color="auto" w:fill="FFFFFF"/>
        <w:spacing w:before="100" w:beforeAutospacing="1" w:after="100" w:afterAutospacing="1"/>
        <w:jc w:val="both"/>
        <w:rPr>
          <w:rFonts w:ascii="Tahoma" w:eastAsia="Times New Roman" w:hAnsi="Tahoma" w:cs="Tahoma"/>
          <w:color w:val="222222"/>
          <w:sz w:val="20"/>
          <w:szCs w:val="20"/>
          <w:lang w:eastAsia="es-CO"/>
        </w:rPr>
      </w:pPr>
      <w:r w:rsidRPr="00EE36B9">
        <w:rPr>
          <w:rFonts w:ascii="Tahoma" w:eastAsia="Times New Roman" w:hAnsi="Tahoma" w:cs="Tahoma"/>
          <w:color w:val="222222"/>
          <w:sz w:val="20"/>
          <w:szCs w:val="20"/>
          <w:lang w:eastAsia="es-CO"/>
        </w:rPr>
        <w:t>A nivel nacional se han realizado algunos aportes frente la relación entre actividad física y APS</w:t>
      </w:r>
      <w:r w:rsidR="00D72787" w:rsidRPr="00EE36B9">
        <w:rPr>
          <w:rFonts w:ascii="Tahoma" w:eastAsia="Times New Roman" w:hAnsi="Tahoma" w:cs="Tahoma"/>
          <w:color w:val="222222"/>
          <w:sz w:val="20"/>
          <w:szCs w:val="20"/>
          <w:lang w:eastAsia="es-CO"/>
        </w:rPr>
        <w:t xml:space="preserve">, con el proyecto CARMEN, el cual se justifica de la identificación de los principales factores de riesgo (Uso del tabaco, hábitos alimentarios no saludables, Alcohol, sedentarismo, colesterol alto, hipertensión arterial, baja cobertura de los servicios de diagnóstico de cáncer de mama y cuello de útero), que están ocasionando la aparición de las Enfermedades Crónicas no transmisibles </w:t>
      </w:r>
      <w:sdt>
        <w:sdtPr>
          <w:rPr>
            <w:rFonts w:ascii="Tahoma" w:eastAsia="Times New Roman" w:hAnsi="Tahoma" w:cs="Tahoma"/>
            <w:color w:val="222222"/>
            <w:sz w:val="20"/>
            <w:szCs w:val="20"/>
            <w:lang w:eastAsia="es-CO"/>
          </w:rPr>
          <w:id w:val="1926530367"/>
          <w:citation/>
        </w:sdtPr>
        <w:sdtEndPr/>
        <w:sdtContent>
          <w:r w:rsidR="00D72787" w:rsidRPr="00EE36B9">
            <w:rPr>
              <w:rFonts w:ascii="Tahoma" w:eastAsia="Times New Roman" w:hAnsi="Tahoma" w:cs="Tahoma"/>
              <w:color w:val="222222"/>
              <w:sz w:val="20"/>
              <w:szCs w:val="20"/>
              <w:lang w:eastAsia="es-CO"/>
            </w:rPr>
            <w:fldChar w:fldCharType="begin"/>
          </w:r>
          <w:r w:rsidR="00D72787" w:rsidRPr="00EE36B9">
            <w:rPr>
              <w:rFonts w:ascii="Tahoma" w:eastAsia="Times New Roman" w:hAnsi="Tahoma" w:cs="Tahoma"/>
              <w:color w:val="222222"/>
              <w:sz w:val="20"/>
              <w:szCs w:val="20"/>
              <w:lang w:eastAsia="es-CO"/>
            </w:rPr>
            <w:instrText xml:space="preserve"> CITATION Org141 \l 9226 </w:instrText>
          </w:r>
          <w:r w:rsidR="00D72787" w:rsidRPr="00EE36B9">
            <w:rPr>
              <w:rFonts w:ascii="Tahoma" w:eastAsia="Times New Roman" w:hAnsi="Tahoma" w:cs="Tahoma"/>
              <w:color w:val="222222"/>
              <w:sz w:val="20"/>
              <w:szCs w:val="20"/>
              <w:lang w:eastAsia="es-CO"/>
            </w:rPr>
            <w:fldChar w:fldCharType="separate"/>
          </w:r>
          <w:r w:rsidR="005876E0" w:rsidRPr="005876E0">
            <w:rPr>
              <w:rFonts w:ascii="Tahoma" w:eastAsia="Times New Roman" w:hAnsi="Tahoma" w:cs="Tahoma"/>
              <w:noProof/>
              <w:color w:val="222222"/>
              <w:sz w:val="20"/>
              <w:szCs w:val="20"/>
              <w:lang w:eastAsia="es-CO"/>
            </w:rPr>
            <w:t>(Organización Panamericana de la Salud)</w:t>
          </w:r>
          <w:r w:rsidR="00D72787" w:rsidRPr="00EE36B9">
            <w:rPr>
              <w:rFonts w:ascii="Tahoma" w:eastAsia="Times New Roman" w:hAnsi="Tahoma" w:cs="Tahoma"/>
              <w:color w:val="222222"/>
              <w:sz w:val="20"/>
              <w:szCs w:val="20"/>
              <w:lang w:eastAsia="es-CO"/>
            </w:rPr>
            <w:fldChar w:fldCharType="end"/>
          </w:r>
        </w:sdtContent>
      </w:sdt>
      <w:r w:rsidR="00D72787" w:rsidRPr="00EE36B9">
        <w:rPr>
          <w:rFonts w:ascii="Tahoma" w:eastAsia="Times New Roman" w:hAnsi="Tahoma" w:cs="Tahoma"/>
          <w:color w:val="222222"/>
          <w:sz w:val="20"/>
          <w:szCs w:val="20"/>
          <w:lang w:eastAsia="es-CO"/>
        </w:rPr>
        <w:t xml:space="preserve">. El proyecto se inició con área demostrativa de 20 barrios de intervención, con el propósito de reconocer la estructura existente, los recursos humanos, los medios y los espacios de comunicación que se encuentran, planteándose un estudio exploratorio que permita obtener esta información y así facilitar las acciones al momento de diseñar las líneas de intervención para proponer hábitos saludables en cada una de ellas </w:t>
      </w:r>
      <w:sdt>
        <w:sdtPr>
          <w:rPr>
            <w:rFonts w:ascii="Tahoma" w:eastAsia="Times New Roman" w:hAnsi="Tahoma" w:cs="Tahoma"/>
            <w:color w:val="222222"/>
            <w:sz w:val="20"/>
            <w:szCs w:val="20"/>
            <w:lang w:eastAsia="es-CO"/>
          </w:rPr>
          <w:id w:val="-129550757"/>
          <w:citation/>
        </w:sdtPr>
        <w:sdtEndPr/>
        <w:sdtContent>
          <w:r w:rsidR="00D72787" w:rsidRPr="00EE36B9">
            <w:rPr>
              <w:rFonts w:ascii="Tahoma" w:eastAsia="Times New Roman" w:hAnsi="Tahoma" w:cs="Tahoma"/>
              <w:color w:val="222222"/>
              <w:sz w:val="20"/>
              <w:szCs w:val="20"/>
              <w:lang w:eastAsia="es-CO"/>
            </w:rPr>
            <w:fldChar w:fldCharType="begin"/>
          </w:r>
          <w:r w:rsidR="00D72787" w:rsidRPr="00EE36B9">
            <w:rPr>
              <w:rFonts w:ascii="Tahoma" w:eastAsia="Times New Roman" w:hAnsi="Tahoma" w:cs="Tahoma"/>
              <w:color w:val="222222"/>
              <w:sz w:val="20"/>
              <w:szCs w:val="20"/>
              <w:lang w:eastAsia="es-CO"/>
            </w:rPr>
            <w:instrText xml:space="preserve"> CITATION Org142 \l 9226 </w:instrText>
          </w:r>
          <w:r w:rsidR="00D72787" w:rsidRPr="00EE36B9">
            <w:rPr>
              <w:rFonts w:ascii="Tahoma" w:eastAsia="Times New Roman" w:hAnsi="Tahoma" w:cs="Tahoma"/>
              <w:color w:val="222222"/>
              <w:sz w:val="20"/>
              <w:szCs w:val="20"/>
              <w:lang w:eastAsia="es-CO"/>
            </w:rPr>
            <w:fldChar w:fldCharType="separate"/>
          </w:r>
          <w:r w:rsidR="005876E0" w:rsidRPr="005876E0">
            <w:rPr>
              <w:rFonts w:ascii="Tahoma" w:eastAsia="Times New Roman" w:hAnsi="Tahoma" w:cs="Tahoma"/>
              <w:noProof/>
              <w:color w:val="222222"/>
              <w:sz w:val="20"/>
              <w:szCs w:val="20"/>
              <w:lang w:eastAsia="es-CO"/>
            </w:rPr>
            <w:t>(Orgnización Panamericana de la Salud)</w:t>
          </w:r>
          <w:r w:rsidR="00D72787" w:rsidRPr="00EE36B9">
            <w:rPr>
              <w:rFonts w:ascii="Tahoma" w:eastAsia="Times New Roman" w:hAnsi="Tahoma" w:cs="Tahoma"/>
              <w:color w:val="222222"/>
              <w:sz w:val="20"/>
              <w:szCs w:val="20"/>
              <w:lang w:eastAsia="es-CO"/>
            </w:rPr>
            <w:fldChar w:fldCharType="end"/>
          </w:r>
        </w:sdtContent>
      </w:sdt>
      <w:r w:rsidR="00D72787" w:rsidRPr="00EE36B9">
        <w:rPr>
          <w:rFonts w:ascii="Tahoma" w:eastAsia="Times New Roman" w:hAnsi="Tahoma" w:cs="Tahoma"/>
          <w:color w:val="222222"/>
          <w:sz w:val="20"/>
          <w:szCs w:val="20"/>
          <w:lang w:eastAsia="es-CO"/>
        </w:rPr>
        <w:t>.</w:t>
      </w:r>
    </w:p>
    <w:p w:rsidR="00D72787" w:rsidRPr="00EE36B9" w:rsidRDefault="00D72787" w:rsidP="004F66D6">
      <w:pPr>
        <w:shd w:val="clear" w:color="auto" w:fill="FFFFFF"/>
        <w:spacing w:before="100" w:beforeAutospacing="1" w:after="100" w:afterAutospacing="1"/>
        <w:jc w:val="both"/>
        <w:rPr>
          <w:rFonts w:ascii="Tahoma" w:eastAsia="Times New Roman" w:hAnsi="Tahoma" w:cs="Tahoma"/>
          <w:color w:val="222222"/>
          <w:sz w:val="20"/>
          <w:szCs w:val="20"/>
          <w:lang w:eastAsia="es-CO"/>
        </w:rPr>
      </w:pPr>
      <w:r w:rsidRPr="00EE36B9">
        <w:rPr>
          <w:rFonts w:ascii="Tahoma" w:eastAsia="Times New Roman" w:hAnsi="Tahoma" w:cs="Tahoma"/>
          <w:color w:val="222222"/>
          <w:sz w:val="20"/>
          <w:szCs w:val="20"/>
          <w:lang w:eastAsia="es-CO"/>
        </w:rPr>
        <w:t>En Bogotá, la actividad física esta como una transversalidad la cual</w:t>
      </w:r>
      <w:r w:rsidR="004F66D6" w:rsidRPr="00EE36B9">
        <w:rPr>
          <w:rFonts w:ascii="Tahoma" w:eastAsia="Times New Roman" w:hAnsi="Tahoma" w:cs="Tahoma"/>
          <w:color w:val="222222"/>
          <w:sz w:val="20"/>
          <w:szCs w:val="20"/>
          <w:lang w:eastAsia="es-CO"/>
        </w:rPr>
        <w:t xml:space="preserve"> es una “instancia intersectorial local de promoción de la actividad física,  encargado de dar línea política y técnica para el posicionamiento de esta como satisfactor de múltiples necesidades de calidad de vida y salud en la localidad y en todos los territorios de la ciudad” </w:t>
      </w:r>
      <w:sdt>
        <w:sdtPr>
          <w:rPr>
            <w:rFonts w:ascii="Tahoma" w:eastAsia="Times New Roman" w:hAnsi="Tahoma" w:cs="Tahoma"/>
            <w:color w:val="222222"/>
            <w:sz w:val="20"/>
            <w:szCs w:val="20"/>
            <w:lang w:eastAsia="es-CO"/>
          </w:rPr>
          <w:id w:val="537163843"/>
          <w:citation/>
        </w:sdtPr>
        <w:sdtEndPr/>
        <w:sdtContent>
          <w:r w:rsidR="004F66D6" w:rsidRPr="00EE36B9">
            <w:rPr>
              <w:rFonts w:ascii="Tahoma" w:eastAsia="Times New Roman" w:hAnsi="Tahoma" w:cs="Tahoma"/>
              <w:color w:val="222222"/>
              <w:sz w:val="20"/>
              <w:szCs w:val="20"/>
              <w:lang w:eastAsia="es-CO"/>
            </w:rPr>
            <w:fldChar w:fldCharType="begin"/>
          </w:r>
          <w:r w:rsidR="004F66D6" w:rsidRPr="00EE36B9">
            <w:rPr>
              <w:rFonts w:ascii="Tahoma" w:eastAsia="Times New Roman" w:hAnsi="Tahoma" w:cs="Tahoma"/>
              <w:color w:val="222222"/>
              <w:sz w:val="20"/>
              <w:szCs w:val="20"/>
              <w:lang w:eastAsia="es-CO"/>
            </w:rPr>
            <w:instrText xml:space="preserve"> CITATION Sec13 \l 9226 </w:instrText>
          </w:r>
          <w:r w:rsidR="004F66D6" w:rsidRPr="00EE36B9">
            <w:rPr>
              <w:rFonts w:ascii="Tahoma" w:eastAsia="Times New Roman" w:hAnsi="Tahoma" w:cs="Tahoma"/>
              <w:color w:val="222222"/>
              <w:sz w:val="20"/>
              <w:szCs w:val="20"/>
              <w:lang w:eastAsia="es-CO"/>
            </w:rPr>
            <w:fldChar w:fldCharType="separate"/>
          </w:r>
          <w:r w:rsidR="005876E0" w:rsidRPr="005876E0">
            <w:rPr>
              <w:rFonts w:ascii="Tahoma" w:eastAsia="Times New Roman" w:hAnsi="Tahoma" w:cs="Tahoma"/>
              <w:noProof/>
              <w:color w:val="222222"/>
              <w:sz w:val="20"/>
              <w:szCs w:val="20"/>
              <w:lang w:eastAsia="es-CO"/>
            </w:rPr>
            <w:t>(Secretaria Distrital de Salud, 2013)</w:t>
          </w:r>
          <w:r w:rsidR="004F66D6" w:rsidRPr="00EE36B9">
            <w:rPr>
              <w:rFonts w:ascii="Tahoma" w:eastAsia="Times New Roman" w:hAnsi="Tahoma" w:cs="Tahoma"/>
              <w:color w:val="222222"/>
              <w:sz w:val="20"/>
              <w:szCs w:val="20"/>
              <w:lang w:eastAsia="es-CO"/>
            </w:rPr>
            <w:fldChar w:fldCharType="end"/>
          </w:r>
        </w:sdtContent>
      </w:sdt>
    </w:p>
    <w:p w:rsidR="00E23704" w:rsidRPr="00EE36B9" w:rsidRDefault="00E23704" w:rsidP="004F66D6">
      <w:pPr>
        <w:shd w:val="clear" w:color="auto" w:fill="FFFFFF"/>
        <w:spacing w:before="100" w:beforeAutospacing="1" w:after="100" w:afterAutospacing="1"/>
        <w:jc w:val="both"/>
        <w:rPr>
          <w:rFonts w:ascii="Tahoma" w:eastAsia="Times New Roman" w:hAnsi="Tahoma" w:cs="Tahoma"/>
          <w:color w:val="222222"/>
          <w:sz w:val="20"/>
          <w:szCs w:val="20"/>
          <w:lang w:eastAsia="es-CO"/>
        </w:rPr>
      </w:pPr>
      <w:r w:rsidRPr="00EE36B9">
        <w:rPr>
          <w:rFonts w:ascii="Tahoma" w:eastAsia="Times New Roman" w:hAnsi="Tahoma" w:cs="Tahoma"/>
          <w:color w:val="222222"/>
          <w:sz w:val="20"/>
          <w:szCs w:val="20"/>
          <w:lang w:eastAsia="es-CO"/>
        </w:rPr>
        <w:t>Pero aú</w:t>
      </w:r>
      <w:r w:rsidR="00D80D0F">
        <w:rPr>
          <w:rFonts w:ascii="Tahoma" w:eastAsia="Times New Roman" w:hAnsi="Tahoma" w:cs="Tahoma"/>
          <w:color w:val="222222"/>
          <w:sz w:val="20"/>
          <w:szCs w:val="20"/>
          <w:lang w:eastAsia="es-CO"/>
        </w:rPr>
        <w:t>n no es claro que acciones de la</w:t>
      </w:r>
      <w:r w:rsidRPr="00EE36B9">
        <w:rPr>
          <w:rFonts w:ascii="Tahoma" w:eastAsia="Times New Roman" w:hAnsi="Tahoma" w:cs="Tahoma"/>
          <w:color w:val="222222"/>
          <w:sz w:val="20"/>
          <w:szCs w:val="20"/>
          <w:lang w:eastAsia="es-CO"/>
        </w:rPr>
        <w:t xml:space="preserve"> actividad física se pueden realizar desde las tres dimensiones que son la promoción de la salud, la prevención de la enfermedad y la rehabilitación.</w:t>
      </w:r>
    </w:p>
    <w:p w:rsidR="00E23704" w:rsidRPr="00AD336A" w:rsidRDefault="00EE44CB" w:rsidP="00B90D6E">
      <w:pPr>
        <w:shd w:val="clear" w:color="auto" w:fill="FFFFFF"/>
        <w:spacing w:before="100" w:beforeAutospacing="1" w:after="100" w:afterAutospacing="1"/>
        <w:rPr>
          <w:rFonts w:ascii="Tahoma" w:eastAsia="Times New Roman" w:hAnsi="Tahoma" w:cs="Tahoma"/>
          <w:b/>
          <w:bCs/>
          <w:sz w:val="20"/>
          <w:szCs w:val="20"/>
          <w:lang w:eastAsia="es-CO"/>
        </w:rPr>
      </w:pPr>
      <w:r w:rsidRPr="00AD336A">
        <w:rPr>
          <w:rFonts w:ascii="Tahoma" w:eastAsia="Times New Roman" w:hAnsi="Tahoma" w:cs="Tahoma"/>
          <w:b/>
          <w:bCs/>
          <w:sz w:val="20"/>
          <w:szCs w:val="20"/>
          <w:lang w:eastAsia="es-CO"/>
        </w:rPr>
        <w:lastRenderedPageBreak/>
        <w:t>Marco teórico. </w:t>
      </w:r>
    </w:p>
    <w:p w:rsidR="00E23704" w:rsidRPr="00AD336A" w:rsidRDefault="00E23704" w:rsidP="00B90D6E">
      <w:pPr>
        <w:shd w:val="clear" w:color="auto" w:fill="FFFFFF"/>
        <w:spacing w:before="100" w:beforeAutospacing="1" w:after="100" w:afterAutospacing="1"/>
        <w:jc w:val="both"/>
        <w:rPr>
          <w:rFonts w:ascii="Tahoma" w:eastAsia="Times New Roman" w:hAnsi="Tahoma" w:cs="Tahoma"/>
          <w:bCs/>
          <w:sz w:val="20"/>
          <w:szCs w:val="20"/>
          <w:lang w:eastAsia="es-CO"/>
        </w:rPr>
      </w:pPr>
      <w:r w:rsidRPr="00AD336A">
        <w:rPr>
          <w:rFonts w:ascii="Tahoma" w:eastAsia="Times New Roman" w:hAnsi="Tahoma" w:cs="Tahoma"/>
          <w:bCs/>
          <w:sz w:val="20"/>
          <w:szCs w:val="20"/>
          <w:lang w:eastAsia="es-CO"/>
        </w:rPr>
        <w:t>Para empezar a enunciar los resultados se de</w:t>
      </w:r>
      <w:r w:rsidR="0063794E" w:rsidRPr="00AD336A">
        <w:rPr>
          <w:rFonts w:ascii="Tahoma" w:eastAsia="Times New Roman" w:hAnsi="Tahoma" w:cs="Tahoma"/>
          <w:bCs/>
          <w:sz w:val="20"/>
          <w:szCs w:val="20"/>
          <w:lang w:eastAsia="es-CO"/>
        </w:rPr>
        <w:t>be primero definir que es la Atención Primaria en Salud, de acuerdo a la declaración de Alma Ata en 1978:</w:t>
      </w:r>
    </w:p>
    <w:p w:rsidR="00482749" w:rsidRPr="00AD336A" w:rsidRDefault="0063794E" w:rsidP="00B90D6E">
      <w:pPr>
        <w:shd w:val="clear" w:color="auto" w:fill="FFFFFF"/>
        <w:spacing w:before="100" w:beforeAutospacing="1" w:after="100" w:afterAutospacing="1"/>
        <w:jc w:val="both"/>
        <w:rPr>
          <w:rFonts w:ascii="Tahoma" w:eastAsia="Times New Roman" w:hAnsi="Tahoma" w:cs="Tahoma"/>
          <w:bCs/>
          <w:i/>
          <w:sz w:val="18"/>
          <w:szCs w:val="20"/>
          <w:lang w:eastAsia="es-CO"/>
        </w:rPr>
      </w:pPr>
      <w:r w:rsidRPr="00AD336A">
        <w:rPr>
          <w:rFonts w:ascii="Tahoma" w:eastAsia="Times New Roman" w:hAnsi="Tahoma" w:cs="Tahoma"/>
          <w:bCs/>
          <w:sz w:val="20"/>
          <w:szCs w:val="20"/>
          <w:lang w:eastAsia="es-CO"/>
        </w:rPr>
        <w:tab/>
      </w:r>
      <w:r w:rsidRPr="00AD336A">
        <w:rPr>
          <w:rFonts w:ascii="Tahoma" w:eastAsia="Times New Roman" w:hAnsi="Tahoma" w:cs="Tahoma"/>
          <w:bCs/>
          <w:i/>
          <w:sz w:val="18"/>
          <w:szCs w:val="20"/>
          <w:lang w:eastAsia="es-CO"/>
        </w:rPr>
        <w:t>“La atención</w:t>
      </w:r>
      <w:r w:rsidR="00482749" w:rsidRPr="00AD336A">
        <w:rPr>
          <w:rFonts w:ascii="Tahoma" w:eastAsia="Times New Roman" w:hAnsi="Tahoma" w:cs="Tahoma"/>
          <w:bCs/>
          <w:i/>
          <w:sz w:val="18"/>
          <w:szCs w:val="20"/>
          <w:lang w:eastAsia="es-CO"/>
        </w:rPr>
        <w:t xml:space="preserve"> primaria en salud es la asistencia sanitaria esencial basada en métodos y tecnologías prácticos, científicamente fundados y socialmente aceptables, puesta al alcance de todos los individuos y familias de la comunidad mediante su plena participación y a un coste que la comunidad y el país puedan soportar, en todas y cada una de las etapas de su desarrollo con un espíritu de </w:t>
      </w:r>
      <w:r w:rsidR="00C00FA0" w:rsidRPr="00AD336A">
        <w:rPr>
          <w:rFonts w:ascii="Tahoma" w:eastAsia="Times New Roman" w:hAnsi="Tahoma" w:cs="Tahoma"/>
          <w:bCs/>
          <w:i/>
          <w:sz w:val="18"/>
          <w:szCs w:val="20"/>
          <w:lang w:eastAsia="es-CO"/>
        </w:rPr>
        <w:t>autorresponsabilidad</w:t>
      </w:r>
      <w:r w:rsidR="00482749" w:rsidRPr="00AD336A">
        <w:rPr>
          <w:rFonts w:ascii="Tahoma" w:eastAsia="Times New Roman" w:hAnsi="Tahoma" w:cs="Tahoma"/>
          <w:bCs/>
          <w:i/>
          <w:sz w:val="18"/>
          <w:szCs w:val="20"/>
          <w:lang w:eastAsia="es-CO"/>
        </w:rPr>
        <w:t xml:space="preserve"> y autodeterminación. La atención primaria forma parte integrante tanto del sistema nacional de salud, del que constituye la </w:t>
      </w:r>
      <w:r w:rsidR="00D152FF" w:rsidRPr="00AD336A">
        <w:rPr>
          <w:rFonts w:ascii="Tahoma" w:eastAsia="Times New Roman" w:hAnsi="Tahoma" w:cs="Tahoma"/>
          <w:bCs/>
          <w:i/>
          <w:sz w:val="18"/>
          <w:szCs w:val="20"/>
          <w:lang w:eastAsia="es-CO"/>
        </w:rPr>
        <w:t>función central y el núcleo principal, como del desarrollo social y económico global de la comunidad. Representa el primer nivel de contacto de los individuos, la familia y la comunidad con el sistema nacional de salud, llevando lo más cerca posible la atención de salud al lugar donde residen y trabajan las personas, y constituye el primer elemento de un proceso permanente de asistencia sanitaria</w:t>
      </w:r>
      <w:sdt>
        <w:sdtPr>
          <w:rPr>
            <w:rFonts w:ascii="Tahoma" w:eastAsia="Times New Roman" w:hAnsi="Tahoma" w:cs="Tahoma"/>
            <w:bCs/>
            <w:i/>
            <w:sz w:val="18"/>
            <w:szCs w:val="20"/>
            <w:lang w:eastAsia="es-CO"/>
          </w:rPr>
          <w:id w:val="-713341629"/>
          <w:citation/>
        </w:sdtPr>
        <w:sdtEndPr/>
        <w:sdtContent>
          <w:r w:rsidR="00FE7E56" w:rsidRPr="00AD336A">
            <w:rPr>
              <w:rFonts w:ascii="Tahoma" w:eastAsia="Times New Roman" w:hAnsi="Tahoma" w:cs="Tahoma"/>
              <w:bCs/>
              <w:i/>
              <w:sz w:val="18"/>
              <w:szCs w:val="20"/>
              <w:lang w:eastAsia="es-CO"/>
            </w:rPr>
            <w:fldChar w:fldCharType="begin"/>
          </w:r>
          <w:r w:rsidR="00FE7E56" w:rsidRPr="00AD336A">
            <w:rPr>
              <w:rFonts w:ascii="Tahoma" w:eastAsia="Times New Roman" w:hAnsi="Tahoma" w:cs="Tahoma"/>
              <w:bCs/>
              <w:i/>
              <w:sz w:val="18"/>
              <w:szCs w:val="20"/>
              <w:lang w:eastAsia="es-CO"/>
            </w:rPr>
            <w:instrText xml:space="preserve"> CITATION OMS78 \l 9226 </w:instrText>
          </w:r>
          <w:r w:rsidR="00FE7E56" w:rsidRPr="00AD336A">
            <w:rPr>
              <w:rFonts w:ascii="Tahoma" w:eastAsia="Times New Roman" w:hAnsi="Tahoma" w:cs="Tahoma"/>
              <w:bCs/>
              <w:i/>
              <w:sz w:val="18"/>
              <w:szCs w:val="20"/>
              <w:lang w:eastAsia="es-CO"/>
            </w:rPr>
            <w:fldChar w:fldCharType="separate"/>
          </w:r>
          <w:r w:rsidR="005876E0">
            <w:rPr>
              <w:rFonts w:ascii="Tahoma" w:eastAsia="Times New Roman" w:hAnsi="Tahoma" w:cs="Tahoma"/>
              <w:bCs/>
              <w:i/>
              <w:noProof/>
              <w:sz w:val="18"/>
              <w:szCs w:val="20"/>
              <w:lang w:eastAsia="es-CO"/>
            </w:rPr>
            <w:t xml:space="preserve"> </w:t>
          </w:r>
          <w:r w:rsidR="005876E0" w:rsidRPr="005876E0">
            <w:rPr>
              <w:rFonts w:ascii="Tahoma" w:eastAsia="Times New Roman" w:hAnsi="Tahoma" w:cs="Tahoma"/>
              <w:noProof/>
              <w:sz w:val="18"/>
              <w:szCs w:val="20"/>
              <w:lang w:eastAsia="es-CO"/>
            </w:rPr>
            <w:t>(OMS, 1978)</w:t>
          </w:r>
          <w:r w:rsidR="00FE7E56" w:rsidRPr="00AD336A">
            <w:rPr>
              <w:rFonts w:ascii="Tahoma" w:eastAsia="Times New Roman" w:hAnsi="Tahoma" w:cs="Tahoma"/>
              <w:bCs/>
              <w:i/>
              <w:sz w:val="18"/>
              <w:szCs w:val="20"/>
              <w:lang w:eastAsia="es-CO"/>
            </w:rPr>
            <w:fldChar w:fldCharType="end"/>
          </w:r>
        </w:sdtContent>
      </w:sdt>
      <w:r w:rsidR="00D152FF" w:rsidRPr="00AD336A">
        <w:rPr>
          <w:rFonts w:ascii="Tahoma" w:eastAsia="Times New Roman" w:hAnsi="Tahoma" w:cs="Tahoma"/>
          <w:bCs/>
          <w:i/>
          <w:sz w:val="18"/>
          <w:szCs w:val="20"/>
          <w:lang w:eastAsia="es-CO"/>
        </w:rPr>
        <w:t>”</w:t>
      </w:r>
    </w:p>
    <w:p w:rsidR="00D152FF" w:rsidRPr="00EE36B9" w:rsidRDefault="00E82087" w:rsidP="00B90D6E">
      <w:pPr>
        <w:shd w:val="clear" w:color="auto" w:fill="FFFFFF"/>
        <w:spacing w:before="100" w:beforeAutospacing="1" w:after="100" w:afterAutospacing="1"/>
        <w:jc w:val="both"/>
        <w:rPr>
          <w:rFonts w:ascii="Tahoma" w:eastAsia="Times New Roman" w:hAnsi="Tahoma" w:cs="Tahoma"/>
          <w:sz w:val="20"/>
          <w:szCs w:val="20"/>
          <w:lang w:eastAsia="es-CO"/>
        </w:rPr>
      </w:pPr>
      <w:r w:rsidRPr="00EE36B9">
        <w:rPr>
          <w:rFonts w:ascii="Tahoma" w:eastAsia="Times New Roman" w:hAnsi="Tahoma" w:cs="Tahoma"/>
          <w:sz w:val="20"/>
          <w:szCs w:val="20"/>
          <w:lang w:eastAsia="es-CO"/>
        </w:rPr>
        <w:t xml:space="preserve">Macinko, Montenegro, Nebot Adell, Etienne y el Grupo de Trabajo de Atención Primaria de Salud de la Organización Panamericana de la Salud (2007), “refieren que  la finalidad del proceso </w:t>
      </w:r>
      <w:r w:rsidRPr="00EE36B9">
        <w:rPr>
          <w:rFonts w:ascii="Tahoma" w:eastAsia="Times New Roman" w:hAnsi="Tahoma" w:cs="Tahoma"/>
          <w:bCs/>
          <w:sz w:val="20"/>
          <w:szCs w:val="20"/>
          <w:lang w:eastAsia="es-CO"/>
        </w:rPr>
        <w:t xml:space="preserve">de  APS es revitalizar la capacidad de los países para articular una estrategia coordinada, efectiva y sostenible que les permita mejorar la equidad y afrontar los problemas de salud presentes y futuros” </w:t>
      </w:r>
      <w:sdt>
        <w:sdtPr>
          <w:rPr>
            <w:rFonts w:ascii="Tahoma" w:eastAsia="Times New Roman" w:hAnsi="Tahoma" w:cs="Tahoma"/>
            <w:sz w:val="20"/>
            <w:szCs w:val="20"/>
            <w:lang w:eastAsia="es-CO"/>
          </w:rPr>
          <w:id w:val="209853694"/>
          <w:citation/>
        </w:sdtPr>
        <w:sdtEndPr/>
        <w:sdtContent>
          <w:r w:rsidRPr="00EE36B9">
            <w:rPr>
              <w:rFonts w:ascii="Tahoma" w:eastAsia="Times New Roman" w:hAnsi="Tahoma" w:cs="Tahoma"/>
              <w:sz w:val="20"/>
              <w:szCs w:val="20"/>
              <w:lang w:eastAsia="es-CO"/>
            </w:rPr>
            <w:fldChar w:fldCharType="begin"/>
          </w:r>
          <w:r w:rsidRPr="00EE36B9">
            <w:rPr>
              <w:rFonts w:ascii="Tahoma" w:eastAsia="Times New Roman" w:hAnsi="Tahoma" w:cs="Tahoma"/>
              <w:sz w:val="20"/>
              <w:szCs w:val="20"/>
              <w:lang w:eastAsia="es-CO"/>
            </w:rPr>
            <w:instrText xml:space="preserve"> CITATION Mac07 \l 9226 </w:instrText>
          </w:r>
          <w:r w:rsidRPr="00EE36B9">
            <w:rPr>
              <w:rFonts w:ascii="Tahoma" w:eastAsia="Times New Roman" w:hAnsi="Tahoma" w:cs="Tahoma"/>
              <w:sz w:val="20"/>
              <w:szCs w:val="20"/>
              <w:lang w:eastAsia="es-CO"/>
            </w:rPr>
            <w:fldChar w:fldCharType="separate"/>
          </w:r>
          <w:r w:rsidR="005876E0" w:rsidRPr="005876E0">
            <w:rPr>
              <w:rFonts w:ascii="Tahoma" w:eastAsia="Times New Roman" w:hAnsi="Tahoma" w:cs="Tahoma"/>
              <w:noProof/>
              <w:sz w:val="20"/>
              <w:szCs w:val="20"/>
              <w:lang w:eastAsia="es-CO"/>
            </w:rPr>
            <w:t>(Macinko, Montenegro, Nebot Adell, Etienne, &amp; Salud, 2007)</w:t>
          </w:r>
          <w:r w:rsidRPr="00EE36B9">
            <w:rPr>
              <w:rFonts w:ascii="Tahoma" w:eastAsia="Times New Roman" w:hAnsi="Tahoma" w:cs="Tahoma"/>
              <w:sz w:val="20"/>
              <w:szCs w:val="20"/>
              <w:lang w:eastAsia="es-CO"/>
            </w:rPr>
            <w:fldChar w:fldCharType="end"/>
          </w:r>
        </w:sdtContent>
      </w:sdt>
      <w:r w:rsidR="008673D1" w:rsidRPr="00EE36B9">
        <w:rPr>
          <w:rFonts w:ascii="Tahoma" w:eastAsia="Times New Roman" w:hAnsi="Tahoma" w:cs="Tahoma"/>
          <w:sz w:val="20"/>
          <w:szCs w:val="20"/>
          <w:lang w:eastAsia="es-CO"/>
        </w:rPr>
        <w:t xml:space="preserve">. </w:t>
      </w:r>
    </w:p>
    <w:p w:rsidR="0063794E" w:rsidRPr="00EE36B9" w:rsidRDefault="008673D1" w:rsidP="00B90D6E">
      <w:pPr>
        <w:shd w:val="clear" w:color="auto" w:fill="FFFFFF"/>
        <w:spacing w:before="100" w:beforeAutospacing="1" w:after="100" w:afterAutospacing="1"/>
        <w:jc w:val="both"/>
        <w:rPr>
          <w:rFonts w:ascii="Tahoma" w:eastAsia="Times New Roman" w:hAnsi="Tahoma" w:cs="Tahoma"/>
          <w:sz w:val="20"/>
          <w:szCs w:val="20"/>
          <w:lang w:eastAsia="es-CO"/>
        </w:rPr>
      </w:pPr>
      <w:r w:rsidRPr="00EE36B9">
        <w:rPr>
          <w:rFonts w:ascii="Tahoma" w:eastAsia="Times New Roman" w:hAnsi="Tahoma" w:cs="Tahoma"/>
          <w:sz w:val="20"/>
          <w:szCs w:val="20"/>
          <w:lang w:eastAsia="es-CO"/>
        </w:rPr>
        <w:t xml:space="preserve">En relación a la actividad física la Organización Mundial de la salud la define como “cualquier movimiento corporal producido por los músculos esqueléticos que exija gasto de energía </w:t>
      </w:r>
      <w:sdt>
        <w:sdtPr>
          <w:rPr>
            <w:rFonts w:ascii="Tahoma" w:eastAsia="Times New Roman" w:hAnsi="Tahoma" w:cs="Tahoma"/>
            <w:sz w:val="20"/>
            <w:szCs w:val="20"/>
            <w:lang w:eastAsia="es-CO"/>
          </w:rPr>
          <w:id w:val="-2117899808"/>
          <w:citation/>
        </w:sdtPr>
        <w:sdtEndPr/>
        <w:sdtContent>
          <w:r w:rsidRPr="00EE36B9">
            <w:rPr>
              <w:rFonts w:ascii="Tahoma" w:eastAsia="Times New Roman" w:hAnsi="Tahoma" w:cs="Tahoma"/>
              <w:sz w:val="20"/>
              <w:szCs w:val="20"/>
              <w:lang w:eastAsia="es-CO"/>
            </w:rPr>
            <w:fldChar w:fldCharType="begin"/>
          </w:r>
          <w:r w:rsidRPr="00EE36B9">
            <w:rPr>
              <w:rFonts w:ascii="Tahoma" w:eastAsia="Times New Roman" w:hAnsi="Tahoma" w:cs="Tahoma"/>
              <w:sz w:val="20"/>
              <w:szCs w:val="20"/>
              <w:lang w:eastAsia="es-CO"/>
            </w:rPr>
            <w:instrText xml:space="preserve"> CITATION Org14 \l 9226 </w:instrText>
          </w:r>
          <w:r w:rsidRPr="00EE36B9">
            <w:rPr>
              <w:rFonts w:ascii="Tahoma" w:eastAsia="Times New Roman" w:hAnsi="Tahoma" w:cs="Tahoma"/>
              <w:sz w:val="20"/>
              <w:szCs w:val="20"/>
              <w:lang w:eastAsia="es-CO"/>
            </w:rPr>
            <w:fldChar w:fldCharType="separate"/>
          </w:r>
          <w:r w:rsidR="005876E0" w:rsidRPr="005876E0">
            <w:rPr>
              <w:rFonts w:ascii="Tahoma" w:eastAsia="Times New Roman" w:hAnsi="Tahoma" w:cs="Tahoma"/>
              <w:noProof/>
              <w:sz w:val="20"/>
              <w:szCs w:val="20"/>
              <w:lang w:eastAsia="es-CO"/>
            </w:rPr>
            <w:t>(Organización Mundial de la Salud, 2014)</w:t>
          </w:r>
          <w:r w:rsidRPr="00EE36B9">
            <w:rPr>
              <w:rFonts w:ascii="Tahoma" w:eastAsia="Times New Roman" w:hAnsi="Tahoma" w:cs="Tahoma"/>
              <w:sz w:val="20"/>
              <w:szCs w:val="20"/>
              <w:lang w:eastAsia="es-CO"/>
            </w:rPr>
            <w:fldChar w:fldCharType="end"/>
          </w:r>
        </w:sdtContent>
      </w:sdt>
      <w:r w:rsidRPr="00EE36B9">
        <w:rPr>
          <w:rFonts w:ascii="Tahoma" w:eastAsia="Times New Roman" w:hAnsi="Tahoma" w:cs="Tahoma"/>
          <w:sz w:val="20"/>
          <w:szCs w:val="20"/>
          <w:lang w:eastAsia="es-CO"/>
        </w:rPr>
        <w:t xml:space="preserve">”. La Asociación de Medicina Deportiva de Colombia (AMEDCO) </w:t>
      </w:r>
      <w:r w:rsidR="00495D9C" w:rsidRPr="00EE36B9">
        <w:rPr>
          <w:rFonts w:ascii="Tahoma" w:eastAsia="Times New Roman" w:hAnsi="Tahoma" w:cs="Tahoma"/>
          <w:sz w:val="20"/>
          <w:szCs w:val="20"/>
          <w:lang w:eastAsia="es-CO"/>
        </w:rPr>
        <w:t>refiere que l</w:t>
      </w:r>
      <w:r w:rsidRPr="00EE36B9">
        <w:rPr>
          <w:rFonts w:ascii="Tahoma" w:eastAsia="Times New Roman" w:hAnsi="Tahoma" w:cs="Tahoma"/>
          <w:sz w:val="20"/>
          <w:szCs w:val="20"/>
          <w:lang w:eastAsia="es-CO"/>
        </w:rPr>
        <w:t xml:space="preserve">a actividad física como </w:t>
      </w:r>
      <w:r w:rsidR="00495D9C" w:rsidRPr="00EE36B9">
        <w:rPr>
          <w:rFonts w:ascii="Tahoma" w:eastAsia="Times New Roman" w:hAnsi="Tahoma" w:cs="Tahoma"/>
          <w:sz w:val="20"/>
          <w:szCs w:val="20"/>
          <w:lang w:eastAsia="es-CO"/>
        </w:rPr>
        <w:t>“</w:t>
      </w:r>
      <w:r w:rsidRPr="00EE36B9">
        <w:rPr>
          <w:rFonts w:ascii="Tahoma" w:eastAsia="Times New Roman" w:hAnsi="Tahoma" w:cs="Tahoma"/>
          <w:sz w:val="20"/>
          <w:szCs w:val="20"/>
          <w:lang w:eastAsia="es-CO"/>
        </w:rPr>
        <w:t>cualquier movimiento corporal voluntario de contracción muscular, con gasto energético mayor al de reposo; además, esta actividad es entendida como un comportamiento humano complejo, voluntario y autónomo, con componentes y determinantes de orden biológico y psico-sociocultural, que produce un conjunto de beneficios de la salud, ejemplificada por deportes, ejercicios físicos, bailes y determinadas actividades de recreación y actividades cotidianas, las cuales se consideran como un derecho fundamental</w:t>
      </w:r>
      <w:r w:rsidR="00495D9C" w:rsidRPr="00EE36B9">
        <w:rPr>
          <w:rFonts w:ascii="Tahoma" w:eastAsia="Times New Roman" w:hAnsi="Tahoma" w:cs="Tahoma"/>
          <w:sz w:val="20"/>
          <w:szCs w:val="20"/>
          <w:lang w:eastAsia="es-CO"/>
        </w:rPr>
        <w:t xml:space="preserve"> </w:t>
      </w:r>
      <w:sdt>
        <w:sdtPr>
          <w:rPr>
            <w:rFonts w:ascii="Tahoma" w:eastAsia="Times New Roman" w:hAnsi="Tahoma" w:cs="Tahoma"/>
            <w:sz w:val="20"/>
            <w:szCs w:val="20"/>
            <w:lang w:eastAsia="es-CO"/>
          </w:rPr>
          <w:id w:val="-188994767"/>
          <w:citation/>
        </w:sdtPr>
        <w:sdtEndPr/>
        <w:sdtContent>
          <w:r w:rsidR="00495D9C" w:rsidRPr="00EE36B9">
            <w:rPr>
              <w:rFonts w:ascii="Tahoma" w:eastAsia="Times New Roman" w:hAnsi="Tahoma" w:cs="Tahoma"/>
              <w:sz w:val="20"/>
              <w:szCs w:val="20"/>
              <w:lang w:eastAsia="es-CO"/>
            </w:rPr>
            <w:fldChar w:fldCharType="begin"/>
          </w:r>
          <w:r w:rsidR="00495D9C" w:rsidRPr="00EE36B9">
            <w:rPr>
              <w:rFonts w:ascii="Tahoma" w:eastAsia="Times New Roman" w:hAnsi="Tahoma" w:cs="Tahoma"/>
              <w:sz w:val="20"/>
              <w:szCs w:val="20"/>
              <w:lang w:eastAsia="es-CO"/>
            </w:rPr>
            <w:instrText xml:space="preserve"> CITATION Vid11 \l 9226 </w:instrText>
          </w:r>
          <w:r w:rsidR="00495D9C" w:rsidRPr="00EE36B9">
            <w:rPr>
              <w:rFonts w:ascii="Tahoma" w:eastAsia="Times New Roman" w:hAnsi="Tahoma" w:cs="Tahoma"/>
              <w:sz w:val="20"/>
              <w:szCs w:val="20"/>
              <w:lang w:eastAsia="es-CO"/>
            </w:rPr>
            <w:fldChar w:fldCharType="separate"/>
          </w:r>
          <w:r w:rsidR="005876E0" w:rsidRPr="005876E0">
            <w:rPr>
              <w:rFonts w:ascii="Tahoma" w:eastAsia="Times New Roman" w:hAnsi="Tahoma" w:cs="Tahoma"/>
              <w:noProof/>
              <w:sz w:val="20"/>
              <w:szCs w:val="20"/>
              <w:lang w:eastAsia="es-CO"/>
            </w:rPr>
            <w:t>(Vidarte Claros, Vélez Álvarez, Sandoval Cuellar, &amp; Alfonso Mora, 2011)</w:t>
          </w:r>
          <w:r w:rsidR="00495D9C" w:rsidRPr="00EE36B9">
            <w:rPr>
              <w:rFonts w:ascii="Tahoma" w:eastAsia="Times New Roman" w:hAnsi="Tahoma" w:cs="Tahoma"/>
              <w:sz w:val="20"/>
              <w:szCs w:val="20"/>
              <w:lang w:eastAsia="es-CO"/>
            </w:rPr>
            <w:fldChar w:fldCharType="end"/>
          </w:r>
        </w:sdtContent>
      </w:sdt>
      <w:r w:rsidR="00495D9C" w:rsidRPr="00EE36B9">
        <w:rPr>
          <w:rFonts w:ascii="Tahoma" w:eastAsia="Times New Roman" w:hAnsi="Tahoma" w:cs="Tahoma"/>
          <w:sz w:val="20"/>
          <w:szCs w:val="20"/>
          <w:lang w:eastAsia="es-CO"/>
        </w:rPr>
        <w:t>”</w:t>
      </w:r>
    </w:p>
    <w:p w:rsidR="00554971" w:rsidRPr="00EE36B9" w:rsidRDefault="00EF45DD" w:rsidP="00B90D6E">
      <w:pPr>
        <w:jc w:val="both"/>
        <w:rPr>
          <w:rFonts w:ascii="Tahoma" w:hAnsi="Tahoma" w:cs="Tahoma"/>
          <w:sz w:val="20"/>
          <w:szCs w:val="20"/>
          <w:bdr w:val="none" w:sz="0" w:space="0" w:color="auto" w:frame="1"/>
          <w:shd w:val="clear" w:color="auto" w:fill="FFFFFF"/>
        </w:rPr>
      </w:pPr>
      <w:r w:rsidRPr="00EE36B9">
        <w:rPr>
          <w:rFonts w:ascii="Tahoma" w:eastAsia="Times New Roman" w:hAnsi="Tahoma" w:cs="Tahoma"/>
          <w:sz w:val="20"/>
          <w:szCs w:val="20"/>
          <w:lang w:val="es-ES" w:eastAsia="es-CO"/>
        </w:rPr>
        <w:t>La actividad física se relacionó con el trabajo realizado para</w:t>
      </w:r>
      <w:r w:rsidR="00AD336A" w:rsidRPr="00EE36B9">
        <w:rPr>
          <w:rFonts w:ascii="Tahoma" w:eastAsia="Times New Roman" w:hAnsi="Tahoma" w:cs="Tahoma"/>
          <w:sz w:val="20"/>
          <w:szCs w:val="20"/>
          <w:lang w:val="es-ES" w:eastAsia="es-CO"/>
        </w:rPr>
        <w:t xml:space="preserve"> la</w:t>
      </w:r>
      <w:r w:rsidRPr="00EE36B9">
        <w:rPr>
          <w:rFonts w:ascii="Tahoma" w:eastAsia="Times New Roman" w:hAnsi="Tahoma" w:cs="Tahoma"/>
          <w:sz w:val="20"/>
          <w:szCs w:val="20"/>
          <w:lang w:val="es-ES" w:eastAsia="es-CO"/>
        </w:rPr>
        <w:t xml:space="preserve"> promoción de la salud, prevención de la enfermedad y </w:t>
      </w:r>
      <w:r w:rsidR="00AD336A" w:rsidRPr="00EE36B9">
        <w:rPr>
          <w:rFonts w:ascii="Tahoma" w:eastAsia="Times New Roman" w:hAnsi="Tahoma" w:cs="Tahoma"/>
          <w:sz w:val="20"/>
          <w:szCs w:val="20"/>
          <w:lang w:val="es-ES" w:eastAsia="es-CO"/>
        </w:rPr>
        <w:t xml:space="preserve">la </w:t>
      </w:r>
      <w:r w:rsidRPr="00EE36B9">
        <w:rPr>
          <w:rFonts w:ascii="Tahoma" w:eastAsia="Times New Roman" w:hAnsi="Tahoma" w:cs="Tahoma"/>
          <w:sz w:val="20"/>
          <w:szCs w:val="20"/>
          <w:lang w:val="es-ES" w:eastAsia="es-CO"/>
        </w:rPr>
        <w:t xml:space="preserve">rehabilitación específica, donde la promoción </w:t>
      </w:r>
      <w:r w:rsidR="00AD336A" w:rsidRPr="00EE36B9">
        <w:rPr>
          <w:rFonts w:ascii="Tahoma" w:eastAsia="Times New Roman" w:hAnsi="Tahoma" w:cs="Tahoma"/>
          <w:sz w:val="20"/>
          <w:szCs w:val="20"/>
          <w:lang w:val="es-ES" w:eastAsia="es-CO"/>
        </w:rPr>
        <w:t>de salud es definida por la</w:t>
      </w:r>
      <w:r w:rsidRPr="00EE36B9">
        <w:rPr>
          <w:rFonts w:ascii="Tahoma" w:eastAsia="Times New Roman" w:hAnsi="Tahoma" w:cs="Tahoma"/>
          <w:sz w:val="20"/>
          <w:szCs w:val="20"/>
          <w:lang w:val="es-ES" w:eastAsia="es-CO"/>
        </w:rPr>
        <w:t xml:space="preserve"> </w:t>
      </w:r>
      <w:r w:rsidR="00AD336A" w:rsidRPr="00EE36B9">
        <w:rPr>
          <w:rFonts w:ascii="Tahoma" w:eastAsia="Times New Roman" w:hAnsi="Tahoma" w:cs="Tahoma"/>
          <w:sz w:val="20"/>
          <w:szCs w:val="20"/>
          <w:lang w:val="es-ES" w:eastAsia="es-CO"/>
        </w:rPr>
        <w:t>Organización Panamericana de la S</w:t>
      </w:r>
      <w:r w:rsidRPr="00EE36B9">
        <w:rPr>
          <w:rFonts w:ascii="Tahoma" w:eastAsia="Times New Roman" w:hAnsi="Tahoma" w:cs="Tahoma"/>
          <w:sz w:val="20"/>
          <w:szCs w:val="20"/>
          <w:lang w:val="es-ES" w:eastAsia="es-CO"/>
        </w:rPr>
        <w:t xml:space="preserve">alud </w:t>
      </w:r>
      <w:r w:rsidR="00AD336A" w:rsidRPr="00EE36B9">
        <w:rPr>
          <w:rFonts w:ascii="Tahoma" w:eastAsia="Times New Roman" w:hAnsi="Tahoma" w:cs="Tahoma"/>
          <w:sz w:val="20"/>
          <w:szCs w:val="20"/>
          <w:lang w:val="es-ES" w:eastAsia="es-CO"/>
        </w:rPr>
        <w:t>como</w:t>
      </w:r>
      <w:r w:rsidRPr="00EE36B9">
        <w:rPr>
          <w:rFonts w:ascii="Tahoma" w:eastAsia="Times New Roman" w:hAnsi="Tahoma" w:cs="Tahoma"/>
          <w:sz w:val="20"/>
          <w:szCs w:val="20"/>
          <w:lang w:val="es-ES" w:eastAsia="es-CO"/>
        </w:rPr>
        <w:t xml:space="preserve"> </w:t>
      </w:r>
      <w:r w:rsidR="00AD336A" w:rsidRPr="00EE36B9">
        <w:rPr>
          <w:rFonts w:ascii="Tahoma" w:eastAsia="Times New Roman" w:hAnsi="Tahoma" w:cs="Tahoma"/>
          <w:sz w:val="20"/>
          <w:szCs w:val="20"/>
          <w:lang w:val="es-ES" w:eastAsia="es-CO"/>
        </w:rPr>
        <w:t xml:space="preserve">la </w:t>
      </w:r>
      <w:r w:rsidR="00AD336A" w:rsidRPr="00EE36B9">
        <w:rPr>
          <w:rFonts w:ascii="Tahoma" w:hAnsi="Tahoma" w:cs="Tahoma"/>
          <w:sz w:val="20"/>
          <w:szCs w:val="20"/>
          <w:bdr w:val="none" w:sz="0" w:space="0" w:color="auto" w:frame="1"/>
          <w:shd w:val="clear" w:color="auto" w:fill="FFFFFF"/>
        </w:rPr>
        <w:t>estrategia</w:t>
      </w:r>
      <w:r w:rsidRPr="00EE36B9">
        <w:rPr>
          <w:rFonts w:ascii="Tahoma" w:hAnsi="Tahoma" w:cs="Tahoma"/>
          <w:sz w:val="20"/>
          <w:szCs w:val="20"/>
          <w:bdr w:val="none" w:sz="0" w:space="0" w:color="auto" w:frame="1"/>
          <w:shd w:val="clear" w:color="auto" w:fill="FFFFFF"/>
        </w:rPr>
        <w:t xml:space="preserve"> </w:t>
      </w:r>
      <w:r w:rsidR="00AD336A" w:rsidRPr="00EE36B9">
        <w:rPr>
          <w:rFonts w:ascii="Tahoma" w:hAnsi="Tahoma" w:cs="Tahoma"/>
          <w:sz w:val="20"/>
          <w:szCs w:val="20"/>
          <w:bdr w:val="none" w:sz="0" w:space="0" w:color="auto" w:frame="1"/>
          <w:shd w:val="clear" w:color="auto" w:fill="FFFFFF"/>
        </w:rPr>
        <w:t>que no se limita</w:t>
      </w:r>
      <w:r w:rsidRPr="00EE36B9">
        <w:rPr>
          <w:rFonts w:ascii="Tahoma" w:hAnsi="Tahoma" w:cs="Tahoma"/>
          <w:sz w:val="20"/>
          <w:szCs w:val="20"/>
          <w:bdr w:val="none" w:sz="0" w:space="0" w:color="auto" w:frame="1"/>
          <w:shd w:val="clear" w:color="auto" w:fill="FFFFFF"/>
        </w:rPr>
        <w:t xml:space="preserve"> a un problema de salud específico, ni a un conjunto específico de comportamientos.</w:t>
      </w:r>
      <w:r w:rsidRPr="00EE36B9">
        <w:rPr>
          <w:rStyle w:val="apple-converted-space"/>
          <w:rFonts w:ascii="Tahoma" w:hAnsi="Tahoma" w:cs="Tahoma"/>
          <w:sz w:val="20"/>
          <w:szCs w:val="20"/>
          <w:bdr w:val="none" w:sz="0" w:space="0" w:color="auto" w:frame="1"/>
          <w:shd w:val="clear" w:color="auto" w:fill="FFFFFF"/>
        </w:rPr>
        <w:t> </w:t>
      </w:r>
      <w:r w:rsidRPr="00EE36B9">
        <w:rPr>
          <w:rFonts w:ascii="Tahoma" w:hAnsi="Tahoma" w:cs="Tahoma"/>
          <w:sz w:val="20"/>
          <w:szCs w:val="20"/>
          <w:bdr w:val="none" w:sz="0" w:space="0" w:color="auto" w:frame="1"/>
          <w:shd w:val="clear" w:color="auto" w:fill="FFFFFF"/>
        </w:rPr>
        <w:t>OMS en su conjunto aplica los principios de, y estrategias para la promoción de la salud a una variedad de grupos de población, factores de riesgo, enfermedades, y en diversos contextos.</w:t>
      </w:r>
      <w:r w:rsidRPr="00EE36B9">
        <w:rPr>
          <w:rStyle w:val="apple-converted-space"/>
          <w:rFonts w:ascii="Tahoma" w:hAnsi="Tahoma" w:cs="Tahoma"/>
          <w:sz w:val="20"/>
          <w:szCs w:val="20"/>
          <w:bdr w:val="none" w:sz="0" w:space="0" w:color="auto" w:frame="1"/>
          <w:shd w:val="clear" w:color="auto" w:fill="FFFFFF"/>
        </w:rPr>
        <w:t> </w:t>
      </w:r>
      <w:r w:rsidRPr="00EE36B9">
        <w:rPr>
          <w:rFonts w:ascii="Tahoma" w:hAnsi="Tahoma" w:cs="Tahoma"/>
          <w:sz w:val="20"/>
          <w:szCs w:val="20"/>
          <w:bdr w:val="none" w:sz="0" w:space="0" w:color="auto" w:frame="1"/>
          <w:shd w:val="clear" w:color="auto" w:fill="FFFFFF"/>
        </w:rPr>
        <w:t>Promoción de la salud, y las iniciativas conexas en materia de educación, el desarrollo comunitario, la política, la legislación y la regulación, son igualmente válidas para la prevención de enfermedades transmisibles, lesiones y violencia, y problemas mentales, como lo son para la prevención de las enfermedades no transmisibles</w:t>
      </w:r>
      <w:r w:rsidR="00AD336A" w:rsidRPr="00EE36B9">
        <w:rPr>
          <w:rFonts w:ascii="Tahoma" w:hAnsi="Tahoma" w:cs="Tahoma"/>
          <w:sz w:val="20"/>
          <w:szCs w:val="20"/>
          <w:bdr w:val="none" w:sz="0" w:space="0" w:color="auto" w:frame="1"/>
          <w:shd w:val="clear" w:color="auto" w:fill="FFFFFF"/>
        </w:rPr>
        <w:t xml:space="preserve"> </w:t>
      </w:r>
      <w:sdt>
        <w:sdtPr>
          <w:rPr>
            <w:rFonts w:ascii="Tahoma" w:hAnsi="Tahoma" w:cs="Tahoma"/>
            <w:sz w:val="20"/>
            <w:szCs w:val="20"/>
            <w:bdr w:val="none" w:sz="0" w:space="0" w:color="auto" w:frame="1"/>
            <w:shd w:val="clear" w:color="auto" w:fill="FFFFFF"/>
          </w:rPr>
          <w:id w:val="-15164921"/>
          <w:citation/>
        </w:sdtPr>
        <w:sdtEndPr/>
        <w:sdtContent>
          <w:r w:rsidR="00AD336A" w:rsidRPr="00EE36B9">
            <w:rPr>
              <w:rFonts w:ascii="Tahoma" w:hAnsi="Tahoma" w:cs="Tahoma"/>
              <w:sz w:val="20"/>
              <w:szCs w:val="20"/>
              <w:bdr w:val="none" w:sz="0" w:space="0" w:color="auto" w:frame="1"/>
              <w:shd w:val="clear" w:color="auto" w:fill="FFFFFF"/>
            </w:rPr>
            <w:fldChar w:fldCharType="begin"/>
          </w:r>
          <w:r w:rsidR="00AD336A" w:rsidRPr="00EE36B9">
            <w:rPr>
              <w:rFonts w:ascii="Tahoma" w:hAnsi="Tahoma" w:cs="Tahoma"/>
              <w:sz w:val="20"/>
              <w:szCs w:val="20"/>
              <w:bdr w:val="none" w:sz="0" w:space="0" w:color="auto" w:frame="1"/>
              <w:shd w:val="clear" w:color="auto" w:fill="FFFFFF"/>
            </w:rPr>
            <w:instrText xml:space="preserve"> CITATION Org143 \l 9226 </w:instrText>
          </w:r>
          <w:r w:rsidR="00AD336A" w:rsidRPr="00EE36B9">
            <w:rPr>
              <w:rFonts w:ascii="Tahoma" w:hAnsi="Tahoma" w:cs="Tahoma"/>
              <w:sz w:val="20"/>
              <w:szCs w:val="20"/>
              <w:bdr w:val="none" w:sz="0" w:space="0" w:color="auto" w:frame="1"/>
              <w:shd w:val="clear" w:color="auto" w:fill="FFFFFF"/>
            </w:rPr>
            <w:fldChar w:fldCharType="separate"/>
          </w:r>
          <w:r w:rsidR="005876E0" w:rsidRPr="005876E0">
            <w:rPr>
              <w:rFonts w:ascii="Tahoma" w:hAnsi="Tahoma" w:cs="Tahoma"/>
              <w:noProof/>
              <w:sz w:val="20"/>
              <w:szCs w:val="20"/>
              <w:bdr w:val="none" w:sz="0" w:space="0" w:color="auto" w:frame="1"/>
              <w:shd w:val="clear" w:color="auto" w:fill="FFFFFF"/>
            </w:rPr>
            <w:t>(Organización Mundial de la Salud, 2014)</w:t>
          </w:r>
          <w:r w:rsidR="00AD336A" w:rsidRPr="00EE36B9">
            <w:rPr>
              <w:rFonts w:ascii="Tahoma" w:hAnsi="Tahoma" w:cs="Tahoma"/>
              <w:sz w:val="20"/>
              <w:szCs w:val="20"/>
              <w:bdr w:val="none" w:sz="0" w:space="0" w:color="auto" w:frame="1"/>
              <w:shd w:val="clear" w:color="auto" w:fill="FFFFFF"/>
            </w:rPr>
            <w:fldChar w:fldCharType="end"/>
          </w:r>
        </w:sdtContent>
      </w:sdt>
      <w:r w:rsidRPr="00EE36B9">
        <w:rPr>
          <w:rFonts w:ascii="Tahoma" w:hAnsi="Tahoma" w:cs="Tahoma"/>
          <w:sz w:val="20"/>
          <w:szCs w:val="20"/>
          <w:bdr w:val="none" w:sz="0" w:space="0" w:color="auto" w:frame="1"/>
          <w:shd w:val="clear" w:color="auto" w:fill="FFFFFF"/>
        </w:rPr>
        <w:t>.</w:t>
      </w:r>
    </w:p>
    <w:p w:rsidR="008E10D1" w:rsidRPr="00EE36B9" w:rsidRDefault="00AD336A" w:rsidP="00AD336A">
      <w:pPr>
        <w:jc w:val="both"/>
        <w:rPr>
          <w:rFonts w:ascii="Tahoma" w:hAnsi="Tahoma" w:cs="Tahoma"/>
          <w:sz w:val="20"/>
          <w:szCs w:val="20"/>
          <w:bdr w:val="none" w:sz="0" w:space="0" w:color="auto" w:frame="1"/>
          <w:shd w:val="clear" w:color="auto" w:fill="FFFFFF"/>
        </w:rPr>
      </w:pPr>
      <w:r w:rsidRPr="00EE36B9">
        <w:rPr>
          <w:rFonts w:ascii="Tahoma" w:hAnsi="Tahoma" w:cs="Tahoma"/>
          <w:sz w:val="20"/>
          <w:szCs w:val="20"/>
          <w:bdr w:val="none" w:sz="0" w:space="0" w:color="auto" w:frame="1"/>
          <w:shd w:val="clear" w:color="auto" w:fill="FFFFFF"/>
        </w:rPr>
        <w:t xml:space="preserve">La prevención de la enfermedad, “Medidas destinadas no solamente a prevenir la aparición de la enfermedad, tales como la  reducción de factores de riesgo, sino también a  detener su avance y atenuar sus consecuencias una vez establecida” </w:t>
      </w:r>
      <w:sdt>
        <w:sdtPr>
          <w:rPr>
            <w:rFonts w:ascii="Tahoma" w:hAnsi="Tahoma" w:cs="Tahoma"/>
            <w:sz w:val="20"/>
            <w:szCs w:val="20"/>
            <w:bdr w:val="none" w:sz="0" w:space="0" w:color="auto" w:frame="1"/>
            <w:shd w:val="clear" w:color="auto" w:fill="FFFFFF"/>
          </w:rPr>
          <w:id w:val="-1427563223"/>
          <w:citation/>
        </w:sdtPr>
        <w:sdtEndPr/>
        <w:sdtContent>
          <w:r w:rsidR="00EE36B9" w:rsidRPr="00EE36B9">
            <w:rPr>
              <w:rFonts w:ascii="Tahoma" w:hAnsi="Tahoma" w:cs="Tahoma"/>
              <w:sz w:val="20"/>
              <w:szCs w:val="20"/>
              <w:bdr w:val="none" w:sz="0" w:space="0" w:color="auto" w:frame="1"/>
              <w:shd w:val="clear" w:color="auto" w:fill="FFFFFF"/>
            </w:rPr>
            <w:fldChar w:fldCharType="begin"/>
          </w:r>
          <w:r w:rsidR="00EE36B9" w:rsidRPr="00EE36B9">
            <w:rPr>
              <w:rFonts w:ascii="Tahoma" w:hAnsi="Tahoma" w:cs="Tahoma"/>
              <w:sz w:val="20"/>
              <w:szCs w:val="20"/>
              <w:bdr w:val="none" w:sz="0" w:space="0" w:color="auto" w:frame="1"/>
              <w:shd w:val="clear" w:color="auto" w:fill="FFFFFF"/>
            </w:rPr>
            <w:instrText xml:space="preserve"> CITATION Org142 \l 9226 </w:instrText>
          </w:r>
          <w:r w:rsidR="00EE36B9" w:rsidRPr="00EE36B9">
            <w:rPr>
              <w:rFonts w:ascii="Tahoma" w:hAnsi="Tahoma" w:cs="Tahoma"/>
              <w:sz w:val="20"/>
              <w:szCs w:val="20"/>
              <w:bdr w:val="none" w:sz="0" w:space="0" w:color="auto" w:frame="1"/>
              <w:shd w:val="clear" w:color="auto" w:fill="FFFFFF"/>
            </w:rPr>
            <w:fldChar w:fldCharType="separate"/>
          </w:r>
          <w:r w:rsidR="005876E0" w:rsidRPr="005876E0">
            <w:rPr>
              <w:rFonts w:ascii="Tahoma" w:hAnsi="Tahoma" w:cs="Tahoma"/>
              <w:noProof/>
              <w:sz w:val="20"/>
              <w:szCs w:val="20"/>
              <w:bdr w:val="none" w:sz="0" w:space="0" w:color="auto" w:frame="1"/>
              <w:shd w:val="clear" w:color="auto" w:fill="FFFFFF"/>
            </w:rPr>
            <w:t>(Orgnización Panamericana de la Salud)</w:t>
          </w:r>
          <w:r w:rsidR="00EE36B9" w:rsidRPr="00EE36B9">
            <w:rPr>
              <w:rFonts w:ascii="Tahoma" w:hAnsi="Tahoma" w:cs="Tahoma"/>
              <w:sz w:val="20"/>
              <w:szCs w:val="20"/>
              <w:bdr w:val="none" w:sz="0" w:space="0" w:color="auto" w:frame="1"/>
              <w:shd w:val="clear" w:color="auto" w:fill="FFFFFF"/>
            </w:rPr>
            <w:fldChar w:fldCharType="end"/>
          </w:r>
        </w:sdtContent>
      </w:sdt>
      <w:r w:rsidR="00EE36B9" w:rsidRPr="00EE36B9">
        <w:rPr>
          <w:rFonts w:ascii="Tahoma" w:hAnsi="Tahoma" w:cs="Tahoma"/>
          <w:sz w:val="20"/>
          <w:szCs w:val="20"/>
          <w:bdr w:val="none" w:sz="0" w:space="0" w:color="auto" w:frame="1"/>
          <w:shd w:val="clear" w:color="auto" w:fill="FFFFFF"/>
        </w:rPr>
        <w:t xml:space="preserve"> y la rehabilitación es entendida como “</w:t>
      </w:r>
      <w:r w:rsidR="00EE36B9" w:rsidRPr="00EE36B9">
        <w:rPr>
          <w:rFonts w:ascii="Tahoma" w:hAnsi="Tahoma" w:cs="Tahoma"/>
          <w:sz w:val="20"/>
          <w:szCs w:val="20"/>
          <w:shd w:val="clear" w:color="auto" w:fill="FFFFFF"/>
        </w:rPr>
        <w:t xml:space="preserve">La rehabilitación y la habilitación son procesos destinados a permitir que las personas con discapacidad alcancen y mantengan un nivel óptimo de desempeño </w:t>
      </w:r>
      <w:r w:rsidR="00EE36B9" w:rsidRPr="00EE36B9">
        <w:rPr>
          <w:rFonts w:ascii="Tahoma" w:hAnsi="Tahoma" w:cs="Tahoma"/>
          <w:sz w:val="20"/>
          <w:szCs w:val="20"/>
          <w:shd w:val="clear" w:color="auto" w:fill="FFFFFF"/>
        </w:rPr>
        <w:lastRenderedPageBreak/>
        <w:t xml:space="preserve">físico, sensorial, intelectual, psicológico y/o social. La rehabilitación abarca un amplio abanico de actividades, como atención médica de rehabilitación, fisioterapia, psicoterapia, terapia del lenguaje, terapia ocupacional y servicios de apoyo” </w:t>
      </w:r>
      <w:sdt>
        <w:sdtPr>
          <w:rPr>
            <w:rFonts w:ascii="Tahoma" w:hAnsi="Tahoma" w:cs="Tahoma"/>
            <w:sz w:val="20"/>
            <w:szCs w:val="20"/>
            <w:shd w:val="clear" w:color="auto" w:fill="FFFFFF"/>
          </w:rPr>
          <w:id w:val="-293133940"/>
          <w:citation/>
        </w:sdtPr>
        <w:sdtEndPr/>
        <w:sdtContent>
          <w:r w:rsidR="00EE36B9" w:rsidRPr="00EE36B9">
            <w:rPr>
              <w:rFonts w:ascii="Tahoma" w:hAnsi="Tahoma" w:cs="Tahoma"/>
              <w:sz w:val="20"/>
              <w:szCs w:val="20"/>
              <w:shd w:val="clear" w:color="auto" w:fill="FFFFFF"/>
            </w:rPr>
            <w:fldChar w:fldCharType="begin"/>
          </w:r>
          <w:r w:rsidR="00EE36B9" w:rsidRPr="00EE36B9">
            <w:rPr>
              <w:rFonts w:ascii="Tahoma" w:hAnsi="Tahoma" w:cs="Tahoma"/>
              <w:sz w:val="20"/>
              <w:szCs w:val="20"/>
              <w:shd w:val="clear" w:color="auto" w:fill="FFFFFF"/>
            </w:rPr>
            <w:instrText xml:space="preserve"> CITATION Org144 \l 9226 </w:instrText>
          </w:r>
          <w:r w:rsidR="00EE36B9" w:rsidRPr="00EE36B9">
            <w:rPr>
              <w:rFonts w:ascii="Tahoma" w:hAnsi="Tahoma" w:cs="Tahoma"/>
              <w:sz w:val="20"/>
              <w:szCs w:val="20"/>
              <w:shd w:val="clear" w:color="auto" w:fill="FFFFFF"/>
            </w:rPr>
            <w:fldChar w:fldCharType="separate"/>
          </w:r>
          <w:r w:rsidR="005876E0" w:rsidRPr="005876E0">
            <w:rPr>
              <w:rFonts w:ascii="Tahoma" w:hAnsi="Tahoma" w:cs="Tahoma"/>
              <w:noProof/>
              <w:sz w:val="20"/>
              <w:szCs w:val="20"/>
              <w:shd w:val="clear" w:color="auto" w:fill="FFFFFF"/>
            </w:rPr>
            <w:t>(Organización Mundial de la Salud, 2014)</w:t>
          </w:r>
          <w:r w:rsidR="00EE36B9" w:rsidRPr="00EE36B9">
            <w:rPr>
              <w:rFonts w:ascii="Tahoma" w:hAnsi="Tahoma" w:cs="Tahoma"/>
              <w:sz w:val="20"/>
              <w:szCs w:val="20"/>
              <w:shd w:val="clear" w:color="auto" w:fill="FFFFFF"/>
            </w:rPr>
            <w:fldChar w:fldCharType="end"/>
          </w:r>
        </w:sdtContent>
      </w:sdt>
      <w:r w:rsidR="00EE36B9" w:rsidRPr="00EE36B9">
        <w:rPr>
          <w:rFonts w:ascii="Tahoma" w:hAnsi="Tahoma" w:cs="Tahoma"/>
          <w:sz w:val="20"/>
          <w:szCs w:val="20"/>
          <w:shd w:val="clear" w:color="auto" w:fill="FFFFFF"/>
        </w:rPr>
        <w:t>.</w:t>
      </w:r>
    </w:p>
    <w:p w:rsidR="00D36992" w:rsidRDefault="00D36992" w:rsidP="00A34323">
      <w:pPr>
        <w:pStyle w:val="Sinespaciado"/>
        <w:jc w:val="both"/>
        <w:rPr>
          <w:rFonts w:ascii="Arial" w:hAnsi="Arial" w:cs="Arial"/>
          <w:sz w:val="24"/>
          <w:szCs w:val="24"/>
          <w:lang w:val="es-CO"/>
        </w:rPr>
      </w:pPr>
    </w:p>
    <w:p w:rsidR="008E10D1" w:rsidRDefault="008E10D1" w:rsidP="00A34323">
      <w:pPr>
        <w:pStyle w:val="Sinespaciado"/>
        <w:jc w:val="both"/>
        <w:rPr>
          <w:rFonts w:ascii="Tahoma" w:eastAsia="Times New Roman" w:hAnsi="Tahoma" w:cs="Tahoma"/>
          <w:b/>
          <w:bCs/>
          <w:color w:val="222222"/>
          <w:sz w:val="20"/>
          <w:szCs w:val="20"/>
          <w:lang w:eastAsia="es-CO"/>
        </w:rPr>
      </w:pPr>
      <w:r w:rsidRPr="00EE44CB">
        <w:rPr>
          <w:rFonts w:ascii="Tahoma" w:eastAsia="Times New Roman" w:hAnsi="Tahoma" w:cs="Tahoma"/>
          <w:b/>
          <w:bCs/>
          <w:color w:val="222222"/>
          <w:sz w:val="20"/>
          <w:szCs w:val="20"/>
          <w:lang w:eastAsia="es-CO"/>
        </w:rPr>
        <w:t>Análisis de resultados. </w:t>
      </w:r>
    </w:p>
    <w:p w:rsidR="008E10D1" w:rsidRDefault="008E10D1" w:rsidP="00A34323">
      <w:pPr>
        <w:pStyle w:val="Sinespaciado"/>
        <w:jc w:val="both"/>
        <w:rPr>
          <w:rFonts w:ascii="Arial" w:hAnsi="Arial" w:cs="Arial"/>
          <w:sz w:val="24"/>
          <w:szCs w:val="24"/>
          <w:lang w:val="es-CO"/>
        </w:rPr>
      </w:pPr>
    </w:p>
    <w:p w:rsidR="00EE36B9" w:rsidRPr="00EE36B9" w:rsidRDefault="00EE36B9" w:rsidP="00EE36B9">
      <w:pPr>
        <w:pStyle w:val="Sinespaciado"/>
        <w:spacing w:line="276" w:lineRule="auto"/>
        <w:jc w:val="both"/>
        <w:rPr>
          <w:rFonts w:ascii="Tahoma" w:eastAsia="Times New Roman" w:hAnsi="Tahoma" w:cs="Tahoma"/>
          <w:sz w:val="20"/>
          <w:szCs w:val="20"/>
          <w:lang w:eastAsia="es-CO"/>
        </w:rPr>
      </w:pPr>
      <w:r w:rsidRPr="00EE36B9">
        <w:rPr>
          <w:rFonts w:ascii="Tahoma" w:eastAsia="Times New Roman" w:hAnsi="Tahoma" w:cs="Tahoma"/>
          <w:sz w:val="20"/>
          <w:szCs w:val="20"/>
          <w:lang w:eastAsia="es-CO"/>
        </w:rPr>
        <w:t xml:space="preserve">En la búsqueda que se realizó se encontró </w:t>
      </w:r>
      <w:r>
        <w:rPr>
          <w:rFonts w:ascii="Tahoma" w:eastAsia="Times New Roman" w:hAnsi="Tahoma" w:cs="Tahoma"/>
          <w:sz w:val="20"/>
          <w:szCs w:val="20"/>
          <w:lang w:eastAsia="es-CO"/>
        </w:rPr>
        <w:t xml:space="preserve">diferentes definiciones sobre la </w:t>
      </w:r>
      <w:r w:rsidRPr="00EE36B9">
        <w:rPr>
          <w:rFonts w:ascii="Tahoma" w:eastAsia="Times New Roman" w:hAnsi="Tahoma" w:cs="Tahoma"/>
          <w:sz w:val="20"/>
          <w:szCs w:val="20"/>
          <w:lang w:eastAsia="es-CO"/>
        </w:rPr>
        <w:t xml:space="preserve">APS, </w:t>
      </w:r>
      <w:r>
        <w:rPr>
          <w:rFonts w:ascii="Tahoma" w:eastAsia="Times New Roman" w:hAnsi="Tahoma" w:cs="Tahoma"/>
          <w:sz w:val="20"/>
          <w:szCs w:val="20"/>
          <w:lang w:eastAsia="es-CO"/>
        </w:rPr>
        <w:t>para algunos autores es ent</w:t>
      </w:r>
      <w:r w:rsidRPr="00EE36B9">
        <w:rPr>
          <w:rFonts w:ascii="Tahoma" w:eastAsia="Times New Roman" w:hAnsi="Tahoma" w:cs="Tahoma"/>
          <w:sz w:val="20"/>
          <w:szCs w:val="20"/>
          <w:lang w:eastAsia="es-CO"/>
        </w:rPr>
        <w:t>end</w:t>
      </w:r>
      <w:r>
        <w:rPr>
          <w:rFonts w:ascii="Tahoma" w:eastAsia="Times New Roman" w:hAnsi="Tahoma" w:cs="Tahoma"/>
          <w:sz w:val="20"/>
          <w:szCs w:val="20"/>
          <w:lang w:eastAsia="es-CO"/>
        </w:rPr>
        <w:t xml:space="preserve">ida </w:t>
      </w:r>
      <w:r w:rsidRPr="00EE36B9">
        <w:rPr>
          <w:rFonts w:ascii="Tahoma" w:eastAsia="Times New Roman" w:hAnsi="Tahoma" w:cs="Tahoma"/>
          <w:sz w:val="20"/>
          <w:szCs w:val="20"/>
          <w:lang w:eastAsia="es-CO"/>
        </w:rPr>
        <w:t xml:space="preserve">como la prestación de servicios de salud o asistencia sanitaria a los que tiene derecho la población en general y que incluyen atención por medicina general, medicamentos, asesoramiento y remisiones para acceder a otros servicios de mayor complejidad como es el caso de servicios de salud mental </w:t>
      </w:r>
      <w:sdt>
        <w:sdtPr>
          <w:rPr>
            <w:rFonts w:ascii="Tahoma" w:eastAsia="Times New Roman" w:hAnsi="Tahoma" w:cs="Tahoma"/>
            <w:sz w:val="20"/>
            <w:szCs w:val="20"/>
            <w:lang w:eastAsia="es-CO"/>
          </w:rPr>
          <w:id w:val="29615529"/>
          <w:citation/>
        </w:sdtPr>
        <w:sdtEndPr/>
        <w:sdtContent>
          <w:r w:rsidRPr="00EE36B9">
            <w:rPr>
              <w:rFonts w:ascii="Tahoma" w:eastAsia="Times New Roman" w:hAnsi="Tahoma" w:cs="Tahoma"/>
              <w:sz w:val="20"/>
              <w:szCs w:val="20"/>
              <w:lang w:eastAsia="es-CO"/>
            </w:rPr>
            <w:fldChar w:fldCharType="begin"/>
          </w:r>
          <w:r w:rsidRPr="00EE36B9">
            <w:rPr>
              <w:rFonts w:ascii="Tahoma" w:eastAsia="Times New Roman" w:hAnsi="Tahoma" w:cs="Tahoma"/>
              <w:sz w:val="20"/>
              <w:szCs w:val="20"/>
              <w:lang w:val="es-CO" w:eastAsia="es-CO"/>
            </w:rPr>
            <w:instrText xml:space="preserve"> CITATION Cha12 \l 9226 </w:instrText>
          </w:r>
          <w:r w:rsidRPr="00EE36B9">
            <w:rPr>
              <w:rFonts w:ascii="Tahoma" w:eastAsia="Times New Roman" w:hAnsi="Tahoma" w:cs="Tahoma"/>
              <w:sz w:val="20"/>
              <w:szCs w:val="20"/>
              <w:lang w:eastAsia="es-CO"/>
            </w:rPr>
            <w:fldChar w:fldCharType="separate"/>
          </w:r>
          <w:r w:rsidR="005876E0" w:rsidRPr="005876E0">
            <w:rPr>
              <w:rFonts w:ascii="Tahoma" w:eastAsia="Times New Roman" w:hAnsi="Tahoma" w:cs="Tahoma"/>
              <w:noProof/>
              <w:sz w:val="20"/>
              <w:szCs w:val="20"/>
              <w:lang w:val="es-CO" w:eastAsia="es-CO"/>
            </w:rPr>
            <w:t>(Chalder, y otros, 2012)</w:t>
          </w:r>
          <w:r w:rsidRPr="00EE36B9">
            <w:rPr>
              <w:rFonts w:ascii="Tahoma" w:eastAsia="Times New Roman" w:hAnsi="Tahoma" w:cs="Tahoma"/>
              <w:sz w:val="20"/>
              <w:szCs w:val="20"/>
              <w:lang w:eastAsia="es-CO"/>
            </w:rPr>
            <w:fldChar w:fldCharType="end"/>
          </w:r>
        </w:sdtContent>
      </w:sdt>
      <w:r w:rsidRPr="00EE36B9">
        <w:rPr>
          <w:rFonts w:ascii="Tahoma" w:eastAsia="Times New Roman" w:hAnsi="Tahoma" w:cs="Tahoma"/>
          <w:sz w:val="20"/>
          <w:szCs w:val="20"/>
          <w:lang w:eastAsia="es-CO"/>
        </w:rPr>
        <w:t xml:space="preserve"> .</w:t>
      </w:r>
      <w:r w:rsidR="008A34A9">
        <w:rPr>
          <w:rFonts w:ascii="Tahoma" w:eastAsia="Times New Roman" w:hAnsi="Tahoma" w:cs="Tahoma"/>
          <w:sz w:val="20"/>
          <w:szCs w:val="20"/>
          <w:lang w:eastAsia="es-CO"/>
        </w:rPr>
        <w:t xml:space="preserve"> Van de Port (2012), menciona que es  </w:t>
      </w:r>
      <w:r w:rsidR="008A34A9" w:rsidRPr="008A34A9">
        <w:rPr>
          <w:rFonts w:ascii="Tahoma" w:eastAsia="Times New Roman" w:hAnsi="Tahoma" w:cs="Tahoma"/>
          <w:sz w:val="20"/>
          <w:szCs w:val="20"/>
          <w:lang w:eastAsia="es-CO"/>
        </w:rPr>
        <w:t>“la asistencia sanitaria esencial basada en métodos y tecnologías prácticos, científicamente fundados y socialmente aceptables, puesta al alcance de todos los individuos y familias de la comunidad mediante su plena participación y a un costo que la comunidad y el país puedan soportar, en todas y cada una de las etapas de su desarrollo con un espíritu de autorresponsabilidad y autodeterminación. La atención primaria forma parte integrante tanto del sistema nacional de salud, del que constituye la función central y el núcleo principal, como del desarrollo social y económico global de la comunidad”</w:t>
      </w:r>
      <w:sdt>
        <w:sdtPr>
          <w:rPr>
            <w:rFonts w:ascii="Tahoma" w:eastAsia="Times New Roman" w:hAnsi="Tahoma" w:cs="Tahoma"/>
            <w:sz w:val="20"/>
            <w:szCs w:val="20"/>
            <w:lang w:eastAsia="es-CO"/>
          </w:rPr>
          <w:id w:val="379371110"/>
          <w:citation/>
        </w:sdtPr>
        <w:sdtEndPr/>
        <w:sdtContent>
          <w:r w:rsidR="008A34A9">
            <w:rPr>
              <w:rFonts w:ascii="Tahoma" w:eastAsia="Times New Roman" w:hAnsi="Tahoma" w:cs="Tahoma"/>
              <w:sz w:val="20"/>
              <w:szCs w:val="20"/>
              <w:lang w:eastAsia="es-CO"/>
            </w:rPr>
            <w:fldChar w:fldCharType="begin"/>
          </w:r>
          <w:r w:rsidR="008A34A9">
            <w:rPr>
              <w:rFonts w:ascii="Tahoma" w:eastAsia="Times New Roman" w:hAnsi="Tahoma" w:cs="Tahoma"/>
              <w:sz w:val="20"/>
              <w:szCs w:val="20"/>
              <w:lang w:val="es-CO" w:eastAsia="es-CO"/>
            </w:rPr>
            <w:instrText xml:space="preserve"> CITATION Van12 \l 9226 </w:instrText>
          </w:r>
          <w:r w:rsidR="008A34A9">
            <w:rPr>
              <w:rFonts w:ascii="Tahoma" w:eastAsia="Times New Roman" w:hAnsi="Tahoma" w:cs="Tahoma"/>
              <w:sz w:val="20"/>
              <w:szCs w:val="20"/>
              <w:lang w:eastAsia="es-CO"/>
            </w:rPr>
            <w:fldChar w:fldCharType="separate"/>
          </w:r>
          <w:r w:rsidR="008A34A9">
            <w:rPr>
              <w:rFonts w:ascii="Tahoma" w:eastAsia="Times New Roman" w:hAnsi="Tahoma" w:cs="Tahoma"/>
              <w:noProof/>
              <w:sz w:val="20"/>
              <w:szCs w:val="20"/>
              <w:lang w:val="es-CO" w:eastAsia="es-CO"/>
            </w:rPr>
            <w:t xml:space="preserve"> </w:t>
          </w:r>
          <w:r w:rsidR="008A34A9" w:rsidRPr="008A34A9">
            <w:rPr>
              <w:rFonts w:ascii="Tahoma" w:eastAsia="Times New Roman" w:hAnsi="Tahoma" w:cs="Tahoma"/>
              <w:noProof/>
              <w:sz w:val="20"/>
              <w:szCs w:val="20"/>
              <w:lang w:val="es-CO" w:eastAsia="es-CO"/>
            </w:rPr>
            <w:t>(Van de Port, Wevers, Lindeman, &amp; Kwakkel, 2012)</w:t>
          </w:r>
          <w:r w:rsidR="008A34A9">
            <w:rPr>
              <w:rFonts w:ascii="Tahoma" w:eastAsia="Times New Roman" w:hAnsi="Tahoma" w:cs="Tahoma"/>
              <w:sz w:val="20"/>
              <w:szCs w:val="20"/>
              <w:lang w:eastAsia="es-CO"/>
            </w:rPr>
            <w:fldChar w:fldCharType="end"/>
          </w:r>
        </w:sdtContent>
      </w:sdt>
    </w:p>
    <w:p w:rsidR="00EE36B9" w:rsidRPr="00EE36B9" w:rsidRDefault="00EE36B9" w:rsidP="00EE36B9">
      <w:pPr>
        <w:pStyle w:val="Sinespaciado"/>
        <w:spacing w:line="276" w:lineRule="auto"/>
        <w:jc w:val="both"/>
        <w:rPr>
          <w:rFonts w:ascii="Tahoma" w:eastAsia="Times New Roman" w:hAnsi="Tahoma" w:cs="Tahoma"/>
          <w:sz w:val="20"/>
          <w:szCs w:val="20"/>
          <w:lang w:eastAsia="es-CO"/>
        </w:rPr>
      </w:pPr>
    </w:p>
    <w:p w:rsidR="00EE36B9" w:rsidRDefault="00EE36B9" w:rsidP="00EE36B9">
      <w:pPr>
        <w:jc w:val="both"/>
        <w:rPr>
          <w:rFonts w:ascii="Tahoma" w:eastAsia="Times New Roman" w:hAnsi="Tahoma" w:cs="Tahoma"/>
          <w:sz w:val="20"/>
          <w:szCs w:val="20"/>
          <w:lang w:val="es-ES" w:eastAsia="es-CO"/>
        </w:rPr>
      </w:pPr>
      <w:r w:rsidRPr="00EE36B9">
        <w:rPr>
          <w:rFonts w:ascii="Tahoma" w:eastAsia="Times New Roman" w:hAnsi="Tahoma" w:cs="Tahoma"/>
          <w:sz w:val="20"/>
          <w:szCs w:val="20"/>
          <w:lang w:val="es-ES" w:eastAsia="es-CO"/>
        </w:rPr>
        <w:t xml:space="preserve">Otros autores la definen como el contacto que existe entre los individuos en un sistema de salud, dado por el lugar de donde vive y en donde trabaja </w:t>
      </w:r>
      <w:sdt>
        <w:sdtPr>
          <w:rPr>
            <w:rFonts w:ascii="Tahoma" w:eastAsia="Times New Roman" w:hAnsi="Tahoma" w:cs="Tahoma"/>
            <w:sz w:val="20"/>
            <w:szCs w:val="20"/>
            <w:lang w:val="es-ES" w:eastAsia="es-CO"/>
          </w:rPr>
          <w:id w:val="-1699615784"/>
          <w:citation/>
        </w:sdtPr>
        <w:sdtEndPr/>
        <w:sdtContent>
          <w:r w:rsidRPr="00EE36B9">
            <w:rPr>
              <w:rFonts w:ascii="Tahoma" w:eastAsia="Times New Roman" w:hAnsi="Tahoma" w:cs="Tahoma"/>
              <w:sz w:val="20"/>
              <w:szCs w:val="20"/>
              <w:lang w:val="es-ES" w:eastAsia="es-CO"/>
            </w:rPr>
            <w:fldChar w:fldCharType="begin"/>
          </w:r>
          <w:r w:rsidRPr="00EE36B9">
            <w:rPr>
              <w:rFonts w:ascii="Tahoma" w:eastAsia="Times New Roman" w:hAnsi="Tahoma" w:cs="Tahoma"/>
              <w:sz w:val="20"/>
              <w:szCs w:val="20"/>
              <w:lang w:val="es-ES" w:eastAsia="es-CO"/>
            </w:rPr>
            <w:instrText xml:space="preserve"> CITATION Tob12 \l 9226 </w:instrText>
          </w:r>
          <w:r w:rsidRPr="00EE36B9">
            <w:rPr>
              <w:rFonts w:ascii="Tahoma" w:eastAsia="Times New Roman" w:hAnsi="Tahoma" w:cs="Tahoma"/>
              <w:sz w:val="20"/>
              <w:szCs w:val="20"/>
              <w:lang w:val="es-ES" w:eastAsia="es-CO"/>
            </w:rPr>
            <w:fldChar w:fldCharType="separate"/>
          </w:r>
          <w:r w:rsidR="005876E0" w:rsidRPr="005876E0">
            <w:rPr>
              <w:rFonts w:ascii="Tahoma" w:eastAsia="Times New Roman" w:hAnsi="Tahoma" w:cs="Tahoma"/>
              <w:noProof/>
              <w:sz w:val="20"/>
              <w:szCs w:val="20"/>
              <w:lang w:val="es-ES" w:eastAsia="es-CO"/>
            </w:rPr>
            <w:t>(Tobi P. , Estacio, Yu, Renton, &amp; Foster, 2012)</w:t>
          </w:r>
          <w:r w:rsidRPr="00EE36B9">
            <w:rPr>
              <w:rFonts w:ascii="Tahoma" w:eastAsia="Times New Roman" w:hAnsi="Tahoma" w:cs="Tahoma"/>
              <w:sz w:val="20"/>
              <w:szCs w:val="20"/>
              <w:lang w:val="es-ES" w:eastAsia="es-CO"/>
            </w:rPr>
            <w:fldChar w:fldCharType="end"/>
          </w:r>
        </w:sdtContent>
      </w:sdt>
      <w:r w:rsidRPr="00EE36B9">
        <w:rPr>
          <w:rFonts w:ascii="Tahoma" w:eastAsia="Times New Roman" w:hAnsi="Tahoma" w:cs="Tahoma"/>
          <w:sz w:val="20"/>
          <w:szCs w:val="20"/>
          <w:lang w:val="es-ES" w:eastAsia="es-CO"/>
        </w:rPr>
        <w:t xml:space="preserve">; y algunos lo refieren como la estrategia para mejorar la calidad de vida de las personas que padecen una enfermedad con la implementación de planes de actividad física </w:t>
      </w:r>
      <w:sdt>
        <w:sdtPr>
          <w:rPr>
            <w:rFonts w:ascii="Tahoma" w:eastAsia="Times New Roman" w:hAnsi="Tahoma" w:cs="Tahoma"/>
            <w:sz w:val="20"/>
            <w:szCs w:val="20"/>
            <w:lang w:val="es-ES" w:eastAsia="es-CO"/>
          </w:rPr>
          <w:id w:val="2104605156"/>
          <w:citation/>
        </w:sdtPr>
        <w:sdtEndPr/>
        <w:sdtContent>
          <w:r w:rsidRPr="00EE36B9">
            <w:rPr>
              <w:rFonts w:ascii="Tahoma" w:eastAsia="Times New Roman" w:hAnsi="Tahoma" w:cs="Tahoma"/>
              <w:sz w:val="20"/>
              <w:szCs w:val="20"/>
              <w:lang w:val="es-ES" w:eastAsia="es-CO"/>
            </w:rPr>
            <w:fldChar w:fldCharType="begin"/>
          </w:r>
          <w:r w:rsidRPr="00EE36B9">
            <w:rPr>
              <w:rFonts w:ascii="Tahoma" w:eastAsia="Times New Roman" w:hAnsi="Tahoma" w:cs="Tahoma"/>
              <w:sz w:val="20"/>
              <w:szCs w:val="20"/>
              <w:lang w:eastAsia="es-CO"/>
            </w:rPr>
            <w:instrText xml:space="preserve"> CITATION Van121 \l 9226 </w:instrText>
          </w:r>
          <w:r w:rsidRPr="00EE36B9">
            <w:rPr>
              <w:rFonts w:ascii="Tahoma" w:eastAsia="Times New Roman" w:hAnsi="Tahoma" w:cs="Tahoma"/>
              <w:sz w:val="20"/>
              <w:szCs w:val="20"/>
              <w:lang w:val="es-ES" w:eastAsia="es-CO"/>
            </w:rPr>
            <w:fldChar w:fldCharType="separate"/>
          </w:r>
          <w:r w:rsidR="005876E0" w:rsidRPr="005876E0">
            <w:rPr>
              <w:rFonts w:ascii="Tahoma" w:eastAsia="Times New Roman" w:hAnsi="Tahoma" w:cs="Tahoma"/>
              <w:noProof/>
              <w:sz w:val="20"/>
              <w:szCs w:val="20"/>
              <w:lang w:eastAsia="es-CO"/>
            </w:rPr>
            <w:t>(Van der Heijden, Pouwer, Romeijnders, &amp; Pop, 2012)</w:t>
          </w:r>
          <w:r w:rsidRPr="00EE36B9">
            <w:rPr>
              <w:rFonts w:ascii="Tahoma" w:eastAsia="Times New Roman" w:hAnsi="Tahoma" w:cs="Tahoma"/>
              <w:sz w:val="20"/>
              <w:szCs w:val="20"/>
              <w:lang w:val="es-ES" w:eastAsia="es-CO"/>
            </w:rPr>
            <w:fldChar w:fldCharType="end"/>
          </w:r>
        </w:sdtContent>
      </w:sdt>
    </w:p>
    <w:p w:rsidR="007B79B0" w:rsidRDefault="007B79B0" w:rsidP="00EE36B9">
      <w:pPr>
        <w:jc w:val="both"/>
        <w:rPr>
          <w:rFonts w:ascii="Tahoma" w:eastAsia="Times New Roman" w:hAnsi="Tahoma" w:cs="Tahoma"/>
          <w:sz w:val="20"/>
          <w:szCs w:val="20"/>
          <w:lang w:val="es-ES" w:eastAsia="es-CO"/>
        </w:rPr>
      </w:pPr>
      <w:r>
        <w:rPr>
          <w:rFonts w:ascii="Tahoma" w:eastAsia="Times New Roman" w:hAnsi="Tahoma" w:cs="Tahoma"/>
          <w:sz w:val="20"/>
          <w:szCs w:val="20"/>
          <w:lang w:val="es-ES" w:eastAsia="es-CO"/>
        </w:rPr>
        <w:t xml:space="preserve">Encontrando que muchos de estos conceptos distan de la definición de Alma Ata en 1978, y se popularizo el término como la atención inicial al usuario, sin que existe relación con los propósitos que se buscaba de lograr el trabajo transectorial y multidisciplinario, y muchos de los trabajos encontrados no se definen los roles de los profesionales que trabajan en su interior. </w:t>
      </w:r>
    </w:p>
    <w:p w:rsidR="007B79B0" w:rsidRDefault="00434680" w:rsidP="00EE36B9">
      <w:pPr>
        <w:jc w:val="both"/>
        <w:rPr>
          <w:rFonts w:ascii="Tahoma" w:eastAsia="Times New Roman" w:hAnsi="Tahoma" w:cs="Tahoma"/>
          <w:sz w:val="20"/>
          <w:szCs w:val="20"/>
          <w:lang w:val="es-ES" w:eastAsia="es-CO"/>
        </w:rPr>
      </w:pPr>
      <w:r>
        <w:rPr>
          <w:rFonts w:ascii="Tahoma" w:eastAsia="Times New Roman" w:hAnsi="Tahoma" w:cs="Tahoma"/>
          <w:sz w:val="20"/>
          <w:szCs w:val="20"/>
          <w:lang w:val="es-ES" w:eastAsia="es-CO"/>
        </w:rPr>
        <w:t xml:space="preserve">Frente a las acciones de la actividad física en la APS, se reconocen la mayor parte de los trabajos en prevención y rehabilitación, muy pocos trabajan acciones de empoderamiento social que busque cambios hacia la legislación nacional. </w:t>
      </w:r>
    </w:p>
    <w:p w:rsidR="007827AA" w:rsidRDefault="007827AA" w:rsidP="00EE36B9">
      <w:pPr>
        <w:jc w:val="both"/>
        <w:rPr>
          <w:rFonts w:ascii="Tahoma" w:eastAsia="Times New Roman" w:hAnsi="Tahoma" w:cs="Tahoma"/>
          <w:sz w:val="20"/>
          <w:szCs w:val="20"/>
          <w:lang w:val="es-ES" w:eastAsia="es-CO"/>
        </w:rPr>
      </w:pPr>
      <w:r w:rsidRPr="007827AA">
        <w:rPr>
          <w:rFonts w:ascii="Tahoma" w:eastAsia="Times New Roman" w:hAnsi="Tahoma" w:cs="Tahoma"/>
          <w:sz w:val="20"/>
          <w:szCs w:val="20"/>
          <w:lang w:val="es-ES" w:eastAsia="es-CO"/>
        </w:rPr>
        <w:t xml:space="preserve">En promoción de la salud se encontró que Tobi (2012), menciona que el ejercicio como esquema de referencia es una de las formas más populares de intervención de actividad física en atención primaria en el Reino Unido y presenta una oportunidad para comprender mejor los factores relacionados con el ejercicio de la adhesión.  Estos esquemas estándar tienden a ser entregado durante un corto período de tiempo y así proporcionar información sobre los factores asociados a la adherencia  de corto plazo. Este estudio fue  basado en registros retrospectivos de un esquema de mayor duración permitida sobre </w:t>
      </w:r>
      <w:r>
        <w:rPr>
          <w:rFonts w:ascii="Tahoma" w:eastAsia="Times New Roman" w:hAnsi="Tahoma" w:cs="Tahoma"/>
          <w:sz w:val="20"/>
          <w:szCs w:val="20"/>
          <w:lang w:val="es-ES" w:eastAsia="es-CO"/>
        </w:rPr>
        <w:t xml:space="preserve"> la adherencia a largo plazo; se </w:t>
      </w:r>
      <w:r w:rsidRPr="007827AA">
        <w:rPr>
          <w:rFonts w:ascii="Tahoma" w:eastAsia="Times New Roman" w:hAnsi="Tahoma" w:cs="Tahoma"/>
          <w:sz w:val="20"/>
          <w:szCs w:val="20"/>
          <w:lang w:val="es-ES" w:eastAsia="es-CO"/>
        </w:rPr>
        <w:t xml:space="preserve">incluyeron  factores sociales, fisiológicos y datos antropométricos los cuales extraídos de los registros de una cohorte de ERS los participantes  que se habían matriculado entre el 01 de enero y el 31 diciembre de 2007 (n = 701). </w:t>
      </w:r>
      <w:r>
        <w:rPr>
          <w:rFonts w:ascii="Tahoma" w:eastAsia="Times New Roman" w:hAnsi="Tahoma" w:cs="Tahoma"/>
          <w:sz w:val="20"/>
          <w:szCs w:val="20"/>
          <w:lang w:val="es-ES" w:eastAsia="es-CO"/>
        </w:rPr>
        <w:t>Al finalizar se comparó las c</w:t>
      </w:r>
      <w:r w:rsidRPr="007827AA">
        <w:rPr>
          <w:rFonts w:ascii="Tahoma" w:eastAsia="Times New Roman" w:hAnsi="Tahoma" w:cs="Tahoma"/>
          <w:sz w:val="20"/>
          <w:szCs w:val="20"/>
          <w:lang w:val="es-ES" w:eastAsia="es-CO"/>
        </w:rPr>
        <w:t>aracterísticas de los cumplidores y no cumplidores  y los posibles predictores de la adherencia a largo plazo</w:t>
      </w:r>
      <w:r>
        <w:rPr>
          <w:rFonts w:ascii="Tahoma" w:eastAsia="Times New Roman" w:hAnsi="Tahoma" w:cs="Tahoma"/>
          <w:sz w:val="20"/>
          <w:szCs w:val="20"/>
          <w:lang w:val="es-ES" w:eastAsia="es-CO"/>
        </w:rPr>
        <w:t>; concluyendo que u</w:t>
      </w:r>
      <w:r w:rsidRPr="007827AA">
        <w:rPr>
          <w:rFonts w:ascii="Tahoma" w:eastAsia="Times New Roman" w:hAnsi="Tahoma" w:cs="Tahoma"/>
          <w:sz w:val="20"/>
          <w:szCs w:val="20"/>
          <w:lang w:val="es-ES" w:eastAsia="es-CO"/>
        </w:rPr>
        <w:t xml:space="preserve">na mejor comprensión de los factores que influyen en la adherencia a ejercer programas de derivación permitirá a los proveedores; desarrollar una mejor orientación de referencia y adaptar los planes para satisfacer las necesidades </w:t>
      </w:r>
      <w:r w:rsidRPr="007827AA">
        <w:rPr>
          <w:rFonts w:ascii="Tahoma" w:eastAsia="Times New Roman" w:hAnsi="Tahoma" w:cs="Tahoma"/>
          <w:sz w:val="20"/>
          <w:szCs w:val="20"/>
          <w:lang w:val="es-ES" w:eastAsia="es-CO"/>
        </w:rPr>
        <w:lastRenderedPageBreak/>
        <w:t>de los participantes. Más de larga duración ofrecer la oportunidad de entender la probabilidad de mantener la adherencia al ejercicio de los participantes</w:t>
      </w:r>
      <w:r w:rsidR="005876E0">
        <w:rPr>
          <w:rFonts w:ascii="Tahoma" w:eastAsia="Times New Roman" w:hAnsi="Tahoma" w:cs="Tahoma"/>
          <w:sz w:val="20"/>
          <w:szCs w:val="20"/>
          <w:lang w:val="es-ES" w:eastAsia="es-CO"/>
        </w:rPr>
        <w:t xml:space="preserve"> </w:t>
      </w:r>
      <w:sdt>
        <w:sdtPr>
          <w:rPr>
            <w:rFonts w:ascii="Tahoma" w:eastAsia="Times New Roman" w:hAnsi="Tahoma" w:cs="Tahoma"/>
            <w:sz w:val="20"/>
            <w:szCs w:val="20"/>
            <w:lang w:val="es-ES" w:eastAsia="es-CO"/>
          </w:rPr>
          <w:id w:val="950202225"/>
          <w:citation/>
        </w:sdtPr>
        <w:sdtEndPr/>
        <w:sdtContent>
          <w:r w:rsidR="005876E0">
            <w:rPr>
              <w:rFonts w:ascii="Tahoma" w:eastAsia="Times New Roman" w:hAnsi="Tahoma" w:cs="Tahoma"/>
              <w:sz w:val="20"/>
              <w:szCs w:val="20"/>
              <w:lang w:val="es-ES" w:eastAsia="es-CO"/>
            </w:rPr>
            <w:fldChar w:fldCharType="begin"/>
          </w:r>
          <w:r w:rsidR="005876E0">
            <w:rPr>
              <w:rFonts w:ascii="Tahoma" w:eastAsia="Times New Roman" w:hAnsi="Tahoma" w:cs="Tahoma"/>
              <w:sz w:val="20"/>
              <w:szCs w:val="20"/>
              <w:lang w:eastAsia="es-CO"/>
            </w:rPr>
            <w:instrText xml:space="preserve"> CITATION Tob121 \l 9226 </w:instrText>
          </w:r>
          <w:r w:rsidR="005876E0">
            <w:rPr>
              <w:rFonts w:ascii="Tahoma" w:eastAsia="Times New Roman" w:hAnsi="Tahoma" w:cs="Tahoma"/>
              <w:sz w:val="20"/>
              <w:szCs w:val="20"/>
              <w:lang w:val="es-ES" w:eastAsia="es-CO"/>
            </w:rPr>
            <w:fldChar w:fldCharType="separate"/>
          </w:r>
          <w:r w:rsidR="005876E0" w:rsidRPr="005876E0">
            <w:rPr>
              <w:rFonts w:ascii="Tahoma" w:eastAsia="Times New Roman" w:hAnsi="Tahoma" w:cs="Tahoma"/>
              <w:noProof/>
              <w:sz w:val="20"/>
              <w:szCs w:val="20"/>
              <w:lang w:eastAsia="es-CO"/>
            </w:rPr>
            <w:t>(Tobi P. , Estacio, Yu, Renton, &amp; Foster, 2012)</w:t>
          </w:r>
          <w:r w:rsidR="005876E0">
            <w:rPr>
              <w:rFonts w:ascii="Tahoma" w:eastAsia="Times New Roman" w:hAnsi="Tahoma" w:cs="Tahoma"/>
              <w:sz w:val="20"/>
              <w:szCs w:val="20"/>
              <w:lang w:val="es-ES" w:eastAsia="es-CO"/>
            </w:rPr>
            <w:fldChar w:fldCharType="end"/>
          </w:r>
        </w:sdtContent>
      </w:sdt>
      <w:r w:rsidRPr="007827AA">
        <w:rPr>
          <w:rFonts w:ascii="Tahoma" w:eastAsia="Times New Roman" w:hAnsi="Tahoma" w:cs="Tahoma"/>
          <w:sz w:val="20"/>
          <w:szCs w:val="20"/>
          <w:lang w:val="es-ES" w:eastAsia="es-CO"/>
        </w:rPr>
        <w:t>.</w:t>
      </w:r>
      <w:r w:rsidR="005876E0">
        <w:rPr>
          <w:rFonts w:ascii="Tahoma" w:eastAsia="Times New Roman" w:hAnsi="Tahoma" w:cs="Tahoma"/>
          <w:sz w:val="20"/>
          <w:szCs w:val="20"/>
          <w:lang w:val="es-ES" w:eastAsia="es-CO"/>
        </w:rPr>
        <w:t xml:space="preserve"> </w:t>
      </w:r>
    </w:p>
    <w:p w:rsidR="00F048C0" w:rsidRDefault="00526DFB" w:rsidP="00434680">
      <w:pPr>
        <w:jc w:val="both"/>
        <w:rPr>
          <w:rFonts w:ascii="Tahoma" w:eastAsia="Times New Roman" w:hAnsi="Tahoma" w:cs="Tahoma"/>
          <w:sz w:val="20"/>
          <w:szCs w:val="20"/>
          <w:lang w:val="es-ES" w:eastAsia="es-CO"/>
        </w:rPr>
      </w:pPr>
      <w:r>
        <w:rPr>
          <w:rFonts w:ascii="Tahoma" w:eastAsia="Times New Roman" w:hAnsi="Tahoma" w:cs="Tahoma"/>
          <w:sz w:val="20"/>
          <w:szCs w:val="20"/>
          <w:lang w:val="es-ES" w:eastAsia="es-CO"/>
        </w:rPr>
        <w:t xml:space="preserve">Kolt y cols. </w:t>
      </w:r>
      <w:sdt>
        <w:sdtPr>
          <w:rPr>
            <w:rFonts w:ascii="Tahoma" w:eastAsia="Times New Roman" w:hAnsi="Tahoma" w:cs="Tahoma"/>
            <w:sz w:val="20"/>
            <w:szCs w:val="20"/>
            <w:lang w:val="es-ES" w:eastAsia="es-CO"/>
          </w:rPr>
          <w:id w:val="769359394"/>
          <w:citation/>
        </w:sdtPr>
        <w:sdtContent>
          <w:r>
            <w:rPr>
              <w:rFonts w:ascii="Tahoma" w:eastAsia="Times New Roman" w:hAnsi="Tahoma" w:cs="Tahoma"/>
              <w:sz w:val="20"/>
              <w:szCs w:val="20"/>
              <w:lang w:val="es-ES" w:eastAsia="es-CO"/>
            </w:rPr>
            <w:fldChar w:fldCharType="begin"/>
          </w:r>
          <w:r>
            <w:rPr>
              <w:rFonts w:ascii="Tahoma" w:eastAsia="Times New Roman" w:hAnsi="Tahoma" w:cs="Tahoma"/>
              <w:sz w:val="20"/>
              <w:szCs w:val="20"/>
              <w:lang w:eastAsia="es-CO"/>
            </w:rPr>
            <w:instrText xml:space="preserve"> CITATION Gre12 \l 9226 </w:instrText>
          </w:r>
          <w:r>
            <w:rPr>
              <w:rFonts w:ascii="Tahoma" w:eastAsia="Times New Roman" w:hAnsi="Tahoma" w:cs="Tahoma"/>
              <w:sz w:val="20"/>
              <w:szCs w:val="20"/>
              <w:lang w:val="es-ES" w:eastAsia="es-CO"/>
            </w:rPr>
            <w:fldChar w:fldCharType="separate"/>
          </w:r>
          <w:r w:rsidRPr="00526DFB">
            <w:rPr>
              <w:rFonts w:ascii="Tahoma" w:eastAsia="Times New Roman" w:hAnsi="Tahoma" w:cs="Tahoma"/>
              <w:noProof/>
              <w:sz w:val="20"/>
              <w:szCs w:val="20"/>
              <w:lang w:eastAsia="es-CO"/>
            </w:rPr>
            <w:t>(Gregory S. Kolt, 2012)</w:t>
          </w:r>
          <w:r>
            <w:rPr>
              <w:rFonts w:ascii="Tahoma" w:eastAsia="Times New Roman" w:hAnsi="Tahoma" w:cs="Tahoma"/>
              <w:sz w:val="20"/>
              <w:szCs w:val="20"/>
              <w:lang w:val="es-ES" w:eastAsia="es-CO"/>
            </w:rPr>
            <w:fldChar w:fldCharType="end"/>
          </w:r>
        </w:sdtContent>
      </w:sdt>
      <w:r w:rsidR="00EB76F0">
        <w:rPr>
          <w:rFonts w:ascii="Tahoma" w:eastAsia="Times New Roman" w:hAnsi="Tahoma" w:cs="Tahoma"/>
          <w:sz w:val="20"/>
          <w:szCs w:val="20"/>
          <w:lang w:val="es-ES" w:eastAsia="es-CO"/>
        </w:rPr>
        <w:t xml:space="preserve"> compararon dos tipos de intervención “Prescripción Verde y Prescripción Verde con podómetro de base” en adultos mayores inactivos</w:t>
      </w:r>
      <w:r w:rsidR="00B13574">
        <w:rPr>
          <w:rFonts w:ascii="Tahoma" w:eastAsia="Times New Roman" w:hAnsi="Tahoma" w:cs="Tahoma"/>
          <w:sz w:val="20"/>
          <w:szCs w:val="20"/>
          <w:lang w:val="es-ES" w:eastAsia="es-CO"/>
        </w:rPr>
        <w:t xml:space="preserve"> para ver el efecto sobre el nivel de actividad física, el índice de masa corporal, la presión arterial y la calidad de vida</w:t>
      </w:r>
      <w:r w:rsidR="00EB76F0">
        <w:rPr>
          <w:rFonts w:ascii="Tahoma" w:eastAsia="Times New Roman" w:hAnsi="Tahoma" w:cs="Tahoma"/>
          <w:sz w:val="20"/>
          <w:szCs w:val="20"/>
          <w:lang w:val="es-ES" w:eastAsia="es-CO"/>
        </w:rPr>
        <w:t xml:space="preserve">; la intervención </w:t>
      </w:r>
      <w:r w:rsidR="002836A8">
        <w:rPr>
          <w:rFonts w:ascii="Tahoma" w:eastAsia="Times New Roman" w:hAnsi="Tahoma" w:cs="Tahoma"/>
          <w:sz w:val="20"/>
          <w:szCs w:val="20"/>
          <w:lang w:val="es-ES" w:eastAsia="es-CO"/>
        </w:rPr>
        <w:t xml:space="preserve">para los dos grupos </w:t>
      </w:r>
      <w:r w:rsidR="00EB76F0">
        <w:rPr>
          <w:rFonts w:ascii="Tahoma" w:eastAsia="Times New Roman" w:hAnsi="Tahoma" w:cs="Tahoma"/>
          <w:sz w:val="20"/>
          <w:szCs w:val="20"/>
          <w:lang w:val="es-ES" w:eastAsia="es-CO"/>
        </w:rPr>
        <w:t>consi</w:t>
      </w:r>
      <w:r w:rsidR="00910524">
        <w:rPr>
          <w:rFonts w:ascii="Tahoma" w:eastAsia="Times New Roman" w:hAnsi="Tahoma" w:cs="Tahoma"/>
          <w:sz w:val="20"/>
          <w:szCs w:val="20"/>
          <w:lang w:val="es-ES" w:eastAsia="es-CO"/>
        </w:rPr>
        <w:t>s</w:t>
      </w:r>
      <w:r w:rsidR="00EB76F0">
        <w:rPr>
          <w:rFonts w:ascii="Tahoma" w:eastAsia="Times New Roman" w:hAnsi="Tahoma" w:cs="Tahoma"/>
          <w:sz w:val="20"/>
          <w:szCs w:val="20"/>
          <w:lang w:val="es-ES" w:eastAsia="es-CO"/>
        </w:rPr>
        <w:t>tía en</w:t>
      </w:r>
      <w:r w:rsidR="00002957">
        <w:rPr>
          <w:rFonts w:ascii="Tahoma" w:eastAsia="Times New Roman" w:hAnsi="Tahoma" w:cs="Tahoma"/>
          <w:sz w:val="20"/>
          <w:szCs w:val="20"/>
          <w:lang w:val="es-ES" w:eastAsia="es-CO"/>
        </w:rPr>
        <w:t xml:space="preserve"> asesoría médica </w:t>
      </w:r>
      <w:r w:rsidR="002836A8">
        <w:rPr>
          <w:rFonts w:ascii="Tahoma" w:eastAsia="Times New Roman" w:hAnsi="Tahoma" w:cs="Tahoma"/>
          <w:sz w:val="20"/>
          <w:szCs w:val="20"/>
          <w:lang w:val="es-ES" w:eastAsia="es-CO"/>
        </w:rPr>
        <w:t xml:space="preserve">personal </w:t>
      </w:r>
      <w:r w:rsidR="00002957">
        <w:rPr>
          <w:rFonts w:ascii="Tahoma" w:eastAsia="Times New Roman" w:hAnsi="Tahoma" w:cs="Tahoma"/>
          <w:sz w:val="20"/>
          <w:szCs w:val="20"/>
          <w:lang w:val="es-ES" w:eastAsia="es-CO"/>
        </w:rPr>
        <w:t xml:space="preserve">sobre la actividad física por parte de su médico, luego de esto recibían tres llamadas telefónicas durante un lapso de 3 a 4 meses, donde recibían </w:t>
      </w:r>
      <w:r w:rsidR="002836A8">
        <w:rPr>
          <w:rFonts w:ascii="Tahoma" w:eastAsia="Times New Roman" w:hAnsi="Tahoma" w:cs="Tahoma"/>
          <w:sz w:val="20"/>
          <w:szCs w:val="20"/>
          <w:lang w:val="es-ES" w:eastAsia="es-CO"/>
        </w:rPr>
        <w:t xml:space="preserve">información </w:t>
      </w:r>
      <w:r w:rsidR="00002957">
        <w:rPr>
          <w:rFonts w:ascii="Tahoma" w:eastAsia="Times New Roman" w:hAnsi="Tahoma" w:cs="Tahoma"/>
          <w:sz w:val="20"/>
          <w:szCs w:val="20"/>
          <w:lang w:val="es-ES" w:eastAsia="es-CO"/>
        </w:rPr>
        <w:t xml:space="preserve">sobre </w:t>
      </w:r>
      <w:r w:rsidR="002836A8">
        <w:rPr>
          <w:rFonts w:ascii="Tahoma" w:eastAsia="Times New Roman" w:hAnsi="Tahoma" w:cs="Tahoma"/>
          <w:sz w:val="20"/>
          <w:szCs w:val="20"/>
          <w:lang w:val="es-ES" w:eastAsia="es-CO"/>
        </w:rPr>
        <w:t xml:space="preserve">el </w:t>
      </w:r>
      <w:r w:rsidR="00002957">
        <w:rPr>
          <w:rFonts w:ascii="Tahoma" w:eastAsia="Times New Roman" w:hAnsi="Tahoma" w:cs="Tahoma"/>
          <w:sz w:val="20"/>
          <w:szCs w:val="20"/>
          <w:lang w:val="es-ES" w:eastAsia="es-CO"/>
        </w:rPr>
        <w:t>establecimi</w:t>
      </w:r>
      <w:r w:rsidR="00B13574">
        <w:rPr>
          <w:rFonts w:ascii="Tahoma" w:eastAsia="Times New Roman" w:hAnsi="Tahoma" w:cs="Tahoma"/>
          <w:sz w:val="20"/>
          <w:szCs w:val="20"/>
          <w:lang w:val="es-ES" w:eastAsia="es-CO"/>
        </w:rPr>
        <w:t xml:space="preserve">ento y seguimiento de metas de </w:t>
      </w:r>
      <w:r w:rsidR="00002957">
        <w:rPr>
          <w:rFonts w:ascii="Tahoma" w:eastAsia="Times New Roman" w:hAnsi="Tahoma" w:cs="Tahoma"/>
          <w:sz w:val="20"/>
          <w:szCs w:val="20"/>
          <w:lang w:val="es-ES" w:eastAsia="es-CO"/>
        </w:rPr>
        <w:t>p</w:t>
      </w:r>
      <w:r w:rsidR="00B13574">
        <w:rPr>
          <w:rFonts w:ascii="Tahoma" w:eastAsia="Times New Roman" w:hAnsi="Tahoma" w:cs="Tahoma"/>
          <w:sz w:val="20"/>
          <w:szCs w:val="20"/>
          <w:lang w:val="es-ES" w:eastAsia="es-CO"/>
        </w:rPr>
        <w:t>a</w:t>
      </w:r>
      <w:r w:rsidR="00002957">
        <w:rPr>
          <w:rFonts w:ascii="Tahoma" w:eastAsia="Times New Roman" w:hAnsi="Tahoma" w:cs="Tahoma"/>
          <w:sz w:val="20"/>
          <w:szCs w:val="20"/>
          <w:lang w:val="es-ES" w:eastAsia="es-CO"/>
        </w:rPr>
        <w:t>rte de consejeros en actividad física entrenados</w:t>
      </w:r>
      <w:r w:rsidR="002836A8">
        <w:rPr>
          <w:rFonts w:ascii="Tahoma" w:eastAsia="Times New Roman" w:hAnsi="Tahoma" w:cs="Tahoma"/>
          <w:sz w:val="20"/>
          <w:szCs w:val="20"/>
          <w:lang w:val="es-ES" w:eastAsia="es-CO"/>
        </w:rPr>
        <w:t xml:space="preserve"> y finalmente tan sólo el grupo de </w:t>
      </w:r>
      <w:r w:rsidR="002836A8">
        <w:rPr>
          <w:rFonts w:ascii="Tahoma" w:eastAsia="Times New Roman" w:hAnsi="Tahoma" w:cs="Tahoma"/>
          <w:sz w:val="20"/>
          <w:szCs w:val="20"/>
          <w:lang w:val="es-ES" w:eastAsia="es-CO"/>
        </w:rPr>
        <w:t>Prescripción Verde con podómetro de base</w:t>
      </w:r>
      <w:r w:rsidR="002D6C28">
        <w:rPr>
          <w:rFonts w:ascii="Tahoma" w:eastAsia="Times New Roman" w:hAnsi="Tahoma" w:cs="Tahoma"/>
          <w:sz w:val="20"/>
          <w:szCs w:val="20"/>
          <w:lang w:val="es-ES" w:eastAsia="es-CO"/>
        </w:rPr>
        <w:t xml:space="preserve"> fueron asesorados y motivados a monitorear y de forma paralela aumentar el número de pasos</w:t>
      </w:r>
      <w:r w:rsidR="000A121F">
        <w:rPr>
          <w:rFonts w:ascii="Tahoma" w:eastAsia="Times New Roman" w:hAnsi="Tahoma" w:cs="Tahoma"/>
          <w:sz w:val="20"/>
          <w:szCs w:val="20"/>
          <w:lang w:val="es-ES" w:eastAsia="es-CO"/>
        </w:rPr>
        <w:t xml:space="preserve"> por día. Al finalizar </w:t>
      </w:r>
      <w:r w:rsidR="00C55C58">
        <w:rPr>
          <w:rFonts w:ascii="Tahoma" w:eastAsia="Times New Roman" w:hAnsi="Tahoma" w:cs="Tahoma"/>
          <w:sz w:val="20"/>
          <w:szCs w:val="20"/>
          <w:lang w:val="es-ES" w:eastAsia="es-CO"/>
        </w:rPr>
        <w:t xml:space="preserve">el estudio </w:t>
      </w:r>
      <w:r w:rsidR="001B28BD">
        <w:rPr>
          <w:rFonts w:ascii="Tahoma" w:eastAsia="Times New Roman" w:hAnsi="Tahoma" w:cs="Tahoma"/>
          <w:sz w:val="20"/>
          <w:szCs w:val="20"/>
          <w:lang w:val="es-ES" w:eastAsia="es-CO"/>
        </w:rPr>
        <w:t>se evidenció que</w:t>
      </w:r>
      <w:r w:rsidR="00E83D7E">
        <w:rPr>
          <w:rFonts w:ascii="Tahoma" w:eastAsia="Times New Roman" w:hAnsi="Tahoma" w:cs="Tahoma"/>
          <w:sz w:val="20"/>
          <w:szCs w:val="20"/>
          <w:lang w:val="es-ES" w:eastAsia="es-CO"/>
        </w:rPr>
        <w:t xml:space="preserve"> si bien en los dos grupos se </w:t>
      </w:r>
      <w:r w:rsidR="00C55C58">
        <w:rPr>
          <w:rFonts w:ascii="Tahoma" w:eastAsia="Times New Roman" w:hAnsi="Tahoma" w:cs="Tahoma"/>
          <w:sz w:val="20"/>
          <w:szCs w:val="20"/>
          <w:lang w:val="es-ES" w:eastAsia="es-CO"/>
        </w:rPr>
        <w:t>mejoró</w:t>
      </w:r>
      <w:r w:rsidR="00E83D7E">
        <w:rPr>
          <w:rFonts w:ascii="Tahoma" w:eastAsia="Times New Roman" w:hAnsi="Tahoma" w:cs="Tahoma"/>
          <w:sz w:val="20"/>
          <w:szCs w:val="20"/>
          <w:lang w:val="es-ES" w:eastAsia="es-CO"/>
        </w:rPr>
        <w:t xml:space="preserve"> su nivel de actividad física</w:t>
      </w:r>
      <w:r w:rsidR="00C55C58">
        <w:rPr>
          <w:rFonts w:ascii="Tahoma" w:eastAsia="Times New Roman" w:hAnsi="Tahoma" w:cs="Tahoma"/>
          <w:sz w:val="20"/>
          <w:szCs w:val="20"/>
          <w:lang w:val="es-ES" w:eastAsia="es-CO"/>
        </w:rPr>
        <w:t>, el grupo que involucro la utilización del podómetro mostro una mayor utilización de caminata durante el tiempo libre</w:t>
      </w:r>
      <w:r w:rsidR="00965BC5">
        <w:rPr>
          <w:rFonts w:ascii="Tahoma" w:eastAsia="Times New Roman" w:hAnsi="Tahoma" w:cs="Tahoma"/>
          <w:sz w:val="20"/>
          <w:szCs w:val="20"/>
          <w:lang w:val="es-ES" w:eastAsia="es-CO"/>
        </w:rPr>
        <w:t xml:space="preserve">, generando buenas expectativas para </w:t>
      </w:r>
      <w:r w:rsidR="00C3280E">
        <w:rPr>
          <w:rFonts w:ascii="Tahoma" w:eastAsia="Times New Roman" w:hAnsi="Tahoma" w:cs="Tahoma"/>
          <w:sz w:val="20"/>
          <w:szCs w:val="20"/>
          <w:lang w:val="es-ES" w:eastAsia="es-CO"/>
        </w:rPr>
        <w:t>poblaciones de personas adultas, en el manejo de su estilo de vida.</w:t>
      </w:r>
      <w:r w:rsidR="00965BC5">
        <w:rPr>
          <w:rFonts w:ascii="Tahoma" w:eastAsia="Times New Roman" w:hAnsi="Tahoma" w:cs="Tahoma"/>
          <w:sz w:val="20"/>
          <w:szCs w:val="20"/>
          <w:lang w:val="es-ES" w:eastAsia="es-CO"/>
        </w:rPr>
        <w:t xml:space="preserve"> </w:t>
      </w:r>
    </w:p>
    <w:p w:rsidR="00434680" w:rsidRPr="00434680" w:rsidRDefault="00434680" w:rsidP="00434680">
      <w:pPr>
        <w:jc w:val="both"/>
        <w:rPr>
          <w:rFonts w:ascii="Tahoma" w:eastAsia="Times New Roman" w:hAnsi="Tahoma" w:cs="Tahoma"/>
          <w:sz w:val="20"/>
          <w:szCs w:val="20"/>
          <w:lang w:val="es-ES" w:eastAsia="es-CO"/>
        </w:rPr>
      </w:pPr>
      <w:r>
        <w:rPr>
          <w:rFonts w:ascii="Tahoma" w:eastAsia="Times New Roman" w:hAnsi="Tahoma" w:cs="Tahoma"/>
          <w:sz w:val="20"/>
          <w:szCs w:val="20"/>
          <w:lang w:val="es-ES" w:eastAsia="es-CO"/>
        </w:rPr>
        <w:t xml:space="preserve">En prevención se encontró un </w:t>
      </w:r>
      <w:r w:rsidRPr="00434680">
        <w:rPr>
          <w:rFonts w:ascii="Tahoma" w:eastAsia="Times New Roman" w:hAnsi="Tahoma" w:cs="Tahoma"/>
          <w:sz w:val="20"/>
          <w:szCs w:val="20"/>
          <w:lang w:val="es-ES" w:eastAsia="es-CO"/>
        </w:rPr>
        <w:t xml:space="preserve">"Programa de Actividad Física (HA-PAP)”, el cual </w:t>
      </w:r>
      <w:r>
        <w:rPr>
          <w:rFonts w:ascii="Tahoma" w:eastAsia="Times New Roman" w:hAnsi="Tahoma" w:cs="Tahoma"/>
          <w:sz w:val="20"/>
          <w:szCs w:val="20"/>
          <w:lang w:val="es-ES" w:eastAsia="es-CO"/>
        </w:rPr>
        <w:t>busca u</w:t>
      </w:r>
      <w:r w:rsidRPr="00434680">
        <w:rPr>
          <w:rFonts w:ascii="Tahoma" w:eastAsia="Times New Roman" w:hAnsi="Tahoma" w:cs="Tahoma"/>
          <w:sz w:val="20"/>
          <w:szCs w:val="20"/>
          <w:lang w:val="es-ES" w:eastAsia="es-CO"/>
        </w:rPr>
        <w:t xml:space="preserve">n envejecimiento saludable para las personas mayores con discapacidad intelectual". Más concretamente, los índices de actividad física, condición física y de salud serán comparados entre los adultos mayores con discapacidad intelectual leve-moderado (ID) que están asignados a la HA-PAP y que se les dará atención habitual. El programa está desarrollado para ser ejecutado en los centros día de las organizaciones de </w:t>
      </w:r>
      <w:r>
        <w:rPr>
          <w:rFonts w:ascii="Tahoma" w:eastAsia="Times New Roman" w:hAnsi="Tahoma" w:cs="Tahoma"/>
          <w:sz w:val="20"/>
          <w:szCs w:val="20"/>
          <w:lang w:val="es-ES" w:eastAsia="es-CO"/>
        </w:rPr>
        <w:t xml:space="preserve">atención para las personas con </w:t>
      </w:r>
      <w:r w:rsidRPr="00434680">
        <w:rPr>
          <w:rFonts w:ascii="Tahoma" w:eastAsia="Times New Roman" w:hAnsi="Tahoma" w:cs="Tahoma"/>
          <w:sz w:val="20"/>
          <w:szCs w:val="20"/>
          <w:lang w:val="es-ES" w:eastAsia="es-CO"/>
        </w:rPr>
        <w:t>I</w:t>
      </w:r>
      <w:r>
        <w:rPr>
          <w:rFonts w:ascii="Tahoma" w:eastAsia="Times New Roman" w:hAnsi="Tahoma" w:cs="Tahoma"/>
          <w:sz w:val="20"/>
          <w:szCs w:val="20"/>
          <w:lang w:val="es-ES" w:eastAsia="es-CO"/>
        </w:rPr>
        <w:t>D</w:t>
      </w:r>
      <w:r w:rsidRPr="00434680">
        <w:rPr>
          <w:rFonts w:ascii="Tahoma" w:eastAsia="Times New Roman" w:hAnsi="Tahoma" w:cs="Tahoma"/>
          <w:sz w:val="20"/>
          <w:szCs w:val="20"/>
          <w:lang w:val="es-ES" w:eastAsia="es-CO"/>
        </w:rPr>
        <w:t xml:space="preserve"> en los Países Bajos, en grupos de ocho a diez personas mayores. Por otro lado ellos decidieron desarrollar un programa</w:t>
      </w:r>
      <w:r>
        <w:rPr>
          <w:rFonts w:ascii="Tahoma" w:eastAsia="Times New Roman" w:hAnsi="Tahoma" w:cs="Tahoma"/>
          <w:sz w:val="20"/>
          <w:szCs w:val="20"/>
          <w:lang w:val="es-ES" w:eastAsia="es-CO"/>
        </w:rPr>
        <w:t xml:space="preserve"> </w:t>
      </w:r>
      <w:r w:rsidRPr="00434680">
        <w:rPr>
          <w:rFonts w:ascii="Tahoma" w:eastAsia="Times New Roman" w:hAnsi="Tahoma" w:cs="Tahoma"/>
          <w:sz w:val="20"/>
          <w:szCs w:val="20"/>
          <w:lang w:val="es-ES" w:eastAsia="es-CO"/>
        </w:rPr>
        <w:t xml:space="preserve">estructurado de actividad física para integrarse en el programa </w:t>
      </w:r>
      <w:r>
        <w:rPr>
          <w:rFonts w:ascii="Tahoma" w:eastAsia="Times New Roman" w:hAnsi="Tahoma" w:cs="Tahoma"/>
          <w:sz w:val="20"/>
          <w:szCs w:val="20"/>
          <w:lang w:val="es-ES" w:eastAsia="es-CO"/>
        </w:rPr>
        <w:t xml:space="preserve">que tenían en el día, se buscó dar una </w:t>
      </w:r>
      <w:r w:rsidRPr="00434680">
        <w:rPr>
          <w:rFonts w:ascii="Tahoma" w:eastAsia="Times New Roman" w:hAnsi="Tahoma" w:cs="Tahoma"/>
          <w:sz w:val="20"/>
          <w:szCs w:val="20"/>
          <w:lang w:val="es-ES" w:eastAsia="es-CO"/>
        </w:rPr>
        <w:t>rutina diaria, en un ambiente familiar y los problemas de transporte también podrían ser mitigados, donde serien incluidos temas de educación y actividad física el cual fue desarrollado de acuerdo con el ACSM y Guía de la AHA (14 ejercicios para la resistencia, 18 para la fuerza, 17 para el equilibrio y 6 para la flexibilidad. Cada actividad seleccionada fue estructurado, es decir: objetivo, duración, ajuste requerido, materiales, conducción y sugerencias para la seguridad)</w:t>
      </w:r>
      <w:r>
        <w:rPr>
          <w:rFonts w:ascii="Tahoma" w:eastAsia="Times New Roman" w:hAnsi="Tahoma" w:cs="Tahoma"/>
          <w:sz w:val="20"/>
          <w:szCs w:val="20"/>
          <w:lang w:val="es-ES" w:eastAsia="es-CO"/>
        </w:rPr>
        <w:t xml:space="preserve"> </w:t>
      </w:r>
      <w:sdt>
        <w:sdtPr>
          <w:rPr>
            <w:rFonts w:ascii="Tahoma" w:eastAsia="Times New Roman" w:hAnsi="Tahoma" w:cs="Tahoma"/>
            <w:sz w:val="20"/>
            <w:szCs w:val="20"/>
            <w:lang w:val="es-ES" w:eastAsia="es-CO"/>
          </w:rPr>
          <w:id w:val="1278908888"/>
          <w:citation/>
        </w:sdtPr>
        <w:sdtEndPr/>
        <w:sdtContent>
          <w:r w:rsidR="0072723A">
            <w:rPr>
              <w:rFonts w:ascii="Tahoma" w:eastAsia="Times New Roman" w:hAnsi="Tahoma" w:cs="Tahoma"/>
              <w:sz w:val="20"/>
              <w:szCs w:val="20"/>
              <w:lang w:val="es-ES" w:eastAsia="es-CO"/>
            </w:rPr>
            <w:fldChar w:fldCharType="begin"/>
          </w:r>
          <w:r w:rsidR="0072723A">
            <w:rPr>
              <w:rFonts w:ascii="Tahoma" w:eastAsia="Times New Roman" w:hAnsi="Tahoma" w:cs="Tahoma"/>
              <w:sz w:val="20"/>
              <w:szCs w:val="20"/>
              <w:lang w:eastAsia="es-CO"/>
            </w:rPr>
            <w:instrText xml:space="preserve"> CITATION Van13 \l 9226 </w:instrText>
          </w:r>
          <w:r w:rsidR="0072723A">
            <w:rPr>
              <w:rFonts w:ascii="Tahoma" w:eastAsia="Times New Roman" w:hAnsi="Tahoma" w:cs="Tahoma"/>
              <w:sz w:val="20"/>
              <w:szCs w:val="20"/>
              <w:lang w:val="es-ES" w:eastAsia="es-CO"/>
            </w:rPr>
            <w:fldChar w:fldCharType="separate"/>
          </w:r>
          <w:r w:rsidR="005876E0" w:rsidRPr="005876E0">
            <w:rPr>
              <w:rFonts w:ascii="Tahoma" w:eastAsia="Times New Roman" w:hAnsi="Tahoma" w:cs="Tahoma"/>
              <w:noProof/>
              <w:sz w:val="20"/>
              <w:szCs w:val="20"/>
              <w:lang w:eastAsia="es-CO"/>
            </w:rPr>
            <w:t>(Van Schijndel-Speet, Evenhuis, Van Empelen, van Wijck, &amp; Echteld, 2013)</w:t>
          </w:r>
          <w:r w:rsidR="0072723A">
            <w:rPr>
              <w:rFonts w:ascii="Tahoma" w:eastAsia="Times New Roman" w:hAnsi="Tahoma" w:cs="Tahoma"/>
              <w:sz w:val="20"/>
              <w:szCs w:val="20"/>
              <w:lang w:val="es-ES" w:eastAsia="es-CO"/>
            </w:rPr>
            <w:fldChar w:fldCharType="end"/>
          </w:r>
        </w:sdtContent>
      </w:sdt>
      <w:r w:rsidRPr="00434680">
        <w:rPr>
          <w:rFonts w:ascii="Tahoma" w:eastAsia="Times New Roman" w:hAnsi="Tahoma" w:cs="Tahoma"/>
          <w:sz w:val="20"/>
          <w:szCs w:val="20"/>
          <w:lang w:val="es-ES" w:eastAsia="es-CO"/>
        </w:rPr>
        <w:t>.</w:t>
      </w:r>
    </w:p>
    <w:p w:rsidR="00EE36B9" w:rsidRDefault="00804E84" w:rsidP="00EE36B9">
      <w:pPr>
        <w:spacing w:after="0"/>
        <w:jc w:val="both"/>
        <w:rPr>
          <w:rFonts w:ascii="Tahoma" w:eastAsia="Times New Roman" w:hAnsi="Tahoma" w:cs="Tahoma"/>
          <w:sz w:val="20"/>
          <w:szCs w:val="20"/>
          <w:lang w:val="es-ES" w:eastAsia="es-CO"/>
        </w:rPr>
      </w:pPr>
      <w:r w:rsidRPr="00804E84">
        <w:rPr>
          <w:rFonts w:ascii="Tahoma" w:eastAsia="Times New Roman" w:hAnsi="Tahoma" w:cs="Tahoma"/>
          <w:sz w:val="20"/>
          <w:szCs w:val="20"/>
          <w:lang w:val="es-ES" w:eastAsia="es-CO"/>
        </w:rPr>
        <w:t>Se encontró también un estudio controlado aleatorio multicéntrico comparando el programa de estilo de vida BeWEL (dirigido a un</w:t>
      </w:r>
      <w:r>
        <w:rPr>
          <w:rFonts w:ascii="Tahoma" w:eastAsia="Times New Roman" w:hAnsi="Tahoma" w:cs="Tahoma"/>
          <w:sz w:val="20"/>
          <w:szCs w:val="20"/>
          <w:lang w:val="es-ES" w:eastAsia="es-CO"/>
        </w:rPr>
        <w:t xml:space="preserve"> cambio de  l</w:t>
      </w:r>
      <w:r w:rsidRPr="00804E84">
        <w:rPr>
          <w:rFonts w:ascii="Tahoma" w:eastAsia="Times New Roman" w:hAnsi="Tahoma" w:cs="Tahoma"/>
          <w:sz w:val="20"/>
          <w:szCs w:val="20"/>
          <w:lang w:val="es-ES" w:eastAsia="es-CO"/>
        </w:rPr>
        <w:t>os estilo</w:t>
      </w:r>
      <w:r>
        <w:rPr>
          <w:rFonts w:ascii="Tahoma" w:eastAsia="Times New Roman" w:hAnsi="Tahoma" w:cs="Tahoma"/>
          <w:sz w:val="20"/>
          <w:szCs w:val="20"/>
          <w:lang w:val="es-ES" w:eastAsia="es-CO"/>
        </w:rPr>
        <w:t>s</w:t>
      </w:r>
      <w:r w:rsidRPr="00804E84">
        <w:rPr>
          <w:rFonts w:ascii="Tahoma" w:eastAsia="Times New Roman" w:hAnsi="Tahoma" w:cs="Tahoma"/>
          <w:sz w:val="20"/>
          <w:szCs w:val="20"/>
          <w:lang w:val="es-ES" w:eastAsia="es-CO"/>
        </w:rPr>
        <w:t xml:space="preserve"> de vida</w:t>
      </w:r>
      <w:r>
        <w:rPr>
          <w:rFonts w:ascii="Tahoma" w:eastAsia="Times New Roman" w:hAnsi="Tahoma" w:cs="Tahoma"/>
          <w:sz w:val="20"/>
          <w:szCs w:val="20"/>
          <w:lang w:val="es-ES" w:eastAsia="es-CO"/>
        </w:rPr>
        <w:t xml:space="preserve">), </w:t>
      </w:r>
      <w:r w:rsidRPr="00804E84">
        <w:rPr>
          <w:rFonts w:ascii="Tahoma" w:eastAsia="Times New Roman" w:hAnsi="Tahoma" w:cs="Tahoma"/>
          <w:sz w:val="20"/>
          <w:szCs w:val="20"/>
          <w:lang w:val="es-ES" w:eastAsia="es-CO"/>
        </w:rPr>
        <w:t>se basaron en los ensayos de prevención de la diabetes, que han demostrado que las in</w:t>
      </w:r>
      <w:r>
        <w:rPr>
          <w:rFonts w:ascii="Tahoma" w:eastAsia="Times New Roman" w:hAnsi="Tahoma" w:cs="Tahoma"/>
          <w:sz w:val="20"/>
          <w:szCs w:val="20"/>
          <w:lang w:val="es-ES" w:eastAsia="es-CO"/>
        </w:rPr>
        <w:t>tervenciones de estilo de vida permite</w:t>
      </w:r>
      <w:r w:rsidRPr="00804E84">
        <w:rPr>
          <w:rFonts w:ascii="Tahoma" w:eastAsia="Times New Roman" w:hAnsi="Tahoma" w:cs="Tahoma"/>
          <w:sz w:val="20"/>
          <w:szCs w:val="20"/>
          <w:lang w:val="es-ES" w:eastAsia="es-CO"/>
        </w:rPr>
        <w:t>n alcanzar una pérdida de peso del 7% del peso corporal inicial y al menos 150 min / semana de actividad de intensidad moderada en adultos con un índice de masa corporal &gt; 25 kg / m 2 reducen la incidencia de la diabetes mellitus tipo 2</w:t>
      </w:r>
      <w:r>
        <w:rPr>
          <w:rFonts w:ascii="Tahoma" w:eastAsia="Times New Roman" w:hAnsi="Tahoma" w:cs="Tahoma"/>
          <w:sz w:val="20"/>
          <w:szCs w:val="20"/>
          <w:lang w:val="es-ES" w:eastAsia="es-CO"/>
        </w:rPr>
        <w:t xml:space="preserve"> </w:t>
      </w:r>
      <w:sdt>
        <w:sdtPr>
          <w:rPr>
            <w:rFonts w:ascii="Tahoma" w:eastAsia="Times New Roman" w:hAnsi="Tahoma" w:cs="Tahoma"/>
            <w:sz w:val="20"/>
            <w:szCs w:val="20"/>
            <w:lang w:val="es-ES" w:eastAsia="es-CO"/>
          </w:rPr>
          <w:id w:val="506872020"/>
          <w:citation/>
        </w:sdtPr>
        <w:sdtEndPr/>
        <w:sdtContent>
          <w:r>
            <w:rPr>
              <w:rFonts w:ascii="Tahoma" w:eastAsia="Times New Roman" w:hAnsi="Tahoma" w:cs="Tahoma"/>
              <w:sz w:val="20"/>
              <w:szCs w:val="20"/>
              <w:lang w:val="es-ES" w:eastAsia="es-CO"/>
            </w:rPr>
            <w:fldChar w:fldCharType="begin"/>
          </w:r>
          <w:r>
            <w:rPr>
              <w:rFonts w:ascii="Tahoma" w:eastAsia="Times New Roman" w:hAnsi="Tahoma" w:cs="Tahoma"/>
              <w:sz w:val="20"/>
              <w:szCs w:val="20"/>
              <w:lang w:eastAsia="es-CO"/>
            </w:rPr>
            <w:instrText xml:space="preserve"> CITATION Cas12 \l 9226 </w:instrText>
          </w:r>
          <w:r>
            <w:rPr>
              <w:rFonts w:ascii="Tahoma" w:eastAsia="Times New Roman" w:hAnsi="Tahoma" w:cs="Tahoma"/>
              <w:sz w:val="20"/>
              <w:szCs w:val="20"/>
              <w:lang w:val="es-ES" w:eastAsia="es-CO"/>
            </w:rPr>
            <w:fldChar w:fldCharType="separate"/>
          </w:r>
          <w:r w:rsidR="005876E0" w:rsidRPr="005876E0">
            <w:rPr>
              <w:rFonts w:ascii="Tahoma" w:eastAsia="Times New Roman" w:hAnsi="Tahoma" w:cs="Tahoma"/>
              <w:noProof/>
              <w:sz w:val="20"/>
              <w:szCs w:val="20"/>
              <w:lang w:eastAsia="es-CO"/>
            </w:rPr>
            <w:t>(Caswell, Craigie, Wardle, Stead, &amp; Anderson, 2012)</w:t>
          </w:r>
          <w:r>
            <w:rPr>
              <w:rFonts w:ascii="Tahoma" w:eastAsia="Times New Roman" w:hAnsi="Tahoma" w:cs="Tahoma"/>
              <w:sz w:val="20"/>
              <w:szCs w:val="20"/>
              <w:lang w:val="es-ES" w:eastAsia="es-CO"/>
            </w:rPr>
            <w:fldChar w:fldCharType="end"/>
          </w:r>
        </w:sdtContent>
      </w:sdt>
      <w:r w:rsidRPr="00804E84">
        <w:rPr>
          <w:rFonts w:ascii="Tahoma" w:eastAsia="Times New Roman" w:hAnsi="Tahoma" w:cs="Tahoma"/>
          <w:sz w:val="20"/>
          <w:szCs w:val="20"/>
          <w:lang w:val="es-ES" w:eastAsia="es-CO"/>
        </w:rPr>
        <w:t>.</w:t>
      </w:r>
    </w:p>
    <w:p w:rsidR="00804E84" w:rsidRPr="00434680" w:rsidRDefault="00804E84" w:rsidP="00EE36B9">
      <w:pPr>
        <w:spacing w:after="0"/>
        <w:jc w:val="both"/>
        <w:rPr>
          <w:rFonts w:ascii="Tahoma" w:eastAsia="Times New Roman" w:hAnsi="Tahoma" w:cs="Tahoma"/>
          <w:sz w:val="20"/>
          <w:szCs w:val="20"/>
          <w:lang w:val="es-ES" w:eastAsia="es-CO"/>
        </w:rPr>
      </w:pPr>
    </w:p>
    <w:p w:rsidR="007A5487" w:rsidRPr="00EE36B9" w:rsidRDefault="007A5487" w:rsidP="00EE36B9">
      <w:pPr>
        <w:spacing w:after="0"/>
        <w:jc w:val="both"/>
        <w:rPr>
          <w:rFonts w:ascii="Tahoma" w:hAnsi="Tahoma" w:cs="Tahoma"/>
          <w:sz w:val="20"/>
          <w:szCs w:val="20"/>
        </w:rPr>
      </w:pPr>
      <w:r w:rsidRPr="00804E84">
        <w:rPr>
          <w:rFonts w:ascii="Tahoma" w:eastAsia="Times New Roman" w:hAnsi="Tahoma" w:cs="Tahoma"/>
          <w:sz w:val="20"/>
          <w:szCs w:val="20"/>
          <w:lang w:val="es-ES" w:eastAsia="es-CO"/>
        </w:rPr>
        <w:t xml:space="preserve">Una de los análisis realizados fue la utilización de </w:t>
      </w:r>
      <w:r w:rsidR="002F08F3" w:rsidRPr="00804E84">
        <w:rPr>
          <w:rFonts w:ascii="Tahoma" w:eastAsia="Times New Roman" w:hAnsi="Tahoma" w:cs="Tahoma"/>
          <w:sz w:val="20"/>
          <w:szCs w:val="20"/>
          <w:lang w:val="es-ES" w:eastAsia="es-CO"/>
        </w:rPr>
        <w:t>la estrategia APS desde la actividad física en rehabilitación</w:t>
      </w:r>
      <w:r w:rsidRPr="00804E84">
        <w:rPr>
          <w:rFonts w:ascii="Tahoma" w:eastAsia="Times New Roman" w:hAnsi="Tahoma" w:cs="Tahoma"/>
          <w:sz w:val="20"/>
          <w:szCs w:val="20"/>
          <w:lang w:val="es-ES" w:eastAsia="es-CO"/>
        </w:rPr>
        <w:t xml:space="preserve">,  </w:t>
      </w:r>
      <w:r w:rsidR="0072723A" w:rsidRPr="00804E84">
        <w:rPr>
          <w:rFonts w:ascii="Tahoma" w:eastAsia="Times New Roman" w:hAnsi="Tahoma" w:cs="Tahoma"/>
          <w:sz w:val="20"/>
          <w:szCs w:val="20"/>
          <w:lang w:val="es-ES" w:eastAsia="es-CO"/>
        </w:rPr>
        <w:t>encontrando</w:t>
      </w:r>
      <w:r w:rsidRPr="00804E84">
        <w:rPr>
          <w:rFonts w:ascii="Tahoma" w:eastAsia="Times New Roman" w:hAnsi="Tahoma" w:cs="Tahoma"/>
          <w:sz w:val="20"/>
          <w:szCs w:val="20"/>
          <w:lang w:val="es-ES" w:eastAsia="es-CO"/>
        </w:rPr>
        <w:t xml:space="preserve"> el “Programa de FIT – STROKE”, el cual comprendía desde la base de un circuito de entrenamiento para personas y/o pacientes que presentaron un diagnóstico de Accidente cerebrovascular el cual consistía o se dividía en 4 etapas: 1. Una fase de calentamiento, duración (5 minutos); 2. Fase central entrenamiento en circuito, duración (60 minutos); 3. Evaluación y descanso de los pacientes, duración (10 minutos) y 4. Juego de grupo, duración (15 minutos). Los pacientes fueron asignados en un grupo de trabajo el cual recibió un circuito </w:t>
      </w:r>
      <w:r w:rsidRPr="00804E84">
        <w:rPr>
          <w:rFonts w:ascii="Tahoma" w:eastAsia="Times New Roman" w:hAnsi="Tahoma" w:cs="Tahoma"/>
          <w:sz w:val="20"/>
          <w:szCs w:val="20"/>
          <w:lang w:val="es-ES" w:eastAsia="es-CO"/>
        </w:rPr>
        <w:lastRenderedPageBreak/>
        <w:t>orientado a las tareas de 90 minutos, de manera graduada. La formación incluía ocho estaciones de trabajos diferentes, destinados a mejorar tareas significativas</w:t>
      </w:r>
      <w:r w:rsidRPr="00EE36B9">
        <w:rPr>
          <w:rFonts w:ascii="Tahoma" w:hAnsi="Tahoma" w:cs="Tahoma"/>
          <w:sz w:val="20"/>
          <w:szCs w:val="20"/>
        </w:rPr>
        <w:t xml:space="preserve"> relativas a caminar o de competencia. En cada estación de trabajo, los participantes trabajaron en parejas: mientras que uno de los participantes realiza la tarea durante tres minutos, el otro observó su desempeño. Después de tres minutos de la práctica o de la observación, se cambiaron los papeles. Después de seis minutos a la estación de trabajo, cada pareja tenía un minuto para ir a la siguiente estación de trabajo. El desempeño de cada participante se registró en un diario de entrenamiento, que fue utilizado como una evaluación y herramienta de motivación durante las próximas sesiones. La utilización de música de fondo fue utilizada como motivación durante toda la sesión de entrenamiento, dentro de los resultados reportados mencionan  mayor adherencia al programa y mejores resultados en velocidades de la marcha</w:t>
      </w:r>
      <w:r w:rsidR="008E10D1" w:rsidRPr="00EE36B9">
        <w:rPr>
          <w:rFonts w:ascii="Tahoma" w:hAnsi="Tahoma" w:cs="Tahoma"/>
          <w:sz w:val="20"/>
          <w:szCs w:val="20"/>
        </w:rPr>
        <w:t xml:space="preserve"> </w:t>
      </w:r>
      <w:sdt>
        <w:sdtPr>
          <w:rPr>
            <w:rFonts w:ascii="Tahoma" w:hAnsi="Tahoma" w:cs="Tahoma"/>
            <w:sz w:val="20"/>
            <w:szCs w:val="20"/>
          </w:rPr>
          <w:id w:val="1792170411"/>
          <w:citation/>
        </w:sdtPr>
        <w:sdtEndPr/>
        <w:sdtContent>
          <w:r w:rsidR="008E10D1" w:rsidRPr="00EE36B9">
            <w:rPr>
              <w:rFonts w:ascii="Tahoma" w:hAnsi="Tahoma" w:cs="Tahoma"/>
              <w:sz w:val="20"/>
              <w:szCs w:val="20"/>
            </w:rPr>
            <w:fldChar w:fldCharType="begin"/>
          </w:r>
          <w:r w:rsidR="008E10D1" w:rsidRPr="00EE36B9">
            <w:rPr>
              <w:rFonts w:ascii="Tahoma" w:hAnsi="Tahoma" w:cs="Tahoma"/>
              <w:sz w:val="20"/>
              <w:szCs w:val="20"/>
            </w:rPr>
            <w:instrText xml:space="preserve"> CITATION Van12 \l 9226 </w:instrText>
          </w:r>
          <w:r w:rsidR="008E10D1" w:rsidRPr="00EE36B9">
            <w:rPr>
              <w:rFonts w:ascii="Tahoma" w:hAnsi="Tahoma" w:cs="Tahoma"/>
              <w:sz w:val="20"/>
              <w:szCs w:val="20"/>
            </w:rPr>
            <w:fldChar w:fldCharType="separate"/>
          </w:r>
          <w:r w:rsidR="005876E0" w:rsidRPr="005876E0">
            <w:rPr>
              <w:rFonts w:ascii="Tahoma" w:hAnsi="Tahoma" w:cs="Tahoma"/>
              <w:noProof/>
              <w:sz w:val="20"/>
              <w:szCs w:val="20"/>
            </w:rPr>
            <w:t>(Van de Port, Wevers, Lindeman, &amp; Kwakkel, 2012)</w:t>
          </w:r>
          <w:r w:rsidR="008E10D1" w:rsidRPr="00EE36B9">
            <w:rPr>
              <w:rFonts w:ascii="Tahoma" w:hAnsi="Tahoma" w:cs="Tahoma"/>
              <w:sz w:val="20"/>
              <w:szCs w:val="20"/>
            </w:rPr>
            <w:fldChar w:fldCharType="end"/>
          </w:r>
        </w:sdtContent>
      </w:sdt>
      <w:r w:rsidRPr="00EE36B9">
        <w:rPr>
          <w:rFonts w:ascii="Tahoma" w:hAnsi="Tahoma" w:cs="Tahoma"/>
          <w:sz w:val="20"/>
          <w:szCs w:val="20"/>
        </w:rPr>
        <w:t>.</w:t>
      </w:r>
    </w:p>
    <w:p w:rsidR="008E10D1" w:rsidRPr="00EE36B9" w:rsidRDefault="008E10D1" w:rsidP="007A5487">
      <w:pPr>
        <w:pStyle w:val="Descripcin"/>
        <w:keepNext/>
        <w:rPr>
          <w:rFonts w:ascii="Tahoma" w:hAnsi="Tahoma" w:cs="Tahoma"/>
          <w:b w:val="0"/>
          <w:bCs w:val="0"/>
          <w:color w:val="auto"/>
          <w:sz w:val="20"/>
          <w:szCs w:val="20"/>
        </w:rPr>
      </w:pPr>
    </w:p>
    <w:p w:rsidR="007A5487" w:rsidRPr="00EE36B9" w:rsidRDefault="007A5487" w:rsidP="007A5487">
      <w:pPr>
        <w:pStyle w:val="Descripcin"/>
        <w:keepNext/>
        <w:rPr>
          <w:rFonts w:ascii="Tahoma" w:hAnsi="Tahoma" w:cs="Tahoma"/>
          <w:b w:val="0"/>
          <w:bCs w:val="0"/>
          <w:color w:val="auto"/>
          <w:sz w:val="20"/>
          <w:szCs w:val="20"/>
        </w:rPr>
      </w:pPr>
      <w:r w:rsidRPr="00EE36B9">
        <w:rPr>
          <w:rFonts w:ascii="Tahoma" w:hAnsi="Tahoma" w:cs="Tahoma"/>
          <w:b w:val="0"/>
          <w:bCs w:val="0"/>
          <w:color w:val="auto"/>
          <w:sz w:val="20"/>
          <w:szCs w:val="20"/>
        </w:rPr>
        <w:t xml:space="preserve">Figura </w:t>
      </w:r>
      <w:r w:rsidRPr="00EE36B9">
        <w:rPr>
          <w:rFonts w:ascii="Tahoma" w:hAnsi="Tahoma" w:cs="Tahoma"/>
          <w:b w:val="0"/>
          <w:bCs w:val="0"/>
          <w:color w:val="auto"/>
          <w:sz w:val="20"/>
          <w:szCs w:val="20"/>
        </w:rPr>
        <w:fldChar w:fldCharType="begin"/>
      </w:r>
      <w:r w:rsidRPr="00EE36B9">
        <w:rPr>
          <w:rFonts w:ascii="Tahoma" w:hAnsi="Tahoma" w:cs="Tahoma"/>
          <w:b w:val="0"/>
          <w:bCs w:val="0"/>
          <w:color w:val="auto"/>
          <w:sz w:val="20"/>
          <w:szCs w:val="20"/>
        </w:rPr>
        <w:instrText xml:space="preserve"> SEQ Figura \* ARABIC </w:instrText>
      </w:r>
      <w:r w:rsidRPr="00EE36B9">
        <w:rPr>
          <w:rFonts w:ascii="Tahoma" w:hAnsi="Tahoma" w:cs="Tahoma"/>
          <w:b w:val="0"/>
          <w:bCs w:val="0"/>
          <w:color w:val="auto"/>
          <w:sz w:val="20"/>
          <w:szCs w:val="20"/>
        </w:rPr>
        <w:fldChar w:fldCharType="separate"/>
      </w:r>
      <w:r w:rsidRPr="00EE36B9">
        <w:rPr>
          <w:rFonts w:ascii="Tahoma" w:hAnsi="Tahoma" w:cs="Tahoma"/>
          <w:b w:val="0"/>
          <w:bCs w:val="0"/>
          <w:color w:val="auto"/>
          <w:sz w:val="20"/>
          <w:szCs w:val="20"/>
        </w:rPr>
        <w:t>1</w:t>
      </w:r>
      <w:r w:rsidRPr="00EE36B9">
        <w:rPr>
          <w:rFonts w:ascii="Tahoma" w:hAnsi="Tahoma" w:cs="Tahoma"/>
          <w:b w:val="0"/>
          <w:bCs w:val="0"/>
          <w:color w:val="auto"/>
          <w:sz w:val="20"/>
          <w:szCs w:val="20"/>
        </w:rPr>
        <w:fldChar w:fldCharType="end"/>
      </w:r>
      <w:r w:rsidR="006837BF">
        <w:rPr>
          <w:rFonts w:ascii="Tahoma" w:hAnsi="Tahoma" w:cs="Tahoma"/>
          <w:b w:val="0"/>
          <w:bCs w:val="0"/>
          <w:color w:val="auto"/>
          <w:sz w:val="20"/>
          <w:szCs w:val="20"/>
        </w:rPr>
        <w:t>.</w:t>
      </w:r>
      <w:r w:rsidRPr="00EE36B9">
        <w:rPr>
          <w:rFonts w:ascii="Tahoma" w:hAnsi="Tahoma" w:cs="Tahoma"/>
          <w:b w:val="0"/>
          <w:bCs w:val="0"/>
          <w:color w:val="auto"/>
          <w:sz w:val="20"/>
          <w:szCs w:val="20"/>
        </w:rPr>
        <w:t xml:space="preserve"> Programa Fit-Stroke</w:t>
      </w:r>
    </w:p>
    <w:p w:rsidR="002F08F3" w:rsidRDefault="002F08F3" w:rsidP="00E23704">
      <w:pPr>
        <w:shd w:val="clear" w:color="auto" w:fill="FFFFFF"/>
        <w:spacing w:before="100" w:beforeAutospacing="1" w:after="100" w:afterAutospacing="1" w:line="240" w:lineRule="auto"/>
        <w:rPr>
          <w:rFonts w:ascii="Tahoma" w:eastAsia="Times New Roman" w:hAnsi="Tahoma" w:cs="Tahoma"/>
          <w:color w:val="222222"/>
          <w:sz w:val="20"/>
          <w:szCs w:val="20"/>
          <w:lang w:eastAsia="es-CO"/>
        </w:rPr>
      </w:pPr>
      <w:r>
        <w:rPr>
          <w:noProof/>
          <w:lang w:eastAsia="es-CO"/>
        </w:rPr>
        <w:drawing>
          <wp:inline distT="0" distB="0" distL="0" distR="0" wp14:anchorId="3EF48A2D" wp14:editId="670F8E5D">
            <wp:extent cx="5612130" cy="2723515"/>
            <wp:effectExtent l="0" t="0" r="7620" b="635"/>
            <wp:docPr id="28" name="Imagen 28"/>
            <wp:cNvGraphicFramePr/>
            <a:graphic xmlns:a="http://schemas.openxmlformats.org/drawingml/2006/main">
              <a:graphicData uri="http://schemas.openxmlformats.org/drawingml/2006/picture">
                <pic:pic xmlns:pic="http://schemas.openxmlformats.org/drawingml/2006/picture">
                  <pic:nvPicPr>
                    <pic:cNvPr id="28" name="Imagen 28"/>
                    <pic:cNvPicPr/>
                  </pic:nvPicPr>
                  <pic:blipFill rotWithShape="1">
                    <a:blip r:embed="rId8">
                      <a:extLst>
                        <a:ext uri="{28A0092B-C50C-407E-A947-70E740481C1C}">
                          <a14:useLocalDpi xmlns:a14="http://schemas.microsoft.com/office/drawing/2010/main" val="0"/>
                        </a:ext>
                      </a:extLst>
                    </a:blip>
                    <a:srcRect l="18721" t="20806" r="16314" b="11789"/>
                    <a:stretch/>
                  </pic:blipFill>
                  <pic:spPr bwMode="auto">
                    <a:xfrm>
                      <a:off x="0" y="0"/>
                      <a:ext cx="5612130" cy="2723515"/>
                    </a:xfrm>
                    <a:prstGeom prst="rect">
                      <a:avLst/>
                    </a:prstGeom>
                    <a:ln>
                      <a:noFill/>
                    </a:ln>
                    <a:extLst>
                      <a:ext uri="{53640926-AAD7-44D8-BBD7-CCE9431645EC}">
                        <a14:shadowObscured xmlns:a14="http://schemas.microsoft.com/office/drawing/2010/main"/>
                      </a:ext>
                    </a:extLst>
                  </pic:spPr>
                </pic:pic>
              </a:graphicData>
            </a:graphic>
          </wp:inline>
        </w:drawing>
      </w:r>
    </w:p>
    <w:p w:rsidR="007A5487" w:rsidRDefault="007A5487" w:rsidP="00E23704">
      <w:pPr>
        <w:shd w:val="clear" w:color="auto" w:fill="FFFFFF"/>
        <w:spacing w:before="100" w:beforeAutospacing="1" w:after="100" w:afterAutospacing="1" w:line="240" w:lineRule="auto"/>
        <w:rPr>
          <w:rFonts w:ascii="Tahoma" w:eastAsia="Times New Roman" w:hAnsi="Tahoma" w:cs="Tahoma"/>
          <w:color w:val="222222"/>
          <w:sz w:val="20"/>
          <w:szCs w:val="20"/>
          <w:lang w:eastAsia="es-CO"/>
        </w:rPr>
      </w:pPr>
      <w:r>
        <w:rPr>
          <w:rFonts w:ascii="Tahoma" w:eastAsia="Times New Roman" w:hAnsi="Tahoma" w:cs="Tahoma"/>
          <w:color w:val="222222"/>
          <w:sz w:val="20"/>
          <w:szCs w:val="20"/>
          <w:lang w:eastAsia="es-CO"/>
        </w:rPr>
        <w:t>Fuente: Autores, 2014</w:t>
      </w:r>
    </w:p>
    <w:p w:rsidR="00C00FA0" w:rsidRDefault="00C00FA0" w:rsidP="00F048C0">
      <w:pPr>
        <w:shd w:val="clear" w:color="auto" w:fill="FFFFFF"/>
        <w:spacing w:before="100" w:beforeAutospacing="1" w:after="100" w:afterAutospacing="1" w:line="240" w:lineRule="auto"/>
        <w:jc w:val="both"/>
        <w:rPr>
          <w:rFonts w:ascii="Tahoma" w:eastAsia="Times New Roman" w:hAnsi="Tahoma" w:cs="Tahoma"/>
          <w:color w:val="222222"/>
          <w:sz w:val="20"/>
          <w:szCs w:val="20"/>
          <w:lang w:eastAsia="es-CO"/>
        </w:rPr>
      </w:pPr>
    </w:p>
    <w:p w:rsidR="00F048C0" w:rsidRDefault="00155E06" w:rsidP="00F048C0">
      <w:pPr>
        <w:shd w:val="clear" w:color="auto" w:fill="FFFFFF"/>
        <w:spacing w:before="100" w:beforeAutospacing="1" w:after="100" w:afterAutospacing="1" w:line="240" w:lineRule="auto"/>
        <w:jc w:val="both"/>
        <w:rPr>
          <w:rFonts w:ascii="Tahoma" w:eastAsia="Times New Roman" w:hAnsi="Tahoma" w:cs="Tahoma"/>
          <w:color w:val="222222"/>
          <w:sz w:val="20"/>
          <w:szCs w:val="20"/>
          <w:lang w:eastAsia="es-CO"/>
        </w:rPr>
      </w:pPr>
      <w:r>
        <w:rPr>
          <w:rFonts w:ascii="Tahoma" w:eastAsia="Times New Roman" w:hAnsi="Tahoma" w:cs="Tahoma"/>
          <w:color w:val="222222"/>
          <w:sz w:val="20"/>
          <w:szCs w:val="20"/>
          <w:lang w:eastAsia="es-CO"/>
        </w:rPr>
        <w:t xml:space="preserve">En rehabilitación, se encontró un </w:t>
      </w:r>
      <w:r w:rsidR="0033549D">
        <w:rPr>
          <w:rFonts w:ascii="Tahoma" w:eastAsia="Times New Roman" w:hAnsi="Tahoma" w:cs="Tahoma"/>
          <w:color w:val="222222"/>
          <w:sz w:val="20"/>
          <w:szCs w:val="20"/>
          <w:lang w:eastAsia="es-CO"/>
        </w:rPr>
        <w:t>ensayo controlado aleatorizado</w:t>
      </w:r>
      <w:r w:rsidR="00C02B82">
        <w:rPr>
          <w:rFonts w:ascii="Tahoma" w:eastAsia="Times New Roman" w:hAnsi="Tahoma" w:cs="Tahoma"/>
          <w:color w:val="222222"/>
          <w:sz w:val="20"/>
          <w:szCs w:val="20"/>
          <w:lang w:eastAsia="es-CO"/>
        </w:rPr>
        <w:t xml:space="preserve"> que describe</w:t>
      </w:r>
      <w:r w:rsidR="0033549D">
        <w:rPr>
          <w:rFonts w:ascii="Tahoma" w:eastAsia="Times New Roman" w:hAnsi="Tahoma" w:cs="Tahoma"/>
          <w:color w:val="222222"/>
          <w:sz w:val="20"/>
          <w:szCs w:val="20"/>
          <w:lang w:eastAsia="es-CO"/>
        </w:rPr>
        <w:t xml:space="preserve"> </w:t>
      </w:r>
      <w:r>
        <w:rPr>
          <w:rFonts w:ascii="Tahoma" w:eastAsia="Times New Roman" w:hAnsi="Tahoma" w:cs="Tahoma"/>
          <w:color w:val="222222"/>
          <w:sz w:val="20"/>
          <w:szCs w:val="20"/>
          <w:lang w:eastAsia="es-CO"/>
        </w:rPr>
        <w:t xml:space="preserve">el programa TREAD,  el cual </w:t>
      </w:r>
      <w:r w:rsidR="0033549D">
        <w:rPr>
          <w:rFonts w:ascii="Tahoma" w:eastAsia="Times New Roman" w:hAnsi="Tahoma" w:cs="Tahoma"/>
          <w:color w:val="222222"/>
          <w:sz w:val="20"/>
          <w:szCs w:val="20"/>
          <w:lang w:eastAsia="es-CO"/>
        </w:rPr>
        <w:t>utilizó la actividad física como tratamiento para la intervención</w:t>
      </w:r>
      <w:r>
        <w:rPr>
          <w:rFonts w:ascii="Tahoma" w:eastAsia="Times New Roman" w:hAnsi="Tahoma" w:cs="Tahoma"/>
          <w:color w:val="222222"/>
          <w:sz w:val="20"/>
          <w:szCs w:val="20"/>
          <w:lang w:eastAsia="es-CO"/>
        </w:rPr>
        <w:t xml:space="preserve"> de los pacientes diagnosticados con depresión</w:t>
      </w:r>
      <w:r w:rsidR="0033549D">
        <w:rPr>
          <w:rFonts w:ascii="Tahoma" w:eastAsia="Times New Roman" w:hAnsi="Tahoma" w:cs="Tahoma"/>
          <w:color w:val="222222"/>
          <w:sz w:val="20"/>
          <w:szCs w:val="20"/>
          <w:lang w:eastAsia="es-CO"/>
        </w:rPr>
        <w:t xml:space="preserve">, </w:t>
      </w:r>
      <w:r w:rsidR="00C02B82">
        <w:rPr>
          <w:rFonts w:ascii="Tahoma" w:eastAsia="Times New Roman" w:hAnsi="Tahoma" w:cs="Tahoma"/>
          <w:color w:val="222222"/>
          <w:sz w:val="20"/>
          <w:szCs w:val="20"/>
          <w:lang w:eastAsia="es-CO"/>
        </w:rPr>
        <w:t xml:space="preserve">dichos </w:t>
      </w:r>
      <w:r w:rsidR="0033549D">
        <w:rPr>
          <w:rFonts w:ascii="Tahoma" w:eastAsia="Times New Roman" w:hAnsi="Tahoma" w:cs="Tahoma"/>
          <w:color w:val="222222"/>
          <w:sz w:val="20"/>
          <w:szCs w:val="20"/>
          <w:lang w:eastAsia="es-CO"/>
        </w:rPr>
        <w:t xml:space="preserve">pacientes </w:t>
      </w:r>
      <w:r w:rsidR="00C02B82">
        <w:rPr>
          <w:rFonts w:ascii="Tahoma" w:eastAsia="Times New Roman" w:hAnsi="Tahoma" w:cs="Tahoma"/>
          <w:color w:val="222222"/>
          <w:sz w:val="20"/>
          <w:szCs w:val="20"/>
          <w:lang w:eastAsia="es-CO"/>
        </w:rPr>
        <w:t>fueron a</w:t>
      </w:r>
      <w:r w:rsidR="0033549D">
        <w:rPr>
          <w:rFonts w:ascii="Tahoma" w:eastAsia="Times New Roman" w:hAnsi="Tahoma" w:cs="Tahoma"/>
          <w:color w:val="222222"/>
          <w:sz w:val="20"/>
          <w:szCs w:val="20"/>
          <w:lang w:eastAsia="es-CO"/>
        </w:rPr>
        <w:t xml:space="preserve">sesorados por </w:t>
      </w:r>
      <w:r w:rsidR="00E67EB2">
        <w:rPr>
          <w:rFonts w:ascii="Tahoma" w:eastAsia="Times New Roman" w:hAnsi="Tahoma" w:cs="Tahoma"/>
          <w:color w:val="222222"/>
          <w:sz w:val="20"/>
          <w:szCs w:val="20"/>
          <w:lang w:eastAsia="es-CO"/>
        </w:rPr>
        <w:t xml:space="preserve">el “Facilitador de Actividad Física” durante un período de 8 meses, los cuales utilizaban </w:t>
      </w:r>
      <w:r w:rsidR="00813A13">
        <w:rPr>
          <w:rFonts w:ascii="Tahoma" w:eastAsia="Times New Roman" w:hAnsi="Tahoma" w:cs="Tahoma"/>
          <w:color w:val="222222"/>
          <w:sz w:val="20"/>
          <w:szCs w:val="20"/>
          <w:lang w:eastAsia="es-CO"/>
        </w:rPr>
        <w:t xml:space="preserve">técnicas de intervención motivacional </w:t>
      </w:r>
      <w:r w:rsidR="00A35286">
        <w:rPr>
          <w:rFonts w:ascii="Tahoma" w:eastAsia="Times New Roman" w:hAnsi="Tahoma" w:cs="Tahoma"/>
          <w:color w:val="222222"/>
          <w:sz w:val="20"/>
          <w:szCs w:val="20"/>
          <w:lang w:eastAsia="es-CO"/>
        </w:rPr>
        <w:t xml:space="preserve">y estrategias de fijación de objetivos </w:t>
      </w:r>
      <w:r w:rsidR="002B4228">
        <w:rPr>
          <w:rFonts w:ascii="Tahoma" w:eastAsia="Times New Roman" w:hAnsi="Tahoma" w:cs="Tahoma"/>
          <w:color w:val="222222"/>
          <w:sz w:val="20"/>
          <w:szCs w:val="20"/>
          <w:lang w:eastAsia="es-CO"/>
        </w:rPr>
        <w:t>para alentar a los participantes</w:t>
      </w:r>
      <w:r>
        <w:rPr>
          <w:rFonts w:ascii="Tahoma" w:eastAsia="Times New Roman" w:hAnsi="Tahoma" w:cs="Tahoma"/>
          <w:color w:val="222222"/>
          <w:sz w:val="20"/>
          <w:szCs w:val="20"/>
          <w:lang w:eastAsia="es-CO"/>
        </w:rPr>
        <w:t xml:space="preserve"> </w:t>
      </w:r>
      <w:r w:rsidR="00C02B82">
        <w:rPr>
          <w:rFonts w:ascii="Tahoma" w:eastAsia="Times New Roman" w:hAnsi="Tahoma" w:cs="Tahoma"/>
          <w:color w:val="222222"/>
          <w:sz w:val="20"/>
          <w:szCs w:val="20"/>
          <w:lang w:eastAsia="es-CO"/>
        </w:rPr>
        <w:t xml:space="preserve">a </w:t>
      </w:r>
      <w:r>
        <w:rPr>
          <w:rFonts w:ascii="Tahoma" w:eastAsia="Times New Roman" w:hAnsi="Tahoma" w:cs="Tahoma"/>
          <w:color w:val="222222"/>
          <w:sz w:val="20"/>
          <w:szCs w:val="20"/>
          <w:lang w:eastAsia="es-CO"/>
        </w:rPr>
        <w:t>lograr un rango de actividades físicas disponible</w:t>
      </w:r>
      <w:r w:rsidR="00C02B82">
        <w:rPr>
          <w:rFonts w:ascii="Tahoma" w:eastAsia="Times New Roman" w:hAnsi="Tahoma" w:cs="Tahoma"/>
          <w:color w:val="222222"/>
          <w:sz w:val="20"/>
          <w:szCs w:val="20"/>
          <w:lang w:eastAsia="es-CO"/>
        </w:rPr>
        <w:t>s</w:t>
      </w:r>
      <w:r>
        <w:rPr>
          <w:rFonts w:ascii="Tahoma" w:eastAsia="Times New Roman" w:hAnsi="Tahoma" w:cs="Tahoma"/>
          <w:color w:val="222222"/>
          <w:sz w:val="20"/>
          <w:szCs w:val="20"/>
          <w:lang w:eastAsia="es-CO"/>
        </w:rPr>
        <w:t xml:space="preserve"> y aceptadas localmente.</w:t>
      </w:r>
      <w:r w:rsidR="00C02B82">
        <w:rPr>
          <w:rFonts w:ascii="Tahoma" w:eastAsia="Times New Roman" w:hAnsi="Tahoma" w:cs="Tahoma"/>
          <w:color w:val="222222"/>
          <w:sz w:val="20"/>
          <w:szCs w:val="20"/>
          <w:lang w:eastAsia="es-CO"/>
        </w:rPr>
        <w:t xml:space="preserve"> Al finalizar el estudio se evidencio que </w:t>
      </w:r>
      <w:r w:rsidR="0015637D">
        <w:rPr>
          <w:rFonts w:ascii="Tahoma" w:eastAsia="Times New Roman" w:hAnsi="Tahoma" w:cs="Tahoma"/>
          <w:color w:val="222222"/>
          <w:sz w:val="20"/>
          <w:szCs w:val="20"/>
          <w:lang w:eastAsia="es-CO"/>
        </w:rPr>
        <w:t>la actividad física es una estrategia efectiva pudiendo ser considerada como una alternativa importante o un tratamiento adicional par</w:t>
      </w:r>
      <w:r w:rsidR="00EF49EB">
        <w:rPr>
          <w:rFonts w:ascii="Tahoma" w:eastAsia="Times New Roman" w:hAnsi="Tahoma" w:cs="Tahoma"/>
          <w:color w:val="222222"/>
          <w:sz w:val="20"/>
          <w:szCs w:val="20"/>
          <w:lang w:eastAsia="es-CO"/>
        </w:rPr>
        <w:t>a la depresión, de manera especí</w:t>
      </w:r>
      <w:r w:rsidR="0015637D">
        <w:rPr>
          <w:rFonts w:ascii="Tahoma" w:eastAsia="Times New Roman" w:hAnsi="Tahoma" w:cs="Tahoma"/>
          <w:color w:val="222222"/>
          <w:sz w:val="20"/>
          <w:szCs w:val="20"/>
          <w:lang w:eastAsia="es-CO"/>
        </w:rPr>
        <w:t>fica para aquellos</w:t>
      </w:r>
      <w:r w:rsidR="001B4F13">
        <w:rPr>
          <w:rFonts w:ascii="Tahoma" w:eastAsia="Times New Roman" w:hAnsi="Tahoma" w:cs="Tahoma"/>
          <w:color w:val="222222"/>
          <w:sz w:val="20"/>
          <w:szCs w:val="20"/>
          <w:lang w:eastAsia="es-CO"/>
        </w:rPr>
        <w:t xml:space="preserve"> que prefieren medidas</w:t>
      </w:r>
      <w:r w:rsidR="00EF49EB">
        <w:rPr>
          <w:rFonts w:ascii="Tahoma" w:eastAsia="Times New Roman" w:hAnsi="Tahoma" w:cs="Tahoma"/>
          <w:color w:val="222222"/>
          <w:sz w:val="20"/>
          <w:szCs w:val="20"/>
          <w:lang w:eastAsia="es-CO"/>
        </w:rPr>
        <w:t xml:space="preserve"> no farmacológicas</w:t>
      </w:r>
      <w:r w:rsidR="001B4F13">
        <w:rPr>
          <w:rFonts w:ascii="Tahoma" w:eastAsia="Times New Roman" w:hAnsi="Tahoma" w:cs="Tahoma"/>
          <w:color w:val="222222"/>
          <w:sz w:val="20"/>
          <w:szCs w:val="20"/>
          <w:lang w:eastAsia="es-CO"/>
        </w:rPr>
        <w:t xml:space="preserve"> </w:t>
      </w:r>
      <w:sdt>
        <w:sdtPr>
          <w:rPr>
            <w:rFonts w:ascii="Tahoma" w:eastAsia="Times New Roman" w:hAnsi="Tahoma" w:cs="Tahoma"/>
            <w:color w:val="222222"/>
            <w:sz w:val="20"/>
            <w:szCs w:val="20"/>
            <w:lang w:eastAsia="es-CO"/>
          </w:rPr>
          <w:id w:val="-701710389"/>
          <w:citation/>
        </w:sdtPr>
        <w:sdtContent>
          <w:r w:rsidR="001B4F13">
            <w:rPr>
              <w:rFonts w:ascii="Tahoma" w:eastAsia="Times New Roman" w:hAnsi="Tahoma" w:cs="Tahoma"/>
              <w:color w:val="222222"/>
              <w:sz w:val="20"/>
              <w:szCs w:val="20"/>
              <w:lang w:eastAsia="es-CO"/>
            </w:rPr>
            <w:fldChar w:fldCharType="begin"/>
          </w:r>
          <w:r w:rsidR="001B4F13">
            <w:rPr>
              <w:rFonts w:ascii="Tahoma" w:eastAsia="Times New Roman" w:hAnsi="Tahoma" w:cs="Tahoma"/>
              <w:color w:val="222222"/>
              <w:sz w:val="20"/>
              <w:szCs w:val="20"/>
              <w:lang w:eastAsia="es-CO"/>
            </w:rPr>
            <w:instrText xml:space="preserve"> CITATION Cha12 \l 9226 </w:instrText>
          </w:r>
          <w:r w:rsidR="001B4F13">
            <w:rPr>
              <w:rFonts w:ascii="Tahoma" w:eastAsia="Times New Roman" w:hAnsi="Tahoma" w:cs="Tahoma"/>
              <w:color w:val="222222"/>
              <w:sz w:val="20"/>
              <w:szCs w:val="20"/>
              <w:lang w:eastAsia="es-CO"/>
            </w:rPr>
            <w:fldChar w:fldCharType="separate"/>
          </w:r>
          <w:r w:rsidR="001B4F13" w:rsidRPr="001B4F13">
            <w:rPr>
              <w:rFonts w:ascii="Tahoma" w:eastAsia="Times New Roman" w:hAnsi="Tahoma" w:cs="Tahoma"/>
              <w:noProof/>
              <w:color w:val="222222"/>
              <w:sz w:val="20"/>
              <w:szCs w:val="20"/>
              <w:lang w:eastAsia="es-CO"/>
            </w:rPr>
            <w:t>(Chalder, y otros, 2012)</w:t>
          </w:r>
          <w:r w:rsidR="001B4F13">
            <w:rPr>
              <w:rFonts w:ascii="Tahoma" w:eastAsia="Times New Roman" w:hAnsi="Tahoma" w:cs="Tahoma"/>
              <w:color w:val="222222"/>
              <w:sz w:val="20"/>
              <w:szCs w:val="20"/>
              <w:lang w:eastAsia="es-CO"/>
            </w:rPr>
            <w:fldChar w:fldCharType="end"/>
          </w:r>
        </w:sdtContent>
      </w:sdt>
      <w:r w:rsidR="00EF49EB">
        <w:rPr>
          <w:rFonts w:ascii="Tahoma" w:eastAsia="Times New Roman" w:hAnsi="Tahoma" w:cs="Tahoma"/>
          <w:color w:val="222222"/>
          <w:sz w:val="20"/>
          <w:szCs w:val="20"/>
          <w:lang w:eastAsia="es-CO"/>
        </w:rPr>
        <w:t xml:space="preserve">. </w:t>
      </w:r>
    </w:p>
    <w:p w:rsidR="00C00FA0" w:rsidRDefault="00C00FA0" w:rsidP="00F048C0">
      <w:pPr>
        <w:shd w:val="clear" w:color="auto" w:fill="FFFFFF"/>
        <w:spacing w:before="100" w:beforeAutospacing="1" w:after="100" w:afterAutospacing="1" w:line="240" w:lineRule="auto"/>
        <w:jc w:val="both"/>
        <w:rPr>
          <w:rFonts w:ascii="Tahoma" w:eastAsia="Times New Roman" w:hAnsi="Tahoma" w:cs="Tahoma"/>
          <w:b/>
          <w:bCs/>
          <w:color w:val="222222"/>
          <w:sz w:val="20"/>
          <w:szCs w:val="20"/>
          <w:lang w:eastAsia="es-CO"/>
        </w:rPr>
      </w:pPr>
    </w:p>
    <w:p w:rsidR="00C00FA0" w:rsidRDefault="00C00FA0" w:rsidP="00F048C0">
      <w:pPr>
        <w:shd w:val="clear" w:color="auto" w:fill="FFFFFF"/>
        <w:spacing w:before="100" w:beforeAutospacing="1" w:after="100" w:afterAutospacing="1" w:line="240" w:lineRule="auto"/>
        <w:jc w:val="both"/>
        <w:rPr>
          <w:rFonts w:ascii="Tahoma" w:eastAsia="Times New Roman" w:hAnsi="Tahoma" w:cs="Tahoma"/>
          <w:b/>
          <w:bCs/>
          <w:color w:val="222222"/>
          <w:sz w:val="20"/>
          <w:szCs w:val="20"/>
          <w:lang w:eastAsia="es-CO"/>
        </w:rPr>
      </w:pPr>
    </w:p>
    <w:p w:rsidR="00EE44CB" w:rsidRPr="005876E0" w:rsidRDefault="00EE44CB" w:rsidP="00F048C0">
      <w:pPr>
        <w:shd w:val="clear" w:color="auto" w:fill="FFFFFF"/>
        <w:spacing w:before="100" w:beforeAutospacing="1" w:after="100" w:afterAutospacing="1" w:line="240" w:lineRule="auto"/>
        <w:jc w:val="both"/>
        <w:rPr>
          <w:rFonts w:ascii="Arial" w:eastAsia="Times New Roman" w:hAnsi="Arial" w:cs="Arial"/>
          <w:color w:val="222222"/>
          <w:sz w:val="20"/>
          <w:szCs w:val="20"/>
          <w:lang w:eastAsia="es-CO"/>
        </w:rPr>
      </w:pPr>
      <w:r w:rsidRPr="00EE44CB">
        <w:rPr>
          <w:rFonts w:ascii="Tahoma" w:eastAsia="Times New Roman" w:hAnsi="Tahoma" w:cs="Tahoma"/>
          <w:b/>
          <w:bCs/>
          <w:color w:val="222222"/>
          <w:sz w:val="20"/>
          <w:szCs w:val="20"/>
          <w:lang w:eastAsia="es-CO"/>
        </w:rPr>
        <w:lastRenderedPageBreak/>
        <w:t>Conclusiones. </w:t>
      </w:r>
    </w:p>
    <w:p w:rsidR="00DD0BD5" w:rsidRDefault="005876E0" w:rsidP="00DD0BD5">
      <w:pPr>
        <w:shd w:val="clear" w:color="auto" w:fill="FFFFFF"/>
        <w:spacing w:before="100" w:beforeAutospacing="1" w:after="100" w:afterAutospacing="1" w:line="240" w:lineRule="auto"/>
        <w:jc w:val="both"/>
        <w:rPr>
          <w:rFonts w:ascii="Tahoma" w:eastAsia="Times New Roman" w:hAnsi="Tahoma" w:cs="Tahoma"/>
          <w:color w:val="222222"/>
          <w:sz w:val="20"/>
          <w:szCs w:val="20"/>
          <w:lang w:eastAsia="es-CO"/>
        </w:rPr>
      </w:pPr>
      <w:r>
        <w:rPr>
          <w:rFonts w:ascii="Tahoma" w:eastAsia="Times New Roman" w:hAnsi="Tahoma" w:cs="Tahoma"/>
          <w:color w:val="222222"/>
          <w:sz w:val="20"/>
          <w:szCs w:val="20"/>
          <w:lang w:eastAsia="es-CO"/>
        </w:rPr>
        <w:t xml:space="preserve">Este resultado es el primer acercamiento que se hace del tema, debido a la gran cantidad de información que se pudo recopilar y que es necesario analizar para poder contestar la pregunta de investigación relacionada con </w:t>
      </w:r>
      <w:r w:rsidR="00DD0BD5">
        <w:rPr>
          <w:rFonts w:ascii="Tahoma" w:eastAsia="Times New Roman" w:hAnsi="Tahoma" w:cs="Tahoma"/>
          <w:color w:val="222222"/>
          <w:sz w:val="20"/>
          <w:szCs w:val="20"/>
          <w:lang w:eastAsia="es-CO"/>
        </w:rPr>
        <w:t xml:space="preserve">las acciones de la Actividad Física en la Atención Primaria en Salud. Por lo pronto se encontró el desconocimiento del concepto de APS y mal llamado que se </w:t>
      </w:r>
      <w:r w:rsidR="006E7B90">
        <w:rPr>
          <w:rFonts w:ascii="Tahoma" w:eastAsia="Times New Roman" w:hAnsi="Tahoma" w:cs="Tahoma"/>
          <w:color w:val="222222"/>
          <w:sz w:val="20"/>
          <w:szCs w:val="20"/>
          <w:lang w:eastAsia="es-CO"/>
        </w:rPr>
        <w:t>está</w:t>
      </w:r>
      <w:r w:rsidR="00DD0BD5">
        <w:rPr>
          <w:rFonts w:ascii="Tahoma" w:eastAsia="Times New Roman" w:hAnsi="Tahoma" w:cs="Tahoma"/>
          <w:color w:val="222222"/>
          <w:sz w:val="20"/>
          <w:szCs w:val="20"/>
          <w:lang w:eastAsia="es-CO"/>
        </w:rPr>
        <w:t xml:space="preserve"> haciendo a cualquier programa de intervención como APS, en el que no están claramente las reglas de juego ni tampoco el rol que debe cumplir los profesionales en la promoción, prevención y rehabilitación.</w:t>
      </w:r>
    </w:p>
    <w:p w:rsidR="00180A3D" w:rsidRPr="00EE44CB" w:rsidRDefault="00180A3D" w:rsidP="00DD0BD5">
      <w:pPr>
        <w:shd w:val="clear" w:color="auto" w:fill="FFFFFF"/>
        <w:spacing w:before="100" w:beforeAutospacing="1" w:after="100" w:afterAutospacing="1" w:line="240" w:lineRule="auto"/>
        <w:jc w:val="both"/>
        <w:rPr>
          <w:rFonts w:ascii="Arial" w:eastAsia="Times New Roman" w:hAnsi="Arial" w:cs="Arial"/>
          <w:color w:val="222222"/>
          <w:sz w:val="20"/>
          <w:szCs w:val="20"/>
          <w:lang w:eastAsia="es-CO"/>
        </w:rPr>
      </w:pPr>
    </w:p>
    <w:p w:rsidR="002C47AA" w:rsidRDefault="00100F24">
      <w:pPr>
        <w:rPr>
          <w:rFonts w:ascii="Tahoma" w:eastAsia="Times New Roman" w:hAnsi="Tahoma" w:cs="Tahoma"/>
          <w:b/>
          <w:bCs/>
          <w:color w:val="222222"/>
          <w:sz w:val="20"/>
          <w:szCs w:val="20"/>
          <w:lang w:eastAsia="es-CO"/>
        </w:rPr>
      </w:pPr>
      <w:r>
        <w:rPr>
          <w:rFonts w:ascii="Tahoma" w:eastAsia="Times New Roman" w:hAnsi="Tahoma" w:cs="Tahoma"/>
          <w:b/>
          <w:bCs/>
          <w:color w:val="222222"/>
          <w:sz w:val="20"/>
          <w:szCs w:val="20"/>
          <w:lang w:eastAsia="es-CO"/>
        </w:rPr>
        <w:t>Referencias</w:t>
      </w:r>
      <w:r w:rsidR="00180A3D">
        <w:rPr>
          <w:rFonts w:ascii="Tahoma" w:eastAsia="Times New Roman" w:hAnsi="Tahoma" w:cs="Tahoma"/>
          <w:b/>
          <w:bCs/>
          <w:color w:val="222222"/>
          <w:sz w:val="20"/>
          <w:szCs w:val="20"/>
          <w:lang w:eastAsia="es-CO"/>
        </w:rPr>
        <w:t>.</w:t>
      </w:r>
    </w:p>
    <w:sdt>
      <w:sdtPr>
        <w:rPr>
          <w:rFonts w:asciiTheme="minorHAnsi" w:eastAsiaTheme="minorHAnsi" w:hAnsiTheme="minorHAnsi" w:cstheme="minorBidi"/>
          <w:b w:val="0"/>
          <w:bCs w:val="0"/>
          <w:color w:val="auto"/>
          <w:sz w:val="22"/>
          <w:szCs w:val="22"/>
          <w:lang w:val="es-ES" w:eastAsia="en-US"/>
        </w:rPr>
        <w:id w:val="-281336795"/>
        <w:docPartObj>
          <w:docPartGallery w:val="Bibliographies"/>
          <w:docPartUnique/>
        </w:docPartObj>
      </w:sdtPr>
      <w:sdtEndPr>
        <w:rPr>
          <w:rFonts w:ascii="Tahoma" w:eastAsia="Times New Roman" w:hAnsi="Tahoma" w:cs="Tahoma"/>
          <w:color w:val="222222"/>
          <w:sz w:val="20"/>
          <w:szCs w:val="20"/>
          <w:lang w:val="es-CO"/>
        </w:rPr>
      </w:sdtEndPr>
      <w:sdtContent>
        <w:p w:rsidR="00100F24" w:rsidRPr="00100F24" w:rsidRDefault="00100F24">
          <w:pPr>
            <w:pStyle w:val="Ttulo1"/>
            <w:rPr>
              <w:rFonts w:ascii="Tahoma" w:eastAsia="Times New Roman" w:hAnsi="Tahoma" w:cs="Tahoma"/>
              <w:b w:val="0"/>
              <w:bCs w:val="0"/>
              <w:color w:val="222222"/>
              <w:sz w:val="20"/>
              <w:szCs w:val="20"/>
            </w:rPr>
          </w:pPr>
        </w:p>
        <w:sdt>
          <w:sdtPr>
            <w:rPr>
              <w:rFonts w:ascii="Tahoma" w:eastAsia="Times New Roman" w:hAnsi="Tahoma" w:cs="Tahoma"/>
              <w:color w:val="222222"/>
              <w:sz w:val="20"/>
              <w:szCs w:val="20"/>
              <w:lang w:eastAsia="es-CO"/>
            </w:rPr>
            <w:id w:val="111145805"/>
            <w:bibliography/>
          </w:sdtPr>
          <w:sdtEndPr/>
          <w:sdtContent>
            <w:p w:rsidR="005876E0" w:rsidRDefault="00100F24" w:rsidP="005876E0">
              <w:pPr>
                <w:pStyle w:val="Bibliografa"/>
                <w:ind w:left="720" w:hanging="720"/>
                <w:rPr>
                  <w:noProof/>
                </w:rPr>
              </w:pPr>
              <w:r w:rsidRPr="00100F24">
                <w:rPr>
                  <w:rFonts w:ascii="Tahoma" w:eastAsia="Times New Roman" w:hAnsi="Tahoma" w:cs="Tahoma"/>
                  <w:color w:val="222222"/>
                  <w:sz w:val="20"/>
                  <w:szCs w:val="20"/>
                  <w:lang w:eastAsia="es-CO"/>
                </w:rPr>
                <w:fldChar w:fldCharType="begin"/>
              </w:r>
              <w:r w:rsidRPr="00100F24">
                <w:rPr>
                  <w:rFonts w:ascii="Tahoma" w:eastAsia="Times New Roman" w:hAnsi="Tahoma" w:cs="Tahoma"/>
                  <w:color w:val="222222"/>
                  <w:sz w:val="20"/>
                  <w:szCs w:val="20"/>
                  <w:lang w:eastAsia="es-CO"/>
                </w:rPr>
                <w:instrText>BIBLIOGRAPHY</w:instrText>
              </w:r>
              <w:r w:rsidRPr="00100F24">
                <w:rPr>
                  <w:rFonts w:ascii="Tahoma" w:eastAsia="Times New Roman" w:hAnsi="Tahoma" w:cs="Tahoma"/>
                  <w:color w:val="222222"/>
                  <w:sz w:val="20"/>
                  <w:szCs w:val="20"/>
                  <w:lang w:eastAsia="es-CO"/>
                </w:rPr>
                <w:fldChar w:fldCharType="separate"/>
              </w:r>
              <w:r w:rsidR="005876E0">
                <w:rPr>
                  <w:noProof/>
                </w:rPr>
                <w:t xml:space="preserve">Caswell, S., Craigie, A., Wardle, J., Stead, M., &amp; Anderson, A. (2012). Detailed protocol for the lifestyle intervention in the BeWEL randomised controlled trial of weight loss in adults who have had a colorectal adenoma. </w:t>
              </w:r>
              <w:r w:rsidR="005876E0">
                <w:rPr>
                  <w:i/>
                  <w:iCs/>
                  <w:noProof/>
                </w:rPr>
                <w:t>BMJ Open</w:t>
              </w:r>
              <w:r w:rsidR="005876E0">
                <w:rPr>
                  <w:noProof/>
                </w:rPr>
                <w:t>, 1-9.</w:t>
              </w:r>
            </w:p>
            <w:p w:rsidR="005876E0" w:rsidRDefault="005876E0" w:rsidP="005876E0">
              <w:pPr>
                <w:pStyle w:val="Bibliografa"/>
                <w:ind w:left="720" w:hanging="720"/>
                <w:rPr>
                  <w:noProof/>
                </w:rPr>
              </w:pPr>
              <w:r>
                <w:rPr>
                  <w:noProof/>
                </w:rPr>
                <w:t xml:space="preserve">Chalder, M., Wiles, N. J., Campbell, J., Hollinghurst, S. P., Haase, A. M., Taylor, A. H., y otros. (2012). Facilitated physical activity as a treatment for depressed adults: randomised controlled trial. </w:t>
              </w:r>
              <w:r>
                <w:rPr>
                  <w:i/>
                  <w:iCs/>
                  <w:noProof/>
                </w:rPr>
                <w:t>BMJ</w:t>
              </w:r>
              <w:r>
                <w:rPr>
                  <w:noProof/>
                </w:rPr>
                <w:t>, 1-13.</w:t>
              </w:r>
            </w:p>
            <w:p w:rsidR="005876E0" w:rsidRDefault="005876E0" w:rsidP="005876E0">
              <w:pPr>
                <w:pStyle w:val="Bibliografa"/>
                <w:ind w:left="720" w:hanging="720"/>
                <w:rPr>
                  <w:noProof/>
                </w:rPr>
              </w:pPr>
              <w:r>
                <w:rPr>
                  <w:noProof/>
                </w:rPr>
                <w:t xml:space="preserve">García-Laguna, D. G., García-Salamanca, G. P., Tapiero-Paipa, Y. T., &amp; Ramos, D. M. (2012). DETERMINANTES DE LOS ESTILOS DE VIDA Y SU IMPLICACIÓN EN LA SALUD DE JÓVENES UNIVERSITARIOS. </w:t>
              </w:r>
              <w:r>
                <w:rPr>
                  <w:i/>
                  <w:iCs/>
                  <w:noProof/>
                </w:rPr>
                <w:t>Revista Hacia la Promoción de la Salud</w:t>
              </w:r>
              <w:r>
                <w:rPr>
                  <w:noProof/>
                </w:rPr>
                <w:t>.</w:t>
              </w:r>
            </w:p>
            <w:p w:rsidR="005876E0" w:rsidRDefault="005876E0" w:rsidP="005876E0">
              <w:pPr>
                <w:pStyle w:val="Bibliografa"/>
                <w:ind w:left="720" w:hanging="720"/>
                <w:rPr>
                  <w:noProof/>
                </w:rPr>
              </w:pPr>
              <w:r>
                <w:rPr>
                  <w:noProof/>
                </w:rPr>
                <w:t xml:space="preserve">Macinko, J., Montenegro, H., Nebot Adell, C., Etienne, C., &amp; Salud, G. d. (2007). La renovación de la atención primaria de salud en las Américas. </w:t>
              </w:r>
              <w:r>
                <w:rPr>
                  <w:i/>
                  <w:iCs/>
                  <w:noProof/>
                </w:rPr>
                <w:t xml:space="preserve">Rev Panam Salud Publica. </w:t>
              </w:r>
              <w:r>
                <w:rPr>
                  <w:noProof/>
                </w:rPr>
                <w:t>, 21(2/3):73–84.</w:t>
              </w:r>
            </w:p>
            <w:p w:rsidR="005876E0" w:rsidRDefault="005876E0" w:rsidP="005876E0">
              <w:pPr>
                <w:pStyle w:val="Bibliografa"/>
                <w:ind w:left="720" w:hanging="720"/>
                <w:rPr>
                  <w:noProof/>
                </w:rPr>
              </w:pPr>
              <w:r>
                <w:rPr>
                  <w:noProof/>
                </w:rPr>
                <w:t xml:space="preserve">OMS. (1978). </w:t>
              </w:r>
              <w:r>
                <w:rPr>
                  <w:i/>
                  <w:iCs/>
                  <w:noProof/>
                </w:rPr>
                <w:t>Organización Mundial de la Salud.</w:t>
              </w:r>
              <w:r>
                <w:rPr>
                  <w:noProof/>
                </w:rPr>
                <w:t xml:space="preserve"> Recuperado el 17 de Julio de 2014, de Conferencia Internacional sobre Atención Primaria de Salud, Alma-Ata: http://www.paho.org/spanish/dd/pin/alma-ata_declaracion.htm</w:t>
              </w:r>
            </w:p>
            <w:p w:rsidR="005876E0" w:rsidRDefault="005876E0" w:rsidP="005876E0">
              <w:pPr>
                <w:pStyle w:val="Bibliografa"/>
                <w:ind w:left="720" w:hanging="720"/>
                <w:rPr>
                  <w:noProof/>
                </w:rPr>
              </w:pPr>
              <w:r>
                <w:rPr>
                  <w:noProof/>
                </w:rPr>
                <w:t xml:space="preserve">Organización Mundial de la Salud. (2014). </w:t>
              </w:r>
              <w:r>
                <w:rPr>
                  <w:i/>
                  <w:iCs/>
                  <w:noProof/>
                </w:rPr>
                <w:t>Discapacidades y rehabilitación</w:t>
              </w:r>
              <w:r>
                <w:rPr>
                  <w:noProof/>
                </w:rPr>
                <w:t>. Recuperado el 14 de Septiembre de 2014, de Discapacidades y rehabilitación: http://www.who.int/disabilities/care/es/</w:t>
              </w:r>
            </w:p>
            <w:p w:rsidR="005876E0" w:rsidRDefault="005876E0" w:rsidP="005876E0">
              <w:pPr>
                <w:pStyle w:val="Bibliografa"/>
                <w:ind w:left="720" w:hanging="720"/>
                <w:rPr>
                  <w:noProof/>
                </w:rPr>
              </w:pPr>
              <w:r>
                <w:rPr>
                  <w:noProof/>
                </w:rPr>
                <w:t xml:space="preserve">Organización Mundial de la Salud. (2014). </w:t>
              </w:r>
              <w:r>
                <w:rPr>
                  <w:i/>
                  <w:iCs/>
                  <w:noProof/>
                </w:rPr>
                <w:t>Estrategia mundial sobre régimen alimentario, actividad física y salud</w:t>
              </w:r>
              <w:r>
                <w:rPr>
                  <w:noProof/>
                </w:rPr>
                <w:t>. Recuperado el 17 de Septiembre de 2014, de Estrategia mundial sobre régimen alimentario, actividad física y salud: http://www.who.int/dietphysicalactivity/pa/es/</w:t>
              </w:r>
            </w:p>
            <w:p w:rsidR="005876E0" w:rsidRDefault="005876E0" w:rsidP="005876E0">
              <w:pPr>
                <w:pStyle w:val="Bibliografa"/>
                <w:ind w:left="720" w:hanging="720"/>
                <w:rPr>
                  <w:noProof/>
                </w:rPr>
              </w:pPr>
              <w:r>
                <w:rPr>
                  <w:noProof/>
                </w:rPr>
                <w:t xml:space="preserve">Organización Mundial de la Salud. (2014). </w:t>
              </w:r>
              <w:r>
                <w:rPr>
                  <w:i/>
                  <w:iCs/>
                  <w:noProof/>
                </w:rPr>
                <w:t>Promoción de la Salud</w:t>
              </w:r>
              <w:r>
                <w:rPr>
                  <w:noProof/>
                </w:rPr>
                <w:t>. Recuperado el 14 de Septiembre de 2014, de Promoción de la Salud: http://www.who.int/healthpromotion/en/</w:t>
              </w:r>
            </w:p>
            <w:p w:rsidR="005876E0" w:rsidRDefault="005876E0" w:rsidP="005876E0">
              <w:pPr>
                <w:pStyle w:val="Bibliografa"/>
                <w:ind w:left="720" w:hanging="720"/>
                <w:rPr>
                  <w:noProof/>
                </w:rPr>
              </w:pPr>
              <w:r>
                <w:rPr>
                  <w:noProof/>
                </w:rPr>
                <w:lastRenderedPageBreak/>
                <w:t xml:space="preserve">Organización Panamericana de la Salud. (s.f.). </w:t>
              </w:r>
              <w:r>
                <w:rPr>
                  <w:i/>
                  <w:iCs/>
                  <w:noProof/>
                </w:rPr>
                <w:t xml:space="preserve">PREVENCION Y CONTROL DE ENFERMEDADES </w:t>
              </w:r>
              <w:r>
                <w:rPr>
                  <w:noProof/>
                </w:rPr>
                <w:t>. Recuperado el 14 de Septiembre de 2014, de PREVENCION Y CONTROL DE ENFERMEDADES : http://www.col.ops-oms.org/prevencion/carmen.asp</w:t>
              </w:r>
            </w:p>
            <w:p w:rsidR="005876E0" w:rsidRDefault="005876E0" w:rsidP="005876E0">
              <w:pPr>
                <w:pStyle w:val="Bibliografa"/>
                <w:ind w:left="720" w:hanging="720"/>
                <w:rPr>
                  <w:noProof/>
                </w:rPr>
              </w:pPr>
              <w:r>
                <w:rPr>
                  <w:noProof/>
                </w:rPr>
                <w:t xml:space="preserve">Orgnización Panamericana de la Salud. (s.f.). </w:t>
              </w:r>
              <w:r>
                <w:rPr>
                  <w:i/>
                  <w:iCs/>
                  <w:noProof/>
                </w:rPr>
                <w:t xml:space="preserve">PREVENCION Y CONTROL DE ENFERMEDADES </w:t>
              </w:r>
              <w:r>
                <w:rPr>
                  <w:noProof/>
                </w:rPr>
                <w:t>. Recuperado el 14 de Septiembre de 2014, de PREVENCION Y CONTROL DE ENFERMEDADES : http://www.col.ops-oms.org/prevencion/carmen_bol01.asp</w:t>
              </w:r>
            </w:p>
            <w:p w:rsidR="005876E0" w:rsidRDefault="005876E0" w:rsidP="005876E0">
              <w:pPr>
                <w:pStyle w:val="Bibliografa"/>
                <w:ind w:left="720" w:hanging="720"/>
                <w:rPr>
                  <w:noProof/>
                </w:rPr>
              </w:pPr>
              <w:r>
                <w:rPr>
                  <w:noProof/>
                </w:rPr>
                <w:t xml:space="preserve">REPÚBLICA DE COLOMBIA - GOBIERNO NACIONAL. (19 de Enero de 2011). </w:t>
              </w:r>
              <w:r>
                <w:rPr>
                  <w:i/>
                  <w:iCs/>
                  <w:noProof/>
                </w:rPr>
                <w:t>Alcaldía de Bogotá.</w:t>
              </w:r>
              <w:r>
                <w:rPr>
                  <w:noProof/>
                </w:rPr>
                <w:t xml:space="preserve"> Recuperado el 20 de Enero de 2014, de Alcaldía de Bogotá: http://www.alcaldiabogota.gov.co/sisjur/normas/Norma1.jsp?i=41355</w:t>
              </w:r>
            </w:p>
            <w:p w:rsidR="005876E0" w:rsidRDefault="005876E0" w:rsidP="005876E0">
              <w:pPr>
                <w:pStyle w:val="Bibliografa"/>
                <w:ind w:left="720" w:hanging="720"/>
                <w:rPr>
                  <w:noProof/>
                </w:rPr>
              </w:pPr>
              <w:r>
                <w:rPr>
                  <w:noProof/>
                </w:rPr>
                <w:t xml:space="preserve">Secretaria Distrital de Salud. (2013). </w:t>
              </w:r>
              <w:r>
                <w:rPr>
                  <w:i/>
                  <w:iCs/>
                  <w:noProof/>
                </w:rPr>
                <w:t>FORTALECIMIENTO DE ESPACIOS LOCALES (MESAS, CONSEJOS Y COMITÉS) PARA LA CONSTRUCCION E IMPLEMENTACION DE POLITICAS PÚBLICAS PARA LA SALUD.</w:t>
              </w:r>
              <w:r>
                <w:rPr>
                  <w:noProof/>
                </w:rPr>
                <w:t xml:space="preserve"> Bogotá: Secretaria Distristal de Salud.</w:t>
              </w:r>
            </w:p>
            <w:p w:rsidR="005876E0" w:rsidRDefault="005876E0" w:rsidP="005876E0">
              <w:pPr>
                <w:pStyle w:val="Bibliografa"/>
                <w:ind w:left="720" w:hanging="720"/>
                <w:rPr>
                  <w:noProof/>
                </w:rPr>
              </w:pPr>
              <w:r>
                <w:rPr>
                  <w:noProof/>
                </w:rPr>
                <w:t xml:space="preserve">Tobi, P., Estacio, E. V., Yu, G., Renton, A., &amp; Foster, N. (2012). Who stays, who drops out? Biosocial predictors of longer-term adherence in participants attending an exercise referral scheme in the UK. </w:t>
              </w:r>
              <w:r>
                <w:rPr>
                  <w:i/>
                  <w:iCs/>
                  <w:noProof/>
                </w:rPr>
                <w:t>BMC Public Health</w:t>
              </w:r>
              <w:r>
                <w:rPr>
                  <w:noProof/>
                </w:rPr>
                <w:t>, 1-7.</w:t>
              </w:r>
            </w:p>
            <w:p w:rsidR="005876E0" w:rsidRDefault="005876E0" w:rsidP="005876E0">
              <w:pPr>
                <w:pStyle w:val="Bibliografa"/>
                <w:ind w:left="720" w:hanging="720"/>
                <w:rPr>
                  <w:noProof/>
                </w:rPr>
              </w:pPr>
              <w:r>
                <w:rPr>
                  <w:noProof/>
                </w:rPr>
                <w:t xml:space="preserve">Van de Port, I., Wevers, L., Lindeman, E., &amp; Kwakkel, G. (2012). Effects of circuit training as alternative to usual physiotherapy after stroke: randomised controlled trial. </w:t>
              </w:r>
              <w:r>
                <w:rPr>
                  <w:i/>
                  <w:iCs/>
                  <w:noProof/>
                </w:rPr>
                <w:t>BMJ</w:t>
              </w:r>
              <w:r>
                <w:rPr>
                  <w:noProof/>
                </w:rPr>
                <w:t>, 1-10.</w:t>
              </w:r>
            </w:p>
            <w:p w:rsidR="005876E0" w:rsidRDefault="005876E0" w:rsidP="005876E0">
              <w:pPr>
                <w:pStyle w:val="Bibliografa"/>
                <w:ind w:left="720" w:hanging="720"/>
                <w:rPr>
                  <w:noProof/>
                </w:rPr>
              </w:pPr>
              <w:r>
                <w:rPr>
                  <w:noProof/>
                </w:rPr>
                <w:t xml:space="preserve">Van der Heijden, M., Pouwer, F., Romeijnders, A., &amp; Pop, V. (2012). Testing the effectiveness of a self-efficacy based exercise intervention for inactive people with type 2 diabetes mellitus: design of a controlled clinical trial. </w:t>
              </w:r>
              <w:r>
                <w:rPr>
                  <w:i/>
                  <w:iCs/>
                  <w:noProof/>
                </w:rPr>
                <w:t>BMJ</w:t>
              </w:r>
              <w:r>
                <w:rPr>
                  <w:noProof/>
                </w:rPr>
                <w:t>, 1-13.</w:t>
              </w:r>
            </w:p>
            <w:p w:rsidR="005876E0" w:rsidRDefault="005876E0" w:rsidP="005876E0">
              <w:pPr>
                <w:pStyle w:val="Bibliografa"/>
                <w:ind w:left="720" w:hanging="720"/>
                <w:rPr>
                  <w:noProof/>
                </w:rPr>
              </w:pPr>
              <w:r>
                <w:rPr>
                  <w:noProof/>
                </w:rPr>
                <w:t xml:space="preserve">Van Schijndel-Speet, M., Evenhuis, H., Van Empelen, P., van Wijck, R., &amp; Echteld, M. (2013). Development and evaluation of a structured programme for promoting physical activity among seniors with intellectual disabilities: a study protocol for a cluster randomized trial. </w:t>
              </w:r>
              <w:r>
                <w:rPr>
                  <w:i/>
                  <w:iCs/>
                  <w:noProof/>
                </w:rPr>
                <w:t>BMC Public Healh</w:t>
              </w:r>
              <w:r>
                <w:rPr>
                  <w:noProof/>
                </w:rPr>
                <w:t>, 1-10.</w:t>
              </w:r>
            </w:p>
            <w:p w:rsidR="005876E0" w:rsidRDefault="005876E0" w:rsidP="005876E0">
              <w:pPr>
                <w:pStyle w:val="Bibliografa"/>
                <w:ind w:left="720" w:hanging="720"/>
                <w:rPr>
                  <w:noProof/>
                </w:rPr>
              </w:pPr>
              <w:r>
                <w:rPr>
                  <w:noProof/>
                </w:rPr>
                <w:t xml:space="preserve">Vidarte Claros, J. A., Vélez Álvarez, C., Sandoval Cuellar, C., &amp; Alfonso Mora, M. L. (2011). ACTIVIDAD FÍSICA: ESTRATEGIA DE PROMOCIÓN DE LA SALUD. . </w:t>
              </w:r>
              <w:r>
                <w:rPr>
                  <w:i/>
                  <w:iCs/>
                  <w:noProof/>
                </w:rPr>
                <w:t>Hacia la Promoción de la Salud</w:t>
              </w:r>
              <w:r>
                <w:rPr>
                  <w:noProof/>
                </w:rPr>
                <w:t>, 202-218.</w:t>
              </w:r>
            </w:p>
            <w:p w:rsidR="00100F24" w:rsidRPr="00100F24" w:rsidRDefault="00100F24" w:rsidP="005876E0">
              <w:pPr>
                <w:rPr>
                  <w:rFonts w:ascii="Tahoma" w:eastAsia="Times New Roman" w:hAnsi="Tahoma" w:cs="Tahoma"/>
                  <w:color w:val="222222"/>
                  <w:sz w:val="20"/>
                  <w:szCs w:val="20"/>
                  <w:lang w:eastAsia="es-CO"/>
                </w:rPr>
              </w:pPr>
              <w:r w:rsidRPr="00100F24">
                <w:rPr>
                  <w:rFonts w:ascii="Tahoma" w:eastAsia="Times New Roman" w:hAnsi="Tahoma" w:cs="Tahoma"/>
                  <w:color w:val="222222"/>
                  <w:sz w:val="20"/>
                  <w:szCs w:val="20"/>
                  <w:lang w:eastAsia="es-CO"/>
                </w:rPr>
                <w:fldChar w:fldCharType="end"/>
              </w:r>
            </w:p>
          </w:sdtContent>
        </w:sdt>
      </w:sdtContent>
    </w:sdt>
    <w:p w:rsidR="00100F24" w:rsidRPr="00100F24" w:rsidRDefault="00100F24">
      <w:pPr>
        <w:rPr>
          <w:rFonts w:ascii="Tahoma" w:eastAsia="Times New Roman" w:hAnsi="Tahoma" w:cs="Tahoma"/>
          <w:color w:val="222222"/>
          <w:sz w:val="20"/>
          <w:szCs w:val="20"/>
          <w:lang w:eastAsia="es-CO"/>
        </w:rPr>
      </w:pPr>
    </w:p>
    <w:sectPr w:rsidR="00100F24" w:rsidRPr="00100F2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C5885" w:rsidRDefault="008C5885" w:rsidP="00EE44CB">
      <w:pPr>
        <w:spacing w:after="0" w:line="240" w:lineRule="auto"/>
      </w:pPr>
      <w:r>
        <w:separator/>
      </w:r>
    </w:p>
  </w:endnote>
  <w:endnote w:type="continuationSeparator" w:id="0">
    <w:p w:rsidR="008C5885" w:rsidRDefault="008C5885" w:rsidP="00EE44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C5885" w:rsidRDefault="008C5885" w:rsidP="00EE44CB">
      <w:pPr>
        <w:spacing w:after="0" w:line="240" w:lineRule="auto"/>
      </w:pPr>
      <w:r>
        <w:separator/>
      </w:r>
    </w:p>
  </w:footnote>
  <w:footnote w:type="continuationSeparator" w:id="0">
    <w:p w:rsidR="008C5885" w:rsidRDefault="008C5885" w:rsidP="00EE44CB">
      <w:pPr>
        <w:spacing w:after="0" w:line="240" w:lineRule="auto"/>
      </w:pPr>
      <w:r>
        <w:continuationSeparator/>
      </w:r>
    </w:p>
  </w:footnote>
  <w:footnote w:id="1">
    <w:p w:rsidR="007C5447" w:rsidRDefault="007C5447" w:rsidP="0060265B">
      <w:pPr>
        <w:pStyle w:val="Textonotapie"/>
        <w:jc w:val="both"/>
      </w:pPr>
      <w:r>
        <w:rPr>
          <w:rStyle w:val="Refdenotaalpie"/>
        </w:rPr>
        <w:footnoteRef/>
      </w:r>
      <w:r>
        <w:t xml:space="preserve"> Ponencia procedencia del proyecto aceptado en la convocatoria FODEIN capítulo 2 del 2014 “Actividad Física en la Atención Primaria en Salud”. Grupo de investigación de Cuerpo, Sujeto y Educación, línea de estudios sociales del proceso salud-enfermedad</w:t>
      </w:r>
    </w:p>
  </w:footnote>
  <w:footnote w:id="2">
    <w:p w:rsidR="007C5447" w:rsidRDefault="007C5447" w:rsidP="0060265B">
      <w:pPr>
        <w:pStyle w:val="Textonotapie"/>
        <w:jc w:val="both"/>
      </w:pPr>
      <w:r>
        <w:rPr>
          <w:rStyle w:val="Refdenotaalpie"/>
        </w:rPr>
        <w:footnoteRef/>
      </w:r>
      <w:r>
        <w:t xml:space="preserve"> Fisioterapeuta, Magíster en Salud Pública de la Universidad Nacional de Colombia. </w:t>
      </w:r>
      <w:hyperlink r:id="rId1" w:history="1">
        <w:r w:rsidRPr="006846BE">
          <w:rPr>
            <w:rStyle w:val="Hipervnculo"/>
          </w:rPr>
          <w:t>laura.castro@usantotomas.edu.co</w:t>
        </w:r>
      </w:hyperlink>
      <w:r>
        <w:t xml:space="preserve"> Universidad Santo Tomás, Facultad de Cultura Física, Deporte y Recreación.</w:t>
      </w:r>
    </w:p>
  </w:footnote>
  <w:footnote w:id="3">
    <w:p w:rsidR="007C5447" w:rsidRDefault="007C5447" w:rsidP="0060265B">
      <w:pPr>
        <w:pStyle w:val="Textonotapie"/>
        <w:jc w:val="both"/>
      </w:pPr>
      <w:r>
        <w:rPr>
          <w:rStyle w:val="Refdenotaalpie"/>
        </w:rPr>
        <w:footnoteRef/>
      </w:r>
      <w:r>
        <w:t xml:space="preserve"> Fisioterapeuta, Magíster en Fisiología de la Universidad Nacional de Colombia. </w:t>
      </w:r>
      <w:hyperlink r:id="rId2" w:history="1">
        <w:r w:rsidR="00D80D0F" w:rsidRPr="00F55514">
          <w:rPr>
            <w:rStyle w:val="Hipervnculo"/>
          </w:rPr>
          <w:t>yenniarguello@usantotomas.edu.co</w:t>
        </w:r>
      </w:hyperlink>
      <w:r>
        <w:t xml:space="preserve"> Universidad Santo Tomás, Facultad de Cultura Física, Deporte y Recreación.</w:t>
      </w:r>
    </w:p>
  </w:footnote>
  <w:footnote w:id="4">
    <w:p w:rsidR="007C5447" w:rsidRDefault="007C5447" w:rsidP="0060265B">
      <w:pPr>
        <w:pStyle w:val="Textonotapie"/>
        <w:jc w:val="both"/>
      </w:pPr>
      <w:r>
        <w:rPr>
          <w:rStyle w:val="Refdenotaalpie"/>
        </w:rPr>
        <w:footnoteRef/>
      </w:r>
      <w:r>
        <w:t xml:space="preserve"> Fisioterapeuta de la Universidad del Rosario. </w:t>
      </w:r>
      <w:hyperlink r:id="rId3" w:history="1">
        <w:r w:rsidRPr="006846BE">
          <w:rPr>
            <w:rStyle w:val="Hipervnculo"/>
          </w:rPr>
          <w:t>jaison.cucarian@iberoamericana.edu.co</w:t>
        </w:r>
      </w:hyperlink>
      <w:r>
        <w:t>. Corporación Universitaria Iberoamericana. Facultad de Ciencias de la Salud, Programa de Fisioterapia.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926306A"/>
    <w:multiLevelType w:val="hybridMultilevel"/>
    <w:tmpl w:val="1AD810EE"/>
    <w:lvl w:ilvl="0" w:tplc="B268E844">
      <w:numFmt w:val="bullet"/>
      <w:lvlText w:val="-"/>
      <w:lvlJc w:val="left"/>
      <w:pPr>
        <w:ind w:left="644" w:hanging="360"/>
      </w:pPr>
      <w:rPr>
        <w:rFonts w:ascii="Tahoma" w:eastAsia="Times New Roman" w:hAnsi="Tahoma" w:cs="Tahoma"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1">
    <w:nsid w:val="426C6CE8"/>
    <w:multiLevelType w:val="multilevel"/>
    <w:tmpl w:val="B3C66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4"/>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4CB"/>
    <w:rsid w:val="00002957"/>
    <w:rsid w:val="0003786B"/>
    <w:rsid w:val="000A121F"/>
    <w:rsid w:val="00100F24"/>
    <w:rsid w:val="00155E06"/>
    <w:rsid w:val="0015637D"/>
    <w:rsid w:val="00175430"/>
    <w:rsid w:val="00180A3D"/>
    <w:rsid w:val="001B28BD"/>
    <w:rsid w:val="001B4F13"/>
    <w:rsid w:val="00211814"/>
    <w:rsid w:val="002836A8"/>
    <w:rsid w:val="002B4228"/>
    <w:rsid w:val="002C47AA"/>
    <w:rsid w:val="002D00B1"/>
    <w:rsid w:val="002D6C28"/>
    <w:rsid w:val="002F08F3"/>
    <w:rsid w:val="0033549D"/>
    <w:rsid w:val="003734C8"/>
    <w:rsid w:val="003D62FD"/>
    <w:rsid w:val="003F3B58"/>
    <w:rsid w:val="00434680"/>
    <w:rsid w:val="00450AD5"/>
    <w:rsid w:val="00482749"/>
    <w:rsid w:val="00495D9C"/>
    <w:rsid w:val="004F66D6"/>
    <w:rsid w:val="00526DFB"/>
    <w:rsid w:val="00526F9E"/>
    <w:rsid w:val="00554971"/>
    <w:rsid w:val="005876E0"/>
    <w:rsid w:val="005B7D6A"/>
    <w:rsid w:val="0060265B"/>
    <w:rsid w:val="0061075F"/>
    <w:rsid w:val="0062777E"/>
    <w:rsid w:val="0063794E"/>
    <w:rsid w:val="006837BF"/>
    <w:rsid w:val="006E7B90"/>
    <w:rsid w:val="0072723A"/>
    <w:rsid w:val="00741AA9"/>
    <w:rsid w:val="007827AA"/>
    <w:rsid w:val="007A5487"/>
    <w:rsid w:val="007B79B0"/>
    <w:rsid w:val="007C5447"/>
    <w:rsid w:val="00804E84"/>
    <w:rsid w:val="00813A13"/>
    <w:rsid w:val="008673D1"/>
    <w:rsid w:val="0087203E"/>
    <w:rsid w:val="008A34A9"/>
    <w:rsid w:val="008C5885"/>
    <w:rsid w:val="008E10D1"/>
    <w:rsid w:val="00910524"/>
    <w:rsid w:val="00934480"/>
    <w:rsid w:val="00960542"/>
    <w:rsid w:val="00960629"/>
    <w:rsid w:val="00965BC5"/>
    <w:rsid w:val="00996229"/>
    <w:rsid w:val="00A34323"/>
    <w:rsid w:val="00A35286"/>
    <w:rsid w:val="00A354BC"/>
    <w:rsid w:val="00AD336A"/>
    <w:rsid w:val="00B13574"/>
    <w:rsid w:val="00B84F11"/>
    <w:rsid w:val="00B90D6E"/>
    <w:rsid w:val="00C00FA0"/>
    <w:rsid w:val="00C02B82"/>
    <w:rsid w:val="00C10AE1"/>
    <w:rsid w:val="00C3280E"/>
    <w:rsid w:val="00C55C58"/>
    <w:rsid w:val="00C97988"/>
    <w:rsid w:val="00CF2213"/>
    <w:rsid w:val="00D152FF"/>
    <w:rsid w:val="00D36992"/>
    <w:rsid w:val="00D72787"/>
    <w:rsid w:val="00D80D0F"/>
    <w:rsid w:val="00D903DF"/>
    <w:rsid w:val="00DD0BD5"/>
    <w:rsid w:val="00E23704"/>
    <w:rsid w:val="00E67EB2"/>
    <w:rsid w:val="00E82087"/>
    <w:rsid w:val="00E83D7E"/>
    <w:rsid w:val="00EB5528"/>
    <w:rsid w:val="00EB76F0"/>
    <w:rsid w:val="00EE36B9"/>
    <w:rsid w:val="00EE44CB"/>
    <w:rsid w:val="00EF45DD"/>
    <w:rsid w:val="00EF49EB"/>
    <w:rsid w:val="00F048C0"/>
    <w:rsid w:val="00F2663C"/>
    <w:rsid w:val="00FE7E5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E882372-0101-4EBC-A2EA-100BCF667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100F24"/>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EE44C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E44CB"/>
    <w:rPr>
      <w:sz w:val="20"/>
      <w:szCs w:val="20"/>
    </w:rPr>
  </w:style>
  <w:style w:type="character" w:styleId="Refdenotaalpie">
    <w:name w:val="footnote reference"/>
    <w:basedOn w:val="Fuentedeprrafopredeter"/>
    <w:uiPriority w:val="99"/>
    <w:semiHidden/>
    <w:unhideWhenUsed/>
    <w:rsid w:val="00EE44CB"/>
    <w:rPr>
      <w:vertAlign w:val="superscript"/>
    </w:rPr>
  </w:style>
  <w:style w:type="character" w:styleId="Hipervnculo">
    <w:name w:val="Hyperlink"/>
    <w:basedOn w:val="Fuentedeprrafopredeter"/>
    <w:uiPriority w:val="99"/>
    <w:unhideWhenUsed/>
    <w:rsid w:val="00F2663C"/>
    <w:rPr>
      <w:color w:val="0000FF" w:themeColor="hyperlink"/>
      <w:u w:val="single"/>
    </w:rPr>
  </w:style>
  <w:style w:type="paragraph" w:styleId="Prrafodelista">
    <w:name w:val="List Paragraph"/>
    <w:basedOn w:val="Normal"/>
    <w:uiPriority w:val="34"/>
    <w:qFormat/>
    <w:rsid w:val="002D00B1"/>
    <w:pPr>
      <w:ind w:left="720"/>
      <w:contextualSpacing/>
    </w:pPr>
  </w:style>
  <w:style w:type="paragraph" w:styleId="Textodeglobo">
    <w:name w:val="Balloon Text"/>
    <w:basedOn w:val="Normal"/>
    <w:link w:val="TextodegloboCar"/>
    <w:uiPriority w:val="99"/>
    <w:semiHidden/>
    <w:unhideWhenUsed/>
    <w:rsid w:val="002D00B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D00B1"/>
    <w:rPr>
      <w:rFonts w:ascii="Tahoma" w:hAnsi="Tahoma" w:cs="Tahoma"/>
      <w:sz w:val="16"/>
      <w:szCs w:val="16"/>
    </w:rPr>
  </w:style>
  <w:style w:type="character" w:styleId="Refdecomentario">
    <w:name w:val="annotation reference"/>
    <w:basedOn w:val="Fuentedeprrafopredeter"/>
    <w:uiPriority w:val="99"/>
    <w:semiHidden/>
    <w:unhideWhenUsed/>
    <w:rsid w:val="00526F9E"/>
    <w:rPr>
      <w:sz w:val="16"/>
      <w:szCs w:val="16"/>
    </w:rPr>
  </w:style>
  <w:style w:type="paragraph" w:styleId="Textocomentario">
    <w:name w:val="annotation text"/>
    <w:basedOn w:val="Normal"/>
    <w:link w:val="TextocomentarioCar"/>
    <w:uiPriority w:val="99"/>
    <w:semiHidden/>
    <w:unhideWhenUsed/>
    <w:rsid w:val="00526F9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26F9E"/>
    <w:rPr>
      <w:sz w:val="20"/>
      <w:szCs w:val="20"/>
    </w:rPr>
  </w:style>
  <w:style w:type="paragraph" w:styleId="Asuntodelcomentario">
    <w:name w:val="annotation subject"/>
    <w:basedOn w:val="Textocomentario"/>
    <w:next w:val="Textocomentario"/>
    <w:link w:val="AsuntodelcomentarioCar"/>
    <w:uiPriority w:val="99"/>
    <w:semiHidden/>
    <w:unhideWhenUsed/>
    <w:rsid w:val="00526F9E"/>
    <w:rPr>
      <w:b/>
      <w:bCs/>
    </w:rPr>
  </w:style>
  <w:style w:type="character" w:customStyle="1" w:styleId="AsuntodelcomentarioCar">
    <w:name w:val="Asunto del comentario Car"/>
    <w:basedOn w:val="TextocomentarioCar"/>
    <w:link w:val="Asuntodelcomentario"/>
    <w:uiPriority w:val="99"/>
    <w:semiHidden/>
    <w:rsid w:val="00526F9E"/>
    <w:rPr>
      <w:b/>
      <w:bCs/>
      <w:sz w:val="20"/>
      <w:szCs w:val="20"/>
    </w:rPr>
  </w:style>
  <w:style w:type="paragraph" w:styleId="Sinespaciado">
    <w:name w:val="No Spacing"/>
    <w:uiPriority w:val="1"/>
    <w:qFormat/>
    <w:rsid w:val="00A34323"/>
    <w:pPr>
      <w:spacing w:after="0" w:line="240" w:lineRule="auto"/>
    </w:pPr>
    <w:rPr>
      <w:lang w:val="es-ES"/>
    </w:rPr>
  </w:style>
  <w:style w:type="paragraph" w:styleId="Descripcin">
    <w:name w:val="caption"/>
    <w:basedOn w:val="Normal"/>
    <w:next w:val="Normal"/>
    <w:uiPriority w:val="35"/>
    <w:semiHidden/>
    <w:unhideWhenUsed/>
    <w:qFormat/>
    <w:rsid w:val="007A5487"/>
    <w:pPr>
      <w:spacing w:line="240" w:lineRule="auto"/>
    </w:pPr>
    <w:rPr>
      <w:b/>
      <w:bCs/>
      <w:color w:val="4F81BD" w:themeColor="accent1"/>
      <w:sz w:val="18"/>
      <w:szCs w:val="18"/>
    </w:rPr>
  </w:style>
  <w:style w:type="character" w:customStyle="1" w:styleId="apple-converted-space">
    <w:name w:val="apple-converted-space"/>
    <w:basedOn w:val="Fuentedeprrafopredeter"/>
    <w:rsid w:val="00EF45DD"/>
  </w:style>
  <w:style w:type="character" w:customStyle="1" w:styleId="Ttulo1Car">
    <w:name w:val="Título 1 Car"/>
    <w:basedOn w:val="Fuentedeprrafopredeter"/>
    <w:link w:val="Ttulo1"/>
    <w:uiPriority w:val="9"/>
    <w:rsid w:val="00100F24"/>
    <w:rPr>
      <w:rFonts w:asciiTheme="majorHAnsi" w:eastAsiaTheme="majorEastAsia" w:hAnsiTheme="majorHAnsi" w:cstheme="majorBidi"/>
      <w:b/>
      <w:bCs/>
      <w:color w:val="365F91" w:themeColor="accent1" w:themeShade="BF"/>
      <w:sz w:val="28"/>
      <w:szCs w:val="28"/>
      <w:lang w:eastAsia="es-CO"/>
    </w:rPr>
  </w:style>
  <w:style w:type="paragraph" w:styleId="Bibliografa">
    <w:name w:val="Bibliography"/>
    <w:basedOn w:val="Normal"/>
    <w:next w:val="Normal"/>
    <w:uiPriority w:val="37"/>
    <w:unhideWhenUsed/>
    <w:rsid w:val="00100F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0080698">
      <w:bodyDiv w:val="1"/>
      <w:marLeft w:val="0"/>
      <w:marRight w:val="0"/>
      <w:marTop w:val="0"/>
      <w:marBottom w:val="0"/>
      <w:divBdr>
        <w:top w:val="none" w:sz="0" w:space="0" w:color="auto"/>
        <w:left w:val="none" w:sz="0" w:space="0" w:color="auto"/>
        <w:bottom w:val="none" w:sz="0" w:space="0" w:color="auto"/>
        <w:right w:val="none" w:sz="0" w:space="0" w:color="auto"/>
      </w:divBdr>
    </w:div>
    <w:div w:id="577328253">
      <w:bodyDiv w:val="1"/>
      <w:marLeft w:val="0"/>
      <w:marRight w:val="0"/>
      <w:marTop w:val="0"/>
      <w:marBottom w:val="0"/>
      <w:divBdr>
        <w:top w:val="none" w:sz="0" w:space="0" w:color="auto"/>
        <w:left w:val="none" w:sz="0" w:space="0" w:color="auto"/>
        <w:bottom w:val="none" w:sz="0" w:space="0" w:color="auto"/>
        <w:right w:val="none" w:sz="0" w:space="0" w:color="auto"/>
      </w:divBdr>
    </w:div>
    <w:div w:id="579801075">
      <w:bodyDiv w:val="1"/>
      <w:marLeft w:val="0"/>
      <w:marRight w:val="0"/>
      <w:marTop w:val="0"/>
      <w:marBottom w:val="0"/>
      <w:divBdr>
        <w:top w:val="none" w:sz="0" w:space="0" w:color="auto"/>
        <w:left w:val="none" w:sz="0" w:space="0" w:color="auto"/>
        <w:bottom w:val="none" w:sz="0" w:space="0" w:color="auto"/>
        <w:right w:val="none" w:sz="0" w:space="0" w:color="auto"/>
      </w:divBdr>
    </w:div>
    <w:div w:id="593783641">
      <w:bodyDiv w:val="1"/>
      <w:marLeft w:val="0"/>
      <w:marRight w:val="0"/>
      <w:marTop w:val="0"/>
      <w:marBottom w:val="0"/>
      <w:divBdr>
        <w:top w:val="none" w:sz="0" w:space="0" w:color="auto"/>
        <w:left w:val="none" w:sz="0" w:space="0" w:color="auto"/>
        <w:bottom w:val="none" w:sz="0" w:space="0" w:color="auto"/>
        <w:right w:val="none" w:sz="0" w:space="0" w:color="auto"/>
      </w:divBdr>
    </w:div>
    <w:div w:id="715206678">
      <w:bodyDiv w:val="1"/>
      <w:marLeft w:val="0"/>
      <w:marRight w:val="0"/>
      <w:marTop w:val="0"/>
      <w:marBottom w:val="0"/>
      <w:divBdr>
        <w:top w:val="none" w:sz="0" w:space="0" w:color="auto"/>
        <w:left w:val="none" w:sz="0" w:space="0" w:color="auto"/>
        <w:bottom w:val="none" w:sz="0" w:space="0" w:color="auto"/>
        <w:right w:val="none" w:sz="0" w:space="0" w:color="auto"/>
      </w:divBdr>
    </w:div>
    <w:div w:id="1151144115">
      <w:bodyDiv w:val="1"/>
      <w:marLeft w:val="0"/>
      <w:marRight w:val="0"/>
      <w:marTop w:val="0"/>
      <w:marBottom w:val="0"/>
      <w:divBdr>
        <w:top w:val="none" w:sz="0" w:space="0" w:color="auto"/>
        <w:left w:val="none" w:sz="0" w:space="0" w:color="auto"/>
        <w:bottom w:val="none" w:sz="0" w:space="0" w:color="auto"/>
        <w:right w:val="none" w:sz="0" w:space="0" w:color="auto"/>
      </w:divBdr>
    </w:div>
    <w:div w:id="1997874268">
      <w:bodyDiv w:val="1"/>
      <w:marLeft w:val="0"/>
      <w:marRight w:val="0"/>
      <w:marTop w:val="0"/>
      <w:marBottom w:val="0"/>
      <w:divBdr>
        <w:top w:val="none" w:sz="0" w:space="0" w:color="auto"/>
        <w:left w:val="none" w:sz="0" w:space="0" w:color="auto"/>
        <w:bottom w:val="none" w:sz="0" w:space="0" w:color="auto"/>
        <w:right w:val="none" w:sz="0" w:space="0" w:color="auto"/>
      </w:divBdr>
      <w:divsChild>
        <w:div w:id="774323695">
          <w:marLeft w:val="0"/>
          <w:marRight w:val="0"/>
          <w:marTop w:val="0"/>
          <w:marBottom w:val="0"/>
          <w:divBdr>
            <w:top w:val="none" w:sz="0" w:space="0" w:color="auto"/>
            <w:left w:val="none" w:sz="0" w:space="0" w:color="auto"/>
            <w:bottom w:val="none" w:sz="0" w:space="0" w:color="auto"/>
            <w:right w:val="none" w:sz="0" w:space="0" w:color="auto"/>
          </w:divBdr>
          <w:divsChild>
            <w:div w:id="524826612">
              <w:marLeft w:val="0"/>
              <w:marRight w:val="0"/>
              <w:marTop w:val="0"/>
              <w:marBottom w:val="0"/>
              <w:divBdr>
                <w:top w:val="none" w:sz="0" w:space="0" w:color="auto"/>
                <w:left w:val="none" w:sz="0" w:space="0" w:color="auto"/>
                <w:bottom w:val="none" w:sz="0" w:space="0" w:color="auto"/>
                <w:right w:val="none" w:sz="0" w:space="0" w:color="auto"/>
              </w:divBdr>
            </w:div>
          </w:divsChild>
        </w:div>
        <w:div w:id="502670884">
          <w:marLeft w:val="0"/>
          <w:marRight w:val="0"/>
          <w:marTop w:val="0"/>
          <w:marBottom w:val="0"/>
          <w:divBdr>
            <w:top w:val="none" w:sz="0" w:space="0" w:color="auto"/>
            <w:left w:val="none" w:sz="0" w:space="0" w:color="auto"/>
            <w:bottom w:val="none" w:sz="0" w:space="0" w:color="auto"/>
            <w:right w:val="none" w:sz="0" w:space="0" w:color="auto"/>
          </w:divBdr>
          <w:divsChild>
            <w:div w:id="133644123">
              <w:marLeft w:val="0"/>
              <w:marRight w:val="150"/>
              <w:marTop w:val="0"/>
              <w:marBottom w:val="0"/>
              <w:divBdr>
                <w:top w:val="none" w:sz="0" w:space="0" w:color="auto"/>
                <w:left w:val="none" w:sz="0" w:space="0" w:color="auto"/>
                <w:bottom w:val="none" w:sz="0" w:space="0" w:color="auto"/>
                <w:right w:val="none" w:sz="0" w:space="0" w:color="auto"/>
              </w:divBdr>
              <w:divsChild>
                <w:div w:id="1830634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9966171">
          <w:marLeft w:val="150"/>
          <w:marRight w:val="0"/>
          <w:marTop w:val="0"/>
          <w:marBottom w:val="0"/>
          <w:divBdr>
            <w:top w:val="none" w:sz="0" w:space="0" w:color="auto"/>
            <w:left w:val="none" w:sz="0" w:space="0" w:color="auto"/>
            <w:bottom w:val="none" w:sz="0" w:space="0" w:color="auto"/>
            <w:right w:val="none" w:sz="0" w:space="0" w:color="auto"/>
          </w:divBdr>
          <w:divsChild>
            <w:div w:id="278806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2947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mailto:jaison.cucarian@iberoamericana.edu.co" TargetMode="External"/><Relationship Id="rId2" Type="http://schemas.openxmlformats.org/officeDocument/2006/relationships/hyperlink" Target="mailto:yenniarguello@usantotomas.edu.co" TargetMode="External"/><Relationship Id="rId1" Type="http://schemas.openxmlformats.org/officeDocument/2006/relationships/hyperlink" Target="mailto:laura.castro@usantotomas.edu.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REP11</b:Tag>
    <b:SourceType>DocumentFromInternetSite</b:SourceType>
    <b:Guid>{963E8DC8-AB80-4160-99FA-BD051E63ACE4}</b:Guid>
    <b:Title>Alcaldía de Bogotá</b:Title>
    <b:Year>2011</b:Year>
    <b:Author>
      <b:Author>
        <b:Corporate>REPÚBLICA DE COLOMBIA - GOBIERNO NACIONAL</b:Corporate>
      </b:Author>
    </b:Author>
    <b:InternetSiteTitle>Alcaldía de Bogotá</b:InternetSiteTitle>
    <b:Month>Enero</b:Month>
    <b:Day>19</b:Day>
    <b:YearAccessed>2014</b:YearAccessed>
    <b:MonthAccessed>Enero</b:MonthAccessed>
    <b:DayAccessed>20</b:DayAccessed>
    <b:URL>http://www.alcaldiabogota.gov.co/sisjur/normas/Norma1.jsp?i=41355</b:URL>
    <b:RefOrder>1</b:RefOrder>
  </b:Source>
  <b:Source>
    <b:Tag>OMS78</b:Tag>
    <b:SourceType>DocumentFromInternetSite</b:SourceType>
    <b:Guid>{94BC1D31-87E6-49AE-B464-1EDE2B3498F8}</b:Guid>
    <b:Author>
      <b:Author>
        <b:Corporate>OMS</b:Corporate>
      </b:Author>
    </b:Author>
    <b:Title>Organización Mundial de la Salud</b:Title>
    <b:Year>1978</b:Year>
    <b:InternetSiteTitle>Conferencia Internacional sobre Atención Primaria de Salud, Alma-Ata</b:InternetSiteTitle>
    <b:YearAccessed>2014</b:YearAccessed>
    <b:MonthAccessed>Julio</b:MonthAccessed>
    <b:DayAccessed>17</b:DayAccessed>
    <b:URL> http://www.paho.org/spanish/dd/pin/alma-ata_declaracion.htm</b:URL>
    <b:RefOrder>6</b:RefOrder>
  </b:Source>
  <b:Source>
    <b:Tag>Mac07</b:Tag>
    <b:SourceType>JournalArticle</b:SourceType>
    <b:Guid>{5A2CF0AC-3175-4C68-B3BC-DE9EE110AFEE}</b:Guid>
    <b:Title> La renovación de la atención primaria de salud en las Américas</b:Title>
    <b:Year>2007</b:Year>
    <b:Author>
      <b:Author>
        <b:NameList>
          <b:Person>
            <b:Last>Macinko</b:Last>
            <b:First>J</b:First>
          </b:Person>
          <b:Person>
            <b:Last>Montenegro</b:Last>
            <b:First>H</b:First>
          </b:Person>
          <b:Person>
            <b:Last>Nebot Adell</b:Last>
            <b:First>C</b:First>
          </b:Person>
          <b:Person>
            <b:Last>Etienne</b:Last>
            <b:First>C</b:First>
          </b:Person>
          <b:Person>
            <b:Last>Salud</b:Last>
            <b:First>Grupo</b:First>
            <b:Middle>de Trabajo de Atención Primaria de Salud de la Organización Panamericana de la</b:Middle>
          </b:Person>
        </b:NameList>
      </b:Author>
    </b:Author>
    <b:JournalName>Rev Panam Salud Publica. </b:JournalName>
    <b:Pages>21(2/3):73–84.</b:Pages>
    <b:RefOrder>7</b:RefOrder>
  </b:Source>
  <b:Source>
    <b:Tag>Org14</b:Tag>
    <b:SourceType>InternetSite</b:SourceType>
    <b:Guid>{CF9F47AE-D1A3-4DE2-B287-BA3D155F7BA6}</b:Guid>
    <b:Title>Estrategia mundial sobre régimen alimentario, actividad física y salud</b:Title>
    <b:Year>2014</b:Year>
    <b:Author>
      <b:Author>
        <b:Corporate>Organización Mundial de la Salud</b:Corporate>
      </b:Author>
    </b:Author>
    <b:InternetSiteTitle>Estrategia mundial sobre régimen alimentario, actividad física y salud</b:InternetSiteTitle>
    <b:YearAccessed>2014</b:YearAccessed>
    <b:MonthAccessed>Septiembre</b:MonthAccessed>
    <b:DayAccessed>17</b:DayAccessed>
    <b:URL>http://www.who.int/dietphysicalactivity/pa/es/</b:URL>
    <b:RefOrder>8</b:RefOrder>
  </b:Source>
  <b:Source>
    <b:Tag>Vid11</b:Tag>
    <b:SourceType>JournalArticle</b:SourceType>
    <b:Guid>{A965F7DD-52C7-4B10-B564-788C8AE9AC53}</b:Guid>
    <b:Title> ACTIVIDAD FÍSICA: ESTRATEGIA DE PROMOCIÓN DE LA SALUD. </b:Title>
    <b:Year>2011</b:Year>
    <b:Author>
      <b:Author>
        <b:NameList>
          <b:Person>
            <b:Last>Vidarte Claros</b:Last>
            <b:First>José</b:First>
            <b:Middle>Armando</b:Middle>
          </b:Person>
          <b:Person>
            <b:Last>Vélez Álvarez</b:Last>
            <b:First>Consuelo</b:First>
          </b:Person>
          <b:Person>
            <b:Last>Sandoval Cuellar</b:Last>
            <b:First>Carolina</b:First>
          </b:Person>
          <b:Person>
            <b:Last>Alfonso Mora</b:Last>
            <b:First>Margareth</b:First>
            <b:Middle>Lorena</b:Middle>
          </b:Person>
        </b:NameList>
      </b:Author>
    </b:Author>
    <b:JournalName>Hacia la Promoción de la Salud</b:JournalName>
    <b:Pages>202-218</b:Pages>
    <b:RefOrder>9</b:RefOrder>
  </b:Source>
  <b:Source>
    <b:Tag>Cha12</b:Tag>
    <b:SourceType>JournalArticle</b:SourceType>
    <b:Guid>{A45D1B33-B016-4DEF-80F9-BC660CF103D0}</b:Guid>
    <b:Author>
      <b:Author>
        <b:NameList>
          <b:Person>
            <b:Last>Chalder</b:Last>
            <b:First>Melanie</b:First>
          </b:Person>
          <b:Person>
            <b:Last>Wiles</b:Last>
            <b:First>Nicola</b:First>
            <b:Middle>J</b:Middle>
          </b:Person>
          <b:Person>
            <b:Last>Campbell</b:Last>
            <b:First>John</b:First>
          </b:Person>
          <b:Person>
            <b:Last>Hollinghurst</b:Last>
            <b:First>Sandra</b:First>
            <b:Middle>P</b:Middle>
          </b:Person>
          <b:Person>
            <b:Last>Haase</b:Last>
            <b:First>Anne</b:First>
            <b:Middle>M</b:Middle>
          </b:Person>
          <b:Person>
            <b:Last>Taylor</b:Last>
            <b:First>Adrian</b:First>
            <b:Middle>H</b:Middle>
          </b:Person>
          <b:Person>
            <b:Last>Fox</b:Last>
            <b:First>Kenneth</b:First>
          </b:Person>
          <b:Person>
            <b:Last>Costelloe</b:Last>
            <b:First>Ceire</b:First>
          </b:Person>
        </b:NameList>
      </b:Author>
    </b:Author>
    <b:Title>Facilitated physical activity as a treatment for depressed adults: randomised controlled trial</b:Title>
    <b:JournalName>BMJ</b:JournalName>
    <b:Year>2012</b:Year>
    <b:Pages>1-13</b:Pages>
    <b:RefOrder>12</b:RefOrder>
  </b:Source>
  <b:Source>
    <b:Tag>Tob12</b:Tag>
    <b:SourceType>JournalArticle</b:SourceType>
    <b:Guid>{C96461FC-1868-40C1-AA95-632170A76491}</b:Guid>
    <b:Author>
      <b:Author>
        <b:NameList>
          <b:Person>
            <b:Last>Tobi</b:Last>
            <b:First>Patrick</b:First>
          </b:Person>
          <b:Person>
            <b:Last>Estacio</b:Last>
            <b:First>Emee</b:First>
            <b:Middle>Vida</b:Middle>
          </b:Person>
          <b:Person>
            <b:Last>Yu</b:Last>
            <b:First>Ge</b:First>
          </b:Person>
          <b:Person>
            <b:Last>Renton</b:Last>
            <b:First>Adrian</b:First>
          </b:Person>
          <b:Person>
            <b:Last>Foster</b:Last>
            <b:First>Nena</b:First>
          </b:Person>
        </b:NameList>
      </b:Author>
    </b:Author>
    <b:Title>Who stays, who drops out? Biosocial predictors of longer-term adherence in participants attending an exercise referral scheme in the UK</b:Title>
    <b:JournalName>BMC Public Health</b:JournalName>
    <b:Year>2012</b:Year>
    <b:Pages>1-7</b:Pages>
    <b:RefOrder>14</b:RefOrder>
  </b:Source>
  <b:Source>
    <b:Tag>Van12</b:Tag>
    <b:SourceType>JournalArticle</b:SourceType>
    <b:Guid>{0812BCF3-DD91-4F95-88F4-37700F0B710F}</b:Guid>
    <b:Author>
      <b:Author>
        <b:NameList>
          <b:Person>
            <b:Last>Van de Port</b:Last>
            <b:First>IG</b:First>
          </b:Person>
          <b:Person>
            <b:Last>Wevers</b:Last>
            <b:First>LE</b:First>
          </b:Person>
          <b:Person>
            <b:Last>Lindeman</b:Last>
            <b:First>E</b:First>
          </b:Person>
          <b:Person>
            <b:Last>Kwakkel</b:Last>
            <b:First>G.</b:First>
          </b:Person>
        </b:NameList>
      </b:Author>
    </b:Author>
    <b:Title>Effects of circuit training as alternative to usual physiotherapy after stroke: randomised controlled trial.</b:Title>
    <b:JournalName>BMJ</b:JournalName>
    <b:Year>2012</b:Year>
    <b:Pages>1-10</b:Pages>
    <b:RefOrder>13</b:RefOrder>
  </b:Source>
  <b:Source>
    <b:Tag>Van121</b:Tag>
    <b:SourceType>JournalArticle</b:SourceType>
    <b:Guid>{F68747D3-CE24-4B55-BF4F-2F01C20799A8}</b:Guid>
    <b:Author>
      <b:Author>
        <b:NameList>
          <b:Person>
            <b:Last>Van der Heijden</b:Last>
            <b:First>MM</b:First>
          </b:Person>
          <b:Person>
            <b:Last>Pouwer</b:Last>
            <b:First>F</b:First>
          </b:Person>
          <b:Person>
            <b:Last>Romeijnders</b:Last>
            <b:First>AC</b:First>
          </b:Person>
          <b:Person>
            <b:Last>Pop</b:Last>
            <b:First>VJ.</b:First>
          </b:Person>
        </b:NameList>
      </b:Author>
    </b:Author>
    <b:Title>Testing the effectiveness of a self-efficacy based exercise intervention for inactive people with type 2 diabetes mellitus: design of a controlled clinical trial</b:Title>
    <b:JournalName>BMJ</b:JournalName>
    <b:Year>2012</b:Year>
    <b:Pages>1-13</b:Pages>
    <b:RefOrder>15</b:RefOrder>
  </b:Source>
  <b:Source>
    <b:Tag>Gar12</b:Tag>
    <b:SourceType>JournalArticle</b:SourceType>
    <b:Guid>{B3548946-91A0-4892-85FE-1865C8BFD51E}</b:Guid>
    <b:Author>
      <b:Author>
        <b:NameList>
          <b:Person>
            <b:Last>García-Laguna</b:Last>
            <b:First>Dayan</b:First>
            <b:Middle>Gabriela</b:Middle>
          </b:Person>
          <b:Person>
            <b:Last>García-Salamanca</b:Last>
            <b:First>Ginna</b:First>
            <b:Middle>Paola</b:Middle>
          </b:Person>
          <b:Person>
            <b:Last>Tapiero-Paipa</b:Last>
            <b:First>Yeinny</b:First>
            <b:Middle>Tatiana</b:Middle>
          </b:Person>
          <b:Person>
            <b:Last>Ramos</b:Last>
            <b:First>Diana</b:First>
            <b:Middle>Marcela</b:Middle>
          </b:Person>
        </b:NameList>
      </b:Author>
    </b:Author>
    <b:Title>DETERMINANTES DE LOS ESTILOS DE VIDA Y SU IMPLICACIÓN EN LA SALUD DE JÓVENES UNIVERSITARIOS</b:Title>
    <b:JournalName>Revista Hacia la Promoción de la Salud</b:JournalName>
    <b:Year>2012</b:Year>
    <b:RefOrder>2</b:RefOrder>
  </b:Source>
  <b:Source>
    <b:Tag>Org141</b:Tag>
    <b:SourceType>InternetSite</b:SourceType>
    <b:Guid>{67DAFCDD-F5C9-453B-B484-C28ED7802E71}</b:Guid>
    <b:Author>
      <b:Author>
        <b:Corporate>Organización Panamericana de la Salud</b:Corporate>
      </b:Author>
    </b:Author>
    <b:Title>PREVENCION Y CONTROL DE ENFERMEDADES </b:Title>
    <b:InternetSiteTitle>PREVENCION Y CONTROL DE ENFERMEDADES </b:InternetSiteTitle>
    <b:YearAccessed>2014</b:YearAccessed>
    <b:MonthAccessed>Septiembre</b:MonthAccessed>
    <b:DayAccessed>14</b:DayAccessed>
    <b:URL>http://www.col.ops-oms.org/prevencion/carmen.asp</b:URL>
    <b:RefOrder>3</b:RefOrder>
  </b:Source>
  <b:Source>
    <b:Tag>Org142</b:Tag>
    <b:SourceType>InternetSite</b:SourceType>
    <b:Guid>{DBF88FA1-4FB7-403A-9398-913C0AD2C736}</b:Guid>
    <b:Author>
      <b:Author>
        <b:Corporate>Orgnización Panamericana de la Salud</b:Corporate>
      </b:Author>
    </b:Author>
    <b:Title>PREVENCION Y CONTROL DE ENFERMEDADES </b:Title>
    <b:InternetSiteTitle>PREVENCION Y CONTROL DE ENFERMEDADES </b:InternetSiteTitle>
    <b:YearAccessed>2014</b:YearAccessed>
    <b:MonthAccessed>Septiembre</b:MonthAccessed>
    <b:DayAccessed>14</b:DayAccessed>
    <b:URL>http://www.col.ops-oms.org/prevencion/carmen_bol01.asp</b:URL>
    <b:RefOrder>4</b:RefOrder>
  </b:Source>
  <b:Source>
    <b:Tag>Sec13</b:Tag>
    <b:SourceType>Report</b:SourceType>
    <b:Guid>{5B8B9F28-3A6F-4DAE-9A97-5C319DB89082}</b:Guid>
    <b:Title>FORTALECIMIENTO DE ESPACIOS LOCALES (MESAS, CONSEJOS Y COMITÉS) PARA LA CONSTRUCCION E IMPLEMENTACION DE POLITICAS PÚBLICAS PARA LA SALUD</b:Title>
    <b:Year>2013</b:Year>
    <b:Author>
      <b:Author>
        <b:Corporate>Secretaria  Distrital de  Salud</b:Corporate>
      </b:Author>
    </b:Author>
    <b:Publisher>Secretaria Distristal de Salud</b:Publisher>
    <b:City>Bogotá</b:City>
    <b:RefOrder>5</b:RefOrder>
  </b:Source>
  <b:Source>
    <b:Tag>Org143</b:Tag>
    <b:SourceType>InternetSite</b:SourceType>
    <b:Guid>{85132003-22EB-4804-B939-D714D6F1B4C4}</b:Guid>
    <b:Author>
      <b:Author>
        <b:Corporate>Organización Mundial de la Salud</b:Corporate>
      </b:Author>
    </b:Author>
    <b:Title>Promoción de la Salud</b:Title>
    <b:Year>2014</b:Year>
    <b:InternetSiteTitle>Promoción de la Salud</b:InternetSiteTitle>
    <b:YearAccessed>2014</b:YearAccessed>
    <b:MonthAccessed>Septiembre</b:MonthAccessed>
    <b:DayAccessed>14</b:DayAccessed>
    <b:URL>http://www.who.int/healthpromotion/en/</b:URL>
    <b:RefOrder>10</b:RefOrder>
  </b:Source>
  <b:Source>
    <b:Tag>Org144</b:Tag>
    <b:SourceType>InternetSite</b:SourceType>
    <b:Guid>{8D2C27F0-BF51-4EE7-B0B6-0F50A3EFA531}</b:Guid>
    <b:Author>
      <b:Author>
        <b:Corporate>Organización Mundial de la Salud</b:Corporate>
      </b:Author>
    </b:Author>
    <b:Title>Discapacidades y rehabilitación</b:Title>
    <b:InternetSiteTitle>Discapacidades y rehabilitación</b:InternetSiteTitle>
    <b:Year>2014</b:Year>
    <b:YearAccessed>2014</b:YearAccessed>
    <b:MonthAccessed>Septiembre</b:MonthAccessed>
    <b:DayAccessed>14</b:DayAccessed>
    <b:URL>http://www.who.int/disabilities/care/es/</b:URL>
    <b:RefOrder>11</b:RefOrder>
  </b:Source>
  <b:Source>
    <b:Tag>Van13</b:Tag>
    <b:SourceType>JournalArticle</b:SourceType>
    <b:Guid>{6FEA086F-954C-4482-B030-1E21748AFA33}</b:Guid>
    <b:Title>Development and evaluation of a structured programme for promoting physical activity among seniors with intellectual disabilities: a study protocol for a cluster randomized trial</b:Title>
    <b:Year>2013</b:Year>
    <b:Author>
      <b:Author>
        <b:NameList>
          <b:Person>
            <b:Last>Van Schijndel-Speet</b:Last>
            <b:First>M</b:First>
          </b:Person>
          <b:Person>
            <b:Last>Evenhuis</b:Last>
            <b:First>HM</b:First>
          </b:Person>
          <b:Person>
            <b:Last>Van Empelen</b:Last>
            <b:First>P</b:First>
          </b:Person>
          <b:Person>
            <b:Last>van Wijck</b:Last>
            <b:First>R</b:First>
          </b:Person>
          <b:Person>
            <b:Last>Echteld</b:Last>
            <b:First>MA.</b:First>
          </b:Person>
        </b:NameList>
      </b:Author>
    </b:Author>
    <b:JournalName>BMC Public Healh</b:JournalName>
    <b:Pages>1-10</b:Pages>
    <b:RefOrder>18</b:RefOrder>
  </b:Source>
  <b:Source>
    <b:Tag>Cas12</b:Tag>
    <b:SourceType>JournalArticle</b:SourceType>
    <b:Guid>{A90C6926-4F7B-4EE6-BD4E-A31C1730BB72}</b:Guid>
    <b:Author>
      <b:Author>
        <b:NameList>
          <b:Person>
            <b:Last>Caswell</b:Last>
            <b:First>S</b:First>
          </b:Person>
          <b:Person>
            <b:Last>Craigie</b:Last>
            <b:First>AM</b:First>
          </b:Person>
          <b:Person>
            <b:Last>Wardle</b:Last>
            <b:First>J</b:First>
          </b:Person>
          <b:Person>
            <b:Last>Stead</b:Last>
            <b:First>M</b:First>
          </b:Person>
          <b:Person>
            <b:Last>Anderson</b:Last>
            <b:First>A.</b:First>
          </b:Person>
        </b:NameList>
      </b:Author>
    </b:Author>
    <b:Title>Detailed protocol for the lifestyle intervention in the BeWEL randomised controlled trial of weight loss in adults who have had a colorectal adenoma.</b:Title>
    <b:JournalName>BMJ Open</b:JournalName>
    <b:Year>2012</b:Year>
    <b:Pages>1-9</b:Pages>
    <b:RefOrder>19</b:RefOrder>
  </b:Source>
  <b:Source>
    <b:Tag>Tob121</b:Tag>
    <b:SourceType>JournalArticle</b:SourceType>
    <b:Guid>{A840B808-A0C8-4025-8E12-E347BF877244}</b:Guid>
    <b:Author>
      <b:Author>
        <b:NameList>
          <b:Person>
            <b:Last>Tobi</b:Last>
            <b:First>P</b:First>
          </b:Person>
          <b:Person>
            <b:Last>Estacio</b:Last>
            <b:First>EV</b:First>
          </b:Person>
          <b:Person>
            <b:Last>Yu</b:Last>
            <b:First>G</b:First>
          </b:Person>
          <b:Person>
            <b:Last>Renton</b:Last>
            <b:First>A</b:First>
          </b:Person>
          <b:Person>
            <b:Last>Foster</b:Last>
            <b:First>N.</b:First>
          </b:Person>
        </b:NameList>
      </b:Author>
    </b:Author>
    <b:Title>Who stays, who drops out? Biosocial predictors of longer-term adherence in participants attending an exercise referral scheme in the UK.</b:Title>
    <b:JournalName>BMC Public Health</b:JournalName>
    <b:Year>2012</b:Year>
    <b:Pages>1-7</b:Pages>
    <b:RefOrder>16</b:RefOrder>
  </b:Source>
  <b:Source>
    <b:Tag>Gre12</b:Tag>
    <b:SourceType>JournalArticle</b:SourceType>
    <b:Guid>{88AB0D32-9FA9-4D66-942A-169E0054F526}</b:Guid>
    <b:Author>
      <b:Author>
        <b:NameList>
          <b:Person>
            <b:Last>Gregory S. Kolt</b:Last>
            <b:First>Grant</b:First>
            <b:Middle>M. Schofi eld, Ngaire Kerse, Nicholas Garrett, Toni Ashton y Asmita Patel</b:Middle>
          </b:Person>
        </b:NameList>
      </b:Author>
    </b:Author>
    <b:Title>Healthy Steps Trial: Pedometer-Based Advice and Physical Activity for Low-Active Older Adults</b:Title>
    <b:JournalName>ANNALS OF FAMILY MEDICINE</b:JournalName>
    <b:Year>2012</b:Year>
    <b:RefOrder>17</b:RefOrder>
  </b:Source>
</b:Sources>
</file>

<file path=customXml/itemProps1.xml><?xml version="1.0" encoding="utf-8"?>
<ds:datastoreItem xmlns:ds="http://schemas.openxmlformats.org/officeDocument/2006/customXml" ds:itemID="{555DBB18-CE6C-44E1-A11C-93C3BF5E66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2464</TotalTime>
  <Pages>9</Pages>
  <Words>4377</Words>
  <Characters>24078</Characters>
  <Application>Microsoft Office Word</Application>
  <DocSecurity>0</DocSecurity>
  <Lines>200</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28399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YENNY PAOLA ARGUELLO GUTIERREZ</cp:lastModifiedBy>
  <cp:revision>73</cp:revision>
  <dcterms:created xsi:type="dcterms:W3CDTF">2014-09-15T17:57:00Z</dcterms:created>
  <dcterms:modified xsi:type="dcterms:W3CDTF">2014-09-19T15:56:00Z</dcterms:modified>
</cp:coreProperties>
</file>