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128F" w:rsidRPr="000A128F" w:rsidRDefault="000A128F" w:rsidP="000A128F">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A128F">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Lugar de ejecución</w:t>
            </w:r>
          </w:p>
        </w:tc>
      </w:tr>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Tendencias En La Punibilidad En Colombia: Análisis Cualitativo Y Cuantitativo</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Bogotá</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A128F" w:rsidRPr="000A128F" w:rsidTr="000A128F">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 xml:space="preserve">Enlace </w:t>
            </w:r>
            <w:proofErr w:type="spellStart"/>
            <w:r w:rsidRPr="000A128F">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Google Académico</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Grupo de investigación</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Estudios críticos en derecho, derechos humanos, derecho internacional humanitario, justicia, prudencia y paz - </w:t>
            </w:r>
            <w:proofErr w:type="spellStart"/>
            <w:r w:rsidRPr="000A128F">
              <w:rPr>
                <w:rFonts w:ascii="Helvetica" w:eastAsia="Times New Roman" w:hAnsi="Helvetica" w:cs="Helvetica"/>
                <w:color w:val="222222"/>
                <w:sz w:val="24"/>
                <w:szCs w:val="24"/>
                <w:lang w:eastAsia="es-CO"/>
              </w:rPr>
              <w:t>Bioderecho</w:t>
            </w:r>
            <w:proofErr w:type="spellEnd"/>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Investigación socio humanística del derecho</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A128F" w:rsidRPr="000A128F" w:rsidTr="000A128F">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 xml:space="preserve">Enlace </w:t>
            </w:r>
            <w:proofErr w:type="spellStart"/>
            <w:r w:rsidRPr="000A128F">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Enlace Google Académico</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Grupo de investigación</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Derecho público “francisco de vitoria”</w:t>
            </w:r>
          </w:p>
        </w:tc>
      </w:tr>
      <w:tr w:rsidR="000A128F" w:rsidRPr="000A128F" w:rsidTr="000A128F">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Gobernabilidad y democracia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Grupo de estudios en gobierno y relaciones internacionales – </w:t>
            </w:r>
            <w:proofErr w:type="spellStart"/>
            <w:r w:rsidRPr="000A128F">
              <w:rPr>
                <w:rFonts w:ascii="Helvetica" w:eastAsia="Times New Roman" w:hAnsi="Helvetica" w:cs="Helvetica"/>
                <w:color w:val="222222"/>
                <w:sz w:val="24"/>
                <w:szCs w:val="24"/>
                <w:lang w:eastAsia="es-CO"/>
              </w:rPr>
              <w:t>gegri</w:t>
            </w:r>
            <w:proofErr w:type="spellEnd"/>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A128F" w:rsidRPr="000A128F" w:rsidTr="000A128F">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Palabras clave</w:t>
            </w:r>
          </w:p>
        </w:tc>
      </w:tr>
      <w:tr w:rsidR="000A128F" w:rsidRPr="000A128F" w:rsidTr="000A128F">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Este proyecto de investigación se preocupa por una de las manifestaciones del populismo punitivo: el endurecimiento de las penas. Plantea el problema de definir a través de un análisis de la producción de leyes penales en Colombia, durante el período 1980-2018, si en el sistema penal colombiano existe efectivamente una tendencia reciente a hacer más severas las penas, y respecto de qué delitos se presenta tal tendencia. El diseño de la investigación es histórico y cualitativo-cuantitativo. Las variables a observar son: i) el tipo de penas establecidas en las codificaciones penales recientes (privativas de la libertad o alternativas a estas) y ii) la duración de las penas mínimas y máximas establecidas en los códigos penales.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Populismo punitivo, derecho penal, punibilidad, penas, Código Penal.</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Planteamiento del problema y pregunta de investigación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La política pública en materia penal en Colombia es extremadamente débil, tanto en sus fundamentos como en sus estrategias y acciones concretas. Esta es una conclusión de una Comisión compuesta por expertos de la institucionalidad pública, la academia y la sociedad civil para analizar la situación actual y plantear recomendaciones. En 2012, esta comisión presentó un informe sobre la política criminal en Colombia, que concluyó que “carecemos de una política criminal consistente y de largo plazo, fundada empíricamente y enmarcada constitucionalmente.” Según la Comisión la política criminal colombiana es: a) “reactiva, sin adecuada fundamentación empírica, con incoherencias y falta de perspectiva clara de derechos humanos”; b) tendiente al endurecimiento punitivo (populismo punitivo); c) poco reflexiva frente a las especificidades del contexto nacional; d) subordinada a la política de seguridad y, e) aunque hay esfuerzos recientes de darle mayor estabilidad y consistencia a la política criminal, f) sigue siendo volátil, débil e incoherente, en gran medida, debido a la debilidad institucional de la cual depende (Colombia. Ministerio de Justicia, 2012, pp. 25-ss). Pregunta: ¿El análisis empírico de la producción normativa penal (tipos penales) en Colombia, en el período 1980-2018 permite evidenciar una tendencia al endurecimiento general de las penas, medido en términos del tipo de pena (privativa/no privativa de la libertad) y la duración mínima y máxima de las mismas?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lastRenderedPageBreak/>
              <w:t>Justificación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El derecho penal es concebido desde posturas democráticas como la forma extrema que asume la violencia de Estado, justificada desde la prevención de nuevas vulneraciones de derechos perpetradas por los asociados entre sí, y por parte de los agentes del Estado, como ha planteado con acierto Luigi </w:t>
            </w:r>
            <w:proofErr w:type="spellStart"/>
            <w:r w:rsidRPr="000A128F">
              <w:rPr>
                <w:rFonts w:ascii="Helvetica" w:eastAsia="Times New Roman" w:hAnsi="Helvetica" w:cs="Helvetica"/>
                <w:color w:val="222222"/>
                <w:sz w:val="24"/>
                <w:szCs w:val="24"/>
                <w:lang w:eastAsia="es-CO"/>
              </w:rPr>
              <w:t>Ferrajoli</w:t>
            </w:r>
            <w:proofErr w:type="spellEnd"/>
            <w:r w:rsidRPr="000A128F">
              <w:rPr>
                <w:rFonts w:ascii="Helvetica" w:eastAsia="Times New Roman" w:hAnsi="Helvetica" w:cs="Helvetica"/>
                <w:color w:val="222222"/>
                <w:sz w:val="24"/>
                <w:szCs w:val="24"/>
                <w:lang w:eastAsia="es-CO"/>
              </w:rPr>
              <w:t>, teórico del derecho y de la democracia (2011) . A pesar de la violencia sobre el cuerpo, la libertad, los bienes, la honra, el patrimonio y los demás derechos de las personas que acarrea una sanción penal, el debate público sobre las penas suele ser superficial, con ausencia de estudios empíricos, altamente emocional e ideologizado. La legislación penal especial, es decir, los tipos penales, son la forma en que se seleccionan conductas supuestamente lesivas del orden social, desde la perspectiva de los participantes en la práctica social. Existen análisis en Colombia, caracterizados por adoptar enfoques cualitativos, que asumen que el sistema penal se ha endurecido o, por el contrario, que claman por un mayor endurecimiento de las penas y disminución de beneficios penales. En Colombia han prevalecido los análisis de tipo cualitativo en la producción académica. Y, a nivel del legislativo-gobierno, predominan las prácticas sin teoría criminológica. La academia ha adoptado, en términos generales, la primera de las posturas definidas. Las instituciones del sector justicia tienden a adoptar la segunda. Hace falta avanzar hacia un modelo teórico-empírico que permita caracterizar las reformas penales más recientes, de tal manera que sea posible poner en evidencia qué bienes jurídicos tutelados están en auge y cuáles tienden a decaer.</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Objetivo general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Analizar las tendencias recientes (1980-2018) en la punibilidad en el sistema penal colombiano, bajo un enfoque mixto, cualitativo (en cuanto al tipo de penas) y cuantitativo (en cuanto a la duración de las penas).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Objetivos específicos</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 Elaborar el inventario, desagregando los textos legales, de los tipos penales establecidos en los códigos penales colombianos, 1980, 2000 y leyes reformatorias de este último. 2. Agrupar tipos penales, de acuerdo con el bien jurídico tutelado. 3. Reconstruir los debates previos a la adopción de la codificación penal, enfatizando en argumentos justificadores del incremento o de la rebaja de penas. 4. Analizar la validez, desde una perspectiva de criminología crítica, de los argumentos esgrimidos por los redactores de las normas punitivas.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Marco teórico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El archivo adjunto es: Peñas, Ramírez, Rodríguez. 2019. Marco teórico y bibliografía.pdf</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Metodología</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549D3" w:rsidRPr="001F37E9" w:rsidRDefault="007549D3" w:rsidP="007549D3">
            <w:pPr>
              <w:spacing w:line="360" w:lineRule="auto"/>
              <w:jc w:val="both"/>
              <w:rPr>
                <w:rFonts w:eastAsia="Times New Roman" w:cs="Arial"/>
                <w:color w:val="222222"/>
              </w:rPr>
            </w:pPr>
          </w:p>
          <w:p w:rsidR="007549D3" w:rsidRPr="001F37E9" w:rsidRDefault="007549D3" w:rsidP="007549D3">
            <w:pPr>
              <w:spacing w:line="360" w:lineRule="auto"/>
              <w:jc w:val="both"/>
            </w:pPr>
            <w:r w:rsidRPr="001F37E9">
              <w:t>Existen estudios que analizan las tendencias cuantitativas en la legislación penal, con enfoque comparatista. En este sentido, pueden citarse  las investigaciones desarrolladas por el Instituto Max Planck de Derecho Comparado, dentro del proyecto “Comparación de las estructuras del derecho penal” (1995-2015), se examinan las similitudes y diferencias entre el derecho penal sustantivo de varios países europeos. Una de las variables de la comparación es la cuantificación de la duración de las penas (mínimas y máximas) para tipos penales con similares características, en cuanto al sujeto activo, al sujeto pasivo de la conducta y la conducta antijurídica</w:t>
            </w:r>
            <w:r w:rsidRPr="001F37E9">
              <w:rPr>
                <w:rStyle w:val="Refdenotaalpie"/>
              </w:rPr>
              <w:footnoteReference w:id="1"/>
            </w:r>
            <w:r w:rsidRPr="001F37E9">
              <w:t>.</w:t>
            </w:r>
          </w:p>
          <w:p w:rsidR="007549D3" w:rsidRPr="001F37E9" w:rsidRDefault="007549D3" w:rsidP="007549D3">
            <w:pPr>
              <w:pStyle w:val="Textonotapie"/>
              <w:spacing w:line="360" w:lineRule="auto"/>
              <w:jc w:val="both"/>
              <w:rPr>
                <w:rFonts w:asciiTheme="minorHAnsi" w:hAnsiTheme="minorHAnsi" w:cs="Arial"/>
                <w:sz w:val="24"/>
                <w:szCs w:val="24"/>
              </w:rPr>
            </w:pPr>
            <w:r w:rsidRPr="001F37E9">
              <w:rPr>
                <w:rFonts w:asciiTheme="minorHAnsi" w:hAnsiTheme="minorHAnsi" w:cs="Arial"/>
                <w:sz w:val="24"/>
                <w:szCs w:val="24"/>
              </w:rPr>
              <w:t>En otros países de Latinoamérica, la Universidad y la institucionalidad del sector justicia han desarrollado con éxito alianzas estratégicas para documentar con rigor metodológico y teórico las transformaciones de los sistemas punitivos</w:t>
            </w:r>
            <w:r>
              <w:rPr>
                <w:rFonts w:asciiTheme="minorHAnsi" w:hAnsiTheme="minorHAnsi" w:cs="Arial"/>
                <w:sz w:val="24"/>
                <w:szCs w:val="24"/>
              </w:rPr>
              <w:t xml:space="preserve"> nacionales</w:t>
            </w:r>
            <w:r w:rsidRPr="001F37E9">
              <w:rPr>
                <w:rFonts w:asciiTheme="minorHAnsi" w:hAnsiTheme="minorHAnsi" w:cs="Arial"/>
                <w:sz w:val="24"/>
                <w:szCs w:val="24"/>
              </w:rPr>
              <w:t xml:space="preserve">. En este sentido, se trae la experiencia exitosa de alianza entre el Ministerio de Justicia y la Fundación Getulio Vargas en Brasil, la cual a través de su Facultad de Derecho propició la discusión sobre política criminal, a través del </w:t>
            </w:r>
            <w:r w:rsidRPr="001F37E9">
              <w:rPr>
                <w:rFonts w:asciiTheme="minorHAnsi" w:hAnsiTheme="minorHAnsi" w:cs="Arial"/>
                <w:sz w:val="24"/>
                <w:szCs w:val="24"/>
                <w:lang w:val="es-MX"/>
              </w:rPr>
              <w:t>Proyecto “Pensando el Derecho”</w:t>
            </w:r>
            <w:r w:rsidRPr="001F37E9">
              <w:rPr>
                <w:rStyle w:val="Refdenotaalpie"/>
                <w:rFonts w:asciiTheme="minorHAnsi" w:hAnsiTheme="minorHAnsi" w:cs="Arial"/>
                <w:sz w:val="24"/>
                <w:szCs w:val="24"/>
              </w:rPr>
              <w:footnoteReference w:id="2"/>
            </w:r>
            <w:r w:rsidRPr="001F37E9">
              <w:rPr>
                <w:rFonts w:asciiTheme="minorHAnsi" w:hAnsiTheme="minorHAnsi" w:cs="Arial"/>
                <w:sz w:val="24"/>
                <w:szCs w:val="24"/>
              </w:rPr>
              <w:t>.</w:t>
            </w:r>
          </w:p>
          <w:p w:rsidR="007549D3" w:rsidRDefault="007549D3" w:rsidP="007549D3">
            <w:pPr>
              <w:pStyle w:val="Textonotapie"/>
              <w:spacing w:line="360" w:lineRule="auto"/>
              <w:jc w:val="both"/>
              <w:rPr>
                <w:rFonts w:asciiTheme="minorHAnsi" w:hAnsiTheme="minorHAnsi" w:cs="Arial"/>
                <w:sz w:val="24"/>
                <w:szCs w:val="24"/>
              </w:rPr>
            </w:pPr>
            <w:r w:rsidRPr="001F37E9">
              <w:rPr>
                <w:rFonts w:asciiTheme="minorHAnsi" w:hAnsiTheme="minorHAnsi" w:cs="Arial"/>
                <w:sz w:val="24"/>
                <w:szCs w:val="24"/>
              </w:rPr>
              <w:t>En este proyecto se adopta el enfoque histórico del Derecho penal, que exige tener en cuenta los cambios en: la configuración de nuevos bienes jurídicos tutelados, la definición normativa de nuevas conductas punibles, y la punibilidad.</w:t>
            </w:r>
          </w:p>
          <w:p w:rsidR="007549D3" w:rsidRPr="001F37E9" w:rsidRDefault="007549D3" w:rsidP="007549D3">
            <w:pPr>
              <w:pStyle w:val="Textonotapie"/>
              <w:spacing w:line="360" w:lineRule="auto"/>
              <w:jc w:val="both"/>
              <w:rPr>
                <w:rFonts w:asciiTheme="minorHAnsi" w:hAnsiTheme="minorHAnsi" w:cs="Arial"/>
                <w:sz w:val="24"/>
                <w:szCs w:val="24"/>
              </w:rPr>
            </w:pPr>
          </w:p>
          <w:p w:rsidR="007549D3" w:rsidRPr="001F37E9" w:rsidRDefault="007549D3" w:rsidP="007549D3">
            <w:pPr>
              <w:spacing w:line="360" w:lineRule="auto"/>
              <w:jc w:val="both"/>
              <w:rPr>
                <w:rFonts w:cs="Arial"/>
              </w:rPr>
            </w:pPr>
            <w:r w:rsidRPr="001F37E9">
              <w:rPr>
                <w:rFonts w:cs="Arial"/>
              </w:rPr>
              <w:t>El marco histórico seleccionado son tres décadas de producción legislativa en materia penal, es decir, que analiza los tipos penales vigentes desde la década de 1980: el Decreto Ley 100 de ese año, la Ley 599 de 2000 (código actualmente vigente), y las leyes reformatorias de la Ley 599. A través del análisis cuantitativo en tres cortes de tiempo, se revisará para Colombia la plausibilidad de la teoría del populismo punitivo.</w:t>
            </w:r>
          </w:p>
          <w:p w:rsidR="007549D3" w:rsidRPr="001F37E9" w:rsidRDefault="007549D3" w:rsidP="007549D3">
            <w:pPr>
              <w:spacing w:line="360" w:lineRule="auto"/>
              <w:jc w:val="both"/>
              <w:rPr>
                <w:rFonts w:cs="Arial"/>
              </w:rPr>
            </w:pPr>
            <w:r w:rsidRPr="001F37E9">
              <w:rPr>
                <w:rFonts w:cs="Arial"/>
              </w:rPr>
              <w:lastRenderedPageBreak/>
              <w:t xml:space="preserve">Las fuentes primarias de la investigación son: las codificaciones penales, las leyes que modifican la parte especial de los códigos penales y los debates de los proyectos en el Congreso (o las actas de la comisión preparatoria, en el caso del Decreto Ley 100 de 1980). </w:t>
            </w:r>
          </w:p>
          <w:p w:rsidR="007549D3" w:rsidRPr="001F37E9" w:rsidRDefault="007549D3" w:rsidP="007549D3">
            <w:pPr>
              <w:spacing w:line="360" w:lineRule="auto"/>
              <w:jc w:val="both"/>
              <w:rPr>
                <w:rFonts w:cs="Arial"/>
              </w:rPr>
            </w:pPr>
            <w:r w:rsidRPr="001F37E9">
              <w:rPr>
                <w:rFonts w:cs="Arial"/>
              </w:rPr>
              <w:t xml:space="preserve">Las fuentes secundarias son la literatura criminológica sobre penas existente en bases de datos electrónicas, enfatizando en los/as autores/as internacionales y nacionales más citados. </w:t>
            </w:r>
          </w:p>
          <w:p w:rsidR="007549D3" w:rsidRPr="001F37E9" w:rsidRDefault="007549D3" w:rsidP="007549D3">
            <w:pPr>
              <w:spacing w:line="360" w:lineRule="auto"/>
              <w:jc w:val="both"/>
              <w:rPr>
                <w:rFonts w:eastAsia="Times New Roman" w:cs="Arial"/>
                <w:color w:val="222222"/>
              </w:rPr>
            </w:pPr>
          </w:p>
          <w:p w:rsidR="000A128F" w:rsidRPr="007549D3" w:rsidRDefault="007549D3" w:rsidP="007549D3">
            <w:pPr>
              <w:spacing w:line="360" w:lineRule="auto"/>
              <w:jc w:val="both"/>
              <w:rPr>
                <w:rFonts w:eastAsia="Times New Roman" w:cs="Arial"/>
                <w:color w:val="222222"/>
              </w:rPr>
            </w:pPr>
            <w:r w:rsidRPr="001F37E9">
              <w:rPr>
                <w:rFonts w:eastAsia="Times New Roman" w:cs="Arial"/>
                <w:color w:val="222222"/>
              </w:rPr>
              <w:t xml:space="preserve">Se construirá una base de datos en Excel, cuyas variables son: i) los tipos penales en cada código penal; ii) el tipo de pena prevista, y iii) las penas mínimas y máximas cuantificadas en años de duración. Será posible aplicar filtros para establecer tendencias históricas en la punibilidad para categorías de delitos como: delitos contra la vida, la libertad física, delitos sexuales, etc. </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Resultados esperados</w:t>
            </w:r>
          </w:p>
        </w:tc>
      </w:tr>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Cantidad</w:t>
            </w: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Apropiación social del </w:t>
            </w:r>
            <w:proofErr w:type="spellStart"/>
            <w:r w:rsidRPr="000A128F">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Gestión del </w:t>
            </w:r>
            <w:proofErr w:type="spellStart"/>
            <w:r w:rsidRPr="000A128F">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7</w:t>
            </w: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xml:space="preserve">Proyectos de </w:t>
            </w:r>
            <w:proofErr w:type="spellStart"/>
            <w:r w:rsidRPr="000A128F">
              <w:rPr>
                <w:rFonts w:ascii="Helvetica" w:eastAsia="Times New Roman" w:hAnsi="Helvetica" w:cs="Helvetica"/>
                <w:color w:val="222222"/>
                <w:sz w:val="24"/>
                <w:szCs w:val="24"/>
                <w:lang w:eastAsia="es-CO"/>
              </w:rPr>
              <w:t>ID+i</w:t>
            </w:r>
            <w:proofErr w:type="spellEnd"/>
            <w:r w:rsidRPr="000A128F">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Contribución del proyecto al cumplimiento con la misión institucional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Este proyecto busca contribuir con la misión institucional de formar personas éticas y capaces de aportar a la solución de las principales problemáticas del país; espera producir conocimiento relevante para actualizar la formación en los diferentes programas, pregrado y posgrados, sobre el problema social de las restricciones a los derechos y libertades civiles y políticas mediante la sanción penal como instrumento por excelencia de ejercicio del monopolio estatal del poder.</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 xml:space="preserve">Líneas del PIM con las </w:t>
            </w:r>
            <w:proofErr w:type="spellStart"/>
            <w:r w:rsidRPr="000A128F">
              <w:rPr>
                <w:rFonts w:ascii="Arial" w:eastAsia="Times New Roman" w:hAnsi="Arial" w:cs="Arial"/>
                <w:b/>
                <w:bCs/>
                <w:color w:val="222222"/>
                <w:sz w:val="24"/>
                <w:szCs w:val="24"/>
                <w:lang w:eastAsia="es-CO"/>
              </w:rPr>
              <w:t>qye</w:t>
            </w:r>
            <w:proofErr w:type="spellEnd"/>
            <w:r w:rsidRPr="000A128F">
              <w:rPr>
                <w:rFonts w:ascii="Arial" w:eastAsia="Times New Roman" w:hAnsi="Arial" w:cs="Arial"/>
                <w:b/>
                <w:bCs/>
                <w:color w:val="222222"/>
                <w:sz w:val="24"/>
                <w:szCs w:val="24"/>
                <w:lang w:eastAsia="es-CO"/>
              </w:rPr>
              <w:t xml:space="preserve"> vincula el proyecto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 Proyección social e investigación pertinentes</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Acciones del Plan General de Desarrollo 2016-2019 con el que se articula el proyecto</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3.2. Garantizar que los programas y proyectos de proyección social se articulen con las demás funciones sustantivas, en concordancia con los campos de acción definidos. 3.2.4 Verificar la articulación de las funciones sustantivas en los programas y proyectos implementados. 3.4 Incrementar la producción investigativa con impacto regional, nacional e internacional. 3.4.4 Consolidar el desarrollo de los procesos de investigación en posgrado, fomentando los procesos de investigación en pregrado.</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A128F" w:rsidRPr="000A128F" w:rsidTr="000A128F">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FODEIN</w:t>
            </w:r>
          </w:p>
        </w:tc>
      </w:tr>
      <w:tr w:rsidR="000A128F" w:rsidRPr="000A128F" w:rsidTr="000A128F">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w:t>
            </w:r>
          </w:p>
        </w:tc>
      </w:tr>
      <w:tr w:rsidR="000A128F" w:rsidRPr="000A128F" w:rsidTr="007549D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$ 16.475.000</w:t>
            </w:r>
          </w:p>
        </w:tc>
      </w:tr>
      <w:tr w:rsidR="000A128F" w:rsidRPr="000A128F" w:rsidTr="007549D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7549D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$ 3.250.000</w:t>
            </w:r>
          </w:p>
        </w:tc>
      </w:tr>
      <w:tr w:rsidR="000A128F" w:rsidRPr="000A128F" w:rsidTr="007549D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7549D3" w:rsidP="000A128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$ 7.357.500</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Contratación de un auxiliar de investigación que construya una base de datos en SPSS con las penas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$ 3.000.000</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$ 30.082.500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A128F" w:rsidRPr="000A128F" w:rsidTr="000A128F">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CONTRAPARTIDA EXTERNA</w:t>
            </w:r>
          </w:p>
        </w:tc>
      </w:tr>
      <w:tr w:rsidR="000A128F" w:rsidRPr="000A128F" w:rsidTr="000A128F">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w:t>
            </w:r>
          </w:p>
        </w:tc>
      </w:tr>
      <w:tr w:rsidR="000A128F" w:rsidRPr="000A128F" w:rsidTr="000A128F">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0A128F">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A128F" w:rsidRPr="000A128F" w:rsidTr="000A128F">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$ 0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Autospacing="1" w:after="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b/>
                <w:bCs/>
                <w:color w:val="222222"/>
                <w:sz w:val="24"/>
                <w:szCs w:val="24"/>
                <w:lang w:eastAsia="es-CO"/>
              </w:rPr>
              <w:t>$ 30.082.500</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A128F" w:rsidRPr="000A128F" w:rsidTr="000A128F">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CRONOGRAMA</w:t>
            </w:r>
          </w:p>
        </w:tc>
      </w:tr>
      <w:tr w:rsidR="000A128F" w:rsidRPr="000A128F" w:rsidTr="000A128F">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Fecha Fin</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1. Elaborar el inventario, desagregando los textos legales, de los tipos penales establecidos en los códigos penales colombianos, 1980, 2000 y leyes reformatorias de este último.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2019-05-31</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 Agrupar tipos penales, de acuerdo con el bien jurídico tutelado.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2019-06-30</w:t>
            </w:r>
          </w:p>
        </w:tc>
      </w:tr>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lastRenderedPageBreak/>
              <w:t>3. Reconstruir los debates previos a la adopción de la codificación penal, enfatizando en argumentos justificadores del incremento o de la rebaja de penas. 4. Analizar la validez, desde una perspectiva de criminología crítica, de los argumentos esgrimidos por los redactores de las normas punitivas. Redactar capítulos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2019-07-01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center"/>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2019-11-30</w:t>
            </w: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Posibles evaluadores</w:t>
            </w:r>
          </w:p>
        </w:tc>
      </w:tr>
      <w:tr w:rsidR="000A128F" w:rsidRPr="000A128F" w:rsidTr="000F7A0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bookmarkStart w:id="0" w:name="_GoBack"/>
            <w:bookmarkEnd w:id="0"/>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A128F" w:rsidRPr="000A128F" w:rsidTr="000A128F">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Referencia(s)</w:t>
            </w:r>
          </w:p>
        </w:tc>
      </w:tr>
      <w:tr w:rsidR="000A128F" w:rsidRPr="000A128F" w:rsidTr="000F7A0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p>
        </w:tc>
      </w:tr>
    </w:tbl>
    <w:p w:rsidR="000A128F" w:rsidRPr="000A128F" w:rsidRDefault="000A128F" w:rsidP="000A128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0A128F" w:rsidRPr="000A128F" w:rsidTr="000A128F">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A128F" w:rsidRPr="000A128F" w:rsidRDefault="000A128F" w:rsidP="000A128F">
            <w:pPr>
              <w:spacing w:before="100" w:beforeAutospacing="1" w:after="100" w:afterAutospacing="1" w:line="240" w:lineRule="auto"/>
              <w:jc w:val="center"/>
              <w:rPr>
                <w:rFonts w:ascii="Arial" w:eastAsia="Times New Roman" w:hAnsi="Arial" w:cs="Arial"/>
                <w:b/>
                <w:bCs/>
                <w:color w:val="222222"/>
                <w:sz w:val="24"/>
                <w:szCs w:val="24"/>
                <w:lang w:eastAsia="es-CO"/>
              </w:rPr>
            </w:pPr>
            <w:r w:rsidRPr="000A128F">
              <w:rPr>
                <w:rFonts w:ascii="Arial" w:eastAsia="Times New Roman" w:hAnsi="Arial" w:cs="Arial"/>
                <w:b/>
                <w:bCs/>
                <w:color w:val="222222"/>
                <w:sz w:val="24"/>
                <w:szCs w:val="24"/>
                <w:lang w:eastAsia="es-CO"/>
              </w:rPr>
              <w:t>Documentos adjuntos</w:t>
            </w:r>
          </w:p>
        </w:tc>
      </w:tr>
      <w:tr w:rsidR="000A128F" w:rsidRPr="000A128F" w:rsidTr="000A128F">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Aval de grupo Aura Peñas.pdf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A128F" w:rsidRPr="000A128F" w:rsidRDefault="000A128F" w:rsidP="000A128F">
            <w:pPr>
              <w:spacing w:after="0" w:line="240" w:lineRule="auto"/>
              <w:jc w:val="both"/>
              <w:rPr>
                <w:rFonts w:ascii="Helvetica" w:eastAsia="Times New Roman" w:hAnsi="Helvetica" w:cs="Helvetica"/>
                <w:color w:val="222222"/>
                <w:sz w:val="24"/>
                <w:szCs w:val="24"/>
                <w:lang w:eastAsia="es-CO"/>
              </w:rPr>
            </w:pPr>
            <w:r w:rsidRPr="000A128F">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A128F" w:rsidRPr="000A128F" w:rsidRDefault="000A128F" w:rsidP="000A128F">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F6A77" w:rsidRDefault="008F6A77"/>
    <w:sectPr w:rsidR="008F6A77" w:rsidSect="000A128F">
      <w:pgSz w:w="20160" w:h="12240" w:orient="landscape" w:code="5"/>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5DCC" w:rsidRDefault="00605DCC" w:rsidP="007549D3">
      <w:pPr>
        <w:spacing w:after="0" w:line="240" w:lineRule="auto"/>
      </w:pPr>
      <w:r>
        <w:separator/>
      </w:r>
    </w:p>
  </w:endnote>
  <w:endnote w:type="continuationSeparator" w:id="0">
    <w:p w:rsidR="00605DCC" w:rsidRDefault="00605DCC" w:rsidP="007549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5DCC" w:rsidRDefault="00605DCC" w:rsidP="007549D3">
      <w:pPr>
        <w:spacing w:after="0" w:line="240" w:lineRule="auto"/>
      </w:pPr>
      <w:r>
        <w:separator/>
      </w:r>
    </w:p>
  </w:footnote>
  <w:footnote w:type="continuationSeparator" w:id="0">
    <w:p w:rsidR="00605DCC" w:rsidRDefault="00605DCC" w:rsidP="007549D3">
      <w:pPr>
        <w:spacing w:after="0" w:line="240" w:lineRule="auto"/>
      </w:pPr>
      <w:r>
        <w:continuationSeparator/>
      </w:r>
    </w:p>
  </w:footnote>
  <w:footnote w:id="1">
    <w:p w:rsidR="007549D3" w:rsidRDefault="007549D3" w:rsidP="007549D3">
      <w:pPr>
        <w:pStyle w:val="Textonotapie"/>
      </w:pPr>
      <w:r>
        <w:rPr>
          <w:rStyle w:val="Refdenotaalpie"/>
        </w:rPr>
        <w:footnoteRef/>
      </w:r>
      <w:r>
        <w:t xml:space="preserve"> Resumen del proyecto disponible en internet en: </w:t>
      </w:r>
      <w:hyperlink r:id="rId1" w:history="1">
        <w:r w:rsidRPr="00AC4C43">
          <w:rPr>
            <w:rStyle w:val="Hipervnculo"/>
          </w:rPr>
          <w:t>https://www.mpicc.de/en/forschung/forschungsarbeit/strafrecht/structures.html</w:t>
        </w:r>
      </w:hyperlink>
    </w:p>
    <w:p w:rsidR="007549D3" w:rsidRPr="00861007" w:rsidRDefault="007549D3" w:rsidP="007549D3">
      <w:pPr>
        <w:pStyle w:val="Textonotapie"/>
        <w:rPr>
          <w:lang w:val="es-CO"/>
        </w:rPr>
      </w:pPr>
    </w:p>
  </w:footnote>
  <w:footnote w:id="2">
    <w:p w:rsidR="007549D3" w:rsidRPr="00105700" w:rsidRDefault="007549D3" w:rsidP="007549D3">
      <w:pPr>
        <w:pStyle w:val="Textonotapie"/>
        <w:rPr>
          <w:rFonts w:ascii="Arial" w:hAnsi="Arial" w:cs="Arial"/>
          <w:lang w:val="es-MX"/>
        </w:rPr>
      </w:pPr>
      <w:r w:rsidRPr="00105700">
        <w:rPr>
          <w:rStyle w:val="Refdenotaalpie"/>
          <w:rFonts w:ascii="Arial" w:hAnsi="Arial" w:cs="Arial"/>
        </w:rPr>
        <w:footnoteRef/>
      </w:r>
      <w:r w:rsidRPr="00105700">
        <w:rPr>
          <w:rFonts w:ascii="Arial" w:hAnsi="Arial" w:cs="Arial"/>
        </w:rPr>
        <w:t xml:space="preserve"> </w:t>
      </w:r>
      <w:r>
        <w:rPr>
          <w:rFonts w:ascii="Arial" w:hAnsi="Arial" w:cs="Arial"/>
          <w:lang w:val="es-MX"/>
        </w:rPr>
        <w:t>Informe final disponible en internet en:</w:t>
      </w:r>
      <w:r w:rsidRPr="00105700">
        <w:rPr>
          <w:rFonts w:ascii="Arial" w:hAnsi="Arial" w:cs="Arial"/>
          <w:lang w:val="es-MX"/>
        </w:rPr>
        <w:t xml:space="preserve"> </w:t>
      </w:r>
      <w:hyperlink r:id="rId2" w:history="1">
        <w:r w:rsidRPr="00105700">
          <w:rPr>
            <w:rStyle w:val="Hipervnculo"/>
            <w:rFonts w:ascii="Arial" w:hAnsi="Arial" w:cs="Arial"/>
            <w:lang w:val="es-MX"/>
          </w:rPr>
          <w:t>http://www.justica.gov.br/seus-direitos/elaboracao-legislativa/pensando-o-direito/publicacoes/anexos/06pensando_direito_relatorio.pdf</w:t>
        </w:r>
      </w:hyperlink>
    </w:p>
    <w:p w:rsidR="007549D3" w:rsidRPr="00105700" w:rsidRDefault="007549D3" w:rsidP="007549D3">
      <w:pPr>
        <w:pStyle w:val="Textonotapie"/>
        <w:rPr>
          <w:rFonts w:ascii="Arial" w:hAnsi="Arial" w:cs="Arial"/>
          <w:lang w:val="es-MX"/>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28F"/>
    <w:rsid w:val="000A128F"/>
    <w:rsid w:val="000F7A0D"/>
    <w:rsid w:val="00605DCC"/>
    <w:rsid w:val="007549D3"/>
    <w:rsid w:val="008F6A7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50CB8F-95DE-4FBD-A37E-ABEF43011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A128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A128F"/>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unhideWhenUsed/>
    <w:rsid w:val="000A128F"/>
    <w:rPr>
      <w:color w:val="0000FF"/>
      <w:u w:val="single"/>
    </w:rPr>
  </w:style>
  <w:style w:type="paragraph" w:styleId="Textonotapie">
    <w:name w:val="footnote text"/>
    <w:basedOn w:val="Normal"/>
    <w:link w:val="TextonotapieCar"/>
    <w:uiPriority w:val="99"/>
    <w:unhideWhenUsed/>
    <w:rsid w:val="007549D3"/>
    <w:pPr>
      <w:spacing w:after="0" w:line="240" w:lineRule="auto"/>
    </w:pPr>
    <w:rPr>
      <w:rFonts w:ascii="Calibri" w:eastAsia="Calibri" w:hAnsi="Calibri" w:cs="Calibri"/>
      <w:sz w:val="20"/>
      <w:szCs w:val="20"/>
      <w:lang w:val="es-ES" w:eastAsia="es-CO"/>
    </w:rPr>
  </w:style>
  <w:style w:type="character" w:customStyle="1" w:styleId="TextonotapieCar">
    <w:name w:val="Texto nota pie Car"/>
    <w:basedOn w:val="Fuentedeprrafopredeter"/>
    <w:link w:val="Textonotapie"/>
    <w:uiPriority w:val="99"/>
    <w:rsid w:val="007549D3"/>
    <w:rPr>
      <w:rFonts w:ascii="Calibri" w:eastAsia="Calibri" w:hAnsi="Calibri" w:cs="Calibri"/>
      <w:sz w:val="20"/>
      <w:szCs w:val="20"/>
      <w:lang w:val="es-ES" w:eastAsia="es-CO"/>
    </w:rPr>
  </w:style>
  <w:style w:type="character" w:styleId="Refdenotaalpie">
    <w:name w:val="footnote reference"/>
    <w:basedOn w:val="Fuentedeprrafopredeter"/>
    <w:uiPriority w:val="99"/>
    <w:unhideWhenUsed/>
    <w:rsid w:val="007549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2945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www.justica.gov.br/seus-direitos/elaboracao-legislativa/pensando-o-direito/publicacoes/anexos/06pensando_direito_relatorio.pdf" TargetMode="External"/><Relationship Id="rId1" Type="http://schemas.openxmlformats.org/officeDocument/2006/relationships/hyperlink" Target="https://www.mpicc.de/en/forschung/forschungsarbeit/strafrecht/structure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1905</Words>
  <Characters>10481</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2018-08-29T16:27:00Z</dcterms:created>
  <dcterms:modified xsi:type="dcterms:W3CDTF">2018-09-17T19:31:00Z</dcterms:modified>
</cp:coreProperties>
</file>