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9535C1"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5000" w:type="pct"/>
        <w:shd w:val="clear" w:color="auto" w:fill="FFFFFF"/>
        <w:tblLook w:val="04A0" w:firstRow="1" w:lastRow="0" w:firstColumn="1" w:lastColumn="0" w:noHBand="0" w:noVBand="1"/>
      </w:tblPr>
      <w:tblGrid>
        <w:gridCol w:w="7345"/>
        <w:gridCol w:w="7345"/>
      </w:tblGrid>
      <w:tr w:rsidR="002A18AF" w14:paraId="13858E22" w14:textId="77777777" w:rsidTr="00F2277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B3BE324"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76663D71" w14:textId="77777777" w:rsidTr="00D66040">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AA6EB8" w14:textId="4B76299C" w:rsidR="002A18AF" w:rsidRPr="00D66040" w:rsidRDefault="00D21D51" w:rsidP="00D66040">
            <w:pPr>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 xml:space="preserve">Método de lectura crítica y producción escrita </w:t>
            </w:r>
            <w:r w:rsidRPr="00D66040">
              <w:rPr>
                <w:rFonts w:ascii="Arial" w:eastAsia="Times New Roman" w:hAnsi="Arial" w:cs="Arial"/>
                <w:bCs/>
                <w:color w:val="222222"/>
                <w:sz w:val="24"/>
                <w:szCs w:val="24"/>
                <w:lang w:eastAsia="es-CO"/>
              </w:rPr>
              <w:t>para fortalecer el proceso de aprendizaje en la Educación Superior</w:t>
            </w:r>
          </w:p>
        </w:tc>
      </w:tr>
      <w:tr w:rsidR="00265B89" w14:paraId="465E0C1D" w14:textId="77777777" w:rsidTr="00F2277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B500585"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7F0A7B1"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14:paraId="3843A5F1" w14:textId="77777777" w:rsidTr="00E22662">
        <w:trPr>
          <w:trHeight w:val="1895"/>
        </w:trPr>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039412" w14:textId="162E2F81" w:rsidR="00265B89" w:rsidRPr="00D66040" w:rsidRDefault="00F05497" w:rsidP="00D66040">
            <w:pPr>
              <w:spacing w:after="0" w:line="360" w:lineRule="auto"/>
              <w:jc w:val="center"/>
              <w:rPr>
                <w:rFonts w:ascii="Arial" w:eastAsia="Times New Roman" w:hAnsi="Arial" w:cs="Arial"/>
                <w:b/>
                <w:bCs/>
                <w:color w:val="222222"/>
                <w:sz w:val="24"/>
                <w:szCs w:val="24"/>
                <w:lang w:eastAsia="es-CO"/>
              </w:rPr>
            </w:pPr>
            <w:r w:rsidRPr="00D66040">
              <w:rPr>
                <w:rFonts w:ascii="Arial" w:hAnsi="Arial" w:cs="Arial"/>
                <w:sz w:val="24"/>
                <w:szCs w:val="24"/>
              </w:rPr>
              <w:t>Sociedad y ambiente</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215440B8" w14:textId="178863AF" w:rsidR="00265B89" w:rsidRPr="00D66040" w:rsidRDefault="008955EF" w:rsidP="00D66040">
            <w:pPr>
              <w:spacing w:after="0" w:line="360" w:lineRule="auto"/>
              <w:jc w:val="both"/>
              <w:rPr>
                <w:rFonts w:ascii="Arial" w:eastAsia="Times New Roman" w:hAnsi="Arial" w:cs="Arial"/>
                <w:b/>
                <w:bCs/>
                <w:color w:val="222222"/>
                <w:sz w:val="24"/>
                <w:szCs w:val="24"/>
                <w:lang w:eastAsia="es-CO"/>
              </w:rPr>
            </w:pPr>
            <w:r w:rsidRPr="00D66040">
              <w:rPr>
                <w:rFonts w:ascii="Arial" w:eastAsia="Times New Roman" w:hAnsi="Arial" w:cs="Arial"/>
                <w:color w:val="222222"/>
                <w:sz w:val="24"/>
                <w:szCs w:val="24"/>
                <w:lang w:eastAsia="es-CO"/>
              </w:rPr>
              <w:t xml:space="preserve">La relación de esta propuesta se encuentra con la línea 5. Personas que transforman sociedad y directamente con el </w:t>
            </w:r>
            <w:proofErr w:type="spellStart"/>
            <w:r w:rsidRPr="00D66040">
              <w:rPr>
                <w:rFonts w:ascii="Arial" w:eastAsia="Times New Roman" w:hAnsi="Arial" w:cs="Arial"/>
                <w:color w:val="222222"/>
                <w:sz w:val="24"/>
                <w:szCs w:val="24"/>
                <w:lang w:eastAsia="es-CO"/>
              </w:rPr>
              <w:t>subobjetivo</w:t>
            </w:r>
            <w:proofErr w:type="spellEnd"/>
            <w:r w:rsidRPr="00D66040">
              <w:rPr>
                <w:rFonts w:ascii="Arial" w:eastAsia="Times New Roman" w:hAnsi="Arial" w:cs="Arial"/>
                <w:color w:val="222222"/>
                <w:sz w:val="24"/>
                <w:szCs w:val="24"/>
                <w:lang w:eastAsia="es-CO"/>
              </w:rPr>
              <w:t xml:space="preserve"> 5.2, traza como tarea implementar estrategias para </w:t>
            </w:r>
            <w:r w:rsidRPr="00D66040">
              <w:rPr>
                <w:rFonts w:ascii="Arial" w:eastAsia="Times New Roman" w:hAnsi="Arial" w:cs="Arial"/>
                <w:i/>
                <w:color w:val="222222"/>
                <w:sz w:val="24"/>
                <w:szCs w:val="24"/>
                <w:lang w:eastAsia="es-CO"/>
              </w:rPr>
              <w:t>favorecer la permanencia estudiantil, el éxito académico y la graduación oportuna,</w:t>
            </w:r>
            <w:r w:rsidRPr="00D66040">
              <w:rPr>
                <w:rFonts w:ascii="Arial" w:eastAsia="Times New Roman" w:hAnsi="Arial" w:cs="Arial"/>
                <w:color w:val="222222"/>
                <w:sz w:val="24"/>
                <w:szCs w:val="24"/>
                <w:lang w:eastAsia="es-CO"/>
              </w:rPr>
              <w:t xml:space="preserve"> y contribuir al desarrollo humano (USTA, 2016, p. 21).</w:t>
            </w:r>
          </w:p>
        </w:tc>
      </w:tr>
      <w:tr w:rsidR="00265B89" w14:paraId="76441B1D" w14:textId="77777777" w:rsidTr="00F2277F">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641D2E3"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00D7912F" w14:textId="77777777" w:rsidTr="00F2277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E2FB82" w14:textId="62FB99F8" w:rsidR="00265B89" w:rsidRPr="00D66040" w:rsidRDefault="001E20E0" w:rsidP="00D66040">
            <w:pPr>
              <w:spacing w:after="0" w:line="360" w:lineRule="auto"/>
              <w:jc w:val="both"/>
              <w:rPr>
                <w:rFonts w:ascii="Arial" w:eastAsia="Times New Roman" w:hAnsi="Arial" w:cs="Arial"/>
                <w:b/>
                <w:bCs/>
                <w:color w:val="222222"/>
                <w:sz w:val="24"/>
                <w:szCs w:val="24"/>
                <w:lang w:eastAsia="es-CO"/>
              </w:rPr>
            </w:pPr>
            <w:r w:rsidRPr="00D66040">
              <w:rPr>
                <w:rFonts w:ascii="Arial" w:eastAsia="Times New Roman" w:hAnsi="Arial" w:cs="Arial"/>
                <w:color w:val="222222"/>
                <w:sz w:val="24"/>
                <w:szCs w:val="24"/>
                <w:lang w:eastAsia="es-CO"/>
              </w:rPr>
              <w:t xml:space="preserve">El Proyecto toma como marco contextual, en primera instancia, las problemáticas y necesidades que presenta el estudiante colombiano al ingresar a la educación superior para comprender y producir textos a lo largo de su formación profesional y, por ende, para el desarrollo de sus actitudes y competencias investigativas. En segunda instancia, toma como referente la propuesta educativa para el trabajo que el Ministerio de Educación Nacional (MEN) ha establecido para fortalecer las denominadas competencias genéricas, las cuales permitan a los estudiantes dar respuesta a las exigencias del mundo actual y la sociedad del conocimiento (UNESCO 1998). Y en tercera instancia, toma como marco misional la formación integral de los estudiantes, en la que la lectura y escritura fungen como herramientas idóneas para el desarrollo de las dimensiones de la acción humana (comprender, hacer, obrar y comunicar), en la medida en que promueven el pensamiento crítico, el obrar ético y el comunicar apropiado, tal y como los indica el Plan Integral </w:t>
            </w:r>
            <w:proofErr w:type="spellStart"/>
            <w:r w:rsidRPr="00D66040">
              <w:rPr>
                <w:rFonts w:ascii="Arial" w:eastAsia="Times New Roman" w:hAnsi="Arial" w:cs="Arial"/>
                <w:color w:val="222222"/>
                <w:sz w:val="24"/>
                <w:szCs w:val="24"/>
                <w:lang w:eastAsia="es-CO"/>
              </w:rPr>
              <w:t>Multicampus</w:t>
            </w:r>
            <w:proofErr w:type="spellEnd"/>
            <w:r w:rsidRPr="00D66040">
              <w:rPr>
                <w:rFonts w:ascii="Arial" w:eastAsia="Times New Roman" w:hAnsi="Arial" w:cs="Arial"/>
                <w:color w:val="222222"/>
                <w:sz w:val="24"/>
                <w:szCs w:val="24"/>
                <w:lang w:eastAsia="es-CO"/>
              </w:rPr>
              <w:t xml:space="preserve"> (PIM) y el Plan General de Desarrollo 2016-2019 de la Universidad Santo Tomás (USTA, 2016a). Teniendo presente estos marcos, el proyecto desarrolla una investigación pertinente, articulada con las funciones sustantivas de docencia e investigación, en tanto procura impactar el currículo mediante la propuesta y aplicación de un método, que fortalezca las competencias en lectura crítica, producción escrita e investigación formativa, con el objetivo que los estudiantes utilicen el conocimiento como herramienta </w:t>
            </w:r>
            <w:r w:rsidRPr="00D66040">
              <w:rPr>
                <w:rFonts w:ascii="Arial" w:eastAsia="Times New Roman" w:hAnsi="Arial" w:cs="Arial"/>
                <w:bCs/>
                <w:color w:val="222222"/>
                <w:sz w:val="24"/>
                <w:szCs w:val="24"/>
                <w:lang w:eastAsia="es-CO"/>
              </w:rPr>
              <w:t>para comprender y transformar constructivamente su entorno social</w:t>
            </w:r>
            <w:r w:rsidRPr="00D66040">
              <w:rPr>
                <w:rFonts w:ascii="Arial" w:eastAsia="Times New Roman" w:hAnsi="Arial" w:cs="Arial"/>
                <w:color w:val="222222"/>
                <w:sz w:val="24"/>
                <w:szCs w:val="24"/>
                <w:lang w:eastAsia="es-CO"/>
              </w:rPr>
              <w:t xml:space="preserve">; y concatenen el aprendizaje por competencias y la formación integral, desde un aprendizaje consciente, reflexivo y autónomo. Así, el Proyecto contribuye a la implementación de la Acción 5.2 del PIM, que, en aras de favorecer la permanencia estudiantil </w:t>
            </w:r>
            <w:r w:rsidRPr="00D66040">
              <w:rPr>
                <w:rFonts w:ascii="Arial" w:eastAsia="Times New Roman" w:hAnsi="Arial" w:cs="Arial"/>
                <w:color w:val="222222"/>
                <w:sz w:val="24"/>
                <w:szCs w:val="24"/>
                <w:lang w:eastAsia="es-CO"/>
              </w:rPr>
              <w:lastRenderedPageBreak/>
              <w:t xml:space="preserve">y contribuir al desarrollo humano, traza como tarea </w:t>
            </w:r>
            <w:r w:rsidRPr="00D66040">
              <w:rPr>
                <w:rFonts w:ascii="Arial" w:eastAsia="Times New Roman" w:hAnsi="Arial" w:cs="Arial"/>
                <w:i/>
                <w:color w:val="222222"/>
                <w:sz w:val="24"/>
                <w:szCs w:val="24"/>
                <w:lang w:eastAsia="es-CO"/>
              </w:rPr>
              <w:t>implementar mecanismos y estrategias de articulación de la educación media, la educación para el trabajo y el desarrollo humano con la educación superior</w:t>
            </w:r>
            <w:r w:rsidRPr="00D66040">
              <w:rPr>
                <w:rFonts w:ascii="Arial" w:eastAsia="Times New Roman" w:hAnsi="Arial" w:cs="Arial"/>
                <w:color w:val="222222"/>
                <w:sz w:val="24"/>
                <w:szCs w:val="24"/>
                <w:lang w:eastAsia="es-CO"/>
              </w:rPr>
              <w:t xml:space="preserve"> (USTA, 2016b, p. 63).</w:t>
            </w:r>
          </w:p>
        </w:tc>
      </w:tr>
      <w:tr w:rsidR="002A18AF" w14:paraId="20BDF6E2" w14:textId="77777777" w:rsidTr="00F2277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8E95B37"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lastRenderedPageBreak/>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B5D2E16"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8955EF" w:rsidRPr="00EF5EE5" w14:paraId="6468BAA4" w14:textId="77777777" w:rsidTr="00F2277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B4FD5E" w14:textId="130B41FF" w:rsidR="008955EF" w:rsidRPr="00EF5EE5" w:rsidRDefault="008955EF" w:rsidP="008955EF">
            <w:pPr>
              <w:spacing w:after="0" w:line="240" w:lineRule="auto"/>
              <w:jc w:val="center"/>
              <w:rPr>
                <w:rFonts w:ascii="Times New Roman" w:eastAsia="Times New Roman" w:hAnsi="Times New Roman" w:cs="Times New Roman"/>
                <w:b/>
                <w:color w:val="222222"/>
                <w:sz w:val="24"/>
                <w:szCs w:val="24"/>
                <w:lang w:eastAsia="es-CO"/>
              </w:rPr>
            </w:pPr>
            <w:r w:rsidRPr="00187025">
              <w:rPr>
                <w:rFonts w:ascii="Arial" w:eastAsia="Times New Roman" w:hAnsi="Arial" w:cs="Arial"/>
                <w:bCs/>
                <w:color w:val="222222"/>
                <w:sz w:val="24"/>
                <w:szCs w:val="24"/>
                <w:lang w:eastAsia="es-CO"/>
              </w:rPr>
              <w:t>Aletheia</w:t>
            </w:r>
            <w:r>
              <w:rPr>
                <w:rFonts w:ascii="Arial" w:eastAsia="Times New Roman" w:hAnsi="Arial" w:cs="Arial"/>
                <w:bCs/>
                <w:color w:val="222222"/>
                <w:sz w:val="24"/>
                <w:szCs w:val="24"/>
                <w:lang w:eastAsia="es-CO"/>
              </w:rPr>
              <w:t xml:space="preserve"> y CETHI</w:t>
            </w:r>
            <w:r w:rsidRPr="00187025">
              <w:rPr>
                <w:rFonts w:ascii="Arial" w:eastAsia="Times New Roman" w:hAnsi="Arial" w:cs="Arial"/>
                <w:bCs/>
                <w:color w:val="222222"/>
                <w:sz w:val="24"/>
                <w:szCs w:val="24"/>
                <w:lang w:eastAsia="es-CO"/>
              </w:rPr>
              <w:t>:</w:t>
            </w:r>
            <w:r w:rsidRPr="00187025">
              <w:rPr>
                <w:rFonts w:ascii="Arial" w:eastAsia="Times New Roman" w:hAnsi="Arial" w:cs="Arial"/>
                <w:b/>
                <w:bCs/>
                <w:color w:val="222222"/>
                <w:sz w:val="24"/>
                <w:szCs w:val="24"/>
                <w:lang w:eastAsia="es-CO"/>
              </w:rPr>
              <w:t xml:space="preserve"> </w:t>
            </w:r>
            <w:r w:rsidRPr="00187025">
              <w:rPr>
                <w:rStyle w:val="Textoennegrita"/>
                <w:b w:val="0"/>
              </w:rPr>
              <w:t>Educación contemporánea y pedagogías emergentes</w:t>
            </w:r>
          </w:p>
        </w:tc>
      </w:tr>
    </w:tbl>
    <w:p w14:paraId="20CD07F6" w14:textId="503F5053" w:rsidR="002A18AF" w:rsidRPr="00EF5EE5" w:rsidRDefault="002A18AF" w:rsidP="002A18AF">
      <w:pPr>
        <w:spacing w:after="0" w:line="240" w:lineRule="auto"/>
        <w:rPr>
          <w:rFonts w:ascii="Times New Roman" w:eastAsia="Times New Roman" w:hAnsi="Times New Roman" w:cs="Times New Roman"/>
          <w:sz w:val="24"/>
          <w:szCs w:val="24"/>
          <w:lang w:eastAsia="es-CO"/>
        </w:rPr>
      </w:pPr>
    </w:p>
    <w:tbl>
      <w:tblPr>
        <w:tblW w:w="5000" w:type="pct"/>
        <w:shd w:val="clear" w:color="auto" w:fill="FFFFFF"/>
        <w:tblLayout w:type="fixed"/>
        <w:tblLook w:val="04A0" w:firstRow="1" w:lastRow="0" w:firstColumn="1" w:lastColumn="0" w:noHBand="0" w:noVBand="1"/>
      </w:tblPr>
      <w:tblGrid>
        <w:gridCol w:w="2521"/>
        <w:gridCol w:w="4636"/>
        <w:gridCol w:w="2809"/>
        <w:gridCol w:w="4724"/>
      </w:tblGrid>
      <w:tr w:rsidR="00990021" w14:paraId="3102A71F" w14:textId="77777777" w:rsidTr="00990021">
        <w:trPr>
          <w:trHeight w:val="516"/>
        </w:trPr>
        <w:tc>
          <w:tcPr>
            <w:tcW w:w="85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1A91CDB"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57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C4E5A3" w14:textId="77777777" w:rsidR="00615CC7" w:rsidRDefault="00615CC7" w:rsidP="00F376FD">
            <w:pPr>
              <w:spacing w:before="100" w:beforeAutospacing="1" w:after="100" w:afterAutospacing="1" w:line="240" w:lineRule="auto"/>
              <w:ind w:right="-15"/>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5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AA5D28"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60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5C49130"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990021" w14:paraId="3FFCD929" w14:textId="77777777" w:rsidTr="00990021">
        <w:trPr>
          <w:trHeight w:val="536"/>
        </w:trPr>
        <w:tc>
          <w:tcPr>
            <w:tcW w:w="8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D20B14" w14:textId="7440A390" w:rsidR="008955EF" w:rsidRPr="00D66040" w:rsidRDefault="008955EF" w:rsidP="008955EF">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Clara Inés Jaramillo Gaviria</w:t>
            </w:r>
          </w:p>
        </w:tc>
        <w:tc>
          <w:tcPr>
            <w:tcW w:w="15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FFEEA9" w14:textId="35661133" w:rsidR="008955EF" w:rsidRPr="00D66040" w:rsidRDefault="008955EF" w:rsidP="008955EF">
            <w:pPr>
              <w:spacing w:after="0" w:line="240" w:lineRule="auto"/>
              <w:ind w:left="-67"/>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http://scienti.colciencias.gov.co:8081/cvlac/visualizador/generarCurriculoCv.do?cod_rh=0001050672</w:t>
            </w:r>
          </w:p>
        </w:tc>
        <w:tc>
          <w:tcPr>
            <w:tcW w:w="95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738E8E" w14:textId="729ACAB3" w:rsidR="008955EF" w:rsidRPr="00D66040" w:rsidRDefault="008955EF" w:rsidP="008955EF">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https://orcid.org/0000-0001-5703-1412</w:t>
            </w:r>
          </w:p>
        </w:tc>
        <w:tc>
          <w:tcPr>
            <w:tcW w:w="16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30AA2A" w14:textId="56009E6D" w:rsidR="008955EF" w:rsidRPr="00D66040" w:rsidRDefault="008955EF" w:rsidP="008955EF">
            <w:pPr>
              <w:spacing w:after="0" w:line="240" w:lineRule="auto"/>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https://scholar.google.es/citations?user=VpXtlOwAAAAJ&amp;hl=es</w:t>
            </w:r>
          </w:p>
        </w:tc>
      </w:tr>
      <w:tr w:rsidR="00990021" w14:paraId="25E5A6A1" w14:textId="77777777" w:rsidTr="00990021">
        <w:trPr>
          <w:trHeight w:val="305"/>
        </w:trPr>
        <w:tc>
          <w:tcPr>
            <w:tcW w:w="8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223D3CF"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38184D8"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AD2015F"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60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58B8E7A"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990021" w:rsidRPr="00615CC7" w14:paraId="7BF0D0BE" w14:textId="77777777" w:rsidTr="00990021">
        <w:trPr>
          <w:trHeight w:val="536"/>
        </w:trPr>
        <w:tc>
          <w:tcPr>
            <w:tcW w:w="8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6362CD3" w14:textId="6D78CC0A" w:rsidR="008955EF" w:rsidRPr="00D66040" w:rsidRDefault="008955EF" w:rsidP="008955EF">
            <w:pPr>
              <w:spacing w:before="100" w:beforeAutospacing="1" w:after="100" w:afterAutospacing="1" w:line="240" w:lineRule="auto"/>
              <w:rPr>
                <w:rFonts w:ascii="Arial" w:eastAsia="Times New Roman" w:hAnsi="Arial" w:cs="Arial"/>
                <w:bCs/>
                <w:color w:val="222222"/>
                <w:sz w:val="24"/>
                <w:szCs w:val="24"/>
                <w:lang w:eastAsia="es-CO"/>
              </w:rPr>
            </w:pPr>
            <w:r w:rsidRPr="00D66040">
              <w:rPr>
                <w:rFonts w:ascii="Arial" w:eastAsia="Times New Roman" w:hAnsi="Arial" w:cs="Arial"/>
                <w:color w:val="222222"/>
                <w:sz w:val="24"/>
                <w:szCs w:val="24"/>
                <w:lang w:eastAsia="es-CO"/>
              </w:rPr>
              <w:t>N/A</w:t>
            </w:r>
          </w:p>
        </w:tc>
        <w:tc>
          <w:tcPr>
            <w:tcW w:w="15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629FA7" w14:textId="6BF8DB7C"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color w:val="222222"/>
                <w:sz w:val="24"/>
                <w:szCs w:val="24"/>
                <w:lang w:eastAsia="es-CO"/>
              </w:rPr>
              <w:t>Departamentos Académicos</w:t>
            </w:r>
          </w:p>
        </w:tc>
        <w:tc>
          <w:tcPr>
            <w:tcW w:w="95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938D07" w14:textId="0964ACB9"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proofErr w:type="spellStart"/>
            <w:r w:rsidRPr="00D66040">
              <w:rPr>
                <w:rFonts w:ascii="Arial" w:eastAsia="Times New Roman" w:hAnsi="Arial" w:cs="Arial"/>
                <w:color w:val="222222"/>
                <w:sz w:val="24"/>
                <w:szCs w:val="24"/>
                <w:lang w:eastAsia="es-CO"/>
              </w:rPr>
              <w:t>Dep</w:t>
            </w:r>
            <w:proofErr w:type="spellEnd"/>
            <w:r w:rsidRPr="00D66040">
              <w:rPr>
                <w:rFonts w:ascii="Arial" w:eastAsia="Times New Roman" w:hAnsi="Arial" w:cs="Arial"/>
                <w:color w:val="222222"/>
                <w:sz w:val="24"/>
                <w:szCs w:val="24"/>
                <w:lang w:eastAsia="es-CO"/>
              </w:rPr>
              <w:t>. de Humanidades y Formación Integral</w:t>
            </w:r>
          </w:p>
        </w:tc>
        <w:tc>
          <w:tcPr>
            <w:tcW w:w="16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962AB2" w14:textId="01E7DC1A"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Aletheia</w:t>
            </w:r>
          </w:p>
        </w:tc>
      </w:tr>
      <w:tr w:rsidR="00990021" w14:paraId="13231024" w14:textId="77777777" w:rsidTr="00990021">
        <w:trPr>
          <w:trHeight w:val="393"/>
        </w:trPr>
        <w:tc>
          <w:tcPr>
            <w:tcW w:w="8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85004F"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5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969B721"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5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7A3646D"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60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250719A"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990021" w14:paraId="5C63194B" w14:textId="77777777" w:rsidTr="00990021">
        <w:trPr>
          <w:trHeight w:val="536"/>
        </w:trPr>
        <w:tc>
          <w:tcPr>
            <w:tcW w:w="8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2EFDD5" w14:textId="6F7EC4E1" w:rsidR="008955EF" w:rsidRPr="00D66040" w:rsidRDefault="008955EF" w:rsidP="008955EF">
            <w:pPr>
              <w:spacing w:before="100" w:beforeAutospacing="1" w:after="100" w:afterAutospacing="1" w:line="240" w:lineRule="auto"/>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Jeison Andrés Cardona Zuluaga</w:t>
            </w:r>
          </w:p>
        </w:tc>
        <w:tc>
          <w:tcPr>
            <w:tcW w:w="15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CCBC87" w14:textId="4461D2D2"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http://scienti.colciencias.gov.co:8081/cvlac/visualizador/generarCurriculoCv.do?cod_rh=0001499440</w:t>
            </w:r>
          </w:p>
        </w:tc>
        <w:tc>
          <w:tcPr>
            <w:tcW w:w="95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5697350" w14:textId="276E55CC"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https://orcid.org/0000-0002-9786-5144</w:t>
            </w:r>
          </w:p>
        </w:tc>
        <w:tc>
          <w:tcPr>
            <w:tcW w:w="16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79B009" w14:textId="3E66788A" w:rsidR="008955EF" w:rsidRPr="00D66040" w:rsidRDefault="008955EF" w:rsidP="008955EF">
            <w:pPr>
              <w:spacing w:before="100" w:beforeAutospacing="1" w:after="100" w:afterAutospacing="1" w:line="240" w:lineRule="auto"/>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https://scholar.google.com/citations?user=ABfAdLYAAAAJ&amp;hl=es</w:t>
            </w:r>
          </w:p>
        </w:tc>
      </w:tr>
      <w:tr w:rsidR="00990021" w14:paraId="1F9FC92F" w14:textId="77777777" w:rsidTr="00990021">
        <w:trPr>
          <w:trHeight w:val="358"/>
        </w:trPr>
        <w:tc>
          <w:tcPr>
            <w:tcW w:w="8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CE2BC9"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729A2E"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791C096"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60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D960739" w14:textId="77777777" w:rsidR="00615CC7" w:rsidRDefault="00615CC7" w:rsidP="00F376F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990021" w14:paraId="28F9B985" w14:textId="77777777" w:rsidTr="00990021">
        <w:trPr>
          <w:trHeight w:val="536"/>
        </w:trPr>
        <w:tc>
          <w:tcPr>
            <w:tcW w:w="8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F5E1BF" w14:textId="0C9A966B" w:rsidR="008955EF" w:rsidRPr="00D66040" w:rsidRDefault="008955EF" w:rsidP="008955EF">
            <w:pPr>
              <w:spacing w:before="100" w:beforeAutospacing="1" w:after="100" w:afterAutospacing="1" w:line="240" w:lineRule="auto"/>
              <w:rPr>
                <w:rFonts w:ascii="Arial" w:eastAsia="Times New Roman" w:hAnsi="Arial" w:cs="Arial"/>
                <w:b/>
                <w:bCs/>
                <w:color w:val="222222"/>
                <w:sz w:val="24"/>
                <w:szCs w:val="24"/>
                <w:lang w:eastAsia="es-CO"/>
              </w:rPr>
            </w:pPr>
            <w:r w:rsidRPr="00D66040">
              <w:rPr>
                <w:rFonts w:ascii="Arial" w:eastAsia="Times New Roman" w:hAnsi="Arial" w:cs="Arial"/>
                <w:color w:val="222222"/>
                <w:sz w:val="24"/>
                <w:szCs w:val="24"/>
                <w:lang w:eastAsia="es-CO"/>
              </w:rPr>
              <w:t>N/A</w:t>
            </w:r>
          </w:p>
        </w:tc>
        <w:tc>
          <w:tcPr>
            <w:tcW w:w="15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E235C7" w14:textId="2A5C2550" w:rsidR="008955EF" w:rsidRPr="00D66040" w:rsidRDefault="008955EF" w:rsidP="008955EF">
            <w:pPr>
              <w:spacing w:before="100" w:beforeAutospacing="1" w:after="100" w:afterAutospacing="1" w:line="240" w:lineRule="auto"/>
              <w:jc w:val="center"/>
              <w:rPr>
                <w:rFonts w:ascii="Arial" w:eastAsia="Times New Roman" w:hAnsi="Arial" w:cs="Arial"/>
                <w:b/>
                <w:bCs/>
                <w:color w:val="222222"/>
                <w:sz w:val="24"/>
                <w:szCs w:val="24"/>
                <w:lang w:eastAsia="es-CO"/>
              </w:rPr>
            </w:pPr>
            <w:r w:rsidRPr="00D66040">
              <w:rPr>
                <w:rFonts w:ascii="Arial" w:eastAsia="Times New Roman" w:hAnsi="Arial" w:cs="Arial"/>
                <w:color w:val="222222"/>
                <w:sz w:val="24"/>
                <w:szCs w:val="24"/>
                <w:lang w:eastAsia="es-CO"/>
              </w:rPr>
              <w:t>Departamentos Académicos</w:t>
            </w:r>
          </w:p>
        </w:tc>
        <w:tc>
          <w:tcPr>
            <w:tcW w:w="95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35E184" w14:textId="067E07C9" w:rsidR="008955EF" w:rsidRPr="00D66040" w:rsidRDefault="008955EF" w:rsidP="008955EF">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sidRPr="00D66040">
              <w:rPr>
                <w:rFonts w:ascii="Arial" w:eastAsia="Times New Roman" w:hAnsi="Arial" w:cs="Arial"/>
                <w:color w:val="222222"/>
                <w:sz w:val="24"/>
                <w:szCs w:val="24"/>
                <w:lang w:eastAsia="es-CO"/>
              </w:rPr>
              <w:t>Dep</w:t>
            </w:r>
            <w:proofErr w:type="spellEnd"/>
            <w:r w:rsidRPr="00D66040">
              <w:rPr>
                <w:rFonts w:ascii="Arial" w:eastAsia="Times New Roman" w:hAnsi="Arial" w:cs="Arial"/>
                <w:color w:val="222222"/>
                <w:sz w:val="24"/>
                <w:szCs w:val="24"/>
                <w:lang w:eastAsia="es-CO"/>
              </w:rPr>
              <w:t>. de Humanidades y Formación Integral</w:t>
            </w:r>
          </w:p>
        </w:tc>
        <w:tc>
          <w:tcPr>
            <w:tcW w:w="16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197711" w14:textId="31A8266E"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CETHI</w:t>
            </w:r>
          </w:p>
        </w:tc>
      </w:tr>
      <w:tr w:rsidR="00990021" w14:paraId="3BBC2D26" w14:textId="77777777" w:rsidTr="00990021">
        <w:trPr>
          <w:trHeight w:val="445"/>
        </w:trPr>
        <w:tc>
          <w:tcPr>
            <w:tcW w:w="8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D487AC1" w14:textId="69FCC1E9" w:rsidR="008955EF" w:rsidRPr="00990021" w:rsidRDefault="008955EF" w:rsidP="008955EF">
            <w:pPr>
              <w:spacing w:before="100" w:beforeAutospacing="1" w:after="100" w:afterAutospacing="1" w:line="240" w:lineRule="auto"/>
              <w:rPr>
                <w:rFonts w:ascii="Arial" w:eastAsia="Times New Roman" w:hAnsi="Arial" w:cs="Arial"/>
                <w:bCs/>
                <w:color w:val="222222"/>
                <w:sz w:val="24"/>
                <w:szCs w:val="24"/>
                <w:lang w:eastAsia="es-CO"/>
              </w:rPr>
            </w:pPr>
            <w:r w:rsidRPr="00990021">
              <w:rPr>
                <w:rFonts w:ascii="Arial" w:eastAsia="Times New Roman" w:hAnsi="Arial" w:cs="Arial"/>
                <w:b/>
                <w:bCs/>
                <w:color w:val="222222"/>
                <w:sz w:val="24"/>
                <w:szCs w:val="24"/>
                <w:lang w:eastAsia="es-CO"/>
              </w:rPr>
              <w:t xml:space="preserve">Nombre del Co-investigador </w:t>
            </w:r>
          </w:p>
        </w:tc>
        <w:tc>
          <w:tcPr>
            <w:tcW w:w="15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09A357A" w14:textId="20A807ED" w:rsidR="008955EF" w:rsidRPr="00990021"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990021">
              <w:rPr>
                <w:rFonts w:ascii="Arial" w:eastAsia="Times New Roman" w:hAnsi="Arial" w:cs="Arial"/>
                <w:b/>
                <w:bCs/>
                <w:color w:val="222222"/>
                <w:sz w:val="24"/>
                <w:szCs w:val="24"/>
                <w:lang w:eastAsia="es-CO"/>
              </w:rPr>
              <w:t>Enlace CvLAC</w:t>
            </w:r>
          </w:p>
        </w:tc>
        <w:tc>
          <w:tcPr>
            <w:tcW w:w="95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024A70" w14:textId="6944C15F" w:rsidR="008955EF" w:rsidRPr="00990021"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990021">
              <w:rPr>
                <w:rFonts w:ascii="Arial" w:eastAsia="Times New Roman" w:hAnsi="Arial" w:cs="Arial"/>
                <w:b/>
                <w:bCs/>
                <w:color w:val="222222"/>
                <w:sz w:val="24"/>
                <w:szCs w:val="24"/>
                <w:lang w:eastAsia="es-CO"/>
              </w:rPr>
              <w:t>Enlace ORCID</w:t>
            </w:r>
          </w:p>
        </w:tc>
        <w:tc>
          <w:tcPr>
            <w:tcW w:w="160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DEE583E" w14:textId="0DBB5526" w:rsidR="008955EF" w:rsidRPr="00990021"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990021">
              <w:rPr>
                <w:rFonts w:ascii="Arial" w:eastAsia="Times New Roman" w:hAnsi="Arial" w:cs="Arial"/>
                <w:b/>
                <w:bCs/>
                <w:color w:val="222222"/>
                <w:sz w:val="24"/>
                <w:szCs w:val="24"/>
                <w:lang w:eastAsia="es-CO"/>
              </w:rPr>
              <w:t>Enlace Google Académico</w:t>
            </w:r>
          </w:p>
        </w:tc>
      </w:tr>
      <w:tr w:rsidR="00990021" w14:paraId="6F6E8DA5" w14:textId="77777777" w:rsidTr="00990021">
        <w:trPr>
          <w:trHeight w:val="536"/>
        </w:trPr>
        <w:tc>
          <w:tcPr>
            <w:tcW w:w="8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383576" w14:textId="66BE3B0A" w:rsidR="008955EF" w:rsidRPr="00D66040" w:rsidRDefault="008955EF" w:rsidP="008955EF">
            <w:pPr>
              <w:spacing w:before="100" w:beforeAutospacing="1" w:after="100" w:afterAutospacing="1" w:line="240" w:lineRule="auto"/>
              <w:rPr>
                <w:rFonts w:ascii="Arial" w:eastAsia="Times New Roman" w:hAnsi="Arial" w:cs="Arial"/>
                <w:bCs/>
                <w:color w:val="222222"/>
                <w:sz w:val="24"/>
                <w:szCs w:val="24"/>
                <w:lang w:eastAsia="es-CO"/>
              </w:rPr>
            </w:pPr>
            <w:proofErr w:type="spellStart"/>
            <w:r w:rsidRPr="00D66040">
              <w:rPr>
                <w:rFonts w:ascii="Arial" w:eastAsia="Times New Roman" w:hAnsi="Arial" w:cs="Arial"/>
                <w:bCs/>
                <w:color w:val="222222"/>
                <w:sz w:val="24"/>
                <w:szCs w:val="24"/>
                <w:lang w:eastAsia="es-CO"/>
              </w:rPr>
              <w:t>Kenya</w:t>
            </w:r>
            <w:proofErr w:type="spellEnd"/>
            <w:r w:rsidRPr="00D66040">
              <w:rPr>
                <w:rFonts w:ascii="Arial" w:eastAsia="Times New Roman" w:hAnsi="Arial" w:cs="Arial"/>
                <w:bCs/>
                <w:color w:val="222222"/>
                <w:sz w:val="24"/>
                <w:szCs w:val="24"/>
                <w:lang w:eastAsia="es-CO"/>
              </w:rPr>
              <w:t xml:space="preserve"> </w:t>
            </w:r>
            <w:proofErr w:type="spellStart"/>
            <w:r w:rsidRPr="00D66040">
              <w:rPr>
                <w:rFonts w:ascii="Arial" w:eastAsia="Times New Roman" w:hAnsi="Arial" w:cs="Arial"/>
                <w:bCs/>
                <w:color w:val="222222"/>
                <w:sz w:val="24"/>
                <w:szCs w:val="24"/>
                <w:lang w:eastAsia="es-CO"/>
              </w:rPr>
              <w:t>Karolina</w:t>
            </w:r>
            <w:proofErr w:type="spellEnd"/>
            <w:r w:rsidRPr="00D66040">
              <w:rPr>
                <w:rFonts w:ascii="Arial" w:eastAsia="Times New Roman" w:hAnsi="Arial" w:cs="Arial"/>
                <w:bCs/>
                <w:color w:val="222222"/>
                <w:sz w:val="24"/>
                <w:szCs w:val="24"/>
                <w:lang w:eastAsia="es-CO"/>
              </w:rPr>
              <w:t xml:space="preserve"> Latorre Cañizares</w:t>
            </w:r>
          </w:p>
        </w:tc>
        <w:tc>
          <w:tcPr>
            <w:tcW w:w="15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67C750" w14:textId="2AEBDD3B"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http://scienti.colciencias.gov.co:8081/cvlac/visualizador/generarCurriculoCv.do?cod_rh=0001474331</w:t>
            </w:r>
          </w:p>
        </w:tc>
        <w:tc>
          <w:tcPr>
            <w:tcW w:w="95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55FA90" w14:textId="3592D7CE"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https://orcid.org/</w:t>
            </w:r>
            <w:r w:rsidRPr="00D66040">
              <w:rPr>
                <w:rFonts w:ascii="Arial" w:hAnsi="Arial" w:cs="Arial"/>
                <w:sz w:val="24"/>
                <w:szCs w:val="24"/>
              </w:rPr>
              <w:t>0000-0002-9359-5642</w:t>
            </w:r>
          </w:p>
        </w:tc>
        <w:tc>
          <w:tcPr>
            <w:tcW w:w="16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7A507D" w14:textId="5D6DDC97"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https://scholar.google.es/citations?user=DKElif8AAAAJ&amp;hl=es</w:t>
            </w:r>
          </w:p>
        </w:tc>
      </w:tr>
      <w:tr w:rsidR="00990021" w14:paraId="35F9B536" w14:textId="77777777" w:rsidTr="00990021">
        <w:trPr>
          <w:trHeight w:val="253"/>
        </w:trPr>
        <w:tc>
          <w:tcPr>
            <w:tcW w:w="8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B3FF740" w14:textId="5AB47621" w:rsidR="008955EF" w:rsidRPr="008955EF" w:rsidRDefault="008955EF" w:rsidP="008955EF">
            <w:pPr>
              <w:spacing w:before="100" w:beforeAutospacing="1" w:after="100" w:afterAutospacing="1" w:line="240" w:lineRule="auto"/>
              <w:jc w:val="center"/>
              <w:rPr>
                <w:rFonts w:ascii="Arial" w:eastAsia="Times New Roman" w:hAnsi="Arial" w:cs="Arial"/>
                <w:b/>
                <w:bCs/>
                <w:color w:val="222222"/>
                <w:sz w:val="24"/>
                <w:szCs w:val="24"/>
                <w:lang w:eastAsia="es-CO"/>
              </w:rPr>
            </w:pPr>
            <w:r w:rsidRPr="008955EF">
              <w:rPr>
                <w:rFonts w:ascii="Arial" w:eastAsia="Times New Roman" w:hAnsi="Arial" w:cs="Arial"/>
                <w:b/>
                <w:bCs/>
                <w:color w:val="222222"/>
                <w:sz w:val="24"/>
                <w:szCs w:val="24"/>
                <w:lang w:eastAsia="es-CO"/>
              </w:rPr>
              <w:t>División</w:t>
            </w:r>
          </w:p>
        </w:tc>
        <w:tc>
          <w:tcPr>
            <w:tcW w:w="15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FFD0A86" w14:textId="5824B1B2" w:rsidR="008955EF" w:rsidRPr="008955EF" w:rsidRDefault="008955EF" w:rsidP="008955EF">
            <w:pPr>
              <w:spacing w:before="100" w:beforeAutospacing="1" w:after="100" w:afterAutospacing="1" w:line="240" w:lineRule="auto"/>
              <w:jc w:val="center"/>
              <w:rPr>
                <w:rFonts w:ascii="Arial" w:eastAsia="Times New Roman" w:hAnsi="Arial" w:cs="Arial"/>
                <w:b/>
                <w:bCs/>
                <w:color w:val="222222"/>
                <w:sz w:val="24"/>
                <w:szCs w:val="24"/>
                <w:lang w:eastAsia="es-CO"/>
              </w:rPr>
            </w:pPr>
            <w:r w:rsidRPr="008955EF">
              <w:rPr>
                <w:rFonts w:ascii="Arial" w:eastAsia="Times New Roman" w:hAnsi="Arial" w:cs="Arial"/>
                <w:b/>
                <w:bCs/>
                <w:color w:val="222222"/>
                <w:sz w:val="24"/>
                <w:szCs w:val="24"/>
                <w:lang w:eastAsia="es-CO"/>
              </w:rPr>
              <w:t>Facultad</w:t>
            </w:r>
          </w:p>
        </w:tc>
        <w:tc>
          <w:tcPr>
            <w:tcW w:w="95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98979F8" w14:textId="12C1CE1D" w:rsidR="008955EF" w:rsidRPr="008955EF" w:rsidRDefault="008955EF" w:rsidP="008955EF">
            <w:pPr>
              <w:spacing w:before="100" w:beforeAutospacing="1" w:after="100" w:afterAutospacing="1" w:line="240" w:lineRule="auto"/>
              <w:jc w:val="center"/>
              <w:rPr>
                <w:rFonts w:ascii="Arial" w:eastAsia="Times New Roman" w:hAnsi="Arial" w:cs="Arial"/>
                <w:b/>
                <w:bCs/>
                <w:color w:val="222222"/>
                <w:sz w:val="24"/>
                <w:szCs w:val="24"/>
                <w:lang w:eastAsia="es-CO"/>
              </w:rPr>
            </w:pPr>
            <w:r w:rsidRPr="008955EF">
              <w:rPr>
                <w:rFonts w:ascii="Arial" w:eastAsia="Times New Roman" w:hAnsi="Arial" w:cs="Arial"/>
                <w:b/>
                <w:bCs/>
                <w:color w:val="222222"/>
                <w:sz w:val="24"/>
                <w:szCs w:val="24"/>
                <w:lang w:eastAsia="es-CO"/>
              </w:rPr>
              <w:t>Programa</w:t>
            </w:r>
          </w:p>
        </w:tc>
        <w:tc>
          <w:tcPr>
            <w:tcW w:w="160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A18D6EA" w14:textId="300CD6D9" w:rsidR="008955EF" w:rsidRPr="008955EF" w:rsidRDefault="008955EF" w:rsidP="008955EF">
            <w:pPr>
              <w:spacing w:before="100" w:beforeAutospacing="1" w:after="100" w:afterAutospacing="1" w:line="240" w:lineRule="auto"/>
              <w:jc w:val="center"/>
              <w:rPr>
                <w:rFonts w:ascii="Arial" w:eastAsia="Times New Roman" w:hAnsi="Arial" w:cs="Arial"/>
                <w:b/>
                <w:bCs/>
                <w:color w:val="222222"/>
                <w:sz w:val="24"/>
                <w:szCs w:val="24"/>
                <w:lang w:eastAsia="es-CO"/>
              </w:rPr>
            </w:pPr>
            <w:r w:rsidRPr="008955EF">
              <w:rPr>
                <w:rFonts w:ascii="Arial" w:eastAsia="Times New Roman" w:hAnsi="Arial" w:cs="Arial"/>
                <w:b/>
                <w:bCs/>
                <w:color w:val="222222"/>
                <w:sz w:val="24"/>
                <w:szCs w:val="24"/>
                <w:lang w:eastAsia="es-CO"/>
              </w:rPr>
              <w:t>Grupo de investigación</w:t>
            </w:r>
          </w:p>
        </w:tc>
      </w:tr>
      <w:tr w:rsidR="00990021" w14:paraId="7903171B" w14:textId="77777777" w:rsidTr="00990021">
        <w:trPr>
          <w:trHeight w:val="440"/>
        </w:trPr>
        <w:tc>
          <w:tcPr>
            <w:tcW w:w="8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A43B3E" w14:textId="779B1207" w:rsidR="008955EF" w:rsidRPr="00D66040" w:rsidRDefault="008955EF" w:rsidP="008955EF">
            <w:pPr>
              <w:spacing w:before="100" w:beforeAutospacing="1" w:after="100" w:afterAutospacing="1" w:line="240" w:lineRule="auto"/>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N/A</w:t>
            </w:r>
          </w:p>
        </w:tc>
        <w:tc>
          <w:tcPr>
            <w:tcW w:w="15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81A618" w14:textId="130F9686"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color w:val="222222"/>
                <w:sz w:val="24"/>
                <w:szCs w:val="24"/>
                <w:lang w:eastAsia="es-CO"/>
              </w:rPr>
              <w:t>Departamentos Académicos</w:t>
            </w:r>
          </w:p>
        </w:tc>
        <w:tc>
          <w:tcPr>
            <w:tcW w:w="95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CDC821" w14:textId="580E4F72"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proofErr w:type="spellStart"/>
            <w:r w:rsidRPr="00D66040">
              <w:rPr>
                <w:rFonts w:ascii="Arial" w:eastAsia="Times New Roman" w:hAnsi="Arial" w:cs="Arial"/>
                <w:color w:val="222222"/>
                <w:sz w:val="24"/>
                <w:szCs w:val="24"/>
                <w:lang w:eastAsia="es-CO"/>
              </w:rPr>
              <w:t>Dep</w:t>
            </w:r>
            <w:proofErr w:type="spellEnd"/>
            <w:r w:rsidRPr="00D66040">
              <w:rPr>
                <w:rFonts w:ascii="Arial" w:eastAsia="Times New Roman" w:hAnsi="Arial" w:cs="Arial"/>
                <w:color w:val="222222"/>
                <w:sz w:val="24"/>
                <w:szCs w:val="24"/>
                <w:lang w:eastAsia="es-CO"/>
              </w:rPr>
              <w:t>. de Humanidades y Formación Integral</w:t>
            </w:r>
          </w:p>
        </w:tc>
        <w:tc>
          <w:tcPr>
            <w:tcW w:w="16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83528E" w14:textId="380AAE2B" w:rsidR="008955EF" w:rsidRPr="00D66040" w:rsidRDefault="008955EF" w:rsidP="008955EF">
            <w:pPr>
              <w:spacing w:before="100" w:beforeAutospacing="1" w:after="100" w:afterAutospacing="1" w:line="240" w:lineRule="auto"/>
              <w:jc w:val="center"/>
              <w:rPr>
                <w:rFonts w:ascii="Arial" w:eastAsia="Times New Roman" w:hAnsi="Arial" w:cs="Arial"/>
                <w:bCs/>
                <w:color w:val="222222"/>
                <w:sz w:val="24"/>
                <w:szCs w:val="24"/>
                <w:lang w:eastAsia="es-CO"/>
              </w:rPr>
            </w:pPr>
            <w:r w:rsidRPr="00D66040">
              <w:rPr>
                <w:rFonts w:ascii="Arial" w:eastAsia="Times New Roman" w:hAnsi="Arial" w:cs="Arial"/>
                <w:bCs/>
                <w:color w:val="222222"/>
                <w:sz w:val="24"/>
                <w:szCs w:val="24"/>
                <w:lang w:eastAsia="es-CO"/>
              </w:rPr>
              <w:t>CETHI</w:t>
            </w:r>
          </w:p>
        </w:tc>
      </w:tr>
    </w:tbl>
    <w:p w14:paraId="5E10BDF8"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4354B89F"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243B8A53"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3176"/>
        <w:gridCol w:w="1807"/>
      </w:tblGrid>
      <w:tr w:rsidR="002A18AF" w14:paraId="316CE462" w14:textId="77777777" w:rsidTr="00217E48">
        <w:tc>
          <w:tcPr>
            <w:tcW w:w="439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B364E79"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60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D6D33E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A0280F" w14:paraId="36379647" w14:textId="77777777" w:rsidTr="00031161">
        <w:trPr>
          <w:trHeight w:val="9228"/>
        </w:trPr>
        <w:tc>
          <w:tcPr>
            <w:tcW w:w="439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9A479E" w14:textId="588EFB1D" w:rsidR="00A0280F" w:rsidRPr="00D66040" w:rsidRDefault="00A0280F" w:rsidP="00D66040">
            <w:pPr>
              <w:spacing w:after="0" w:line="360" w:lineRule="auto"/>
              <w:jc w:val="both"/>
              <w:rPr>
                <w:rFonts w:ascii="Arial" w:eastAsia="Times New Roman" w:hAnsi="Arial" w:cs="Arial"/>
                <w:color w:val="222222"/>
                <w:sz w:val="24"/>
                <w:szCs w:val="24"/>
                <w:lang w:eastAsia="es-CO"/>
              </w:rPr>
            </w:pPr>
            <w:r w:rsidRPr="00D66040">
              <w:rPr>
                <w:rFonts w:ascii="Arial" w:eastAsia="Times New Roman" w:hAnsi="Arial" w:cs="Arial"/>
                <w:bCs/>
                <w:color w:val="222222"/>
                <w:sz w:val="24"/>
                <w:szCs w:val="24"/>
                <w:lang w:eastAsia="es-CO"/>
              </w:rPr>
              <w:lastRenderedPageBreak/>
              <w:t>El Proyecto propone como tema las competencias de lectoescritura en la educación superior. Toma como marco de referencia los siguientes asuntos: 1) los bajos niveles de desempeño de los estudiantes en las pruebas que miden la calidad de la educación colombiana; 2) los lineamientos que el MEN ha establecido para fortalecer las competencias genéricas; 3) las dificultades que presenta el estudiante, tanto al ingreso como a lo largo de su formación profesional, en relación con la comprensión y producción de textos académicos, lo cual genera un alto índice de deserción (Semana, 2016). Si bien las recomendaciones de los expertos indican que para promover la retención estudiantil en las instituciones de educación superior es urgente generar estrategias de enseñanza y aprendizaje en lectoescritura; no obstante, muchas propuestas son insuficientes al menos por dos razones: porque enfatizan más la comprensión teórica del lenguaje, que su práctica concreta (</w:t>
            </w:r>
            <w:proofErr w:type="spellStart"/>
            <w:r w:rsidRPr="00D66040">
              <w:rPr>
                <w:rFonts w:ascii="Arial" w:hAnsi="Arial" w:cs="Arial"/>
                <w:sz w:val="24"/>
                <w:szCs w:val="24"/>
              </w:rPr>
              <w:t>Bañales</w:t>
            </w:r>
            <w:proofErr w:type="spellEnd"/>
            <w:r w:rsidRPr="00D66040">
              <w:rPr>
                <w:rFonts w:ascii="Arial" w:hAnsi="Arial" w:cs="Arial"/>
                <w:sz w:val="24"/>
                <w:szCs w:val="24"/>
              </w:rPr>
              <w:t xml:space="preserve">; Castelló; Montserrat; y Vega, 2016, </w:t>
            </w:r>
            <w:r w:rsidRPr="00D66040">
              <w:rPr>
                <w:rFonts w:ascii="Arial" w:eastAsia="Times New Roman" w:hAnsi="Arial" w:cs="Arial"/>
                <w:bCs/>
                <w:color w:val="222222"/>
                <w:sz w:val="24"/>
                <w:szCs w:val="24"/>
                <w:lang w:eastAsia="es-CO"/>
              </w:rPr>
              <w:t>p. 31); y porque no logran articular las competencias orales con las de lectoescritura. En este sentido, se ha constatado que la cultura latinoamericana ha privilegiado la tradición oral como modo de conocimiento y expresión de la realidad (</w:t>
            </w:r>
            <w:proofErr w:type="spellStart"/>
            <w:r w:rsidRPr="00D66040">
              <w:rPr>
                <w:rFonts w:ascii="Arial" w:eastAsia="Times New Roman" w:hAnsi="Arial" w:cs="Arial"/>
                <w:bCs/>
                <w:color w:val="222222"/>
                <w:sz w:val="24"/>
                <w:szCs w:val="24"/>
                <w:lang w:eastAsia="es-CO"/>
              </w:rPr>
              <w:t>Cocimano</w:t>
            </w:r>
            <w:proofErr w:type="spellEnd"/>
            <w:r w:rsidRPr="00D66040">
              <w:rPr>
                <w:rFonts w:ascii="Arial" w:eastAsia="Times New Roman" w:hAnsi="Arial" w:cs="Arial"/>
                <w:bCs/>
                <w:color w:val="222222"/>
                <w:sz w:val="24"/>
                <w:szCs w:val="24"/>
                <w:lang w:eastAsia="es-CO"/>
              </w:rPr>
              <w:t xml:space="preserve">, 2006, p.25). Pero, cuando se profundizan saberes que comprometen las competencias de la lectura y la escritura científicas, se constata una desarticulación: los estudiantes tienen más claridad a la hora de expresar sus ideas, críticas y argumentos; sin embargo, no suele suceder lo mismo cuando se les solicita codificarlas por escrito, pues </w:t>
            </w:r>
            <w:r w:rsidRPr="00D66040">
              <w:rPr>
                <w:rFonts w:ascii="Arial" w:eastAsia="Times New Roman" w:hAnsi="Arial" w:cs="Arial"/>
                <w:bCs/>
                <w:i/>
                <w:color w:val="222222"/>
                <w:sz w:val="24"/>
                <w:szCs w:val="24"/>
                <w:lang w:eastAsia="es-CO"/>
              </w:rPr>
              <w:t>escriben tal y como hablan</w:t>
            </w:r>
            <w:r w:rsidRPr="00D66040">
              <w:rPr>
                <w:rFonts w:ascii="Arial" w:eastAsia="Times New Roman" w:hAnsi="Arial" w:cs="Arial"/>
                <w:bCs/>
                <w:color w:val="222222"/>
                <w:sz w:val="24"/>
                <w:szCs w:val="24"/>
                <w:lang w:eastAsia="es-CO"/>
              </w:rPr>
              <w:t xml:space="preserve"> (Domínguez; 2002, p. 87). El problema tiene dos partes: por un lado, que la comprensión teórica del lenguaje no necesariamente repercute en el desarrollo concreto de las competencias lingüísticas; y, por otro lado, que el desarrollo de las competencias orales se encuentra desarticulado de la lectoescritura académica. Entonces, cabe preguntar: ¿Qué incidencia tiene el nivel de lectoescritura de los estudiantes el momento de ingresar a la universidad con el desempeño académico y la deserción temprana? La hipótesis es que el aprendizaje de lectoescritura científica requiere la implementación de un método que brinde herramientas que le permitan al estudiante comprender, organizar y contextualizar la información, para asumir una posición crítica y propositiva, que podrá socializar a través de sus investigaciones, y que cualificará su desempeño personal, profesional y ciudadano. Este método, en tanto caja de herramientas, permite poner en obra las competencias comunicativas como un “saber hacer”, fundamentado por la teoría del lenguaje, y articulado con la oralidad. </w:t>
            </w:r>
          </w:p>
        </w:tc>
        <w:tc>
          <w:tcPr>
            <w:tcW w:w="6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BA32B1" w14:textId="1D409172" w:rsidR="00A0280F" w:rsidRPr="00D66040" w:rsidRDefault="00A0280F" w:rsidP="00D66040">
            <w:pPr>
              <w:spacing w:after="0" w:line="360" w:lineRule="auto"/>
              <w:jc w:val="both"/>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Lectura, escritura, deserción, rendimiento académico, aprendizaje.</w:t>
            </w:r>
          </w:p>
        </w:tc>
      </w:tr>
    </w:tbl>
    <w:p w14:paraId="0D8D03C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B25CF2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5D7996D"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w:t>
            </w:r>
            <w:r w:rsidR="002A18AF">
              <w:rPr>
                <w:rFonts w:ascii="Arial" w:eastAsia="Times New Roman" w:hAnsi="Arial" w:cs="Arial"/>
                <w:b/>
                <w:bCs/>
                <w:color w:val="222222"/>
                <w:sz w:val="24"/>
                <w:szCs w:val="24"/>
                <w:lang w:eastAsia="es-CO"/>
              </w:rPr>
              <w:t>roblema de investigación</w:t>
            </w:r>
          </w:p>
        </w:tc>
      </w:tr>
      <w:tr w:rsidR="002A18AF" w14:paraId="7D67372E" w14:textId="77777777" w:rsidTr="00E22662">
        <w:trPr>
          <w:trHeight w:val="581"/>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4982F9C" w14:textId="2BA5DC0A" w:rsidR="00E6008D" w:rsidRPr="00D66040" w:rsidRDefault="00A0280F" w:rsidP="00D66040">
            <w:pPr>
              <w:spacing w:after="0" w:line="360" w:lineRule="auto"/>
              <w:jc w:val="both"/>
              <w:rPr>
                <w:rFonts w:ascii="Arial" w:eastAsia="Times New Roman" w:hAnsi="Arial" w:cs="Arial"/>
                <w:color w:val="222222"/>
                <w:sz w:val="24"/>
                <w:szCs w:val="24"/>
                <w:lang w:eastAsia="es-CO"/>
              </w:rPr>
            </w:pPr>
            <w:r w:rsidRPr="00D66040">
              <w:rPr>
                <w:rFonts w:ascii="Arial" w:eastAsia="Times New Roman" w:hAnsi="Arial" w:cs="Arial"/>
                <w:bCs/>
                <w:color w:val="222222"/>
                <w:sz w:val="24"/>
                <w:szCs w:val="24"/>
                <w:lang w:eastAsia="es-CO"/>
              </w:rPr>
              <w:t>Las competencias en lectura crítica y producción textual han sido consideradas como uno de los temas más relevantes de la educación superior. Esto se puede evidenciar en la siguiente problemática: los bajos niveles de desempeño de los estudiantes en las pruebas que miden la calidad de la Educación en Colombia y las dificultades que presenta, tanto al ingreso como a lo largo de su formación profesional, en relación con la comprensión y producción de textos académicos (Semana, 2016); 4), ello se ve reflejado en deserción temprana y en el bajo desempeño académico. Según el MEN, el paso de la educación media a la educación superior constituye uno de los índices más altos de deserción estudiantil. Alrededor de un 60% de los casos de deserción se dan por bajo rendimiento académico y, específicamente, por deficiencias en lectoescritura. Esta realidad afecta directamente el proceso de aprendizaje, autoestima, confianza y seguridad de los estudiantes (González; Hernández; y Márquez, 2013, p. 267). Si bien las recomendaciones de los expertos indican que para promover la retención estudiantil en las instituciones de educación superior es urgente generar estrategias de enseñanza y aprendizaje en lectoescritura; no obstante, muchas propuestas son insuficientes al menos por dos razones: porque centran más su interés en la comprensión teórica del lenguaje, que en su práctica concreta (</w:t>
            </w:r>
            <w:proofErr w:type="spellStart"/>
            <w:r w:rsidRPr="00D66040">
              <w:rPr>
                <w:rFonts w:ascii="Arial" w:hAnsi="Arial" w:cs="Arial"/>
                <w:sz w:val="24"/>
                <w:szCs w:val="24"/>
              </w:rPr>
              <w:t>Bañales</w:t>
            </w:r>
            <w:proofErr w:type="spellEnd"/>
            <w:r w:rsidRPr="00D66040">
              <w:rPr>
                <w:rFonts w:ascii="Arial" w:hAnsi="Arial" w:cs="Arial"/>
                <w:sz w:val="24"/>
                <w:szCs w:val="24"/>
              </w:rPr>
              <w:t xml:space="preserve">; Castelló; Montserrat; y Vega, 2016, </w:t>
            </w:r>
            <w:r w:rsidRPr="00D66040">
              <w:rPr>
                <w:rFonts w:ascii="Arial" w:eastAsia="Times New Roman" w:hAnsi="Arial" w:cs="Arial"/>
                <w:bCs/>
                <w:color w:val="222222"/>
                <w:sz w:val="24"/>
                <w:szCs w:val="24"/>
                <w:lang w:eastAsia="es-CO"/>
              </w:rPr>
              <w:t>p. 31); y porque no logran articular las competencias orales con las de lectoescritura. Se ha constatado que la cultura latinoamericana, en virtud de su historia, ha privilegiado la tradición oral como modo de conocimiento y expresión de la realidad (</w:t>
            </w:r>
            <w:proofErr w:type="spellStart"/>
            <w:r w:rsidRPr="00D66040">
              <w:rPr>
                <w:rFonts w:ascii="Arial" w:eastAsia="Times New Roman" w:hAnsi="Arial" w:cs="Arial"/>
                <w:bCs/>
                <w:color w:val="222222"/>
                <w:sz w:val="24"/>
                <w:szCs w:val="24"/>
                <w:lang w:eastAsia="es-CO"/>
              </w:rPr>
              <w:t>Cocimano</w:t>
            </w:r>
            <w:proofErr w:type="spellEnd"/>
            <w:r w:rsidRPr="00D66040">
              <w:rPr>
                <w:rFonts w:ascii="Arial" w:eastAsia="Times New Roman" w:hAnsi="Arial" w:cs="Arial"/>
                <w:bCs/>
                <w:color w:val="222222"/>
                <w:sz w:val="24"/>
                <w:szCs w:val="24"/>
                <w:lang w:eastAsia="es-CO"/>
              </w:rPr>
              <w:t xml:space="preserve">, 2006, p.25). Por ello, es común que en la escuela y en el colegio se utilicen mitos, leyendas, refranes y símbolos de origen popular para desarrollar las competencias comunicativas de los niños y adolescentes. Pero, en la medida que se profundiza en el dominio de otros saberes, que comprometen las competencias propias de la lectura y la escritura científicas, por ser herramientas que facilitan el aprendizaje y la organización del conocimiento formal, se constata una desarticulación entre las competencias orales y las de lectura y escritura científicas. Una evidencia de ello es que, cuando se realizan debates, mesas redondas, exposiciones u otros ejercicios que dinamicen la oralidad, los estudiantes tienen más claridad a la hora de expresar sus ideas, críticas y argumentos; sin embargo, no suele suceder lo mismo cuando se les solicita codificarlas por escrito. Las dificultades afloran a la hora de ordenar, estructurar e hilar el pensamiento, pues </w:t>
            </w:r>
            <w:r w:rsidRPr="00D66040">
              <w:rPr>
                <w:rFonts w:ascii="Arial" w:eastAsia="Times New Roman" w:hAnsi="Arial" w:cs="Arial"/>
                <w:bCs/>
                <w:i/>
                <w:color w:val="222222"/>
                <w:sz w:val="24"/>
                <w:szCs w:val="24"/>
                <w:lang w:eastAsia="es-CO"/>
              </w:rPr>
              <w:t>escriben tal y como hablan</w:t>
            </w:r>
            <w:r w:rsidRPr="00D66040">
              <w:rPr>
                <w:rFonts w:ascii="Arial" w:eastAsia="Times New Roman" w:hAnsi="Arial" w:cs="Arial"/>
                <w:bCs/>
                <w:color w:val="222222"/>
                <w:sz w:val="24"/>
                <w:szCs w:val="24"/>
                <w:lang w:eastAsia="es-CO"/>
              </w:rPr>
              <w:t xml:space="preserve"> (Domínguez; 2002, p. 87). Este fenómeno ha sido denominado como “alfabetismo funcional”, el cual, en Colombia, según el MEN, alcanza un 15.5% (MEN, 2015, p. 39). El problema es, por un lado, que la comprensión teórica del lenguaje no necesariamente repercute en el desarrollo concreto de las competencias lingüísticas; y, por otro lado, </w:t>
            </w:r>
            <w:r w:rsidRPr="00D66040">
              <w:rPr>
                <w:rFonts w:ascii="Arial" w:eastAsia="Times New Roman" w:hAnsi="Arial" w:cs="Arial"/>
                <w:bCs/>
                <w:color w:val="222222"/>
                <w:sz w:val="24"/>
                <w:szCs w:val="24"/>
                <w:lang w:eastAsia="es-CO"/>
              </w:rPr>
              <w:lastRenderedPageBreak/>
              <w:t xml:space="preserve">que el desarrollo de las competencias lingüísticas orales se encuentra desarticulado del desarrollo de las competencias de lectoescritura académica. </w:t>
            </w:r>
          </w:p>
        </w:tc>
      </w:tr>
    </w:tbl>
    <w:p w14:paraId="7BBCD2CC"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2DE3BAD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5EFDC51"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14:paraId="2EA77FA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EAEB020" w14:textId="5913A074" w:rsidR="002A18AF" w:rsidRPr="00D66040" w:rsidRDefault="00A0280F" w:rsidP="00031161">
            <w:pPr>
              <w:spacing w:after="0" w:line="360" w:lineRule="auto"/>
              <w:jc w:val="both"/>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El Proyecto se justifica por las siguientes razones:</w:t>
            </w:r>
            <w:r w:rsidR="00D66040" w:rsidRPr="00D66040">
              <w:rPr>
                <w:rFonts w:ascii="Arial" w:eastAsia="Times New Roman" w:hAnsi="Arial" w:cs="Arial"/>
                <w:color w:val="222222"/>
                <w:sz w:val="24"/>
                <w:szCs w:val="24"/>
                <w:lang w:eastAsia="es-CO"/>
              </w:rPr>
              <w:t xml:space="preserve"> </w:t>
            </w:r>
            <w:r w:rsidRPr="00D66040">
              <w:rPr>
                <w:rFonts w:ascii="Arial" w:eastAsia="Times New Roman" w:hAnsi="Arial" w:cs="Arial"/>
                <w:color w:val="222222"/>
                <w:sz w:val="24"/>
                <w:szCs w:val="24"/>
                <w:lang w:eastAsia="es-CO"/>
              </w:rPr>
              <w:t>Procura ampliar las concepciones teóricas acerca de los procesos de aprendizaje por competencias, de manera que el estudiante, además de adquirir habilidades, a través de un método en lectura crítica y producción escrita haga uso de herramientas que le permitirán ordenar su pensamiento y asumir una posición crítica de manera consciente, con sentido y propósito a lo largo de su formación profesional.</w:t>
            </w:r>
            <w:r w:rsidRPr="00D66040">
              <w:rPr>
                <w:rFonts w:ascii="Arial" w:eastAsia="Times New Roman" w:hAnsi="Arial" w:cs="Arial"/>
                <w:bCs/>
                <w:color w:val="222222"/>
                <w:sz w:val="24"/>
                <w:szCs w:val="24"/>
                <w:lang w:eastAsia="es-CO"/>
              </w:rPr>
              <w:t xml:space="preserve"> </w:t>
            </w:r>
            <w:r w:rsidRPr="00D66040">
              <w:rPr>
                <w:rFonts w:ascii="Arial" w:eastAsia="Times New Roman" w:hAnsi="Arial" w:cs="Arial"/>
                <w:color w:val="222222"/>
                <w:sz w:val="24"/>
                <w:szCs w:val="24"/>
                <w:lang w:eastAsia="es-CO"/>
              </w:rPr>
              <w:t xml:space="preserve">Toma como marco políticas públicas que regulan y orientan la educación en competencias en los ámbitos internacional, nacional y local, a saber: La Ley General de Educción (Ley 115 de 1994), la 30 de 1990; y las estrategias políticas relativas a la educación superior que la UNESCO viene trabajando desde 1998 a nivel internacional. </w:t>
            </w:r>
            <w:r w:rsidRPr="00D66040">
              <w:rPr>
                <w:rFonts w:ascii="Arial" w:eastAsia="Times New Roman" w:hAnsi="Arial" w:cs="Arial"/>
                <w:sz w:val="24"/>
                <w:szCs w:val="24"/>
                <w:lang w:eastAsia="es-CO"/>
              </w:rPr>
              <w:t xml:space="preserve">Contribuye al cumplimiento de la Misión de la USTA, pues, desde una perspectiva humanista acorde con la filosofía institucional al proponer y aplicar un </w:t>
            </w:r>
            <w:r w:rsidRPr="00D66040">
              <w:rPr>
                <w:rFonts w:ascii="Arial" w:eastAsia="Times New Roman" w:hAnsi="Arial" w:cs="Arial"/>
                <w:color w:val="222222"/>
                <w:sz w:val="24"/>
                <w:szCs w:val="24"/>
                <w:lang w:eastAsia="es-CO"/>
              </w:rPr>
              <w:t xml:space="preserve">método de lectura crítica y producción escrita acorde a los criterios de la formación integral del estudiante. Favorece al logro del Plan Integral </w:t>
            </w:r>
            <w:proofErr w:type="spellStart"/>
            <w:r w:rsidRPr="00D66040">
              <w:rPr>
                <w:rFonts w:ascii="Arial" w:eastAsia="Times New Roman" w:hAnsi="Arial" w:cs="Arial"/>
                <w:color w:val="222222"/>
                <w:sz w:val="24"/>
                <w:szCs w:val="24"/>
                <w:lang w:eastAsia="es-CO"/>
              </w:rPr>
              <w:t>Multicampus</w:t>
            </w:r>
            <w:proofErr w:type="spellEnd"/>
            <w:r w:rsidRPr="00D66040">
              <w:rPr>
                <w:rFonts w:ascii="Arial" w:eastAsia="Times New Roman" w:hAnsi="Arial" w:cs="Arial"/>
                <w:color w:val="222222"/>
                <w:sz w:val="24"/>
                <w:szCs w:val="24"/>
                <w:lang w:eastAsia="es-CO"/>
              </w:rPr>
              <w:t xml:space="preserve"> 2016-2027 y al Plan General de Desarrollo 2016-2019 en la medida que fortalece las funciones sustantivas de docencia e investigación formativa al promover la permanencia académica de los estudiantes desde su ingreso a la educación superior. Analiza y evalúa la implementación del método en los cursos de lectoescritura que se realizaron en la USTA en un periodo de cinco años, tiempo en que un estudiante realiza su formación profesional.</w:t>
            </w:r>
          </w:p>
        </w:tc>
      </w:tr>
    </w:tbl>
    <w:p w14:paraId="6AD94D89"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18DF41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D806420"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69BF474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C768452" w14:textId="44D5BB6D" w:rsidR="00E6008D" w:rsidRPr="00D66040" w:rsidRDefault="00A0280F" w:rsidP="00D66040">
            <w:pPr>
              <w:spacing w:line="360" w:lineRule="auto"/>
              <w:jc w:val="both"/>
              <w:rPr>
                <w:rFonts w:ascii="Arial" w:eastAsia="Times New Roman" w:hAnsi="Arial" w:cs="Arial"/>
                <w:color w:val="222222"/>
                <w:sz w:val="24"/>
                <w:szCs w:val="24"/>
                <w:lang w:eastAsia="es-CO"/>
              </w:rPr>
            </w:pPr>
            <w:r w:rsidRPr="00D66040">
              <w:rPr>
                <w:rFonts w:ascii="Arial" w:eastAsia="Times New Roman" w:hAnsi="Arial" w:cs="Arial"/>
                <w:bCs/>
                <w:color w:val="222222"/>
                <w:sz w:val="24"/>
                <w:szCs w:val="24"/>
                <w:lang w:eastAsia="es-CO"/>
              </w:rPr>
              <w:t>Evidenciar que el aprendizaje de lectoescritura científica requiere la implementación de un método que brinde herramientas que le permitan al estudiante comprender, organizar y contextualizar la información, para asumir una posición crítica y propositiva, que podrá socializar a través de sus investigaciones, y que cualificará su desempeño personal, profesional y ciudadano. Este método permite poner en obra las competencias comunicativas como un “saber hacer”, fundamentado por la teoría del lenguaje, y articulado con la oralidad.</w:t>
            </w:r>
          </w:p>
        </w:tc>
      </w:tr>
    </w:tbl>
    <w:p w14:paraId="6A1E7AFB"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56EF249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E60E99E"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13C333C9" w14:textId="77777777" w:rsidTr="00031161">
        <w:trPr>
          <w:trHeight w:val="3133"/>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C87B541" w14:textId="77777777" w:rsidR="00A0280F" w:rsidRPr="00332DDB" w:rsidRDefault="00A0280F" w:rsidP="00D66040">
            <w:pPr>
              <w:pStyle w:val="Prrafodelista"/>
              <w:numPr>
                <w:ilvl w:val="0"/>
                <w:numId w:val="3"/>
              </w:numPr>
              <w:spacing w:after="0" w:line="360" w:lineRule="auto"/>
              <w:ind w:left="357" w:hanging="357"/>
              <w:jc w:val="both"/>
              <w:rPr>
                <w:rFonts w:ascii="Arial" w:eastAsia="Times New Roman" w:hAnsi="Arial" w:cs="Arial"/>
                <w:b/>
                <w:bCs/>
                <w:color w:val="222222"/>
                <w:sz w:val="24"/>
                <w:szCs w:val="24"/>
                <w:lang w:eastAsia="es-CO"/>
              </w:rPr>
            </w:pPr>
            <w:r w:rsidRPr="00332DDB">
              <w:rPr>
                <w:rFonts w:ascii="Arial" w:eastAsia="Times New Roman" w:hAnsi="Arial" w:cs="Arial"/>
                <w:color w:val="222222"/>
                <w:sz w:val="24"/>
                <w:szCs w:val="24"/>
                <w:lang w:eastAsia="es-CO"/>
              </w:rPr>
              <w:lastRenderedPageBreak/>
              <w:t>Describir el método de lectoescritura desarrollado por el Departamento de Humanidades y Formación Integral.</w:t>
            </w:r>
          </w:p>
          <w:p w14:paraId="0D416B6A" w14:textId="77777777" w:rsidR="00A0280F" w:rsidRPr="00332DDB" w:rsidRDefault="00A0280F" w:rsidP="00D66040">
            <w:pPr>
              <w:pStyle w:val="Prrafodelista"/>
              <w:numPr>
                <w:ilvl w:val="0"/>
                <w:numId w:val="3"/>
              </w:numPr>
              <w:spacing w:after="0" w:line="360" w:lineRule="auto"/>
              <w:ind w:left="357" w:hanging="357"/>
              <w:jc w:val="both"/>
              <w:rPr>
                <w:rFonts w:ascii="Arial" w:eastAsia="Times New Roman" w:hAnsi="Arial" w:cs="Arial"/>
                <w:b/>
                <w:bCs/>
                <w:color w:val="222222"/>
                <w:sz w:val="24"/>
                <w:szCs w:val="24"/>
                <w:lang w:eastAsia="es-CO"/>
              </w:rPr>
            </w:pPr>
            <w:r w:rsidRPr="00332DDB">
              <w:rPr>
                <w:rFonts w:ascii="Arial" w:eastAsia="Times New Roman" w:hAnsi="Arial" w:cs="Arial"/>
                <w:color w:val="222222"/>
                <w:sz w:val="24"/>
                <w:szCs w:val="24"/>
                <w:lang w:eastAsia="es-CO"/>
              </w:rPr>
              <w:t>Analizar los resultados de las pruebas diagnósticas que se le aplican a los estudiantes nuevos, indicando las fortalezas y oportunidades de mejoramiento en las competencias de lectoescritura.</w:t>
            </w:r>
          </w:p>
          <w:p w14:paraId="21C26B18" w14:textId="77777777" w:rsidR="00A0280F" w:rsidRPr="00332DDB" w:rsidRDefault="00A0280F" w:rsidP="00D66040">
            <w:pPr>
              <w:pStyle w:val="Prrafodelista"/>
              <w:numPr>
                <w:ilvl w:val="0"/>
                <w:numId w:val="3"/>
              </w:numPr>
              <w:spacing w:after="0" w:line="360" w:lineRule="auto"/>
              <w:ind w:left="357" w:hanging="357"/>
              <w:jc w:val="both"/>
              <w:rPr>
                <w:rFonts w:ascii="Arial" w:eastAsia="Times New Roman" w:hAnsi="Arial" w:cs="Arial"/>
                <w:b/>
                <w:bCs/>
                <w:color w:val="222222"/>
                <w:sz w:val="24"/>
                <w:szCs w:val="24"/>
                <w:lang w:eastAsia="es-CO"/>
              </w:rPr>
            </w:pPr>
            <w:r w:rsidRPr="00332DDB">
              <w:rPr>
                <w:rFonts w:ascii="Arial" w:eastAsia="Times New Roman" w:hAnsi="Arial" w:cs="Arial"/>
                <w:color w:val="222222"/>
                <w:sz w:val="24"/>
                <w:szCs w:val="24"/>
                <w:lang w:eastAsia="es-CO"/>
              </w:rPr>
              <w:t>Describir las fases del método de lectoescritura y los ejercicios prácticos que dinamizan las competencias de lectoescritura académica</w:t>
            </w:r>
          </w:p>
          <w:p w14:paraId="3A934A4A" w14:textId="77777777" w:rsidR="00A0280F" w:rsidRPr="00332DDB" w:rsidRDefault="00A0280F" w:rsidP="00D66040">
            <w:pPr>
              <w:pStyle w:val="Prrafodelista"/>
              <w:numPr>
                <w:ilvl w:val="0"/>
                <w:numId w:val="3"/>
              </w:numPr>
              <w:spacing w:after="0" w:line="360" w:lineRule="auto"/>
              <w:ind w:left="357" w:hanging="357"/>
              <w:jc w:val="both"/>
              <w:rPr>
                <w:rFonts w:ascii="Arial" w:eastAsia="Times New Roman" w:hAnsi="Arial" w:cs="Arial"/>
                <w:b/>
                <w:bCs/>
                <w:color w:val="222222"/>
                <w:sz w:val="24"/>
                <w:szCs w:val="24"/>
                <w:lang w:eastAsia="es-CO"/>
              </w:rPr>
            </w:pPr>
            <w:r w:rsidRPr="00332DDB">
              <w:rPr>
                <w:rFonts w:ascii="Arial" w:eastAsia="Times New Roman" w:hAnsi="Arial" w:cs="Arial"/>
                <w:color w:val="222222"/>
                <w:sz w:val="24"/>
                <w:szCs w:val="24"/>
                <w:lang w:eastAsia="es-CO"/>
              </w:rPr>
              <w:t>Analizar los resultados de las pruebas finales que se le aplican a los estudiantes, indicando los avances respecto de los resultados de la prueba diagnóstica.</w:t>
            </w:r>
          </w:p>
          <w:p w14:paraId="043C2E27" w14:textId="5DD90428" w:rsidR="00E6008D" w:rsidRDefault="00A0280F" w:rsidP="00D66040">
            <w:pPr>
              <w:pStyle w:val="Prrafodelista"/>
              <w:numPr>
                <w:ilvl w:val="0"/>
                <w:numId w:val="3"/>
              </w:numPr>
              <w:spacing w:after="0" w:line="360" w:lineRule="auto"/>
              <w:ind w:left="357" w:hanging="357"/>
              <w:jc w:val="both"/>
              <w:rPr>
                <w:rFonts w:ascii="Helvetica" w:eastAsia="Times New Roman" w:hAnsi="Helvetica" w:cs="Helvetica"/>
                <w:color w:val="222222"/>
                <w:sz w:val="24"/>
                <w:szCs w:val="24"/>
                <w:lang w:eastAsia="es-CO"/>
              </w:rPr>
            </w:pPr>
            <w:r w:rsidRPr="00332DDB">
              <w:rPr>
                <w:rFonts w:ascii="Arial" w:eastAsia="Times New Roman" w:hAnsi="Arial" w:cs="Arial"/>
                <w:color w:val="222222"/>
                <w:sz w:val="24"/>
                <w:szCs w:val="24"/>
                <w:lang w:eastAsia="es-CO"/>
              </w:rPr>
              <w:t>Identificar el impacto de la implementación del método de lectoescritura en la deserción temprana, la producción escrita y los resultados de las pruebas Saber Pro.</w:t>
            </w:r>
            <w:r w:rsidR="000D63EE" w:rsidRPr="000D63EE">
              <w:rPr>
                <w:rFonts w:ascii="Times New Roman" w:eastAsia="Times New Roman" w:hAnsi="Times New Roman" w:cs="Times New Roman"/>
                <w:color w:val="222222"/>
                <w:sz w:val="21"/>
                <w:szCs w:val="21"/>
                <w:lang w:eastAsia="es-CO"/>
              </w:rPr>
              <w:t xml:space="preserve"> </w:t>
            </w:r>
          </w:p>
        </w:tc>
      </w:tr>
    </w:tbl>
    <w:p w14:paraId="42A6608A"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91F765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3D262A8"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14:paraId="43CA77F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C8D82AC" w14:textId="77777777" w:rsidR="00304379" w:rsidRPr="00304379" w:rsidRDefault="00304379" w:rsidP="00304379">
            <w:pPr>
              <w:spacing w:after="0" w:line="360" w:lineRule="auto"/>
              <w:jc w:val="both"/>
              <w:rPr>
                <w:rFonts w:ascii="Arial" w:eastAsia="Times New Roman" w:hAnsi="Arial" w:cs="Arial"/>
                <w:bCs/>
                <w:color w:val="222222"/>
                <w:sz w:val="24"/>
                <w:szCs w:val="24"/>
                <w:lang w:eastAsia="es-CO"/>
              </w:rPr>
            </w:pPr>
            <w:r w:rsidRPr="00304379">
              <w:rPr>
                <w:rFonts w:ascii="Arial" w:eastAsia="Times New Roman" w:hAnsi="Arial" w:cs="Arial"/>
                <w:bCs/>
                <w:color w:val="222222"/>
                <w:sz w:val="24"/>
                <w:szCs w:val="24"/>
                <w:lang w:eastAsia="es-CO"/>
              </w:rPr>
              <w:t xml:space="preserve">La educación en el Siglo XXI requiere de una formación que permita a los estudiantes desempeñarse como sujetos conscientes de sus derechos y obligaciones, responsables, que utilicen el conocimiento como herramienta para comprender y transformar constructivamente su entorno social, económico, ambiental y cultural, y de situarse como participantes activos en un mundo en permanente cambio, para que se vinculen con el mundo del trabajo, la producción, la ciencia y la tecnología desde una perspectiva humanista. Sin embargo, los resultados obtenidos por los estudiantes colombianos en las diferentes pruebas (SABER, PISA, SERCE, TIMSS), que miden la calidad de la Educación en Colombia, desde el año 2003, han evidenciado que </w:t>
            </w:r>
            <w:r w:rsidRPr="00304379">
              <w:rPr>
                <w:rFonts w:ascii="Arial" w:eastAsia="Times New Roman" w:hAnsi="Arial" w:cs="Arial"/>
                <w:bCs/>
                <w:i/>
                <w:color w:val="222222"/>
                <w:sz w:val="24"/>
                <w:szCs w:val="24"/>
                <w:lang w:eastAsia="es-CO"/>
              </w:rPr>
              <w:t>una proporción significativa de estudiantes colombianos no están bien preparados para ingresar a la educación superior</w:t>
            </w:r>
            <w:r w:rsidRPr="00304379">
              <w:rPr>
                <w:rFonts w:ascii="Arial" w:eastAsia="Times New Roman" w:hAnsi="Arial" w:cs="Arial"/>
                <w:bCs/>
                <w:color w:val="222222"/>
                <w:sz w:val="24"/>
                <w:szCs w:val="24"/>
                <w:lang w:eastAsia="es-CO"/>
              </w:rPr>
              <w:t xml:space="preserve"> (OCDE, 2016, p. 34). Por otro lado, las pruebas saber reflejan que los estudiantes, al terminar su etapa escolar, no alcanzan el nivel básico de conocimiento del manejo y comprensión del español; por lo cual, presentan deficiencias en las habilidades lingüísticas (Semana, 2016).</w:t>
            </w:r>
          </w:p>
          <w:p w14:paraId="2BDAC0D7" w14:textId="77777777" w:rsidR="00304379" w:rsidRPr="00304379" w:rsidRDefault="00304379" w:rsidP="00304379">
            <w:pPr>
              <w:spacing w:after="0" w:line="360" w:lineRule="auto"/>
              <w:jc w:val="both"/>
              <w:rPr>
                <w:rFonts w:ascii="Arial" w:eastAsia="Times New Roman" w:hAnsi="Arial" w:cs="Arial"/>
                <w:bCs/>
                <w:color w:val="222222"/>
                <w:sz w:val="24"/>
                <w:szCs w:val="24"/>
                <w:lang w:eastAsia="es-CO"/>
              </w:rPr>
            </w:pPr>
            <w:r w:rsidRPr="00304379">
              <w:rPr>
                <w:rFonts w:ascii="Arial" w:eastAsia="Times New Roman" w:hAnsi="Arial" w:cs="Arial"/>
                <w:color w:val="222222"/>
                <w:sz w:val="24"/>
                <w:szCs w:val="24"/>
                <w:lang w:eastAsia="es-CO"/>
              </w:rPr>
              <w:t>Adicionalmente, la propuesta educativa que viene implementado el Ministerio de Educación Nacional, a partir de los expuesto en la Ley General de Educación (Ley 115 de 1990), establece que la educación en Colombia debe ir encaminada a adquirir y desarrollar competencias laborales que permitan ejercer una actividad productiva como empleado o emprendedor, de manera que responda a las necesidades que la sociedad y el sector productivo requieren. Propuesta, que será ratificada en la</w:t>
            </w:r>
            <w:r w:rsidRPr="00304379">
              <w:rPr>
                <w:rFonts w:ascii="Arial" w:eastAsia="Times New Roman" w:hAnsi="Arial" w:cs="Arial"/>
                <w:i/>
                <w:color w:val="222222"/>
                <w:sz w:val="24"/>
                <w:szCs w:val="24"/>
                <w:lang w:eastAsia="es-CO"/>
              </w:rPr>
              <w:t xml:space="preserve"> Declaración mundial sobre la educación superior. La educación superior en el siglo XXI: Visión y acción</w:t>
            </w:r>
            <w:r w:rsidRPr="00304379">
              <w:rPr>
                <w:rFonts w:ascii="Arial" w:eastAsia="Times New Roman" w:hAnsi="Arial" w:cs="Arial"/>
                <w:color w:val="222222"/>
                <w:sz w:val="24"/>
                <w:szCs w:val="24"/>
                <w:lang w:eastAsia="es-CO"/>
              </w:rPr>
              <w:t xml:space="preserve">, promulgada en el marco de la </w:t>
            </w:r>
            <w:r w:rsidRPr="00304379">
              <w:rPr>
                <w:rFonts w:ascii="Arial" w:eastAsia="Times New Roman" w:hAnsi="Arial" w:cs="Arial"/>
                <w:i/>
                <w:color w:val="222222"/>
                <w:sz w:val="24"/>
                <w:szCs w:val="24"/>
                <w:lang w:eastAsia="es-CO"/>
              </w:rPr>
              <w:t>conferencia mundial sobre la educación superior</w:t>
            </w:r>
            <w:r w:rsidRPr="00304379">
              <w:rPr>
                <w:rFonts w:ascii="Arial" w:eastAsia="Times New Roman" w:hAnsi="Arial" w:cs="Arial"/>
                <w:color w:val="222222"/>
                <w:sz w:val="24"/>
                <w:szCs w:val="24"/>
                <w:lang w:eastAsia="es-CO"/>
              </w:rPr>
              <w:t xml:space="preserve">, realiza en 9 de </w:t>
            </w:r>
            <w:r w:rsidRPr="00304379">
              <w:rPr>
                <w:rFonts w:ascii="Arial" w:eastAsia="Times New Roman" w:hAnsi="Arial" w:cs="Arial"/>
                <w:color w:val="222222"/>
                <w:sz w:val="24"/>
                <w:szCs w:val="24"/>
                <w:lang w:eastAsia="es-CO"/>
              </w:rPr>
              <w:lastRenderedPageBreak/>
              <w:t xml:space="preserve">octubre de 1998 en Paris, donde se indica que: </w:t>
            </w:r>
            <w:r w:rsidRPr="00304379">
              <w:rPr>
                <w:rFonts w:ascii="Arial" w:eastAsia="Times New Roman" w:hAnsi="Arial" w:cs="Arial"/>
                <w:i/>
                <w:color w:val="222222"/>
                <w:sz w:val="24"/>
                <w:szCs w:val="24"/>
                <w:lang w:eastAsia="es-CO"/>
              </w:rPr>
              <w:t>las nuevas generaciones deberán estar preparadas con nuevas competencias y nuevos conocimientos e ideales para dar respuesta a las exigencias del mundo actual y la sociedad del conocimiento</w:t>
            </w:r>
            <w:r w:rsidRPr="00304379">
              <w:rPr>
                <w:rFonts w:ascii="Arial" w:eastAsia="Times New Roman" w:hAnsi="Arial" w:cs="Arial"/>
                <w:color w:val="222222"/>
                <w:sz w:val="24"/>
                <w:szCs w:val="24"/>
                <w:lang w:eastAsia="es-CO"/>
              </w:rPr>
              <w:t xml:space="preserve">, por lo cual, considera que en algunos casos será necesario revisar los planes de estudio y utilizar métodos educativos innovadores que permitan superar el mero dominio cognitivo de las disciplinas específicas, </w:t>
            </w:r>
            <w:r w:rsidRPr="00304379">
              <w:rPr>
                <w:rFonts w:ascii="Arial" w:eastAsia="Times New Roman" w:hAnsi="Arial" w:cs="Arial"/>
                <w:i/>
                <w:color w:val="222222"/>
                <w:sz w:val="24"/>
                <w:szCs w:val="24"/>
                <w:lang w:eastAsia="es-CO"/>
              </w:rPr>
              <w:t>para propiciar la adquisición de conocimientos prácticos, competencias y aptitudes para la comunicación, el análisis creativo y crítico, la reflexión independiente y el trabajo en equipo en contextos</w:t>
            </w:r>
            <w:r w:rsidRPr="00304379">
              <w:rPr>
                <w:rFonts w:ascii="Arial" w:eastAsia="Times New Roman" w:hAnsi="Arial" w:cs="Arial"/>
                <w:color w:val="222222"/>
                <w:sz w:val="24"/>
                <w:szCs w:val="24"/>
                <w:lang w:eastAsia="es-CO"/>
              </w:rPr>
              <w:t xml:space="preserve"> (UNESCO, 1998), es decir, las denominadas competencias genéricas, a saber: Comunicación en Lengua Materna y otra Lengua internacional; Pensamiento Matemático; Ciudadanía; y Ciencia, Tecnología y Manejo de la Información. Sin embargo, a pesar del esfuerzo por definir, delimitar, reglamentar y fortalecer el proceso de aprendizaje de estas competencias en el marco de la educación nacional, los esfuerzos se centran en subir los estándares de calidad más que en comprender la lectura crítica y la escritura </w:t>
            </w:r>
            <w:r w:rsidRPr="00304379">
              <w:rPr>
                <w:rFonts w:ascii="Arial" w:eastAsia="Times New Roman" w:hAnsi="Arial" w:cs="Arial"/>
                <w:bCs/>
                <w:i/>
                <w:color w:val="222222"/>
                <w:sz w:val="24"/>
                <w:szCs w:val="24"/>
                <w:lang w:eastAsia="es-CO"/>
              </w:rPr>
              <w:t>como una forma de conocer nuevos mundos y adquirir nuevos saberes a través del sentido, de los significados, de la reflexión, de la racionalidad, y, principalmente, del aprendizaje que trae consigo esta actividad</w:t>
            </w:r>
            <w:r w:rsidRPr="00304379">
              <w:rPr>
                <w:rFonts w:ascii="Arial" w:eastAsia="Times New Roman" w:hAnsi="Arial" w:cs="Arial"/>
                <w:bCs/>
                <w:color w:val="222222"/>
                <w:sz w:val="24"/>
                <w:szCs w:val="24"/>
                <w:lang w:eastAsia="es-CO"/>
              </w:rPr>
              <w:t xml:space="preserve"> (</w:t>
            </w:r>
            <w:proofErr w:type="spellStart"/>
            <w:r w:rsidRPr="00304379">
              <w:rPr>
                <w:rFonts w:ascii="Arial" w:eastAsia="Times New Roman" w:hAnsi="Arial" w:cs="Arial"/>
                <w:bCs/>
                <w:color w:val="222222"/>
                <w:sz w:val="24"/>
                <w:szCs w:val="24"/>
                <w:lang w:eastAsia="es-CO"/>
              </w:rPr>
              <w:t>Villamarin</w:t>
            </w:r>
            <w:proofErr w:type="spellEnd"/>
            <w:r w:rsidRPr="00304379">
              <w:rPr>
                <w:rFonts w:ascii="Arial" w:eastAsia="Times New Roman" w:hAnsi="Arial" w:cs="Arial"/>
                <w:bCs/>
                <w:color w:val="222222"/>
                <w:sz w:val="24"/>
                <w:szCs w:val="24"/>
                <w:lang w:eastAsia="es-CO"/>
              </w:rPr>
              <w:t>, 2018, p.237).</w:t>
            </w:r>
          </w:p>
          <w:p w14:paraId="0224C3D1" w14:textId="77777777" w:rsidR="00304379" w:rsidRPr="00304379" w:rsidRDefault="00304379" w:rsidP="00304379">
            <w:pPr>
              <w:spacing w:after="0" w:line="360" w:lineRule="auto"/>
              <w:jc w:val="both"/>
              <w:rPr>
                <w:rFonts w:ascii="Arial" w:eastAsia="Times New Roman" w:hAnsi="Arial" w:cs="Arial"/>
                <w:bCs/>
                <w:color w:val="222222"/>
                <w:sz w:val="24"/>
                <w:szCs w:val="24"/>
                <w:lang w:eastAsia="es-CO"/>
              </w:rPr>
            </w:pPr>
            <w:r w:rsidRPr="00304379">
              <w:rPr>
                <w:rFonts w:ascii="Arial" w:eastAsia="Times New Roman" w:hAnsi="Arial" w:cs="Arial"/>
                <w:bCs/>
                <w:color w:val="222222"/>
                <w:sz w:val="24"/>
                <w:szCs w:val="24"/>
                <w:lang w:eastAsia="es-CO"/>
              </w:rPr>
              <w:t>Las culturas de América Latina difundieron sus saberes ancestrales a partir de la tradición oral que se renueva entre la memoria y el olvido del imaginario social que conserva vivo aquello que tiene relevancia (</w:t>
            </w:r>
            <w:proofErr w:type="spellStart"/>
            <w:r w:rsidRPr="00304379">
              <w:rPr>
                <w:rFonts w:ascii="Arial" w:eastAsia="Times New Roman" w:hAnsi="Arial" w:cs="Arial"/>
                <w:bCs/>
                <w:color w:val="222222"/>
                <w:sz w:val="24"/>
                <w:szCs w:val="24"/>
                <w:lang w:eastAsia="es-CO"/>
              </w:rPr>
              <w:t>Cocimano</w:t>
            </w:r>
            <w:proofErr w:type="spellEnd"/>
            <w:r w:rsidRPr="00304379">
              <w:rPr>
                <w:rFonts w:ascii="Arial" w:eastAsia="Times New Roman" w:hAnsi="Arial" w:cs="Arial"/>
                <w:bCs/>
                <w:color w:val="222222"/>
                <w:sz w:val="24"/>
                <w:szCs w:val="24"/>
                <w:lang w:eastAsia="es-CO"/>
              </w:rPr>
              <w:t xml:space="preserve">, 2006, p.25); fue la primera herramienta del pensamiento que contribuyó a nombrar lo real y lo ficticio-lo real u lo simbólico (González J., Elvira I.; Hernández, P. María de L. y Márquez Z, Juan, 2013, p. 265). Por ello, es común que la escuela, en la primera infancia y parte de la educación básica, se utilicen los mitos, leyendas, refranes, etc., de origen popular para desarrollar las competencia comunicativa y lingüística de los niños; de manera que, a partir de ellas, creen y recreen de manera oral, ya sea, recitando, narrando o socializando sus propias historias. Pero, en la medida que se profundiza en el dominio de otros saberes y disciplinas (segunda infancia y educación media) se profundiza en las competencias propias de la lectura y la escritura por ser herramientas que facilitan el aprendizaje y la organización del conocimiento científico sin establecer y delimitar los procesos mentales, estructurales y formales que dan cuenta de los procesos mentales y cognitivos que se requieren para las competencias propias del ordenamiento del discurso oral (hablar y escuchar) y fortalezcan las competencias que se requieren en el aprendizaje del lenguaje escrito (leer y escribir). Una evidencia de ello, es que, cuando se realizan debates, mesas redondas etc., los estudiantes que participan tiene más claridad a la hora de expresar sus ideas, posturas críticas y argumentativas por vía oral; que, cuando se les solicita codificarlas por escrito pues presentan dificultad para ordenar, estructurar e hilar las ideas y conceptos porque </w:t>
            </w:r>
            <w:r w:rsidRPr="00304379">
              <w:rPr>
                <w:rFonts w:ascii="Arial" w:eastAsia="Times New Roman" w:hAnsi="Arial" w:cs="Arial"/>
                <w:bCs/>
                <w:i/>
                <w:color w:val="222222"/>
                <w:sz w:val="24"/>
                <w:szCs w:val="24"/>
                <w:lang w:eastAsia="es-CO"/>
              </w:rPr>
              <w:t>escriben tal y como hablan</w:t>
            </w:r>
            <w:r w:rsidRPr="00304379">
              <w:rPr>
                <w:rFonts w:ascii="Arial" w:eastAsia="Times New Roman" w:hAnsi="Arial" w:cs="Arial"/>
                <w:bCs/>
                <w:color w:val="222222"/>
                <w:sz w:val="24"/>
                <w:szCs w:val="24"/>
                <w:lang w:eastAsia="es-CO"/>
              </w:rPr>
              <w:t xml:space="preserve"> (Domínguez; 2002, p. 87); </w:t>
            </w:r>
            <w:r w:rsidRPr="00304379">
              <w:rPr>
                <w:rFonts w:ascii="Arial" w:eastAsia="Times New Roman" w:hAnsi="Arial" w:cs="Arial"/>
                <w:bCs/>
                <w:color w:val="222222"/>
                <w:sz w:val="24"/>
                <w:szCs w:val="24"/>
                <w:lang w:eastAsia="es-CO"/>
              </w:rPr>
              <w:lastRenderedPageBreak/>
              <w:t>situación que se refleja en índice del alfabetismo funcional, que en Colombia alcanza el 15.5%. (MEN, 2015, p. 39). Argumentos que refuerzan la hipótesis de la necesidad de desarrollar un método que les brinde herramientas a los estudiantes para ordenar su pensamiento y asumir una posición crítica de manera consciente, con sentido y propósito a lo largo de su formación profesional.</w:t>
            </w:r>
          </w:p>
          <w:p w14:paraId="5778CEFD" w14:textId="77777777" w:rsidR="00304379" w:rsidRPr="00304379" w:rsidRDefault="00304379" w:rsidP="00304379">
            <w:pPr>
              <w:spacing w:after="0" w:line="360" w:lineRule="auto"/>
              <w:jc w:val="both"/>
              <w:rPr>
                <w:rFonts w:ascii="Arial" w:eastAsia="Times New Roman" w:hAnsi="Arial" w:cs="Arial"/>
                <w:bCs/>
                <w:color w:val="222222"/>
                <w:sz w:val="24"/>
                <w:szCs w:val="24"/>
                <w:lang w:eastAsia="es-CO"/>
              </w:rPr>
            </w:pPr>
            <w:r w:rsidRPr="00304379">
              <w:rPr>
                <w:rFonts w:ascii="Arial" w:eastAsia="Times New Roman" w:hAnsi="Arial" w:cs="Arial"/>
                <w:bCs/>
                <w:color w:val="222222"/>
                <w:sz w:val="24"/>
                <w:szCs w:val="24"/>
                <w:lang w:eastAsia="es-CO"/>
              </w:rPr>
              <w:t xml:space="preserve">Por otro lado, uno de los factores que afecta la calidad de educación en Colombia es la deserción estudiantil según un informe, de noviembre del año 2018, </w:t>
            </w:r>
            <w:r w:rsidRPr="00304379">
              <w:rPr>
                <w:rFonts w:ascii="Arial" w:eastAsia="Times New Roman" w:hAnsi="Arial" w:cs="Arial"/>
                <w:bCs/>
                <w:i/>
                <w:color w:val="222222"/>
                <w:sz w:val="24"/>
                <w:szCs w:val="24"/>
                <w:lang w:eastAsia="es-CO"/>
              </w:rPr>
              <w:t>del Banco Mundial, Colombia es el segundo país en América Latina con mayor tasa de deserción universitaria. En el país, la cobertura de educación superior ronda el 52 % de jóvenes entre 17 y 24 años. Se estima que el 42 % de los que ingresan a planteles educativos termina desertando en los primeros años</w:t>
            </w:r>
            <w:r w:rsidRPr="00304379">
              <w:rPr>
                <w:rFonts w:ascii="Arial" w:eastAsia="Times New Roman" w:hAnsi="Arial" w:cs="Arial"/>
                <w:bCs/>
                <w:color w:val="222222"/>
                <w:sz w:val="24"/>
                <w:szCs w:val="24"/>
                <w:lang w:eastAsia="es-CO"/>
              </w:rPr>
              <w:t xml:space="preserve"> (Casas, 2018). De acuerdo a lo que nos ocupa en este proyecto de investigación, una de las causas de la deserción en la educación superior en Colombia es </w:t>
            </w:r>
            <w:r w:rsidRPr="00304379">
              <w:rPr>
                <w:rFonts w:ascii="Arial" w:eastAsia="Times New Roman" w:hAnsi="Arial" w:cs="Arial"/>
                <w:bCs/>
                <w:i/>
                <w:color w:val="222222"/>
                <w:sz w:val="24"/>
                <w:szCs w:val="24"/>
                <w:lang w:eastAsia="es-CO"/>
              </w:rPr>
              <w:t xml:space="preserve">la deserción académica, </w:t>
            </w:r>
            <w:r w:rsidRPr="00304379">
              <w:rPr>
                <w:rFonts w:ascii="Arial" w:eastAsia="Times New Roman" w:hAnsi="Arial" w:cs="Arial"/>
                <w:bCs/>
                <w:color w:val="222222"/>
                <w:sz w:val="24"/>
                <w:szCs w:val="24"/>
                <w:lang w:eastAsia="es-CO"/>
              </w:rPr>
              <w:t>que según el Ministerio de Educación Nacional</w:t>
            </w:r>
            <w:r w:rsidRPr="00304379">
              <w:rPr>
                <w:rFonts w:ascii="Arial" w:eastAsia="Times New Roman" w:hAnsi="Arial" w:cs="Arial"/>
                <w:bCs/>
                <w:i/>
                <w:color w:val="222222"/>
                <w:sz w:val="24"/>
                <w:szCs w:val="24"/>
                <w:lang w:eastAsia="es-CO"/>
              </w:rPr>
              <w:t xml:space="preserve"> </w:t>
            </w:r>
            <w:r w:rsidRPr="00304379">
              <w:rPr>
                <w:rFonts w:ascii="Arial" w:eastAsia="Times New Roman" w:hAnsi="Arial" w:cs="Arial"/>
                <w:bCs/>
                <w:color w:val="222222"/>
                <w:sz w:val="24"/>
                <w:szCs w:val="24"/>
                <w:lang w:eastAsia="es-CO"/>
              </w:rPr>
              <w:t>se presenta por</w:t>
            </w:r>
            <w:r w:rsidRPr="00304379">
              <w:rPr>
                <w:rFonts w:ascii="Arial" w:eastAsia="Times New Roman" w:hAnsi="Arial" w:cs="Arial"/>
                <w:bCs/>
                <w:i/>
                <w:color w:val="222222"/>
                <w:sz w:val="24"/>
                <w:szCs w:val="24"/>
                <w:lang w:eastAsia="es-CO"/>
              </w:rPr>
              <w:t>:</w:t>
            </w:r>
            <w:r w:rsidRPr="00304379">
              <w:rPr>
                <w:rFonts w:ascii="Arial" w:eastAsia="Times New Roman" w:hAnsi="Arial" w:cs="Arial"/>
                <w:bCs/>
                <w:color w:val="222222"/>
                <w:sz w:val="24"/>
                <w:szCs w:val="24"/>
                <w:lang w:eastAsia="es-CO"/>
              </w:rPr>
              <w:t xml:space="preserve"> 1. la Falta de preparación desde la educación media en competencias generales, 2. Poca orientación profesional y vocacional antes del ingreso a la universidad, 3. Bajo rendimiento académico, 4. Baja calidad del programa al que se accede, 5. Métodos de estudio y metodologías de aprendizaje obsoletas, 6. Insatisfacción con el programa y, 7. Estrés por la carga académica (ODES, 2017, p.7). Por lo cual, el Ministerio de Educación Nacional propone a las IES implementar estrategias para disminuir la deserción estudiantil por </w:t>
            </w:r>
            <w:r w:rsidRPr="00304379">
              <w:rPr>
                <w:rFonts w:ascii="Arial" w:eastAsia="Times New Roman" w:hAnsi="Arial" w:cs="Arial"/>
                <w:bCs/>
                <w:i/>
                <w:color w:val="222222"/>
                <w:sz w:val="24"/>
                <w:szCs w:val="24"/>
                <w:lang w:eastAsia="es-CO"/>
              </w:rPr>
              <w:t>bajo rendimiento académico</w:t>
            </w:r>
            <w:r w:rsidRPr="00304379">
              <w:rPr>
                <w:rFonts w:ascii="Arial" w:eastAsia="Times New Roman" w:hAnsi="Arial" w:cs="Arial"/>
                <w:bCs/>
                <w:color w:val="222222"/>
                <w:sz w:val="24"/>
                <w:szCs w:val="24"/>
                <w:lang w:eastAsia="es-CO"/>
              </w:rPr>
              <w:t>, tales como: 1. Acompañamiento individual al estudiante a través de tutorías para potenciar las condiciones académicas, 2. Asesorías de carácter complementario para aclarar, afirmar o ampliar los conocimientos derivados del proceso de aprendizaje (monitorias), 3. Actividades académicas encaminadas al refuerzo de los conocimientos, habilidades y competencias, 4. Cursos remediales, especiales o de nivelación orientados hacia aquellos estudiantes que reprueban materias o créditos académicos con el fin de nivelarlos para el siguiente semestre, 5. Cursos de nivelación orientados hacia aquellos estudiantes que deseen adelantar materias o créditos académicos del siguiente semestre (p.12). Por lo anterior, las Instituciones de Educación Superior en Colombia han venido implementado estrategias para diseña y ejecuta programas de tipo preventivo y correctivo que faciliten la permanencia y disminuyan los índices de deserción académica de los estudiantes Universitarios</w:t>
            </w:r>
            <w:r w:rsidRPr="00304379">
              <w:rPr>
                <w:rFonts w:ascii="Arial" w:eastAsia="Times New Roman" w:hAnsi="Arial" w:cs="Arial"/>
                <w:bCs/>
                <w:sz w:val="24"/>
                <w:szCs w:val="24"/>
                <w:lang w:eastAsia="es-CO"/>
              </w:rPr>
              <w:t xml:space="preserve">, </w:t>
            </w:r>
            <w:r w:rsidRPr="00304379">
              <w:rPr>
                <w:rFonts w:ascii="Arial" w:eastAsia="Times New Roman" w:hAnsi="Arial" w:cs="Arial"/>
                <w:bCs/>
                <w:color w:val="222222"/>
                <w:sz w:val="24"/>
                <w:szCs w:val="24"/>
                <w:lang w:eastAsia="es-CO"/>
              </w:rPr>
              <w:t xml:space="preserve">por ejemplo: la Pontificia Universidad Javeriana creó el </w:t>
            </w:r>
            <w:r w:rsidRPr="00304379">
              <w:rPr>
                <w:rFonts w:ascii="Arial" w:eastAsia="Times New Roman" w:hAnsi="Arial" w:cs="Arial"/>
                <w:bCs/>
                <w:i/>
                <w:color w:val="222222"/>
                <w:sz w:val="24"/>
                <w:szCs w:val="24"/>
                <w:lang w:eastAsia="es-CO"/>
              </w:rPr>
              <w:t>Centro de Escritura Javeriano</w:t>
            </w:r>
            <w:r w:rsidRPr="00304379">
              <w:rPr>
                <w:rFonts w:ascii="Arial" w:eastAsia="Times New Roman" w:hAnsi="Arial" w:cs="Arial"/>
                <w:bCs/>
                <w:color w:val="222222"/>
                <w:sz w:val="24"/>
                <w:szCs w:val="24"/>
                <w:lang w:eastAsia="es-CO"/>
              </w:rPr>
              <w:t xml:space="preserve"> para realizar tutorías personalizadas con el fin de acompañar a los estudiantes en el proceso de escritura de textos académicos (PUJ, 2019); la Universidad de los Andes creó el </w:t>
            </w:r>
            <w:r w:rsidRPr="00304379">
              <w:rPr>
                <w:rFonts w:ascii="Arial" w:eastAsia="Times New Roman" w:hAnsi="Arial" w:cs="Arial"/>
                <w:bCs/>
                <w:i/>
                <w:color w:val="222222"/>
                <w:sz w:val="24"/>
                <w:szCs w:val="24"/>
                <w:lang w:eastAsia="es-CO"/>
              </w:rPr>
              <w:t>Centro de Español</w:t>
            </w:r>
            <w:r w:rsidRPr="00304379">
              <w:rPr>
                <w:rFonts w:ascii="Arial" w:eastAsia="Times New Roman" w:hAnsi="Arial" w:cs="Arial"/>
                <w:bCs/>
                <w:color w:val="222222"/>
                <w:sz w:val="24"/>
                <w:szCs w:val="24"/>
                <w:lang w:eastAsia="es-CO"/>
              </w:rPr>
              <w:t xml:space="preserve"> con el objetivo de desarrollar y fortalecer las habilidades de escritura, lectura y comunicación oral de los estudiantes para que enfrenten exitosamente los retos académicos y profesionales (</w:t>
            </w:r>
            <w:proofErr w:type="spellStart"/>
            <w:r w:rsidRPr="00304379">
              <w:rPr>
                <w:rFonts w:ascii="Arial" w:eastAsia="Times New Roman" w:hAnsi="Arial" w:cs="Arial"/>
                <w:bCs/>
                <w:color w:val="222222"/>
                <w:sz w:val="24"/>
                <w:szCs w:val="24"/>
                <w:lang w:eastAsia="es-CO"/>
              </w:rPr>
              <w:t>Uniandes</w:t>
            </w:r>
            <w:proofErr w:type="spellEnd"/>
            <w:r w:rsidRPr="00304379">
              <w:rPr>
                <w:rFonts w:ascii="Arial" w:eastAsia="Times New Roman" w:hAnsi="Arial" w:cs="Arial"/>
                <w:bCs/>
                <w:color w:val="222222"/>
                <w:sz w:val="24"/>
                <w:szCs w:val="24"/>
                <w:lang w:eastAsia="es-CO"/>
              </w:rPr>
              <w:t xml:space="preserve">, 2019); la Universidad </w:t>
            </w:r>
            <w:r w:rsidRPr="00304379">
              <w:rPr>
                <w:rFonts w:ascii="Arial" w:eastAsia="Times New Roman" w:hAnsi="Arial" w:cs="Arial"/>
                <w:bCs/>
                <w:i/>
                <w:color w:val="222222"/>
                <w:sz w:val="24"/>
                <w:szCs w:val="24"/>
                <w:lang w:eastAsia="es-CO"/>
              </w:rPr>
              <w:t>Sergio Arboleda</w:t>
            </w:r>
            <w:r w:rsidRPr="00304379">
              <w:rPr>
                <w:rFonts w:ascii="Arial" w:eastAsia="Times New Roman" w:hAnsi="Arial" w:cs="Arial"/>
                <w:bCs/>
                <w:color w:val="222222"/>
                <w:sz w:val="24"/>
                <w:szCs w:val="24"/>
                <w:lang w:eastAsia="es-CO"/>
              </w:rPr>
              <w:t xml:space="preserve"> implemento el programa de Lectura y Escritura Académicas que comprende dos asignaturas: Lectura y Escritura Académicas I y II, con la </w:t>
            </w:r>
            <w:r w:rsidRPr="00304379">
              <w:rPr>
                <w:rFonts w:ascii="Arial" w:eastAsia="Times New Roman" w:hAnsi="Arial" w:cs="Arial"/>
                <w:bCs/>
                <w:i/>
                <w:color w:val="222222"/>
                <w:sz w:val="24"/>
                <w:szCs w:val="24"/>
                <w:lang w:eastAsia="es-CO"/>
              </w:rPr>
              <w:lastRenderedPageBreak/>
              <w:t xml:space="preserve">finalidad de afianzar los procesos iniciales de lectura y escritura que exige el mundo universitario </w:t>
            </w:r>
            <w:r w:rsidRPr="00304379">
              <w:rPr>
                <w:rFonts w:ascii="Arial" w:eastAsia="Times New Roman" w:hAnsi="Arial" w:cs="Arial"/>
                <w:bCs/>
                <w:color w:val="222222"/>
                <w:sz w:val="24"/>
                <w:szCs w:val="24"/>
                <w:lang w:eastAsia="es-CO"/>
              </w:rPr>
              <w:t xml:space="preserve">(USA, 2019);  La Universidad de Antioquia ha venido implementado el curso de </w:t>
            </w:r>
            <w:r w:rsidRPr="00304379">
              <w:rPr>
                <w:rFonts w:ascii="Arial" w:eastAsia="Times New Roman" w:hAnsi="Arial" w:cs="Arial"/>
                <w:bCs/>
                <w:i/>
                <w:color w:val="222222"/>
                <w:sz w:val="24"/>
                <w:szCs w:val="24"/>
                <w:lang w:eastAsia="es-CO"/>
              </w:rPr>
              <w:t>Lengua Materna</w:t>
            </w:r>
            <w:r w:rsidRPr="00304379">
              <w:rPr>
                <w:rFonts w:ascii="Arial" w:eastAsia="Times New Roman" w:hAnsi="Arial" w:cs="Arial"/>
                <w:bCs/>
                <w:color w:val="222222"/>
                <w:sz w:val="24"/>
                <w:szCs w:val="24"/>
                <w:lang w:eastAsia="es-CO"/>
              </w:rPr>
              <w:t xml:space="preserve"> con el objetivo de mejorar las competencias lectora y escritural de los estudiantes mediante un proceso de práctica continua y progresiva (</w:t>
            </w:r>
            <w:proofErr w:type="spellStart"/>
            <w:r w:rsidRPr="00304379">
              <w:rPr>
                <w:rFonts w:ascii="Arial" w:eastAsia="Times New Roman" w:hAnsi="Arial" w:cs="Arial"/>
                <w:bCs/>
                <w:color w:val="222222"/>
                <w:sz w:val="24"/>
                <w:szCs w:val="24"/>
                <w:lang w:eastAsia="es-CO"/>
              </w:rPr>
              <w:t>UdeA</w:t>
            </w:r>
            <w:proofErr w:type="spellEnd"/>
            <w:r w:rsidRPr="00304379">
              <w:rPr>
                <w:rFonts w:ascii="Arial" w:eastAsia="Times New Roman" w:hAnsi="Arial" w:cs="Arial"/>
                <w:bCs/>
                <w:color w:val="222222"/>
                <w:sz w:val="24"/>
                <w:szCs w:val="24"/>
                <w:lang w:eastAsia="es-CO"/>
              </w:rPr>
              <w:t xml:space="preserve">, 2019); la Universidad del Rosario, desde La Escuela de Ciencias Humanas, le brinda al estudiantes </w:t>
            </w:r>
            <w:r w:rsidRPr="00304379">
              <w:rPr>
                <w:rFonts w:ascii="Arial" w:eastAsia="Times New Roman" w:hAnsi="Arial" w:cs="Arial"/>
                <w:bCs/>
                <w:i/>
                <w:color w:val="222222"/>
                <w:sz w:val="24"/>
                <w:szCs w:val="24"/>
                <w:lang w:eastAsia="es-CO"/>
              </w:rPr>
              <w:t>guías académicas</w:t>
            </w:r>
            <w:r w:rsidRPr="00304379">
              <w:rPr>
                <w:rFonts w:ascii="Arial" w:eastAsia="Times New Roman" w:hAnsi="Arial" w:cs="Arial"/>
                <w:bCs/>
                <w:color w:val="222222"/>
                <w:sz w:val="24"/>
                <w:szCs w:val="24"/>
                <w:lang w:eastAsia="es-CO"/>
              </w:rPr>
              <w:t xml:space="preserve"> para que resuelvas dudas respecto a referencias, tipos de documentos, criterios y demás herramientas en la escritura de sus trabajos (</w:t>
            </w:r>
            <w:proofErr w:type="spellStart"/>
            <w:r w:rsidRPr="00304379">
              <w:rPr>
                <w:rFonts w:ascii="Arial" w:eastAsia="Times New Roman" w:hAnsi="Arial" w:cs="Arial"/>
                <w:bCs/>
                <w:color w:val="222222"/>
                <w:sz w:val="24"/>
                <w:szCs w:val="24"/>
                <w:lang w:eastAsia="es-CO"/>
              </w:rPr>
              <w:t>URosario</w:t>
            </w:r>
            <w:proofErr w:type="spellEnd"/>
            <w:r w:rsidRPr="00304379">
              <w:rPr>
                <w:rFonts w:ascii="Arial" w:eastAsia="Times New Roman" w:hAnsi="Arial" w:cs="Arial"/>
                <w:bCs/>
                <w:color w:val="222222"/>
                <w:sz w:val="24"/>
                <w:szCs w:val="24"/>
                <w:lang w:eastAsia="es-CO"/>
              </w:rPr>
              <w:t xml:space="preserve"> 2019). Y, a nivel nacional, la Asociación Colombiana de Universidades (ASCUN) creó la Red de Lectura y Escritura en Educación Superior para promover el diálogo y la reflexión sobre la lectura, la escritura y la oralidad, para favorecer la calidad educativa a nivel regional, nacional e internacional (REDLEES, 2019).</w:t>
            </w:r>
          </w:p>
          <w:p w14:paraId="50A9A43E" w14:textId="77777777" w:rsidR="00304379" w:rsidRPr="00304379" w:rsidRDefault="00304379" w:rsidP="00304379">
            <w:pPr>
              <w:spacing w:after="0" w:line="360" w:lineRule="auto"/>
              <w:jc w:val="both"/>
              <w:rPr>
                <w:rFonts w:ascii="Arial" w:eastAsia="Times New Roman" w:hAnsi="Arial" w:cs="Arial"/>
                <w:bCs/>
                <w:color w:val="222222"/>
                <w:sz w:val="24"/>
                <w:szCs w:val="24"/>
                <w:lang w:eastAsia="es-CO"/>
              </w:rPr>
            </w:pPr>
            <w:r w:rsidRPr="00304379">
              <w:rPr>
                <w:rFonts w:ascii="Arial" w:eastAsia="Times New Roman" w:hAnsi="Arial" w:cs="Arial"/>
                <w:bCs/>
                <w:color w:val="222222"/>
                <w:sz w:val="24"/>
                <w:szCs w:val="24"/>
                <w:lang w:eastAsia="es-CO"/>
              </w:rPr>
              <w:t xml:space="preserve">En este contexto, los docentes de lectoescritura del Departamento de Humanidades y Formación Integral de la USTA nos preguntamos ¿Cómo abordar las problemáticas y necesidades que presenta el estudiante al ingresar a la educación superior para comprender y producir textos a lo largo de su formación profesional y el desarrollo de sus actitudes y competencias investigativas? Como punto de partida para responder este interrogante identificamos que se requiere diseñar </w:t>
            </w:r>
            <w:r w:rsidRPr="00304379">
              <w:rPr>
                <w:rFonts w:ascii="Arial" w:eastAsia="Times New Roman" w:hAnsi="Arial" w:cs="Arial"/>
                <w:color w:val="222222"/>
                <w:sz w:val="24"/>
                <w:szCs w:val="24"/>
                <w:lang w:eastAsia="es-CO"/>
              </w:rPr>
              <w:t xml:space="preserve">un método de lectura crítica y producción escrita </w:t>
            </w:r>
            <w:r w:rsidRPr="00304379">
              <w:rPr>
                <w:rFonts w:ascii="Arial" w:eastAsia="Times New Roman" w:hAnsi="Arial" w:cs="Arial"/>
                <w:bCs/>
                <w:color w:val="222222"/>
                <w:sz w:val="24"/>
                <w:szCs w:val="24"/>
                <w:lang w:eastAsia="es-CO"/>
              </w:rPr>
              <w:t>para brindar al estudiante de herramientas que le permitan aprender a planificar y organizar sus propias actividades de aprendizaje (</w:t>
            </w:r>
            <w:proofErr w:type="spellStart"/>
            <w:r w:rsidRPr="00304379">
              <w:rPr>
                <w:rFonts w:ascii="Arial" w:hAnsi="Arial" w:cs="Arial"/>
                <w:sz w:val="24"/>
                <w:szCs w:val="24"/>
              </w:rPr>
              <w:t>Wompner</w:t>
            </w:r>
            <w:proofErr w:type="spellEnd"/>
            <w:r w:rsidRPr="00304379">
              <w:rPr>
                <w:rFonts w:ascii="Arial" w:hAnsi="Arial" w:cs="Arial"/>
                <w:sz w:val="24"/>
                <w:szCs w:val="24"/>
              </w:rPr>
              <w:t xml:space="preserve">, Fredy y René Fernández M., </w:t>
            </w:r>
            <w:r w:rsidRPr="00304379">
              <w:rPr>
                <w:rFonts w:ascii="Arial" w:eastAsia="Times New Roman" w:hAnsi="Arial" w:cs="Arial"/>
                <w:bCs/>
                <w:color w:val="222222"/>
                <w:sz w:val="24"/>
                <w:szCs w:val="24"/>
                <w:lang w:eastAsia="es-CO"/>
              </w:rPr>
              <w:t>2007); dado que, la lectura crítica exige que el lector contextualice e infiera cual es el propósito del autor, identifique la ruta de desarrollo del texto, establecer la relación entre el propósito del autor, el desarrollo del texto y la conclusión o perspectivas. Una vez el estudiante asume una postura frente a un tema, inicia el proceso de producción escrita donde el estudiante organiza sus ideas y conocimientos a partir de estrategias de planificación a través de la elaboración de una ruta de desarrollo, selección de autores que le sirven de referencia para fortalecer sus argumentos, hacer uso de las competencias gramaticales para la selección del léxico de acuerdo al público al que dirige su escrito, el uso de conectores para dar cohesión al texto y por último la revisión, etapa donde el estudiante asume una posición autocrítica y establece que desde el punto de vista formal el texto es coherente y posee cohesión porque los enunciados se relacionan correctamente desde el punto de vista lexical y gramatical.</w:t>
            </w:r>
          </w:p>
          <w:p w14:paraId="023B9B89" w14:textId="170EB152" w:rsidR="00E6008D" w:rsidRPr="00304379" w:rsidRDefault="00304379" w:rsidP="00304379">
            <w:pPr>
              <w:spacing w:after="0" w:line="360" w:lineRule="auto"/>
              <w:jc w:val="both"/>
              <w:rPr>
                <w:rFonts w:ascii="Arial" w:eastAsia="Times New Roman" w:hAnsi="Arial" w:cs="Arial"/>
                <w:color w:val="222222"/>
                <w:sz w:val="24"/>
                <w:szCs w:val="24"/>
                <w:lang w:eastAsia="es-CO"/>
              </w:rPr>
            </w:pPr>
            <w:r w:rsidRPr="00304379">
              <w:rPr>
                <w:rFonts w:ascii="Arial" w:eastAsia="Times New Roman" w:hAnsi="Arial" w:cs="Arial"/>
                <w:bCs/>
                <w:color w:val="222222"/>
                <w:sz w:val="24"/>
                <w:szCs w:val="24"/>
                <w:lang w:eastAsia="es-CO"/>
              </w:rPr>
              <w:t xml:space="preserve">A partir de lo anterior, el Departamento de Humanidades y Formación Integral, desde el año 2013, asume como tarea seguir afianzando los procesos de enseñanza y aprendizaje de la lengua materna, ya que todo profesional, sea cual sea el campo de acción en que se desempeñe, debe poseer habilidades de lectoescritura que le permitan perfilarse integralmente en su entorno laboral. Los cursos de Lectoescritura para estudiantes neotomasinos están encaminados a desarrollar las competencias de escritura y comprensión lectora a través del trabajo continuo </w:t>
            </w:r>
            <w:r w:rsidRPr="00304379">
              <w:rPr>
                <w:rFonts w:ascii="Arial" w:eastAsia="Times New Roman" w:hAnsi="Arial" w:cs="Arial"/>
                <w:bCs/>
                <w:color w:val="222222"/>
                <w:sz w:val="24"/>
                <w:szCs w:val="24"/>
                <w:lang w:eastAsia="es-CO"/>
              </w:rPr>
              <w:lastRenderedPageBreak/>
              <w:t>y personalizado, para que el estudiante identifique sus falencias y paulatinamente las vaya superando, aplicando las herramientas pertinentes para la construcción de un texto coherente y de calidad; igualmente se pretende que éste comprenda e interprete con pensamiento crítico los textos y desarrolle procesos y hábitos de estudio (DHFI, 2015, p. 5) . Experiencia que fundamenta el presente proyecto de investigación.</w:t>
            </w:r>
          </w:p>
        </w:tc>
      </w:tr>
    </w:tbl>
    <w:p w14:paraId="4969041E"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29C62DA7" w14:textId="77777777" w:rsidTr="009E016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CCFC505"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770DAA52" w14:textId="77777777" w:rsidTr="009E016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52E29FE" w14:textId="265D40F4" w:rsidR="009246D1" w:rsidRPr="00D66040" w:rsidRDefault="00A0280F" w:rsidP="00D66040">
            <w:pPr>
              <w:spacing w:after="0" w:line="360" w:lineRule="auto"/>
              <w:jc w:val="both"/>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Para el desarrollo de la presente investigación se utilizará una metodología mixta, dado que, en primera instancia, se analizarán los resultados de las pruebas diagnósticas de los cursos de lectoescritura, de forma cuantitativa; en segunda instancia, se medirán los resultados de la implementación del método, de forma cualitativa; en tercera instancia, se compararán los resultados de la prueba final, en relación con los de la prueba diagnóstica, de forma cualitativa y cuantitativa; y por último, se analizará y comprobará el i</w:t>
            </w:r>
            <w:r w:rsidRPr="00D66040">
              <w:rPr>
                <w:rFonts w:ascii="Arial" w:hAnsi="Arial" w:cs="Arial"/>
                <w:sz w:val="24"/>
                <w:szCs w:val="24"/>
              </w:rPr>
              <w:t xml:space="preserve">mpacto en la deserción temprana, la producción escrita DHFI y los resultados en las pruebas saber Pro. La información analizada comprende el periodo académico que va desde el segundo semestre del año 2013 hasta el segundo semestre del año 2017. La presentación se recurrirá a la técnica de grafos. </w:t>
            </w:r>
            <w:r w:rsidRPr="00D66040">
              <w:rPr>
                <w:rFonts w:ascii="Arial" w:eastAsia="Times New Roman" w:hAnsi="Arial" w:cs="Arial"/>
                <w:bCs/>
                <w:color w:val="222222"/>
                <w:sz w:val="24"/>
                <w:szCs w:val="24"/>
                <w:lang w:eastAsia="es-CO"/>
              </w:rPr>
              <w:t xml:space="preserve">Para ello, se documentará la experiencia desarrollada por el Departamento de Humanidades y Formación integral de la Universidad Santo Tomás, en los últimos siete años, con el fin de describir el método y evidenciar sus resultados. La ruta metodológica implica el análisis de los siguientes datos: 1) </w:t>
            </w:r>
            <w:r w:rsidRPr="00D66040">
              <w:rPr>
                <w:rFonts w:ascii="Arial" w:eastAsia="Times New Roman" w:hAnsi="Arial" w:cs="Arial"/>
                <w:color w:val="222222"/>
                <w:sz w:val="24"/>
                <w:szCs w:val="24"/>
                <w:lang w:eastAsia="es-CO"/>
              </w:rPr>
              <w:t>pruebas diagnóstica y final; 2) implementación del método; 3) resultados de las pruebas finales; 4) i</w:t>
            </w:r>
            <w:r w:rsidRPr="00D66040">
              <w:rPr>
                <w:rFonts w:ascii="Arial" w:hAnsi="Arial" w:cs="Arial"/>
                <w:sz w:val="24"/>
                <w:szCs w:val="24"/>
              </w:rPr>
              <w:t>mpacto del método en la deserción temprana, la producción escrita y los resultados de las pruebas Saber Pro, con ayuda de las bases de datos del MEN.</w:t>
            </w:r>
          </w:p>
        </w:tc>
      </w:tr>
      <w:tr w:rsidR="001D6087" w14:paraId="182A7B68" w14:textId="77777777" w:rsidTr="009E016F">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24BFCB4"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Resultados esperados</w:t>
            </w:r>
          </w:p>
        </w:tc>
      </w:tr>
      <w:tr w:rsidR="00982DB6" w14:paraId="110152F4" w14:textId="77777777" w:rsidTr="009E016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6A7AA1" w14:textId="0352ED95" w:rsidR="00982DB6" w:rsidRPr="00D66040" w:rsidRDefault="00982DB6" w:rsidP="00D66040">
            <w:pPr>
              <w:spacing w:after="0" w:line="360" w:lineRule="auto"/>
              <w:jc w:val="both"/>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Un (1) producto de generación de nuevo conocimiento: un (1) artículo de investigación con los resultados de la investigación</w:t>
            </w:r>
          </w:p>
          <w:p w14:paraId="6DCDF372" w14:textId="279FF4C7" w:rsidR="00982DB6" w:rsidRPr="00D66040" w:rsidRDefault="00982DB6" w:rsidP="00D66040">
            <w:pPr>
              <w:spacing w:after="0" w:line="360" w:lineRule="auto"/>
              <w:jc w:val="both"/>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Un (1) producto de apropiación social del conocimiento: una (1) ponencia en un evento nacional o internacional</w:t>
            </w:r>
          </w:p>
        </w:tc>
      </w:tr>
    </w:tbl>
    <w:p w14:paraId="6A1569FB" w14:textId="77777777" w:rsidR="00990021" w:rsidRDefault="00990021" w:rsidP="00187025">
      <w:pPr>
        <w:spacing w:after="0" w:line="240" w:lineRule="auto"/>
        <w:rPr>
          <w:rFonts w:ascii="Times New Roman" w:eastAsia="Times New Roman" w:hAnsi="Times New Roman" w:cs="Times New Roman"/>
          <w:b/>
          <w:sz w:val="24"/>
          <w:szCs w:val="24"/>
          <w:lang w:eastAsia="es-CO"/>
        </w:rPr>
      </w:pPr>
    </w:p>
    <w:p w14:paraId="02D20C0C" w14:textId="1CCE33F2" w:rsidR="00187025" w:rsidRDefault="00187025" w:rsidP="00187025">
      <w:pPr>
        <w:spacing w:after="0" w:line="240" w:lineRule="auto"/>
        <w:rPr>
          <w:rFonts w:ascii="Arial" w:eastAsia="Times New Roman" w:hAnsi="Arial" w:cs="Arial"/>
          <w:b/>
          <w:sz w:val="24"/>
          <w:szCs w:val="24"/>
          <w:lang w:eastAsia="es-CO"/>
        </w:rPr>
      </w:pPr>
      <w:r w:rsidRPr="00294F1A">
        <w:rPr>
          <w:rFonts w:ascii="Arial" w:eastAsia="Times New Roman" w:hAnsi="Arial" w:cs="Arial"/>
          <w:b/>
          <w:sz w:val="24"/>
          <w:szCs w:val="24"/>
          <w:lang w:eastAsia="es-CO"/>
        </w:rPr>
        <w:t>Cronograma</w:t>
      </w:r>
    </w:p>
    <w:tbl>
      <w:tblPr>
        <w:tblW w:w="14686" w:type="dxa"/>
        <w:tblCellMar>
          <w:left w:w="70" w:type="dxa"/>
          <w:right w:w="70" w:type="dxa"/>
        </w:tblCellMar>
        <w:tblLook w:val="04A0" w:firstRow="1" w:lastRow="0" w:firstColumn="1" w:lastColumn="0" w:noHBand="0" w:noVBand="1"/>
      </w:tblPr>
      <w:tblGrid>
        <w:gridCol w:w="1566"/>
        <w:gridCol w:w="25"/>
        <w:gridCol w:w="1498"/>
        <w:gridCol w:w="47"/>
        <w:gridCol w:w="557"/>
        <w:gridCol w:w="11"/>
        <w:gridCol w:w="618"/>
        <w:gridCol w:w="80"/>
        <w:gridCol w:w="112"/>
        <w:gridCol w:w="82"/>
        <w:gridCol w:w="161"/>
        <w:gridCol w:w="81"/>
        <w:gridCol w:w="162"/>
        <w:gridCol w:w="80"/>
        <w:gridCol w:w="163"/>
        <w:gridCol w:w="78"/>
        <w:gridCol w:w="165"/>
        <w:gridCol w:w="76"/>
        <w:gridCol w:w="167"/>
        <w:gridCol w:w="74"/>
        <w:gridCol w:w="169"/>
        <w:gridCol w:w="72"/>
        <w:gridCol w:w="171"/>
        <w:gridCol w:w="70"/>
        <w:gridCol w:w="174"/>
        <w:gridCol w:w="67"/>
        <w:gridCol w:w="177"/>
        <w:gridCol w:w="64"/>
        <w:gridCol w:w="88"/>
        <w:gridCol w:w="81"/>
        <w:gridCol w:w="163"/>
        <w:gridCol w:w="78"/>
        <w:gridCol w:w="166"/>
        <w:gridCol w:w="75"/>
        <w:gridCol w:w="169"/>
        <w:gridCol w:w="72"/>
        <w:gridCol w:w="172"/>
        <w:gridCol w:w="69"/>
        <w:gridCol w:w="175"/>
        <w:gridCol w:w="66"/>
        <w:gridCol w:w="178"/>
        <w:gridCol w:w="63"/>
        <w:gridCol w:w="181"/>
        <w:gridCol w:w="60"/>
        <w:gridCol w:w="184"/>
        <w:gridCol w:w="57"/>
        <w:gridCol w:w="187"/>
        <w:gridCol w:w="54"/>
        <w:gridCol w:w="190"/>
        <w:gridCol w:w="51"/>
        <w:gridCol w:w="193"/>
        <w:gridCol w:w="48"/>
        <w:gridCol w:w="92"/>
        <w:gridCol w:w="140"/>
        <w:gridCol w:w="47"/>
        <w:gridCol w:w="105"/>
        <w:gridCol w:w="49"/>
        <w:gridCol w:w="195"/>
        <w:gridCol w:w="46"/>
        <w:gridCol w:w="198"/>
        <w:gridCol w:w="43"/>
        <w:gridCol w:w="201"/>
        <w:gridCol w:w="40"/>
        <w:gridCol w:w="100"/>
        <w:gridCol w:w="140"/>
        <w:gridCol w:w="39"/>
        <w:gridCol w:w="205"/>
        <w:gridCol w:w="8"/>
        <w:gridCol w:w="236"/>
        <w:gridCol w:w="5"/>
        <w:gridCol w:w="239"/>
        <w:gridCol w:w="2"/>
        <w:gridCol w:w="242"/>
        <w:gridCol w:w="10"/>
        <w:gridCol w:w="234"/>
        <w:gridCol w:w="7"/>
        <w:gridCol w:w="236"/>
        <w:gridCol w:w="5"/>
        <w:gridCol w:w="239"/>
        <w:gridCol w:w="2"/>
        <w:gridCol w:w="241"/>
        <w:gridCol w:w="1"/>
        <w:gridCol w:w="240"/>
        <w:gridCol w:w="4"/>
        <w:gridCol w:w="237"/>
        <w:gridCol w:w="7"/>
        <w:gridCol w:w="234"/>
        <w:gridCol w:w="10"/>
        <w:gridCol w:w="140"/>
        <w:gridCol w:w="130"/>
        <w:gridCol w:w="10"/>
        <w:gridCol w:w="240"/>
        <w:gridCol w:w="4"/>
        <w:gridCol w:w="244"/>
        <w:gridCol w:w="2"/>
        <w:gridCol w:w="242"/>
        <w:gridCol w:w="8"/>
      </w:tblGrid>
      <w:tr w:rsidR="006B0D6A" w:rsidRPr="001D6087" w14:paraId="03C32B6D" w14:textId="77777777" w:rsidTr="00D329CB">
        <w:trPr>
          <w:trHeight w:val="340"/>
        </w:trPr>
        <w:tc>
          <w:tcPr>
            <w:tcW w:w="1576" w:type="dxa"/>
            <w:gridSpan w:val="2"/>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3257EB7B" w14:textId="77777777" w:rsidR="006B0D6A" w:rsidRPr="001D6087" w:rsidRDefault="006B0D6A" w:rsidP="002B4C9A">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31" w:type="dxa"/>
            <w:gridSpan w:val="2"/>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1F1965C" w14:textId="77777777" w:rsidR="006B0D6A" w:rsidRPr="001D6087" w:rsidRDefault="006B0D6A" w:rsidP="002B4C9A">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243" w:type="dxa"/>
            <w:gridSpan w:val="3"/>
            <w:tcBorders>
              <w:top w:val="single" w:sz="8" w:space="0" w:color="auto"/>
              <w:left w:val="nil"/>
              <w:bottom w:val="single" w:sz="8" w:space="0" w:color="auto"/>
              <w:right w:val="nil"/>
            </w:tcBorders>
            <w:shd w:val="clear" w:color="000000" w:fill="FFCC99"/>
            <w:noWrap/>
            <w:vAlign w:val="center"/>
            <w:hideMark/>
          </w:tcPr>
          <w:p w14:paraId="5C224EF7" w14:textId="77777777" w:rsidR="006B0D6A" w:rsidRPr="001D6087" w:rsidRDefault="006B0D6A" w:rsidP="002B4C9A">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1" w:type="dxa"/>
            <w:gridSpan w:val="2"/>
            <w:tcBorders>
              <w:top w:val="single" w:sz="8" w:space="0" w:color="auto"/>
              <w:left w:val="single" w:sz="4" w:space="0" w:color="auto"/>
              <w:bottom w:val="nil"/>
              <w:right w:val="single" w:sz="8" w:space="0" w:color="auto"/>
            </w:tcBorders>
            <w:shd w:val="diagCross" w:color="000000" w:fill="C0C0C0"/>
            <w:noWrap/>
            <w:vAlign w:val="center"/>
            <w:hideMark/>
          </w:tcPr>
          <w:p w14:paraId="2B3C4A33" w14:textId="77777777" w:rsidR="006B0D6A" w:rsidRPr="001D6087" w:rsidRDefault="006B0D6A" w:rsidP="002B4C9A">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968" w:type="dxa"/>
            <w:gridSpan w:val="8"/>
            <w:tcBorders>
              <w:top w:val="single" w:sz="8" w:space="0" w:color="auto"/>
              <w:left w:val="nil"/>
              <w:bottom w:val="single" w:sz="8" w:space="0" w:color="auto"/>
              <w:right w:val="single" w:sz="8" w:space="0" w:color="000000"/>
            </w:tcBorders>
            <w:shd w:val="clear" w:color="000000" w:fill="FFCC99"/>
            <w:noWrap/>
            <w:vAlign w:val="center"/>
            <w:hideMark/>
          </w:tcPr>
          <w:p w14:paraId="42F752A8"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968" w:type="dxa"/>
            <w:gridSpan w:val="8"/>
            <w:tcBorders>
              <w:top w:val="single" w:sz="8" w:space="0" w:color="auto"/>
              <w:left w:val="single" w:sz="8" w:space="0" w:color="auto"/>
              <w:bottom w:val="nil"/>
              <w:right w:val="single" w:sz="8" w:space="0" w:color="000000"/>
            </w:tcBorders>
            <w:shd w:val="clear" w:color="000000" w:fill="FFCC99"/>
            <w:noWrap/>
            <w:vAlign w:val="center"/>
            <w:hideMark/>
          </w:tcPr>
          <w:p w14:paraId="252ABF7D"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32" w:type="dxa"/>
            <w:gridSpan w:val="10"/>
            <w:tcBorders>
              <w:top w:val="single" w:sz="8" w:space="0" w:color="auto"/>
              <w:left w:val="single" w:sz="8" w:space="0" w:color="auto"/>
              <w:bottom w:val="nil"/>
              <w:right w:val="single" w:sz="8" w:space="0" w:color="000000"/>
            </w:tcBorders>
            <w:shd w:val="clear" w:color="000000" w:fill="FFCC99"/>
            <w:noWrap/>
            <w:vAlign w:val="center"/>
            <w:hideMark/>
          </w:tcPr>
          <w:p w14:paraId="7400EAAF"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72" w:type="dxa"/>
            <w:gridSpan w:val="8"/>
            <w:tcBorders>
              <w:top w:val="single" w:sz="8" w:space="0" w:color="auto"/>
              <w:left w:val="single" w:sz="8" w:space="0" w:color="auto"/>
              <w:bottom w:val="nil"/>
              <w:right w:val="nil"/>
            </w:tcBorders>
            <w:shd w:val="clear" w:color="000000" w:fill="FFCC99"/>
            <w:noWrap/>
            <w:vAlign w:val="center"/>
            <w:hideMark/>
          </w:tcPr>
          <w:p w14:paraId="62383854"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112" w:type="dxa"/>
            <w:gridSpan w:val="10"/>
            <w:tcBorders>
              <w:top w:val="single" w:sz="8" w:space="0" w:color="auto"/>
              <w:left w:val="single" w:sz="8" w:space="0" w:color="auto"/>
              <w:bottom w:val="nil"/>
              <w:right w:val="single" w:sz="8" w:space="0" w:color="000000"/>
            </w:tcBorders>
            <w:shd w:val="clear" w:color="000000" w:fill="FFCC99"/>
            <w:noWrap/>
            <w:vAlign w:val="center"/>
            <w:hideMark/>
          </w:tcPr>
          <w:p w14:paraId="21D5D8FE"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62" w:type="dxa"/>
            <w:gridSpan w:val="11"/>
            <w:tcBorders>
              <w:top w:val="single" w:sz="8" w:space="0" w:color="auto"/>
              <w:left w:val="single" w:sz="8" w:space="0" w:color="auto"/>
              <w:bottom w:val="nil"/>
              <w:right w:val="single" w:sz="8" w:space="0" w:color="000000"/>
            </w:tcBorders>
            <w:shd w:val="clear" w:color="000000" w:fill="FFCC99"/>
            <w:noWrap/>
            <w:vAlign w:val="center"/>
            <w:hideMark/>
          </w:tcPr>
          <w:p w14:paraId="23F24006"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869" w:type="dxa"/>
            <w:gridSpan w:val="7"/>
            <w:tcBorders>
              <w:top w:val="single" w:sz="8" w:space="0" w:color="auto"/>
              <w:left w:val="single" w:sz="8" w:space="0" w:color="auto"/>
              <w:bottom w:val="nil"/>
              <w:right w:val="nil"/>
            </w:tcBorders>
            <w:shd w:val="clear" w:color="000000" w:fill="FFCC99"/>
            <w:noWrap/>
            <w:vAlign w:val="center"/>
            <w:hideMark/>
          </w:tcPr>
          <w:p w14:paraId="1F8EDF0D"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973" w:type="dxa"/>
            <w:gridSpan w:val="8"/>
            <w:tcBorders>
              <w:top w:val="single" w:sz="8" w:space="0" w:color="auto"/>
              <w:left w:val="single" w:sz="8" w:space="0" w:color="auto"/>
              <w:bottom w:val="single" w:sz="8" w:space="0" w:color="auto"/>
              <w:right w:val="single" w:sz="8" w:space="0" w:color="000000"/>
            </w:tcBorders>
            <w:shd w:val="clear" w:color="000000" w:fill="FFCC99"/>
            <w:vAlign w:val="bottom"/>
            <w:hideMark/>
          </w:tcPr>
          <w:p w14:paraId="470FCA64"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112" w:type="dxa"/>
            <w:gridSpan w:val="10"/>
            <w:tcBorders>
              <w:top w:val="single" w:sz="8" w:space="0" w:color="auto"/>
              <w:left w:val="nil"/>
              <w:bottom w:val="single" w:sz="8" w:space="0" w:color="auto"/>
              <w:right w:val="single" w:sz="8" w:space="0" w:color="000000"/>
            </w:tcBorders>
            <w:shd w:val="clear" w:color="000000" w:fill="FFCC99"/>
            <w:noWrap/>
            <w:vAlign w:val="bottom"/>
            <w:hideMark/>
          </w:tcPr>
          <w:p w14:paraId="43D441E8"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877" w:type="dxa"/>
            <w:gridSpan w:val="8"/>
            <w:tcBorders>
              <w:top w:val="single" w:sz="8" w:space="0" w:color="auto"/>
              <w:left w:val="nil"/>
              <w:bottom w:val="single" w:sz="8" w:space="0" w:color="auto"/>
              <w:right w:val="single" w:sz="8" w:space="0" w:color="000000"/>
            </w:tcBorders>
            <w:shd w:val="clear" w:color="000000" w:fill="FFCC99"/>
            <w:noWrap/>
            <w:vAlign w:val="bottom"/>
            <w:hideMark/>
          </w:tcPr>
          <w:p w14:paraId="40F14A7B" w14:textId="77777777" w:rsidR="006B0D6A" w:rsidRPr="001D6087" w:rsidRDefault="006B0D6A" w:rsidP="002B4C9A">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304379" w:rsidRPr="001D6087" w14:paraId="7ADEB53A" w14:textId="77777777" w:rsidTr="00D329CB">
        <w:trPr>
          <w:gridAfter w:val="1"/>
          <w:wAfter w:w="8" w:type="dxa"/>
          <w:trHeight w:val="548"/>
        </w:trPr>
        <w:tc>
          <w:tcPr>
            <w:tcW w:w="1576" w:type="dxa"/>
            <w:gridSpan w:val="2"/>
            <w:vMerge/>
            <w:tcBorders>
              <w:top w:val="single" w:sz="8" w:space="0" w:color="auto"/>
              <w:left w:val="single" w:sz="8" w:space="0" w:color="auto"/>
              <w:bottom w:val="single" w:sz="8" w:space="0" w:color="000000"/>
              <w:right w:val="single" w:sz="8" w:space="0" w:color="auto"/>
            </w:tcBorders>
            <w:vAlign w:val="center"/>
            <w:hideMark/>
          </w:tcPr>
          <w:p w14:paraId="7165A6CC" w14:textId="77777777" w:rsidR="006B0D6A" w:rsidRPr="001D6087" w:rsidRDefault="006B0D6A" w:rsidP="002B4C9A">
            <w:pPr>
              <w:spacing w:after="0" w:line="240" w:lineRule="auto"/>
              <w:rPr>
                <w:rFonts w:ascii="Calibri" w:eastAsia="Times New Roman" w:hAnsi="Calibri" w:cs="Calibri"/>
                <w:b/>
                <w:bCs/>
                <w:sz w:val="24"/>
                <w:szCs w:val="24"/>
                <w:lang w:eastAsia="es-CO"/>
              </w:rPr>
            </w:pPr>
          </w:p>
        </w:tc>
        <w:tc>
          <w:tcPr>
            <w:tcW w:w="1531" w:type="dxa"/>
            <w:gridSpan w:val="2"/>
            <w:vMerge/>
            <w:tcBorders>
              <w:top w:val="single" w:sz="8" w:space="0" w:color="auto"/>
              <w:left w:val="single" w:sz="8" w:space="0" w:color="auto"/>
              <w:bottom w:val="single" w:sz="8" w:space="0" w:color="000000"/>
              <w:right w:val="single" w:sz="8" w:space="0" w:color="auto"/>
            </w:tcBorders>
            <w:vAlign w:val="center"/>
            <w:hideMark/>
          </w:tcPr>
          <w:p w14:paraId="63BCD4C5" w14:textId="77777777" w:rsidR="006B0D6A" w:rsidRPr="001D6087" w:rsidRDefault="006B0D6A" w:rsidP="002B4C9A">
            <w:pPr>
              <w:spacing w:after="0" w:line="240" w:lineRule="auto"/>
              <w:rPr>
                <w:rFonts w:ascii="Calibri" w:eastAsia="Times New Roman" w:hAnsi="Calibri" w:cs="Calibri"/>
                <w:b/>
                <w:bCs/>
                <w:sz w:val="24"/>
                <w:szCs w:val="24"/>
                <w:lang w:eastAsia="es-CO"/>
              </w:rPr>
            </w:pPr>
          </w:p>
        </w:tc>
        <w:tc>
          <w:tcPr>
            <w:tcW w:w="583" w:type="dxa"/>
            <w:tcBorders>
              <w:top w:val="nil"/>
              <w:left w:val="nil"/>
              <w:bottom w:val="single" w:sz="8" w:space="0" w:color="auto"/>
              <w:right w:val="single" w:sz="4" w:space="0" w:color="auto"/>
            </w:tcBorders>
            <w:shd w:val="clear" w:color="000000" w:fill="FFCC00"/>
            <w:noWrap/>
            <w:vAlign w:val="center"/>
            <w:hideMark/>
          </w:tcPr>
          <w:p w14:paraId="5E3B82B9" w14:textId="77777777" w:rsidR="006B0D6A" w:rsidRPr="001D6087" w:rsidRDefault="006B0D6A" w:rsidP="002B4C9A">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660" w:type="dxa"/>
            <w:gridSpan w:val="2"/>
            <w:tcBorders>
              <w:top w:val="nil"/>
              <w:left w:val="nil"/>
              <w:bottom w:val="single" w:sz="8" w:space="0" w:color="auto"/>
              <w:right w:val="nil"/>
            </w:tcBorders>
            <w:shd w:val="clear" w:color="000000" w:fill="FFCC00"/>
            <w:noWrap/>
            <w:vAlign w:val="center"/>
            <w:hideMark/>
          </w:tcPr>
          <w:p w14:paraId="2C12E865" w14:textId="77777777" w:rsidR="006B0D6A" w:rsidRPr="001D6087" w:rsidRDefault="006B0D6A" w:rsidP="002B4C9A">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1" w:type="dxa"/>
            <w:gridSpan w:val="2"/>
            <w:tcBorders>
              <w:top w:val="nil"/>
              <w:left w:val="single" w:sz="4" w:space="0" w:color="auto"/>
              <w:bottom w:val="single" w:sz="8" w:space="0" w:color="auto"/>
              <w:right w:val="single" w:sz="8" w:space="0" w:color="auto"/>
            </w:tcBorders>
            <w:shd w:val="diagCross" w:color="000000" w:fill="C0C0C0"/>
            <w:noWrap/>
            <w:vAlign w:val="center"/>
            <w:hideMark/>
          </w:tcPr>
          <w:p w14:paraId="6C6A47D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8" w:space="0" w:color="auto"/>
              <w:right w:val="single" w:sz="4" w:space="0" w:color="auto"/>
            </w:tcBorders>
            <w:shd w:val="clear" w:color="000000" w:fill="FFCC00"/>
            <w:noWrap/>
            <w:vAlign w:val="center"/>
            <w:hideMark/>
          </w:tcPr>
          <w:p w14:paraId="4452616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2" w:type="dxa"/>
            <w:gridSpan w:val="2"/>
            <w:tcBorders>
              <w:top w:val="nil"/>
              <w:left w:val="nil"/>
              <w:bottom w:val="single" w:sz="8" w:space="0" w:color="auto"/>
              <w:right w:val="single" w:sz="4" w:space="0" w:color="auto"/>
            </w:tcBorders>
            <w:shd w:val="clear" w:color="000000" w:fill="FFCC00"/>
            <w:noWrap/>
            <w:vAlign w:val="center"/>
            <w:hideMark/>
          </w:tcPr>
          <w:p w14:paraId="276EF6F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2" w:type="dxa"/>
            <w:gridSpan w:val="2"/>
            <w:tcBorders>
              <w:top w:val="nil"/>
              <w:left w:val="nil"/>
              <w:bottom w:val="single" w:sz="8" w:space="0" w:color="auto"/>
              <w:right w:val="single" w:sz="4" w:space="0" w:color="auto"/>
            </w:tcBorders>
            <w:shd w:val="clear" w:color="000000" w:fill="FFCC00"/>
            <w:noWrap/>
            <w:vAlign w:val="center"/>
            <w:hideMark/>
          </w:tcPr>
          <w:p w14:paraId="67065AE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2" w:type="dxa"/>
            <w:gridSpan w:val="2"/>
            <w:tcBorders>
              <w:top w:val="nil"/>
              <w:left w:val="nil"/>
              <w:bottom w:val="single" w:sz="8" w:space="0" w:color="auto"/>
              <w:right w:val="single" w:sz="4" w:space="0" w:color="auto"/>
            </w:tcBorders>
            <w:shd w:val="clear" w:color="000000" w:fill="FFCC00"/>
            <w:noWrap/>
            <w:vAlign w:val="center"/>
            <w:hideMark/>
          </w:tcPr>
          <w:p w14:paraId="79DAD1B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42" w:type="dxa"/>
            <w:gridSpan w:val="2"/>
            <w:tcBorders>
              <w:top w:val="single" w:sz="8" w:space="0" w:color="auto"/>
              <w:left w:val="single" w:sz="8" w:space="0" w:color="auto"/>
              <w:bottom w:val="single" w:sz="8" w:space="0" w:color="auto"/>
              <w:right w:val="nil"/>
            </w:tcBorders>
            <w:shd w:val="clear" w:color="000000" w:fill="FFCC00"/>
            <w:noWrap/>
            <w:vAlign w:val="center"/>
            <w:hideMark/>
          </w:tcPr>
          <w:p w14:paraId="5AAD673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42"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95CEF1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42"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D4C02F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42"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81B9D5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403" w:type="dxa"/>
            <w:gridSpan w:val="4"/>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167109D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3"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993967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7E00E5E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3" w:type="dxa"/>
            <w:gridSpan w:val="2"/>
            <w:tcBorders>
              <w:top w:val="single" w:sz="8" w:space="0" w:color="auto"/>
              <w:left w:val="nil"/>
              <w:bottom w:val="single" w:sz="8" w:space="0" w:color="auto"/>
              <w:right w:val="single" w:sz="8" w:space="0" w:color="auto"/>
            </w:tcBorders>
            <w:shd w:val="clear" w:color="000000" w:fill="FFCC00"/>
            <w:noWrap/>
            <w:vAlign w:val="center"/>
            <w:hideMark/>
          </w:tcPr>
          <w:p w14:paraId="03813E2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103AAA5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5A5F10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A1D359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D9DF91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3" w:type="dxa"/>
            <w:gridSpan w:val="2"/>
            <w:tcBorders>
              <w:top w:val="single" w:sz="8" w:space="0" w:color="auto"/>
              <w:left w:val="single" w:sz="8" w:space="0" w:color="auto"/>
              <w:bottom w:val="single" w:sz="8" w:space="0" w:color="auto"/>
              <w:right w:val="nil"/>
            </w:tcBorders>
            <w:shd w:val="clear" w:color="000000" w:fill="FFCC00"/>
            <w:noWrap/>
            <w:vAlign w:val="center"/>
            <w:hideMark/>
          </w:tcPr>
          <w:p w14:paraId="0068A36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3"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9521A1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6DBF8C2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68703A9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433" w:type="dxa"/>
            <w:gridSpan w:val="5"/>
            <w:tcBorders>
              <w:top w:val="single" w:sz="8" w:space="0" w:color="auto"/>
              <w:left w:val="single" w:sz="8" w:space="0" w:color="auto"/>
              <w:bottom w:val="single" w:sz="8" w:space="0" w:color="auto"/>
              <w:right w:val="nil"/>
            </w:tcBorders>
            <w:shd w:val="clear" w:color="000000" w:fill="FFCC00"/>
            <w:noWrap/>
            <w:vAlign w:val="center"/>
            <w:hideMark/>
          </w:tcPr>
          <w:p w14:paraId="3485647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3"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C6CE5E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78BBB3B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3" w:type="dxa"/>
            <w:gridSpan w:val="2"/>
            <w:tcBorders>
              <w:top w:val="single" w:sz="8" w:space="0" w:color="auto"/>
              <w:left w:val="nil"/>
              <w:bottom w:val="single" w:sz="8" w:space="0" w:color="auto"/>
              <w:right w:val="single" w:sz="8" w:space="0" w:color="auto"/>
            </w:tcBorders>
            <w:shd w:val="clear" w:color="000000" w:fill="FFCC00"/>
            <w:noWrap/>
            <w:vAlign w:val="center"/>
            <w:hideMark/>
          </w:tcPr>
          <w:p w14:paraId="53EB531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80" w:type="dxa"/>
            <w:gridSpan w:val="3"/>
            <w:tcBorders>
              <w:top w:val="single" w:sz="8" w:space="0" w:color="auto"/>
              <w:left w:val="nil"/>
              <w:bottom w:val="single" w:sz="8" w:space="0" w:color="auto"/>
              <w:right w:val="single" w:sz="4" w:space="0" w:color="auto"/>
            </w:tcBorders>
            <w:shd w:val="clear" w:color="000000" w:fill="FFCC00"/>
            <w:noWrap/>
            <w:vAlign w:val="center"/>
            <w:hideMark/>
          </w:tcPr>
          <w:p w14:paraId="05E090A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131AEA1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A93DC9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3" w:type="dxa"/>
            <w:gridSpan w:val="2"/>
            <w:tcBorders>
              <w:top w:val="single" w:sz="8" w:space="0" w:color="auto"/>
              <w:left w:val="nil"/>
              <w:bottom w:val="single" w:sz="8" w:space="0" w:color="auto"/>
              <w:right w:val="single" w:sz="8" w:space="0" w:color="auto"/>
            </w:tcBorders>
            <w:shd w:val="clear" w:color="000000" w:fill="FFCC00"/>
            <w:noWrap/>
            <w:vAlign w:val="center"/>
            <w:hideMark/>
          </w:tcPr>
          <w:p w14:paraId="6581301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45" w:type="dxa"/>
            <w:gridSpan w:val="2"/>
            <w:tcBorders>
              <w:top w:val="nil"/>
              <w:left w:val="nil"/>
              <w:bottom w:val="single" w:sz="8" w:space="0" w:color="auto"/>
              <w:right w:val="single" w:sz="4" w:space="0" w:color="auto"/>
            </w:tcBorders>
            <w:shd w:val="clear" w:color="000000" w:fill="FFCC00"/>
            <w:noWrap/>
            <w:vAlign w:val="center"/>
            <w:hideMark/>
          </w:tcPr>
          <w:p w14:paraId="281FC46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3" w:type="dxa"/>
            <w:gridSpan w:val="2"/>
            <w:tcBorders>
              <w:top w:val="nil"/>
              <w:left w:val="single" w:sz="8" w:space="0" w:color="auto"/>
              <w:bottom w:val="single" w:sz="8" w:space="0" w:color="auto"/>
              <w:right w:val="nil"/>
            </w:tcBorders>
            <w:shd w:val="clear" w:color="000000" w:fill="FFCC00"/>
            <w:noWrap/>
            <w:vAlign w:val="center"/>
            <w:hideMark/>
          </w:tcPr>
          <w:p w14:paraId="65BE13D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2" w:type="dxa"/>
            <w:gridSpan w:val="2"/>
            <w:tcBorders>
              <w:top w:val="nil"/>
              <w:left w:val="single" w:sz="4" w:space="0" w:color="auto"/>
              <w:bottom w:val="single" w:sz="8" w:space="0" w:color="auto"/>
              <w:right w:val="single" w:sz="4" w:space="0" w:color="auto"/>
            </w:tcBorders>
            <w:shd w:val="clear" w:color="000000" w:fill="FFCC00"/>
            <w:noWrap/>
            <w:vAlign w:val="center"/>
            <w:hideMark/>
          </w:tcPr>
          <w:p w14:paraId="480BB49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3" w:type="dxa"/>
            <w:gridSpan w:val="2"/>
            <w:tcBorders>
              <w:top w:val="nil"/>
              <w:left w:val="nil"/>
              <w:bottom w:val="single" w:sz="8" w:space="0" w:color="auto"/>
              <w:right w:val="single" w:sz="8" w:space="0" w:color="auto"/>
            </w:tcBorders>
            <w:shd w:val="clear" w:color="000000" w:fill="FFCC00"/>
            <w:noWrap/>
            <w:vAlign w:val="center"/>
            <w:hideMark/>
          </w:tcPr>
          <w:p w14:paraId="041CA38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3" w:type="dxa"/>
            <w:gridSpan w:val="3"/>
            <w:tcBorders>
              <w:top w:val="nil"/>
              <w:left w:val="nil"/>
              <w:bottom w:val="single" w:sz="8" w:space="0" w:color="auto"/>
              <w:right w:val="single" w:sz="4" w:space="0" w:color="auto"/>
            </w:tcBorders>
            <w:shd w:val="clear" w:color="000000" w:fill="FFCC00"/>
            <w:noWrap/>
            <w:vAlign w:val="center"/>
            <w:hideMark/>
          </w:tcPr>
          <w:p w14:paraId="59BA709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3" w:type="dxa"/>
            <w:gridSpan w:val="2"/>
            <w:tcBorders>
              <w:top w:val="nil"/>
              <w:left w:val="nil"/>
              <w:bottom w:val="single" w:sz="8" w:space="0" w:color="auto"/>
              <w:right w:val="nil"/>
            </w:tcBorders>
            <w:shd w:val="clear" w:color="000000" w:fill="FFCC00"/>
            <w:noWrap/>
            <w:vAlign w:val="center"/>
            <w:hideMark/>
          </w:tcPr>
          <w:p w14:paraId="607E6F6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3" w:type="dxa"/>
            <w:gridSpan w:val="2"/>
            <w:tcBorders>
              <w:top w:val="nil"/>
              <w:left w:val="single" w:sz="4" w:space="0" w:color="auto"/>
              <w:bottom w:val="single" w:sz="8" w:space="0" w:color="auto"/>
              <w:right w:val="nil"/>
            </w:tcBorders>
            <w:shd w:val="clear" w:color="000000" w:fill="FFCC00"/>
            <w:noWrap/>
            <w:vAlign w:val="center"/>
            <w:hideMark/>
          </w:tcPr>
          <w:p w14:paraId="6D84A9B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3" w:type="dxa"/>
            <w:gridSpan w:val="2"/>
            <w:tcBorders>
              <w:top w:val="nil"/>
              <w:left w:val="single" w:sz="4" w:space="0" w:color="auto"/>
              <w:bottom w:val="single" w:sz="8" w:space="0" w:color="auto"/>
              <w:right w:val="single" w:sz="8" w:space="0" w:color="auto"/>
            </w:tcBorders>
            <w:shd w:val="clear" w:color="000000" w:fill="FFCC00"/>
            <w:vAlign w:val="center"/>
            <w:hideMark/>
          </w:tcPr>
          <w:p w14:paraId="1570CA5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80" w:type="dxa"/>
            <w:gridSpan w:val="3"/>
            <w:tcBorders>
              <w:top w:val="nil"/>
              <w:left w:val="nil"/>
              <w:bottom w:val="single" w:sz="8" w:space="0" w:color="auto"/>
              <w:right w:val="nil"/>
            </w:tcBorders>
            <w:shd w:val="clear" w:color="000000" w:fill="FFCC00"/>
            <w:noWrap/>
            <w:vAlign w:val="center"/>
            <w:hideMark/>
          </w:tcPr>
          <w:p w14:paraId="23106B2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3" w:type="dxa"/>
            <w:gridSpan w:val="2"/>
            <w:tcBorders>
              <w:top w:val="nil"/>
              <w:left w:val="single" w:sz="4" w:space="0" w:color="auto"/>
              <w:bottom w:val="single" w:sz="8" w:space="0" w:color="auto"/>
              <w:right w:val="nil"/>
            </w:tcBorders>
            <w:shd w:val="clear" w:color="000000" w:fill="FFCC00"/>
            <w:noWrap/>
            <w:vAlign w:val="center"/>
            <w:hideMark/>
          </w:tcPr>
          <w:p w14:paraId="47EBFD2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3" w:type="dxa"/>
            <w:tcBorders>
              <w:top w:val="nil"/>
              <w:left w:val="single" w:sz="4" w:space="0" w:color="auto"/>
              <w:bottom w:val="single" w:sz="8" w:space="0" w:color="auto"/>
              <w:right w:val="nil"/>
            </w:tcBorders>
            <w:shd w:val="clear" w:color="000000" w:fill="FFCC00"/>
            <w:noWrap/>
            <w:vAlign w:val="center"/>
            <w:hideMark/>
          </w:tcPr>
          <w:p w14:paraId="435AB0C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3" w:type="dxa"/>
            <w:gridSpan w:val="2"/>
            <w:tcBorders>
              <w:top w:val="nil"/>
              <w:left w:val="single" w:sz="4" w:space="0" w:color="auto"/>
              <w:bottom w:val="nil"/>
              <w:right w:val="single" w:sz="8" w:space="0" w:color="auto"/>
            </w:tcBorders>
            <w:shd w:val="clear" w:color="000000" w:fill="FFCC00"/>
            <w:noWrap/>
            <w:vAlign w:val="center"/>
            <w:hideMark/>
          </w:tcPr>
          <w:p w14:paraId="093CC1A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6B0D6A" w:rsidRPr="001D6087" w14:paraId="3EAA8EA9" w14:textId="77777777" w:rsidTr="00D329CB">
        <w:trPr>
          <w:gridAfter w:val="1"/>
          <w:wAfter w:w="8" w:type="dxa"/>
          <w:trHeight w:val="340"/>
        </w:trPr>
        <w:tc>
          <w:tcPr>
            <w:tcW w:w="1576" w:type="dxa"/>
            <w:gridSpan w:val="2"/>
            <w:tcBorders>
              <w:top w:val="nil"/>
              <w:left w:val="single" w:sz="8" w:space="0" w:color="auto"/>
              <w:bottom w:val="single" w:sz="4" w:space="0" w:color="auto"/>
              <w:right w:val="single" w:sz="8" w:space="0" w:color="auto"/>
            </w:tcBorders>
            <w:shd w:val="clear" w:color="auto" w:fill="auto"/>
            <w:vAlign w:val="center"/>
            <w:hideMark/>
          </w:tcPr>
          <w:p w14:paraId="4CDB78CA"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Revisión bibliográfica</w:t>
            </w:r>
          </w:p>
        </w:tc>
        <w:tc>
          <w:tcPr>
            <w:tcW w:w="1531" w:type="dxa"/>
            <w:gridSpan w:val="2"/>
            <w:tcBorders>
              <w:top w:val="nil"/>
              <w:left w:val="nil"/>
              <w:bottom w:val="single" w:sz="4" w:space="0" w:color="auto"/>
              <w:right w:val="single" w:sz="8" w:space="0" w:color="auto"/>
            </w:tcBorders>
            <w:shd w:val="clear" w:color="auto" w:fill="auto"/>
            <w:vAlign w:val="center"/>
            <w:hideMark/>
          </w:tcPr>
          <w:p w14:paraId="1AB5CE01"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Investigadores</w:t>
            </w:r>
          </w:p>
        </w:tc>
        <w:tc>
          <w:tcPr>
            <w:tcW w:w="583" w:type="dxa"/>
            <w:tcBorders>
              <w:top w:val="single" w:sz="8" w:space="0" w:color="auto"/>
              <w:left w:val="single" w:sz="8" w:space="0" w:color="auto"/>
              <w:bottom w:val="nil"/>
              <w:right w:val="single" w:sz="8" w:space="0" w:color="auto"/>
            </w:tcBorders>
            <w:shd w:val="clear" w:color="000000" w:fill="C0C0C0"/>
            <w:vAlign w:val="center"/>
            <w:hideMark/>
          </w:tcPr>
          <w:p w14:paraId="4BACB010"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Pr>
                <w:rFonts w:ascii="Arial" w:eastAsia="Times New Roman" w:hAnsi="Arial" w:cs="Arial"/>
                <w:b/>
                <w:bCs/>
                <w:lang w:eastAsia="es-CO"/>
              </w:rPr>
              <w:t> </w:t>
            </w:r>
            <w:r w:rsidRPr="00294F1A">
              <w:rPr>
                <w:rFonts w:ascii="Arial" w:eastAsia="Times New Roman" w:hAnsi="Arial" w:cs="Arial"/>
                <w:b/>
                <w:bCs/>
                <w:lang w:eastAsia="es-CO"/>
              </w:rPr>
              <w:t>1</w:t>
            </w:r>
            <w:r>
              <w:rPr>
                <w:rFonts w:ascii="Arial" w:eastAsia="Times New Roman" w:hAnsi="Arial" w:cs="Arial"/>
                <w:b/>
                <w:bCs/>
                <w:lang w:eastAsia="es-CO"/>
              </w:rPr>
              <w:t>-02</w:t>
            </w:r>
          </w:p>
        </w:tc>
        <w:tc>
          <w:tcPr>
            <w:tcW w:w="660" w:type="dxa"/>
            <w:gridSpan w:val="2"/>
            <w:tcBorders>
              <w:top w:val="nil"/>
              <w:left w:val="nil"/>
              <w:bottom w:val="nil"/>
              <w:right w:val="nil"/>
            </w:tcBorders>
            <w:shd w:val="clear" w:color="000000" w:fill="FF8080"/>
            <w:vAlign w:val="center"/>
            <w:hideMark/>
          </w:tcPr>
          <w:p w14:paraId="3AEB3C64"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31</w:t>
            </w:r>
            <w:r>
              <w:rPr>
                <w:rFonts w:ascii="Arial" w:eastAsia="Times New Roman" w:hAnsi="Arial" w:cs="Arial"/>
                <w:b/>
                <w:bCs/>
                <w:lang w:eastAsia="es-CO"/>
              </w:rPr>
              <w:t>-03</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6D78955A"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4606936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single" w:sz="4" w:space="0" w:color="auto"/>
              <w:bottom w:val="single" w:sz="4" w:space="0" w:color="auto"/>
              <w:right w:val="nil"/>
            </w:tcBorders>
            <w:shd w:val="clear" w:color="auto" w:fill="auto"/>
            <w:vAlign w:val="center"/>
            <w:hideMark/>
          </w:tcPr>
          <w:p w14:paraId="0551E46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31B44BA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single" w:sz="8" w:space="0" w:color="auto"/>
            </w:tcBorders>
            <w:shd w:val="clear" w:color="auto" w:fill="auto"/>
            <w:vAlign w:val="center"/>
            <w:hideMark/>
          </w:tcPr>
          <w:p w14:paraId="6CC68E9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nil"/>
            </w:tcBorders>
            <w:shd w:val="clear" w:color="auto" w:fill="auto"/>
            <w:vAlign w:val="center"/>
            <w:hideMark/>
          </w:tcPr>
          <w:p w14:paraId="18594A0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34794B6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single" w:sz="4" w:space="0" w:color="auto"/>
            </w:tcBorders>
            <w:shd w:val="clear" w:color="auto" w:fill="auto"/>
            <w:vAlign w:val="center"/>
            <w:hideMark/>
          </w:tcPr>
          <w:p w14:paraId="2C4E80F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single" w:sz="8" w:space="0" w:color="auto"/>
            </w:tcBorders>
            <w:shd w:val="clear" w:color="auto" w:fill="auto"/>
            <w:vAlign w:val="center"/>
            <w:hideMark/>
          </w:tcPr>
          <w:p w14:paraId="5AB74A3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403" w:type="dxa"/>
            <w:gridSpan w:val="4"/>
            <w:tcBorders>
              <w:top w:val="single" w:sz="8" w:space="0" w:color="auto"/>
              <w:left w:val="nil"/>
              <w:bottom w:val="single" w:sz="4" w:space="0" w:color="auto"/>
              <w:right w:val="nil"/>
            </w:tcBorders>
            <w:shd w:val="clear" w:color="auto" w:fill="auto"/>
            <w:vAlign w:val="center"/>
            <w:hideMark/>
          </w:tcPr>
          <w:p w14:paraId="44A6234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34A5113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3B927FC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7E3D382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0DA127B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7A7D334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3025138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196B92F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4EF0DA0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08EA0EE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164A4FC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3BE3E81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433" w:type="dxa"/>
            <w:gridSpan w:val="5"/>
            <w:tcBorders>
              <w:top w:val="single" w:sz="8" w:space="0" w:color="auto"/>
              <w:left w:val="nil"/>
              <w:bottom w:val="single" w:sz="4" w:space="0" w:color="auto"/>
              <w:right w:val="nil"/>
            </w:tcBorders>
            <w:shd w:val="clear" w:color="auto" w:fill="auto"/>
            <w:vAlign w:val="center"/>
            <w:hideMark/>
          </w:tcPr>
          <w:p w14:paraId="314C009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4BC078B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31E359E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79FD85F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hideMark/>
          </w:tcPr>
          <w:p w14:paraId="0E09C07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27290D1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6CE7005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7506030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5" w:type="dxa"/>
            <w:gridSpan w:val="2"/>
            <w:tcBorders>
              <w:top w:val="nil"/>
              <w:left w:val="nil"/>
              <w:bottom w:val="single" w:sz="4" w:space="0" w:color="auto"/>
              <w:right w:val="nil"/>
            </w:tcBorders>
            <w:shd w:val="clear" w:color="auto" w:fill="auto"/>
            <w:vAlign w:val="center"/>
            <w:hideMark/>
          </w:tcPr>
          <w:p w14:paraId="02AEADD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024EB3B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205070C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4904881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3"/>
            <w:tcBorders>
              <w:top w:val="nil"/>
              <w:left w:val="nil"/>
              <w:bottom w:val="single" w:sz="4" w:space="0" w:color="auto"/>
              <w:right w:val="nil"/>
            </w:tcBorders>
            <w:shd w:val="clear" w:color="auto" w:fill="auto"/>
            <w:vAlign w:val="center"/>
            <w:hideMark/>
          </w:tcPr>
          <w:p w14:paraId="4DE4C25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5BFFD54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00A6BB1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1763820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5F80DE6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6DE0E4C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tcBorders>
              <w:top w:val="nil"/>
              <w:left w:val="single" w:sz="4" w:space="0" w:color="auto"/>
              <w:bottom w:val="single" w:sz="4" w:space="0" w:color="auto"/>
              <w:right w:val="nil"/>
            </w:tcBorders>
            <w:shd w:val="clear" w:color="auto" w:fill="auto"/>
            <w:vAlign w:val="center"/>
            <w:hideMark/>
          </w:tcPr>
          <w:p w14:paraId="67B68AA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single" w:sz="8" w:space="0" w:color="auto"/>
              <w:left w:val="single" w:sz="4" w:space="0" w:color="auto"/>
              <w:bottom w:val="single" w:sz="4" w:space="0" w:color="auto"/>
              <w:right w:val="single" w:sz="8" w:space="0" w:color="auto"/>
            </w:tcBorders>
            <w:shd w:val="clear" w:color="auto" w:fill="auto"/>
            <w:vAlign w:val="center"/>
            <w:hideMark/>
          </w:tcPr>
          <w:p w14:paraId="60F1FE0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r>
      <w:tr w:rsidR="006B0D6A" w:rsidRPr="001D6087" w14:paraId="6BFA5B07" w14:textId="77777777" w:rsidTr="00D329CB">
        <w:trPr>
          <w:gridAfter w:val="1"/>
          <w:wAfter w:w="8" w:type="dxa"/>
          <w:trHeight w:val="321"/>
        </w:trPr>
        <w:tc>
          <w:tcPr>
            <w:tcW w:w="1576" w:type="dxa"/>
            <w:gridSpan w:val="2"/>
            <w:tcBorders>
              <w:top w:val="nil"/>
              <w:left w:val="single" w:sz="8" w:space="0" w:color="auto"/>
              <w:bottom w:val="single" w:sz="4" w:space="0" w:color="auto"/>
              <w:right w:val="single" w:sz="8" w:space="0" w:color="auto"/>
            </w:tcBorders>
            <w:shd w:val="clear" w:color="auto" w:fill="auto"/>
            <w:vAlign w:val="center"/>
            <w:hideMark/>
          </w:tcPr>
          <w:p w14:paraId="302FAD81"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Sistematización del método</w:t>
            </w:r>
          </w:p>
        </w:tc>
        <w:tc>
          <w:tcPr>
            <w:tcW w:w="1531" w:type="dxa"/>
            <w:gridSpan w:val="2"/>
            <w:tcBorders>
              <w:top w:val="nil"/>
              <w:left w:val="nil"/>
              <w:bottom w:val="single" w:sz="4" w:space="0" w:color="auto"/>
              <w:right w:val="single" w:sz="8" w:space="0" w:color="auto"/>
            </w:tcBorders>
            <w:shd w:val="clear" w:color="auto" w:fill="auto"/>
            <w:vAlign w:val="center"/>
            <w:hideMark/>
          </w:tcPr>
          <w:p w14:paraId="30200BF9"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 </w:t>
            </w:r>
            <w:r w:rsidRPr="00294F1A">
              <w:rPr>
                <w:rFonts w:ascii="Arial" w:hAnsi="Arial" w:cs="Arial"/>
                <w:color w:val="000000"/>
              </w:rPr>
              <w:t>Investigadores</w:t>
            </w:r>
          </w:p>
        </w:tc>
        <w:tc>
          <w:tcPr>
            <w:tcW w:w="583"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58782EB1"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1</w:t>
            </w:r>
            <w:r>
              <w:rPr>
                <w:rFonts w:ascii="Arial" w:eastAsia="Times New Roman" w:hAnsi="Arial" w:cs="Arial"/>
                <w:b/>
                <w:bCs/>
                <w:lang w:eastAsia="es-CO"/>
              </w:rPr>
              <w:t>-02</w:t>
            </w:r>
          </w:p>
        </w:tc>
        <w:tc>
          <w:tcPr>
            <w:tcW w:w="660" w:type="dxa"/>
            <w:gridSpan w:val="2"/>
            <w:tcBorders>
              <w:top w:val="single" w:sz="4" w:space="0" w:color="auto"/>
              <w:left w:val="nil"/>
              <w:bottom w:val="single" w:sz="4" w:space="0" w:color="auto"/>
              <w:right w:val="single" w:sz="4" w:space="0" w:color="auto"/>
            </w:tcBorders>
            <w:shd w:val="clear" w:color="000000" w:fill="FF8080"/>
            <w:vAlign w:val="center"/>
            <w:hideMark/>
          </w:tcPr>
          <w:p w14:paraId="15A410F9"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30</w:t>
            </w:r>
            <w:r>
              <w:rPr>
                <w:rFonts w:ascii="Arial" w:eastAsia="Times New Roman" w:hAnsi="Arial" w:cs="Arial"/>
                <w:b/>
                <w:bCs/>
                <w:lang w:eastAsia="es-CO"/>
              </w:rPr>
              <w:t>-04</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522BDDAC"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77E3F8A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single" w:sz="4" w:space="0" w:color="auto"/>
              <w:bottom w:val="single" w:sz="4" w:space="0" w:color="auto"/>
              <w:right w:val="nil"/>
            </w:tcBorders>
            <w:shd w:val="clear" w:color="auto" w:fill="auto"/>
            <w:vAlign w:val="center"/>
            <w:hideMark/>
          </w:tcPr>
          <w:p w14:paraId="7FC82C4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3D58D1B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single" w:sz="8" w:space="0" w:color="auto"/>
            </w:tcBorders>
            <w:shd w:val="clear" w:color="auto" w:fill="auto"/>
            <w:vAlign w:val="center"/>
            <w:hideMark/>
          </w:tcPr>
          <w:p w14:paraId="1371BBB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nil"/>
            </w:tcBorders>
            <w:shd w:val="clear" w:color="auto" w:fill="auto"/>
            <w:vAlign w:val="center"/>
            <w:hideMark/>
          </w:tcPr>
          <w:p w14:paraId="0D3BF0D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4F9438C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single" w:sz="4" w:space="0" w:color="auto"/>
            </w:tcBorders>
            <w:shd w:val="clear" w:color="auto" w:fill="auto"/>
            <w:vAlign w:val="center"/>
            <w:hideMark/>
          </w:tcPr>
          <w:p w14:paraId="0452489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single" w:sz="8" w:space="0" w:color="auto"/>
            </w:tcBorders>
            <w:shd w:val="clear" w:color="auto" w:fill="auto"/>
            <w:vAlign w:val="center"/>
            <w:hideMark/>
          </w:tcPr>
          <w:p w14:paraId="63B781B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nil"/>
            </w:tcBorders>
            <w:shd w:val="clear" w:color="auto" w:fill="auto"/>
            <w:vAlign w:val="center"/>
            <w:hideMark/>
          </w:tcPr>
          <w:p w14:paraId="11F8913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160" w:type="dxa"/>
            <w:gridSpan w:val="2"/>
            <w:tcBorders>
              <w:top w:val="nil"/>
              <w:left w:val="nil"/>
              <w:bottom w:val="single" w:sz="4" w:space="0" w:color="auto"/>
              <w:right w:val="nil"/>
            </w:tcBorders>
            <w:shd w:val="clear" w:color="auto" w:fill="auto"/>
            <w:vAlign w:val="center"/>
            <w:hideMark/>
          </w:tcPr>
          <w:p w14:paraId="07E8B4B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056A9FD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668395A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61114CF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6FC247A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0B443DD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54054F5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AC1046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09D3012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7EDFA97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6575A0A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6CA055A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5E0373C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53" w:type="dxa"/>
            <w:gridSpan w:val="2"/>
            <w:tcBorders>
              <w:top w:val="nil"/>
              <w:left w:val="nil"/>
              <w:bottom w:val="single" w:sz="4" w:space="0" w:color="auto"/>
              <w:right w:val="nil"/>
            </w:tcBorders>
            <w:shd w:val="clear" w:color="auto" w:fill="auto"/>
            <w:vAlign w:val="center"/>
            <w:hideMark/>
          </w:tcPr>
          <w:p w14:paraId="457CD66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61393F9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6C48B94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3CF9A31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hideMark/>
          </w:tcPr>
          <w:p w14:paraId="4FF2038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127DC33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7DB6A37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2A9021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5" w:type="dxa"/>
            <w:gridSpan w:val="2"/>
            <w:tcBorders>
              <w:top w:val="nil"/>
              <w:left w:val="nil"/>
              <w:bottom w:val="single" w:sz="4" w:space="0" w:color="auto"/>
              <w:right w:val="nil"/>
            </w:tcBorders>
            <w:shd w:val="clear" w:color="auto" w:fill="auto"/>
            <w:vAlign w:val="center"/>
            <w:hideMark/>
          </w:tcPr>
          <w:p w14:paraId="08C0FBC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6E86C9B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43F570E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39FA599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3"/>
            <w:tcBorders>
              <w:top w:val="nil"/>
              <w:left w:val="nil"/>
              <w:bottom w:val="single" w:sz="4" w:space="0" w:color="auto"/>
              <w:right w:val="nil"/>
            </w:tcBorders>
            <w:shd w:val="clear" w:color="auto" w:fill="auto"/>
            <w:vAlign w:val="center"/>
            <w:hideMark/>
          </w:tcPr>
          <w:p w14:paraId="544CBF3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1F5173E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12D76E1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DA6F25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38AB13B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161F80B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tcBorders>
              <w:top w:val="nil"/>
              <w:left w:val="single" w:sz="4" w:space="0" w:color="auto"/>
              <w:bottom w:val="single" w:sz="4" w:space="0" w:color="auto"/>
              <w:right w:val="nil"/>
            </w:tcBorders>
            <w:shd w:val="clear" w:color="auto" w:fill="auto"/>
            <w:vAlign w:val="center"/>
            <w:hideMark/>
          </w:tcPr>
          <w:p w14:paraId="51989E6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702A82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r>
      <w:tr w:rsidR="006B0D6A" w:rsidRPr="001D6087" w14:paraId="512CB55D" w14:textId="77777777" w:rsidTr="00D329CB">
        <w:trPr>
          <w:gridAfter w:val="1"/>
          <w:wAfter w:w="8" w:type="dxa"/>
          <w:trHeight w:val="321"/>
        </w:trPr>
        <w:tc>
          <w:tcPr>
            <w:tcW w:w="1576" w:type="dxa"/>
            <w:gridSpan w:val="2"/>
            <w:tcBorders>
              <w:top w:val="nil"/>
              <w:left w:val="single" w:sz="8" w:space="0" w:color="auto"/>
              <w:bottom w:val="single" w:sz="4" w:space="0" w:color="auto"/>
              <w:right w:val="single" w:sz="8" w:space="0" w:color="auto"/>
            </w:tcBorders>
            <w:shd w:val="clear" w:color="auto" w:fill="auto"/>
            <w:vAlign w:val="center"/>
            <w:hideMark/>
          </w:tcPr>
          <w:p w14:paraId="7E82FA79" w14:textId="353AEBEC" w:rsidR="006B0D6A" w:rsidRPr="001D6087" w:rsidRDefault="00D329CB" w:rsidP="002B4C9A">
            <w:pPr>
              <w:spacing w:after="0" w:line="240" w:lineRule="auto"/>
              <w:rPr>
                <w:rFonts w:ascii="Arial" w:eastAsia="Times New Roman" w:hAnsi="Arial" w:cs="Arial"/>
                <w:sz w:val="20"/>
                <w:szCs w:val="20"/>
                <w:lang w:eastAsia="es-CO"/>
              </w:rPr>
            </w:pPr>
            <w:r w:rsidRPr="00294F1A">
              <w:rPr>
                <w:rFonts w:ascii="Arial" w:hAnsi="Arial" w:cs="Arial"/>
                <w:color w:val="000000"/>
              </w:rPr>
              <w:lastRenderedPageBreak/>
              <w:t>Revisión de datos</w:t>
            </w:r>
          </w:p>
        </w:tc>
        <w:tc>
          <w:tcPr>
            <w:tcW w:w="1531" w:type="dxa"/>
            <w:gridSpan w:val="2"/>
            <w:tcBorders>
              <w:top w:val="nil"/>
              <w:left w:val="nil"/>
              <w:bottom w:val="single" w:sz="4" w:space="0" w:color="auto"/>
              <w:right w:val="single" w:sz="8" w:space="0" w:color="auto"/>
            </w:tcBorders>
            <w:shd w:val="clear" w:color="auto" w:fill="auto"/>
            <w:vAlign w:val="center"/>
            <w:hideMark/>
          </w:tcPr>
          <w:p w14:paraId="01CFF98F"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 </w:t>
            </w:r>
            <w:r w:rsidRPr="00294F1A">
              <w:rPr>
                <w:rFonts w:ascii="Arial" w:hAnsi="Arial" w:cs="Arial"/>
                <w:color w:val="000000"/>
              </w:rPr>
              <w:t>Investigadores</w:t>
            </w:r>
          </w:p>
        </w:tc>
        <w:tc>
          <w:tcPr>
            <w:tcW w:w="583"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2A59155"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1</w:t>
            </w:r>
            <w:r>
              <w:rPr>
                <w:rFonts w:ascii="Arial" w:eastAsia="Times New Roman" w:hAnsi="Arial" w:cs="Arial"/>
                <w:b/>
                <w:bCs/>
                <w:lang w:eastAsia="es-CO"/>
              </w:rPr>
              <w:t>-03</w:t>
            </w:r>
          </w:p>
        </w:tc>
        <w:tc>
          <w:tcPr>
            <w:tcW w:w="660" w:type="dxa"/>
            <w:gridSpan w:val="2"/>
            <w:tcBorders>
              <w:top w:val="single" w:sz="4" w:space="0" w:color="auto"/>
              <w:left w:val="nil"/>
              <w:bottom w:val="single" w:sz="4" w:space="0" w:color="auto"/>
              <w:right w:val="single" w:sz="4" w:space="0" w:color="auto"/>
            </w:tcBorders>
            <w:shd w:val="clear" w:color="000000" w:fill="FF8080"/>
            <w:vAlign w:val="center"/>
            <w:hideMark/>
          </w:tcPr>
          <w:p w14:paraId="44C52E11"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30</w:t>
            </w:r>
            <w:r>
              <w:rPr>
                <w:rFonts w:ascii="Arial" w:eastAsia="Times New Roman" w:hAnsi="Arial" w:cs="Arial"/>
                <w:b/>
                <w:bCs/>
                <w:lang w:eastAsia="es-CO"/>
              </w:rPr>
              <w:t>-06</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5B8517E4"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1BF27E3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nil"/>
            </w:tcBorders>
            <w:shd w:val="clear" w:color="auto" w:fill="auto"/>
            <w:vAlign w:val="center"/>
            <w:hideMark/>
          </w:tcPr>
          <w:p w14:paraId="40E1C00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2F90AC8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5C3784A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58E974D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0F34BC2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single" w:sz="4" w:space="0" w:color="auto"/>
            </w:tcBorders>
            <w:shd w:val="clear" w:color="auto" w:fill="auto"/>
            <w:vAlign w:val="center"/>
            <w:hideMark/>
          </w:tcPr>
          <w:p w14:paraId="75228EF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4" w:space="0" w:color="auto"/>
              <w:right w:val="single" w:sz="8" w:space="0" w:color="auto"/>
            </w:tcBorders>
            <w:shd w:val="clear" w:color="auto" w:fill="auto"/>
            <w:vAlign w:val="center"/>
            <w:hideMark/>
          </w:tcPr>
          <w:p w14:paraId="49D3640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nil"/>
            </w:tcBorders>
            <w:shd w:val="clear" w:color="auto" w:fill="auto"/>
            <w:vAlign w:val="center"/>
            <w:hideMark/>
          </w:tcPr>
          <w:p w14:paraId="4DB2747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160" w:type="dxa"/>
            <w:gridSpan w:val="2"/>
            <w:tcBorders>
              <w:top w:val="nil"/>
              <w:left w:val="nil"/>
              <w:bottom w:val="single" w:sz="4" w:space="0" w:color="auto"/>
              <w:right w:val="nil"/>
            </w:tcBorders>
            <w:shd w:val="clear" w:color="auto" w:fill="auto"/>
            <w:vAlign w:val="center"/>
            <w:hideMark/>
          </w:tcPr>
          <w:p w14:paraId="522B752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6839B37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08A7418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1389118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0C72918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nil"/>
            </w:tcBorders>
            <w:shd w:val="clear" w:color="auto" w:fill="auto"/>
            <w:vAlign w:val="center"/>
            <w:hideMark/>
          </w:tcPr>
          <w:p w14:paraId="2245E34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nil"/>
            </w:tcBorders>
            <w:shd w:val="clear" w:color="auto" w:fill="auto"/>
            <w:vAlign w:val="center"/>
            <w:hideMark/>
          </w:tcPr>
          <w:p w14:paraId="6E2DD31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F081C8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nil"/>
            </w:tcBorders>
            <w:shd w:val="clear" w:color="auto" w:fill="auto"/>
            <w:vAlign w:val="center"/>
            <w:hideMark/>
          </w:tcPr>
          <w:p w14:paraId="253C4F8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15C39CB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0C60454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644E164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80" w:type="dxa"/>
            <w:gridSpan w:val="3"/>
            <w:tcBorders>
              <w:top w:val="nil"/>
              <w:left w:val="nil"/>
              <w:bottom w:val="single" w:sz="4" w:space="0" w:color="auto"/>
              <w:right w:val="nil"/>
            </w:tcBorders>
            <w:shd w:val="clear" w:color="auto" w:fill="auto"/>
            <w:vAlign w:val="center"/>
            <w:hideMark/>
          </w:tcPr>
          <w:p w14:paraId="22BA3E3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53" w:type="dxa"/>
            <w:gridSpan w:val="2"/>
            <w:tcBorders>
              <w:top w:val="nil"/>
              <w:left w:val="nil"/>
              <w:bottom w:val="single" w:sz="4" w:space="0" w:color="auto"/>
              <w:right w:val="nil"/>
            </w:tcBorders>
            <w:shd w:val="clear" w:color="auto" w:fill="auto"/>
            <w:vAlign w:val="center"/>
            <w:hideMark/>
          </w:tcPr>
          <w:p w14:paraId="5DF1D7A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21EB6F2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6012D45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4D693D3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hideMark/>
          </w:tcPr>
          <w:p w14:paraId="595F1E0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310F0C3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295388F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04BB664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5" w:type="dxa"/>
            <w:gridSpan w:val="2"/>
            <w:tcBorders>
              <w:top w:val="nil"/>
              <w:left w:val="nil"/>
              <w:bottom w:val="single" w:sz="4" w:space="0" w:color="auto"/>
              <w:right w:val="nil"/>
            </w:tcBorders>
            <w:shd w:val="clear" w:color="auto" w:fill="auto"/>
            <w:vAlign w:val="center"/>
            <w:hideMark/>
          </w:tcPr>
          <w:p w14:paraId="244F316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0D27B33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4713C4B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5C6E51A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3"/>
            <w:tcBorders>
              <w:top w:val="nil"/>
              <w:left w:val="nil"/>
              <w:bottom w:val="single" w:sz="4" w:space="0" w:color="auto"/>
              <w:right w:val="nil"/>
            </w:tcBorders>
            <w:shd w:val="clear" w:color="auto" w:fill="auto"/>
            <w:vAlign w:val="center"/>
            <w:hideMark/>
          </w:tcPr>
          <w:p w14:paraId="0F3E93B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6EB486A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1E9D911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1DD4585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764E609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37DC704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tcBorders>
              <w:top w:val="nil"/>
              <w:left w:val="single" w:sz="4" w:space="0" w:color="auto"/>
              <w:bottom w:val="single" w:sz="4" w:space="0" w:color="auto"/>
              <w:right w:val="nil"/>
            </w:tcBorders>
            <w:shd w:val="clear" w:color="auto" w:fill="auto"/>
            <w:vAlign w:val="center"/>
            <w:hideMark/>
          </w:tcPr>
          <w:p w14:paraId="1ECC0B2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14D52D0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r>
      <w:tr w:rsidR="006B0D6A" w:rsidRPr="001D6087" w14:paraId="7DCCC4BD" w14:textId="77777777" w:rsidTr="00D329CB">
        <w:trPr>
          <w:gridAfter w:val="1"/>
          <w:wAfter w:w="8" w:type="dxa"/>
          <w:trHeight w:val="321"/>
        </w:trPr>
        <w:tc>
          <w:tcPr>
            <w:tcW w:w="1576" w:type="dxa"/>
            <w:gridSpan w:val="2"/>
            <w:tcBorders>
              <w:top w:val="nil"/>
              <w:left w:val="single" w:sz="8" w:space="0" w:color="auto"/>
              <w:bottom w:val="single" w:sz="4" w:space="0" w:color="auto"/>
              <w:right w:val="single" w:sz="8" w:space="0" w:color="auto"/>
            </w:tcBorders>
            <w:shd w:val="clear" w:color="auto" w:fill="auto"/>
            <w:vAlign w:val="center"/>
            <w:hideMark/>
          </w:tcPr>
          <w:p w14:paraId="3B36927E" w14:textId="63C191CC" w:rsidR="006B0D6A" w:rsidRPr="001D6087" w:rsidRDefault="00D329CB"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Análisis de los datos</w:t>
            </w:r>
          </w:p>
        </w:tc>
        <w:tc>
          <w:tcPr>
            <w:tcW w:w="1531" w:type="dxa"/>
            <w:gridSpan w:val="2"/>
            <w:tcBorders>
              <w:top w:val="nil"/>
              <w:left w:val="nil"/>
              <w:bottom w:val="single" w:sz="4" w:space="0" w:color="auto"/>
              <w:right w:val="single" w:sz="8" w:space="0" w:color="auto"/>
            </w:tcBorders>
            <w:shd w:val="clear" w:color="auto" w:fill="auto"/>
            <w:vAlign w:val="center"/>
            <w:hideMark/>
          </w:tcPr>
          <w:p w14:paraId="379EC038"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 </w:t>
            </w:r>
            <w:r w:rsidRPr="00294F1A">
              <w:rPr>
                <w:rFonts w:ascii="Arial" w:hAnsi="Arial" w:cs="Arial"/>
                <w:color w:val="000000"/>
              </w:rPr>
              <w:t>Investigadores</w:t>
            </w:r>
          </w:p>
        </w:tc>
        <w:tc>
          <w:tcPr>
            <w:tcW w:w="583"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040F304"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 1</w:t>
            </w:r>
            <w:r>
              <w:rPr>
                <w:rFonts w:ascii="Arial" w:eastAsia="Times New Roman" w:hAnsi="Arial" w:cs="Arial"/>
                <w:b/>
                <w:bCs/>
                <w:lang w:eastAsia="es-CO"/>
              </w:rPr>
              <w:t>-06</w:t>
            </w:r>
          </w:p>
        </w:tc>
        <w:tc>
          <w:tcPr>
            <w:tcW w:w="660" w:type="dxa"/>
            <w:gridSpan w:val="2"/>
            <w:tcBorders>
              <w:top w:val="single" w:sz="4" w:space="0" w:color="auto"/>
              <w:left w:val="nil"/>
              <w:bottom w:val="single" w:sz="4" w:space="0" w:color="auto"/>
              <w:right w:val="single" w:sz="4" w:space="0" w:color="auto"/>
            </w:tcBorders>
            <w:shd w:val="clear" w:color="000000" w:fill="FF8080"/>
            <w:vAlign w:val="center"/>
            <w:hideMark/>
          </w:tcPr>
          <w:p w14:paraId="36B7D604" w14:textId="63FF27ED" w:rsidR="006B0D6A" w:rsidRPr="001D6087" w:rsidRDefault="006B0D6A" w:rsidP="00D329CB">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 30</w:t>
            </w:r>
            <w:r>
              <w:rPr>
                <w:rFonts w:ascii="Arial" w:eastAsia="Times New Roman" w:hAnsi="Arial" w:cs="Arial"/>
                <w:b/>
                <w:bCs/>
                <w:lang w:eastAsia="es-CO"/>
              </w:rPr>
              <w:t>-0</w:t>
            </w:r>
            <w:r w:rsidR="00D329CB">
              <w:rPr>
                <w:rFonts w:ascii="Arial" w:eastAsia="Times New Roman" w:hAnsi="Arial" w:cs="Arial"/>
                <w:b/>
                <w:bCs/>
                <w:lang w:eastAsia="es-CO"/>
              </w:rPr>
              <w:t>7</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459A3111"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47593C4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nil"/>
            </w:tcBorders>
            <w:shd w:val="clear" w:color="auto" w:fill="auto"/>
            <w:vAlign w:val="center"/>
            <w:hideMark/>
          </w:tcPr>
          <w:p w14:paraId="456B621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439ED97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400933D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3C15E2B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2EA7881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auto"/>
            <w:vAlign w:val="center"/>
            <w:hideMark/>
          </w:tcPr>
          <w:p w14:paraId="6C1D56C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3C975B3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159288E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60" w:type="dxa"/>
            <w:gridSpan w:val="2"/>
            <w:tcBorders>
              <w:top w:val="nil"/>
              <w:left w:val="nil"/>
              <w:bottom w:val="single" w:sz="4" w:space="0" w:color="auto"/>
              <w:right w:val="nil"/>
            </w:tcBorders>
            <w:shd w:val="clear" w:color="auto" w:fill="auto"/>
            <w:vAlign w:val="center"/>
            <w:hideMark/>
          </w:tcPr>
          <w:p w14:paraId="3199A89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6EE5203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6712A24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50E8104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71C62EA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5AF82D2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7DE940C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7868008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48E9A8F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4702F44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5763042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0CA2AE9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80" w:type="dxa"/>
            <w:gridSpan w:val="3"/>
            <w:tcBorders>
              <w:top w:val="nil"/>
              <w:left w:val="nil"/>
              <w:bottom w:val="single" w:sz="4" w:space="0" w:color="auto"/>
              <w:right w:val="nil"/>
            </w:tcBorders>
            <w:shd w:val="clear" w:color="auto" w:fill="auto"/>
            <w:vAlign w:val="center"/>
            <w:hideMark/>
          </w:tcPr>
          <w:p w14:paraId="580FFA8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153" w:type="dxa"/>
            <w:gridSpan w:val="2"/>
            <w:tcBorders>
              <w:top w:val="nil"/>
              <w:left w:val="nil"/>
              <w:bottom w:val="single" w:sz="4" w:space="0" w:color="auto"/>
              <w:right w:val="nil"/>
            </w:tcBorders>
            <w:shd w:val="clear" w:color="auto" w:fill="auto"/>
            <w:vAlign w:val="center"/>
            <w:hideMark/>
          </w:tcPr>
          <w:p w14:paraId="780B88B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6D89266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4194224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6AF4C3C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80" w:type="dxa"/>
            <w:gridSpan w:val="3"/>
            <w:tcBorders>
              <w:top w:val="nil"/>
              <w:left w:val="nil"/>
              <w:bottom w:val="single" w:sz="4" w:space="0" w:color="auto"/>
              <w:right w:val="single" w:sz="4" w:space="0" w:color="auto"/>
            </w:tcBorders>
            <w:shd w:val="clear" w:color="auto" w:fill="auto"/>
            <w:vAlign w:val="center"/>
            <w:hideMark/>
          </w:tcPr>
          <w:p w14:paraId="4B089BE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nil"/>
            </w:tcBorders>
            <w:shd w:val="clear" w:color="auto" w:fill="auto"/>
            <w:vAlign w:val="center"/>
          </w:tcPr>
          <w:p w14:paraId="24513C97" w14:textId="22A0CD3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tcPr>
          <w:p w14:paraId="5B8E40A0" w14:textId="2A33DC8D"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tcPr>
          <w:p w14:paraId="7B5216CF" w14:textId="26F899E0"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5" w:type="dxa"/>
            <w:gridSpan w:val="2"/>
            <w:tcBorders>
              <w:top w:val="nil"/>
              <w:left w:val="nil"/>
              <w:bottom w:val="single" w:sz="4" w:space="0" w:color="auto"/>
              <w:right w:val="nil"/>
            </w:tcBorders>
            <w:shd w:val="clear" w:color="auto" w:fill="auto"/>
            <w:vAlign w:val="center"/>
          </w:tcPr>
          <w:p w14:paraId="1741F77E" w14:textId="70DB4525"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tcPr>
          <w:p w14:paraId="58C04CA7" w14:textId="226AA8D2"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tcPr>
          <w:p w14:paraId="64497F21" w14:textId="570CD595"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729EF45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3"/>
            <w:tcBorders>
              <w:top w:val="nil"/>
              <w:left w:val="nil"/>
              <w:bottom w:val="single" w:sz="4" w:space="0" w:color="auto"/>
              <w:right w:val="nil"/>
            </w:tcBorders>
            <w:shd w:val="clear" w:color="auto" w:fill="auto"/>
            <w:vAlign w:val="center"/>
            <w:hideMark/>
          </w:tcPr>
          <w:p w14:paraId="5711C31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5F77313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7AA8B4B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352AD71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478A166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178B064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tcBorders>
              <w:top w:val="nil"/>
              <w:left w:val="single" w:sz="4" w:space="0" w:color="auto"/>
              <w:bottom w:val="single" w:sz="4" w:space="0" w:color="auto"/>
              <w:right w:val="nil"/>
            </w:tcBorders>
            <w:shd w:val="clear" w:color="auto" w:fill="auto"/>
            <w:vAlign w:val="center"/>
            <w:hideMark/>
          </w:tcPr>
          <w:p w14:paraId="4B7B96F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5F5C94F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r>
      <w:tr w:rsidR="006B0D6A" w:rsidRPr="001D6087" w14:paraId="0F9915E2" w14:textId="77777777" w:rsidTr="00D329CB">
        <w:trPr>
          <w:gridAfter w:val="1"/>
          <w:wAfter w:w="8" w:type="dxa"/>
          <w:trHeight w:val="302"/>
        </w:trPr>
        <w:tc>
          <w:tcPr>
            <w:tcW w:w="1576" w:type="dxa"/>
            <w:gridSpan w:val="2"/>
            <w:tcBorders>
              <w:top w:val="nil"/>
              <w:left w:val="single" w:sz="8" w:space="0" w:color="auto"/>
              <w:bottom w:val="single" w:sz="4" w:space="0" w:color="auto"/>
              <w:right w:val="single" w:sz="8" w:space="0" w:color="auto"/>
            </w:tcBorders>
            <w:shd w:val="clear" w:color="auto" w:fill="auto"/>
            <w:vAlign w:val="center"/>
            <w:hideMark/>
          </w:tcPr>
          <w:p w14:paraId="64BEA4DE"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Elaboración del marco teórico</w:t>
            </w:r>
          </w:p>
        </w:tc>
        <w:tc>
          <w:tcPr>
            <w:tcW w:w="1531" w:type="dxa"/>
            <w:gridSpan w:val="2"/>
            <w:tcBorders>
              <w:top w:val="nil"/>
              <w:left w:val="nil"/>
              <w:bottom w:val="single" w:sz="4" w:space="0" w:color="auto"/>
              <w:right w:val="single" w:sz="8" w:space="0" w:color="auto"/>
            </w:tcBorders>
            <w:shd w:val="clear" w:color="auto" w:fill="auto"/>
            <w:vAlign w:val="center"/>
            <w:hideMark/>
          </w:tcPr>
          <w:p w14:paraId="00C7BC26"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 </w:t>
            </w:r>
            <w:r w:rsidRPr="00294F1A">
              <w:rPr>
                <w:rFonts w:ascii="Arial" w:hAnsi="Arial" w:cs="Arial"/>
                <w:color w:val="000000"/>
              </w:rPr>
              <w:t>Investigadores</w:t>
            </w:r>
          </w:p>
        </w:tc>
        <w:tc>
          <w:tcPr>
            <w:tcW w:w="583"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989AA64"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1</w:t>
            </w:r>
            <w:r>
              <w:rPr>
                <w:rFonts w:ascii="Arial" w:eastAsia="Times New Roman" w:hAnsi="Arial" w:cs="Arial"/>
                <w:b/>
                <w:bCs/>
                <w:lang w:eastAsia="es-CO"/>
              </w:rPr>
              <w:t>-07</w:t>
            </w:r>
          </w:p>
        </w:tc>
        <w:tc>
          <w:tcPr>
            <w:tcW w:w="660" w:type="dxa"/>
            <w:gridSpan w:val="2"/>
            <w:tcBorders>
              <w:top w:val="single" w:sz="4" w:space="0" w:color="auto"/>
              <w:left w:val="nil"/>
              <w:bottom w:val="single" w:sz="4" w:space="0" w:color="auto"/>
              <w:right w:val="single" w:sz="4" w:space="0" w:color="auto"/>
            </w:tcBorders>
            <w:shd w:val="clear" w:color="000000" w:fill="FF8080"/>
            <w:vAlign w:val="center"/>
            <w:hideMark/>
          </w:tcPr>
          <w:p w14:paraId="015A74BB"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 31</w:t>
            </w:r>
            <w:r>
              <w:rPr>
                <w:rFonts w:ascii="Arial" w:eastAsia="Times New Roman" w:hAnsi="Arial" w:cs="Arial"/>
                <w:b/>
                <w:bCs/>
                <w:lang w:eastAsia="es-CO"/>
              </w:rPr>
              <w:t>-07</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063CE3F8"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69025B8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nil"/>
            </w:tcBorders>
            <w:shd w:val="clear" w:color="auto" w:fill="auto"/>
            <w:vAlign w:val="center"/>
            <w:hideMark/>
          </w:tcPr>
          <w:p w14:paraId="1A7D263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4E310E8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4B077AD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790007C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11376BA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auto"/>
            <w:vAlign w:val="center"/>
            <w:hideMark/>
          </w:tcPr>
          <w:p w14:paraId="1629EA5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6110E5E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60517D6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60" w:type="dxa"/>
            <w:gridSpan w:val="2"/>
            <w:tcBorders>
              <w:top w:val="nil"/>
              <w:left w:val="nil"/>
              <w:bottom w:val="single" w:sz="4" w:space="0" w:color="auto"/>
              <w:right w:val="nil"/>
            </w:tcBorders>
            <w:shd w:val="clear" w:color="auto" w:fill="auto"/>
            <w:vAlign w:val="center"/>
            <w:hideMark/>
          </w:tcPr>
          <w:p w14:paraId="3144BD1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35182CE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7B7F36D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5A67B44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577C612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59A8396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25AF50F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51C26CD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2AD78FF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2ABBA2B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7B5F37F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0EF258D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0246275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153" w:type="dxa"/>
            <w:gridSpan w:val="2"/>
            <w:tcBorders>
              <w:top w:val="nil"/>
              <w:left w:val="nil"/>
              <w:bottom w:val="single" w:sz="4" w:space="0" w:color="auto"/>
              <w:right w:val="nil"/>
            </w:tcBorders>
            <w:shd w:val="clear" w:color="auto" w:fill="auto"/>
            <w:vAlign w:val="center"/>
            <w:hideMark/>
          </w:tcPr>
          <w:p w14:paraId="5860E1A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17BE308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76582F2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301637B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80" w:type="dxa"/>
            <w:gridSpan w:val="3"/>
            <w:tcBorders>
              <w:top w:val="nil"/>
              <w:left w:val="nil"/>
              <w:bottom w:val="single" w:sz="4" w:space="0" w:color="auto"/>
              <w:right w:val="single" w:sz="4" w:space="0" w:color="auto"/>
            </w:tcBorders>
            <w:shd w:val="clear" w:color="auto" w:fill="auto"/>
            <w:vAlign w:val="center"/>
            <w:hideMark/>
          </w:tcPr>
          <w:p w14:paraId="5F64898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2EFDBBC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571A1ED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201E95A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5" w:type="dxa"/>
            <w:gridSpan w:val="2"/>
            <w:tcBorders>
              <w:top w:val="nil"/>
              <w:left w:val="nil"/>
              <w:bottom w:val="single" w:sz="4" w:space="0" w:color="auto"/>
              <w:right w:val="nil"/>
            </w:tcBorders>
            <w:shd w:val="clear" w:color="auto" w:fill="auto"/>
            <w:vAlign w:val="center"/>
            <w:hideMark/>
          </w:tcPr>
          <w:p w14:paraId="5060A05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25F497B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336D9E2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0F59010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3"/>
            <w:tcBorders>
              <w:top w:val="nil"/>
              <w:left w:val="nil"/>
              <w:bottom w:val="single" w:sz="4" w:space="0" w:color="auto"/>
              <w:right w:val="nil"/>
            </w:tcBorders>
            <w:shd w:val="clear" w:color="auto" w:fill="auto"/>
            <w:vAlign w:val="center"/>
            <w:hideMark/>
          </w:tcPr>
          <w:p w14:paraId="64885E1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5E8EE40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2ACE156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3F17700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01326A9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062F910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tcBorders>
              <w:top w:val="nil"/>
              <w:left w:val="single" w:sz="4" w:space="0" w:color="auto"/>
              <w:bottom w:val="single" w:sz="4" w:space="0" w:color="auto"/>
              <w:right w:val="nil"/>
            </w:tcBorders>
            <w:shd w:val="clear" w:color="auto" w:fill="auto"/>
            <w:vAlign w:val="center"/>
            <w:hideMark/>
          </w:tcPr>
          <w:p w14:paraId="69DB642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209F053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r>
      <w:tr w:rsidR="006B0D6A" w:rsidRPr="001D6087" w14:paraId="2B8010F1" w14:textId="77777777" w:rsidTr="00D329CB">
        <w:trPr>
          <w:gridAfter w:val="1"/>
          <w:wAfter w:w="8" w:type="dxa"/>
          <w:trHeight w:val="302"/>
        </w:trPr>
        <w:tc>
          <w:tcPr>
            <w:tcW w:w="1576" w:type="dxa"/>
            <w:gridSpan w:val="2"/>
            <w:tcBorders>
              <w:top w:val="nil"/>
              <w:left w:val="single" w:sz="8" w:space="0" w:color="auto"/>
              <w:bottom w:val="single" w:sz="4" w:space="0" w:color="auto"/>
              <w:right w:val="single" w:sz="8" w:space="0" w:color="auto"/>
            </w:tcBorders>
            <w:shd w:val="clear" w:color="auto" w:fill="auto"/>
            <w:vAlign w:val="center"/>
            <w:hideMark/>
          </w:tcPr>
          <w:p w14:paraId="7EE94A53"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Estructuración del artículo</w:t>
            </w:r>
          </w:p>
        </w:tc>
        <w:tc>
          <w:tcPr>
            <w:tcW w:w="1531" w:type="dxa"/>
            <w:gridSpan w:val="2"/>
            <w:tcBorders>
              <w:top w:val="nil"/>
              <w:left w:val="nil"/>
              <w:bottom w:val="single" w:sz="4" w:space="0" w:color="auto"/>
              <w:right w:val="single" w:sz="8" w:space="0" w:color="auto"/>
            </w:tcBorders>
            <w:shd w:val="clear" w:color="auto" w:fill="auto"/>
            <w:vAlign w:val="center"/>
            <w:hideMark/>
          </w:tcPr>
          <w:p w14:paraId="56D56071"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 </w:t>
            </w:r>
            <w:r w:rsidRPr="00294F1A">
              <w:rPr>
                <w:rFonts w:ascii="Arial" w:hAnsi="Arial" w:cs="Arial"/>
                <w:color w:val="000000"/>
              </w:rPr>
              <w:t>Inv. Principal</w:t>
            </w:r>
          </w:p>
        </w:tc>
        <w:tc>
          <w:tcPr>
            <w:tcW w:w="583"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52E1A67E"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1</w:t>
            </w:r>
            <w:r>
              <w:rPr>
                <w:rFonts w:ascii="Arial" w:eastAsia="Times New Roman" w:hAnsi="Arial" w:cs="Arial"/>
                <w:b/>
                <w:bCs/>
                <w:lang w:eastAsia="es-CO"/>
              </w:rPr>
              <w:t>-06</w:t>
            </w:r>
          </w:p>
        </w:tc>
        <w:tc>
          <w:tcPr>
            <w:tcW w:w="660" w:type="dxa"/>
            <w:gridSpan w:val="2"/>
            <w:tcBorders>
              <w:top w:val="single" w:sz="4" w:space="0" w:color="auto"/>
              <w:left w:val="nil"/>
              <w:bottom w:val="single" w:sz="4" w:space="0" w:color="auto"/>
              <w:right w:val="single" w:sz="4" w:space="0" w:color="auto"/>
            </w:tcBorders>
            <w:shd w:val="clear" w:color="000000" w:fill="FF8080"/>
            <w:vAlign w:val="center"/>
            <w:hideMark/>
          </w:tcPr>
          <w:p w14:paraId="35BD08A4"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 31</w:t>
            </w:r>
            <w:r>
              <w:rPr>
                <w:rFonts w:ascii="Arial" w:eastAsia="Times New Roman" w:hAnsi="Arial" w:cs="Arial"/>
                <w:b/>
                <w:bCs/>
                <w:lang w:eastAsia="es-CO"/>
              </w:rPr>
              <w:t>-07</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30013F64"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3AE9A19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nil"/>
            </w:tcBorders>
            <w:shd w:val="clear" w:color="auto" w:fill="auto"/>
            <w:vAlign w:val="center"/>
            <w:hideMark/>
          </w:tcPr>
          <w:p w14:paraId="2FE8010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727C631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28F1C19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5D9BC6A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3C20822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auto"/>
            <w:vAlign w:val="center"/>
            <w:hideMark/>
          </w:tcPr>
          <w:p w14:paraId="462E06A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6EC32C5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5089958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60" w:type="dxa"/>
            <w:gridSpan w:val="2"/>
            <w:tcBorders>
              <w:top w:val="nil"/>
              <w:left w:val="nil"/>
              <w:bottom w:val="single" w:sz="4" w:space="0" w:color="auto"/>
              <w:right w:val="nil"/>
            </w:tcBorders>
            <w:shd w:val="clear" w:color="auto" w:fill="auto"/>
            <w:vAlign w:val="center"/>
            <w:hideMark/>
          </w:tcPr>
          <w:p w14:paraId="4939EFE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4EB5299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17085F7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37423BA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02F6779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4455B49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26FEDB0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1A2687C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533368A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7643CC6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22065D0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692C5B1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80" w:type="dxa"/>
            <w:gridSpan w:val="3"/>
            <w:tcBorders>
              <w:top w:val="nil"/>
              <w:left w:val="nil"/>
              <w:bottom w:val="single" w:sz="4" w:space="0" w:color="auto"/>
              <w:right w:val="nil"/>
            </w:tcBorders>
            <w:shd w:val="clear" w:color="auto" w:fill="auto"/>
            <w:vAlign w:val="center"/>
            <w:hideMark/>
          </w:tcPr>
          <w:p w14:paraId="65B06BD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153" w:type="dxa"/>
            <w:gridSpan w:val="2"/>
            <w:tcBorders>
              <w:top w:val="nil"/>
              <w:left w:val="nil"/>
              <w:bottom w:val="single" w:sz="4" w:space="0" w:color="auto"/>
              <w:right w:val="nil"/>
            </w:tcBorders>
            <w:shd w:val="clear" w:color="auto" w:fill="auto"/>
            <w:vAlign w:val="center"/>
            <w:hideMark/>
          </w:tcPr>
          <w:p w14:paraId="3C26A83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3210494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35D7257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19C4504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80" w:type="dxa"/>
            <w:gridSpan w:val="3"/>
            <w:tcBorders>
              <w:top w:val="nil"/>
              <w:left w:val="nil"/>
              <w:bottom w:val="single" w:sz="4" w:space="0" w:color="auto"/>
              <w:right w:val="single" w:sz="4" w:space="0" w:color="auto"/>
            </w:tcBorders>
            <w:shd w:val="clear" w:color="auto" w:fill="auto"/>
            <w:vAlign w:val="center"/>
            <w:hideMark/>
          </w:tcPr>
          <w:p w14:paraId="1B492AD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60FD023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654A29A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92DD92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5" w:type="dxa"/>
            <w:gridSpan w:val="2"/>
            <w:tcBorders>
              <w:top w:val="nil"/>
              <w:left w:val="nil"/>
              <w:bottom w:val="single" w:sz="4" w:space="0" w:color="auto"/>
              <w:right w:val="nil"/>
            </w:tcBorders>
            <w:shd w:val="clear" w:color="auto" w:fill="auto"/>
            <w:vAlign w:val="center"/>
            <w:hideMark/>
          </w:tcPr>
          <w:p w14:paraId="1EF1221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23B65DB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2635411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40FF25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3"/>
            <w:tcBorders>
              <w:top w:val="nil"/>
              <w:left w:val="nil"/>
              <w:bottom w:val="single" w:sz="4" w:space="0" w:color="auto"/>
              <w:right w:val="nil"/>
            </w:tcBorders>
            <w:shd w:val="clear" w:color="auto" w:fill="auto"/>
            <w:vAlign w:val="center"/>
            <w:hideMark/>
          </w:tcPr>
          <w:p w14:paraId="52D1CB2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556B6A3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14D5972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1151D6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02157E3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0D96D0C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tcBorders>
              <w:top w:val="nil"/>
              <w:left w:val="single" w:sz="4" w:space="0" w:color="auto"/>
              <w:bottom w:val="single" w:sz="4" w:space="0" w:color="auto"/>
              <w:right w:val="nil"/>
            </w:tcBorders>
            <w:shd w:val="clear" w:color="auto" w:fill="auto"/>
            <w:vAlign w:val="center"/>
            <w:hideMark/>
          </w:tcPr>
          <w:p w14:paraId="6DD3435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5CCC7A6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r>
      <w:tr w:rsidR="006B0D6A" w:rsidRPr="001D6087" w14:paraId="77281CAD" w14:textId="77777777" w:rsidTr="00D329CB">
        <w:trPr>
          <w:gridAfter w:val="1"/>
          <w:wAfter w:w="8" w:type="dxa"/>
          <w:trHeight w:val="302"/>
        </w:trPr>
        <w:tc>
          <w:tcPr>
            <w:tcW w:w="1576" w:type="dxa"/>
            <w:gridSpan w:val="2"/>
            <w:tcBorders>
              <w:top w:val="nil"/>
              <w:left w:val="single" w:sz="8" w:space="0" w:color="auto"/>
              <w:bottom w:val="single" w:sz="4" w:space="0" w:color="auto"/>
              <w:right w:val="single" w:sz="8" w:space="0" w:color="auto"/>
            </w:tcBorders>
            <w:shd w:val="clear" w:color="auto" w:fill="auto"/>
            <w:vAlign w:val="center"/>
            <w:hideMark/>
          </w:tcPr>
          <w:p w14:paraId="6B16B362"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 xml:space="preserve">Informe parcial </w:t>
            </w:r>
            <w:proofErr w:type="spellStart"/>
            <w:r w:rsidRPr="00294F1A">
              <w:rPr>
                <w:rFonts w:ascii="Arial" w:hAnsi="Arial" w:cs="Arial"/>
                <w:color w:val="000000"/>
              </w:rPr>
              <w:t>Fodein</w:t>
            </w:r>
            <w:proofErr w:type="spellEnd"/>
          </w:p>
        </w:tc>
        <w:tc>
          <w:tcPr>
            <w:tcW w:w="1531" w:type="dxa"/>
            <w:gridSpan w:val="2"/>
            <w:tcBorders>
              <w:top w:val="nil"/>
              <w:left w:val="nil"/>
              <w:bottom w:val="single" w:sz="4" w:space="0" w:color="auto"/>
              <w:right w:val="single" w:sz="8" w:space="0" w:color="auto"/>
            </w:tcBorders>
            <w:shd w:val="clear" w:color="auto" w:fill="auto"/>
            <w:vAlign w:val="center"/>
            <w:hideMark/>
          </w:tcPr>
          <w:p w14:paraId="60EC9B87"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Investigadores</w:t>
            </w:r>
          </w:p>
        </w:tc>
        <w:tc>
          <w:tcPr>
            <w:tcW w:w="583"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0177DA8" w14:textId="15C90E3E" w:rsidR="006B0D6A" w:rsidRPr="001D6087" w:rsidRDefault="006B0D6A" w:rsidP="00D329CB">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1</w:t>
            </w:r>
            <w:r>
              <w:rPr>
                <w:rFonts w:ascii="Arial" w:eastAsia="Times New Roman" w:hAnsi="Arial" w:cs="Arial"/>
                <w:b/>
                <w:bCs/>
                <w:lang w:eastAsia="es-CO"/>
              </w:rPr>
              <w:t>-0</w:t>
            </w:r>
            <w:r w:rsidR="00D329CB">
              <w:rPr>
                <w:rFonts w:ascii="Arial" w:eastAsia="Times New Roman" w:hAnsi="Arial" w:cs="Arial"/>
                <w:b/>
                <w:bCs/>
                <w:lang w:eastAsia="es-CO"/>
              </w:rPr>
              <w:t>7</w:t>
            </w:r>
          </w:p>
        </w:tc>
        <w:tc>
          <w:tcPr>
            <w:tcW w:w="660" w:type="dxa"/>
            <w:gridSpan w:val="2"/>
            <w:tcBorders>
              <w:top w:val="single" w:sz="4" w:space="0" w:color="auto"/>
              <w:left w:val="nil"/>
              <w:bottom w:val="single" w:sz="4" w:space="0" w:color="auto"/>
              <w:right w:val="single" w:sz="4" w:space="0" w:color="auto"/>
            </w:tcBorders>
            <w:shd w:val="clear" w:color="000000" w:fill="FF8080"/>
            <w:vAlign w:val="center"/>
            <w:hideMark/>
          </w:tcPr>
          <w:p w14:paraId="503C7A49" w14:textId="544193F6" w:rsidR="006B0D6A" w:rsidRPr="001D6087" w:rsidRDefault="006B0D6A" w:rsidP="00D329CB">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31</w:t>
            </w:r>
            <w:r>
              <w:rPr>
                <w:rFonts w:ascii="Arial" w:eastAsia="Times New Roman" w:hAnsi="Arial" w:cs="Arial"/>
                <w:b/>
                <w:bCs/>
                <w:lang w:eastAsia="es-CO"/>
              </w:rPr>
              <w:t>-</w:t>
            </w:r>
            <w:r w:rsidR="00D329CB">
              <w:rPr>
                <w:rFonts w:ascii="Arial" w:eastAsia="Times New Roman" w:hAnsi="Arial" w:cs="Arial"/>
                <w:b/>
                <w:bCs/>
                <w:lang w:eastAsia="es-CO"/>
              </w:rPr>
              <w:t>07</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3B2C1DDC"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2682448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nil"/>
            </w:tcBorders>
            <w:shd w:val="clear" w:color="auto" w:fill="auto"/>
            <w:vAlign w:val="center"/>
            <w:hideMark/>
          </w:tcPr>
          <w:p w14:paraId="6E8B02E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65FBED7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0CD14D3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548B004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7397905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auto"/>
            <w:vAlign w:val="center"/>
            <w:hideMark/>
          </w:tcPr>
          <w:p w14:paraId="1888676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43F42E3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099EC71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60" w:type="dxa"/>
            <w:gridSpan w:val="2"/>
            <w:tcBorders>
              <w:top w:val="nil"/>
              <w:left w:val="nil"/>
              <w:bottom w:val="single" w:sz="4" w:space="0" w:color="auto"/>
              <w:right w:val="nil"/>
            </w:tcBorders>
            <w:shd w:val="clear" w:color="auto" w:fill="auto"/>
            <w:vAlign w:val="center"/>
            <w:hideMark/>
          </w:tcPr>
          <w:p w14:paraId="2B4934B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32775AF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27EAA34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6F87C9C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47553E2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2C3E03B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622110A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298948C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12B9361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665D9EC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30A0DA2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25DE34A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5895E73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53" w:type="dxa"/>
            <w:gridSpan w:val="2"/>
            <w:tcBorders>
              <w:top w:val="nil"/>
              <w:left w:val="nil"/>
              <w:bottom w:val="single" w:sz="4" w:space="0" w:color="auto"/>
              <w:right w:val="nil"/>
            </w:tcBorders>
            <w:shd w:val="clear" w:color="auto" w:fill="auto"/>
            <w:vAlign w:val="center"/>
            <w:hideMark/>
          </w:tcPr>
          <w:p w14:paraId="09D51EC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500B59D1" w14:textId="70BC94DC" w:rsidR="006B0D6A" w:rsidRPr="001D6087" w:rsidRDefault="00D329CB" w:rsidP="002B4C9A">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5E817B5E" w14:textId="3A0F8D00" w:rsidR="006B0D6A" w:rsidRPr="001D6087" w:rsidRDefault="00D329CB" w:rsidP="002B4C9A">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2866BA30" w14:textId="1CD7E18E" w:rsidR="006B0D6A" w:rsidRPr="001D6087" w:rsidRDefault="00D329CB" w:rsidP="002B4C9A">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80" w:type="dxa"/>
            <w:gridSpan w:val="3"/>
            <w:tcBorders>
              <w:top w:val="nil"/>
              <w:left w:val="nil"/>
              <w:bottom w:val="single" w:sz="4" w:space="0" w:color="auto"/>
              <w:right w:val="single" w:sz="4" w:space="0" w:color="auto"/>
            </w:tcBorders>
            <w:shd w:val="clear" w:color="auto" w:fill="auto"/>
            <w:vAlign w:val="center"/>
            <w:hideMark/>
          </w:tcPr>
          <w:p w14:paraId="080192A4" w14:textId="5F616720" w:rsidR="006B0D6A" w:rsidRPr="001D6087" w:rsidRDefault="00D329CB" w:rsidP="002B4C9A">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3" w:type="dxa"/>
            <w:gridSpan w:val="2"/>
            <w:tcBorders>
              <w:top w:val="nil"/>
              <w:left w:val="nil"/>
              <w:bottom w:val="single" w:sz="4" w:space="0" w:color="auto"/>
              <w:right w:val="nil"/>
            </w:tcBorders>
            <w:shd w:val="clear" w:color="auto" w:fill="auto"/>
            <w:vAlign w:val="center"/>
            <w:hideMark/>
          </w:tcPr>
          <w:p w14:paraId="3F6350D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6020B82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245493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5" w:type="dxa"/>
            <w:gridSpan w:val="2"/>
            <w:tcBorders>
              <w:top w:val="nil"/>
              <w:left w:val="nil"/>
              <w:bottom w:val="single" w:sz="4" w:space="0" w:color="auto"/>
              <w:right w:val="nil"/>
            </w:tcBorders>
            <w:shd w:val="clear" w:color="auto" w:fill="auto"/>
            <w:vAlign w:val="center"/>
          </w:tcPr>
          <w:p w14:paraId="1715D045" w14:textId="7863FEB2"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tcPr>
          <w:p w14:paraId="3AE39705" w14:textId="26DC9C46"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tcPr>
          <w:p w14:paraId="48257E3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tcPr>
          <w:p w14:paraId="61691226" w14:textId="211B140B"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3"/>
            <w:tcBorders>
              <w:top w:val="nil"/>
              <w:left w:val="nil"/>
              <w:bottom w:val="single" w:sz="4" w:space="0" w:color="auto"/>
              <w:right w:val="nil"/>
            </w:tcBorders>
            <w:shd w:val="clear" w:color="auto" w:fill="auto"/>
            <w:vAlign w:val="center"/>
          </w:tcPr>
          <w:p w14:paraId="16EA1ECA" w14:textId="09EB40A1"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tcPr>
          <w:p w14:paraId="2EABDCD6" w14:textId="37426A0D"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tcPr>
          <w:p w14:paraId="1243D317" w14:textId="6A9A29CC"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tcPr>
          <w:p w14:paraId="4F05C88F" w14:textId="5256E4F3"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2BEC006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17D90D5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tcBorders>
              <w:top w:val="nil"/>
              <w:left w:val="single" w:sz="4" w:space="0" w:color="auto"/>
              <w:bottom w:val="single" w:sz="4" w:space="0" w:color="auto"/>
              <w:right w:val="nil"/>
            </w:tcBorders>
            <w:shd w:val="clear" w:color="auto" w:fill="auto"/>
            <w:vAlign w:val="center"/>
            <w:hideMark/>
          </w:tcPr>
          <w:p w14:paraId="7CE1C83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7CCA478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r>
      <w:tr w:rsidR="006B0D6A" w:rsidRPr="001D6087" w14:paraId="2504ED0B" w14:textId="77777777" w:rsidTr="00D329CB">
        <w:trPr>
          <w:gridAfter w:val="1"/>
          <w:wAfter w:w="8" w:type="dxa"/>
          <w:trHeight w:val="302"/>
        </w:trPr>
        <w:tc>
          <w:tcPr>
            <w:tcW w:w="1576" w:type="dxa"/>
            <w:gridSpan w:val="2"/>
            <w:tcBorders>
              <w:top w:val="nil"/>
              <w:left w:val="single" w:sz="8" w:space="0" w:color="auto"/>
              <w:bottom w:val="single" w:sz="4" w:space="0" w:color="auto"/>
              <w:right w:val="single" w:sz="8" w:space="0" w:color="auto"/>
            </w:tcBorders>
            <w:shd w:val="clear" w:color="auto" w:fill="auto"/>
            <w:vAlign w:val="center"/>
            <w:hideMark/>
          </w:tcPr>
          <w:p w14:paraId="58E1100F"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Elaboración de la ponencia</w:t>
            </w:r>
          </w:p>
        </w:tc>
        <w:tc>
          <w:tcPr>
            <w:tcW w:w="1531" w:type="dxa"/>
            <w:gridSpan w:val="2"/>
            <w:tcBorders>
              <w:top w:val="nil"/>
              <w:left w:val="nil"/>
              <w:bottom w:val="single" w:sz="4" w:space="0" w:color="auto"/>
              <w:right w:val="single" w:sz="8" w:space="0" w:color="auto"/>
            </w:tcBorders>
            <w:shd w:val="clear" w:color="auto" w:fill="auto"/>
            <w:vAlign w:val="center"/>
            <w:hideMark/>
          </w:tcPr>
          <w:p w14:paraId="4D31E8FD"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 </w:t>
            </w:r>
            <w:r w:rsidRPr="00294F1A">
              <w:rPr>
                <w:rFonts w:ascii="Arial" w:hAnsi="Arial" w:cs="Arial"/>
                <w:color w:val="000000"/>
              </w:rPr>
              <w:t>Investigadores</w:t>
            </w:r>
          </w:p>
        </w:tc>
        <w:tc>
          <w:tcPr>
            <w:tcW w:w="583"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EC40E13"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1</w:t>
            </w:r>
            <w:r>
              <w:rPr>
                <w:rFonts w:ascii="Arial" w:eastAsia="Times New Roman" w:hAnsi="Arial" w:cs="Arial"/>
                <w:b/>
                <w:bCs/>
                <w:lang w:eastAsia="es-CO"/>
              </w:rPr>
              <w:t>-07</w:t>
            </w:r>
          </w:p>
        </w:tc>
        <w:tc>
          <w:tcPr>
            <w:tcW w:w="660" w:type="dxa"/>
            <w:gridSpan w:val="2"/>
            <w:tcBorders>
              <w:top w:val="single" w:sz="4" w:space="0" w:color="auto"/>
              <w:left w:val="nil"/>
              <w:bottom w:val="single" w:sz="4" w:space="0" w:color="auto"/>
              <w:right w:val="single" w:sz="4" w:space="0" w:color="auto"/>
            </w:tcBorders>
            <w:shd w:val="clear" w:color="000000" w:fill="FF8080"/>
            <w:vAlign w:val="center"/>
            <w:hideMark/>
          </w:tcPr>
          <w:p w14:paraId="125CB26A" w14:textId="3CA90269" w:rsidR="006B0D6A" w:rsidRPr="001D6087" w:rsidRDefault="006B0D6A" w:rsidP="00D329CB">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31</w:t>
            </w:r>
            <w:r>
              <w:rPr>
                <w:rFonts w:ascii="Arial" w:eastAsia="Times New Roman" w:hAnsi="Arial" w:cs="Arial"/>
                <w:b/>
                <w:bCs/>
                <w:lang w:eastAsia="es-CO"/>
              </w:rPr>
              <w:t>-</w:t>
            </w:r>
            <w:r w:rsidR="00D329CB">
              <w:rPr>
                <w:rFonts w:ascii="Arial" w:eastAsia="Times New Roman" w:hAnsi="Arial" w:cs="Arial"/>
                <w:b/>
                <w:bCs/>
                <w:lang w:eastAsia="es-CO"/>
              </w:rPr>
              <w:t>08</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0935593D"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5EAD2CA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nil"/>
            </w:tcBorders>
            <w:shd w:val="clear" w:color="auto" w:fill="auto"/>
            <w:vAlign w:val="center"/>
            <w:hideMark/>
          </w:tcPr>
          <w:p w14:paraId="34963AE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025DEFD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68C772C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468B54C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6A4012E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auto"/>
            <w:vAlign w:val="center"/>
            <w:hideMark/>
          </w:tcPr>
          <w:p w14:paraId="37224C7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39DC203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4CCC8D2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60" w:type="dxa"/>
            <w:gridSpan w:val="2"/>
            <w:tcBorders>
              <w:top w:val="nil"/>
              <w:left w:val="nil"/>
              <w:bottom w:val="single" w:sz="4" w:space="0" w:color="auto"/>
              <w:right w:val="nil"/>
            </w:tcBorders>
            <w:shd w:val="clear" w:color="auto" w:fill="auto"/>
            <w:vAlign w:val="center"/>
            <w:hideMark/>
          </w:tcPr>
          <w:p w14:paraId="5E512E8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6B738EF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4B409F5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092D2E4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2554848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366CEDC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0BEA069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2C0BA3E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559B8E9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4BBAF1A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5DD48A1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3DC2CE6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75751FC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153" w:type="dxa"/>
            <w:gridSpan w:val="2"/>
            <w:tcBorders>
              <w:top w:val="nil"/>
              <w:left w:val="nil"/>
              <w:bottom w:val="single" w:sz="4" w:space="0" w:color="auto"/>
              <w:right w:val="nil"/>
            </w:tcBorders>
            <w:shd w:val="clear" w:color="auto" w:fill="auto"/>
            <w:vAlign w:val="center"/>
            <w:hideMark/>
          </w:tcPr>
          <w:p w14:paraId="295117B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2708B70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4" w:space="0" w:color="auto"/>
            </w:tcBorders>
            <w:shd w:val="clear" w:color="auto" w:fill="auto"/>
            <w:vAlign w:val="center"/>
            <w:hideMark/>
          </w:tcPr>
          <w:p w14:paraId="1461792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single" w:sz="8" w:space="0" w:color="auto"/>
            </w:tcBorders>
            <w:shd w:val="clear" w:color="auto" w:fill="auto"/>
            <w:vAlign w:val="center"/>
            <w:hideMark/>
          </w:tcPr>
          <w:p w14:paraId="7A72AF0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80" w:type="dxa"/>
            <w:gridSpan w:val="3"/>
            <w:tcBorders>
              <w:top w:val="nil"/>
              <w:left w:val="nil"/>
              <w:bottom w:val="single" w:sz="4" w:space="0" w:color="auto"/>
              <w:right w:val="single" w:sz="4" w:space="0" w:color="auto"/>
            </w:tcBorders>
            <w:shd w:val="clear" w:color="auto" w:fill="auto"/>
            <w:vAlign w:val="center"/>
            <w:hideMark/>
          </w:tcPr>
          <w:p w14:paraId="1CB281A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4" w:space="0" w:color="auto"/>
              <w:right w:val="nil"/>
            </w:tcBorders>
            <w:shd w:val="clear" w:color="auto" w:fill="auto"/>
            <w:vAlign w:val="center"/>
            <w:hideMark/>
          </w:tcPr>
          <w:p w14:paraId="0724CE4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nil"/>
            </w:tcBorders>
            <w:shd w:val="clear" w:color="auto" w:fill="auto"/>
            <w:vAlign w:val="center"/>
            <w:hideMark/>
          </w:tcPr>
          <w:p w14:paraId="2A0AD8E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7D30F97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5" w:type="dxa"/>
            <w:gridSpan w:val="2"/>
            <w:tcBorders>
              <w:top w:val="nil"/>
              <w:left w:val="nil"/>
              <w:bottom w:val="single" w:sz="4" w:space="0" w:color="auto"/>
              <w:right w:val="nil"/>
            </w:tcBorders>
            <w:shd w:val="clear" w:color="auto" w:fill="auto"/>
            <w:vAlign w:val="center"/>
            <w:hideMark/>
          </w:tcPr>
          <w:p w14:paraId="5ADEAC8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nil"/>
            </w:tcBorders>
            <w:shd w:val="clear" w:color="auto" w:fill="auto"/>
            <w:vAlign w:val="center"/>
          </w:tcPr>
          <w:p w14:paraId="2B8EC67D" w14:textId="4F151AC8"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tcPr>
          <w:p w14:paraId="1F61696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tcPr>
          <w:p w14:paraId="77154C89" w14:textId="0C165059"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3"/>
            <w:tcBorders>
              <w:top w:val="nil"/>
              <w:left w:val="nil"/>
              <w:bottom w:val="single" w:sz="4" w:space="0" w:color="auto"/>
              <w:right w:val="nil"/>
            </w:tcBorders>
            <w:shd w:val="clear" w:color="auto" w:fill="auto"/>
            <w:vAlign w:val="center"/>
          </w:tcPr>
          <w:p w14:paraId="072625D9" w14:textId="15B99859"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tcPr>
          <w:p w14:paraId="5D86B5E5" w14:textId="68CCD94F"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tcPr>
          <w:p w14:paraId="13FCF7A6" w14:textId="0BBCE5E9"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tcPr>
          <w:p w14:paraId="6AB54C88" w14:textId="74D0DD0B"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14:paraId="4845E435" w14:textId="107BB4B9"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tcPr>
          <w:p w14:paraId="3C50A730" w14:textId="6064A786"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tcBorders>
              <w:top w:val="nil"/>
              <w:left w:val="single" w:sz="4" w:space="0" w:color="auto"/>
              <w:bottom w:val="single" w:sz="4" w:space="0" w:color="auto"/>
              <w:right w:val="nil"/>
            </w:tcBorders>
            <w:shd w:val="clear" w:color="auto" w:fill="auto"/>
            <w:vAlign w:val="center"/>
          </w:tcPr>
          <w:p w14:paraId="7D2A9F6C" w14:textId="02BB241A"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tcPr>
          <w:p w14:paraId="6732DAE8" w14:textId="6EF9DDB4"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r>
      <w:tr w:rsidR="006B0D6A" w:rsidRPr="001D6087" w14:paraId="02C10328" w14:textId="77777777" w:rsidTr="00D329CB">
        <w:trPr>
          <w:gridAfter w:val="1"/>
          <w:wAfter w:w="8" w:type="dxa"/>
          <w:trHeight w:val="302"/>
        </w:trPr>
        <w:tc>
          <w:tcPr>
            <w:tcW w:w="1576" w:type="dxa"/>
            <w:gridSpan w:val="2"/>
            <w:tcBorders>
              <w:top w:val="nil"/>
              <w:left w:val="single" w:sz="8" w:space="0" w:color="auto"/>
              <w:bottom w:val="single" w:sz="8" w:space="0" w:color="auto"/>
              <w:right w:val="single" w:sz="8" w:space="0" w:color="auto"/>
            </w:tcBorders>
            <w:shd w:val="clear" w:color="auto" w:fill="auto"/>
            <w:vAlign w:val="center"/>
            <w:hideMark/>
          </w:tcPr>
          <w:p w14:paraId="49069503"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Redacción del artículo</w:t>
            </w:r>
          </w:p>
        </w:tc>
        <w:tc>
          <w:tcPr>
            <w:tcW w:w="1531" w:type="dxa"/>
            <w:gridSpan w:val="2"/>
            <w:tcBorders>
              <w:top w:val="nil"/>
              <w:left w:val="nil"/>
              <w:bottom w:val="single" w:sz="8" w:space="0" w:color="auto"/>
              <w:right w:val="single" w:sz="8" w:space="0" w:color="auto"/>
            </w:tcBorders>
            <w:shd w:val="clear" w:color="auto" w:fill="auto"/>
            <w:vAlign w:val="center"/>
            <w:hideMark/>
          </w:tcPr>
          <w:p w14:paraId="1C8F8203"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 </w:t>
            </w:r>
            <w:r w:rsidRPr="00294F1A">
              <w:rPr>
                <w:rFonts w:ascii="Arial" w:hAnsi="Arial" w:cs="Arial"/>
                <w:color w:val="000000"/>
              </w:rPr>
              <w:t>Investigadores</w:t>
            </w:r>
          </w:p>
        </w:tc>
        <w:tc>
          <w:tcPr>
            <w:tcW w:w="583" w:type="dxa"/>
            <w:tcBorders>
              <w:top w:val="nil"/>
              <w:left w:val="single" w:sz="8" w:space="0" w:color="auto"/>
              <w:bottom w:val="single" w:sz="8" w:space="0" w:color="auto"/>
              <w:right w:val="single" w:sz="8" w:space="0" w:color="auto"/>
            </w:tcBorders>
            <w:shd w:val="clear" w:color="000000" w:fill="C0C0C0"/>
            <w:vAlign w:val="center"/>
            <w:hideMark/>
          </w:tcPr>
          <w:p w14:paraId="487B7279"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1</w:t>
            </w:r>
            <w:r>
              <w:rPr>
                <w:rFonts w:ascii="Arial" w:eastAsia="Times New Roman" w:hAnsi="Arial" w:cs="Arial"/>
                <w:b/>
                <w:bCs/>
                <w:lang w:eastAsia="es-CO"/>
              </w:rPr>
              <w:t>-08</w:t>
            </w:r>
          </w:p>
        </w:tc>
        <w:tc>
          <w:tcPr>
            <w:tcW w:w="660" w:type="dxa"/>
            <w:gridSpan w:val="2"/>
            <w:tcBorders>
              <w:top w:val="nil"/>
              <w:left w:val="nil"/>
              <w:bottom w:val="single" w:sz="8" w:space="0" w:color="auto"/>
              <w:right w:val="nil"/>
            </w:tcBorders>
            <w:shd w:val="clear" w:color="000000" w:fill="FF8080"/>
            <w:vAlign w:val="center"/>
            <w:hideMark/>
          </w:tcPr>
          <w:p w14:paraId="42E36D70"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31</w:t>
            </w:r>
            <w:r>
              <w:rPr>
                <w:rFonts w:ascii="Arial" w:eastAsia="Times New Roman" w:hAnsi="Arial" w:cs="Arial"/>
                <w:b/>
                <w:bCs/>
                <w:lang w:eastAsia="es-CO"/>
              </w:rPr>
              <w:t>-10</w:t>
            </w:r>
          </w:p>
        </w:tc>
        <w:tc>
          <w:tcPr>
            <w:tcW w:w="191" w:type="dxa"/>
            <w:gridSpan w:val="2"/>
            <w:tcBorders>
              <w:top w:val="nil"/>
              <w:left w:val="single" w:sz="4" w:space="0" w:color="auto"/>
              <w:bottom w:val="single" w:sz="8" w:space="0" w:color="auto"/>
              <w:right w:val="single" w:sz="4" w:space="0" w:color="auto"/>
            </w:tcBorders>
            <w:shd w:val="diagCross" w:color="000000" w:fill="C0C0C0"/>
            <w:vAlign w:val="center"/>
            <w:hideMark/>
          </w:tcPr>
          <w:p w14:paraId="29EA4797"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8" w:space="0" w:color="auto"/>
              <w:right w:val="nil"/>
            </w:tcBorders>
            <w:shd w:val="clear" w:color="auto" w:fill="auto"/>
            <w:vAlign w:val="center"/>
            <w:hideMark/>
          </w:tcPr>
          <w:p w14:paraId="1BC946E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8" w:space="0" w:color="auto"/>
              <w:right w:val="nil"/>
            </w:tcBorders>
            <w:shd w:val="clear" w:color="auto" w:fill="auto"/>
            <w:vAlign w:val="center"/>
            <w:hideMark/>
          </w:tcPr>
          <w:p w14:paraId="13B18D4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8" w:space="0" w:color="auto"/>
              <w:right w:val="single" w:sz="4" w:space="0" w:color="auto"/>
            </w:tcBorders>
            <w:shd w:val="clear" w:color="auto" w:fill="auto"/>
            <w:vAlign w:val="center"/>
            <w:hideMark/>
          </w:tcPr>
          <w:p w14:paraId="1D854DE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8" w:space="0" w:color="auto"/>
              <w:right w:val="single" w:sz="8" w:space="0" w:color="auto"/>
            </w:tcBorders>
            <w:shd w:val="clear" w:color="auto" w:fill="auto"/>
            <w:vAlign w:val="center"/>
            <w:hideMark/>
          </w:tcPr>
          <w:p w14:paraId="1E09AB5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8" w:space="0" w:color="auto"/>
              <w:right w:val="nil"/>
            </w:tcBorders>
            <w:shd w:val="clear" w:color="auto" w:fill="auto"/>
            <w:vAlign w:val="center"/>
            <w:hideMark/>
          </w:tcPr>
          <w:p w14:paraId="73FE48E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8" w:space="0" w:color="auto"/>
              <w:right w:val="single" w:sz="4" w:space="0" w:color="auto"/>
            </w:tcBorders>
            <w:shd w:val="clear" w:color="auto" w:fill="auto"/>
            <w:vAlign w:val="center"/>
            <w:hideMark/>
          </w:tcPr>
          <w:p w14:paraId="7D40614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8" w:space="0" w:color="auto"/>
              <w:right w:val="single" w:sz="4" w:space="0" w:color="auto"/>
            </w:tcBorders>
            <w:shd w:val="clear" w:color="auto" w:fill="auto"/>
            <w:vAlign w:val="center"/>
            <w:hideMark/>
          </w:tcPr>
          <w:p w14:paraId="29E1794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8" w:space="0" w:color="auto"/>
              <w:right w:val="single" w:sz="8" w:space="0" w:color="auto"/>
            </w:tcBorders>
            <w:shd w:val="clear" w:color="auto" w:fill="auto"/>
            <w:vAlign w:val="center"/>
            <w:hideMark/>
          </w:tcPr>
          <w:p w14:paraId="49F5619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nil"/>
            </w:tcBorders>
            <w:shd w:val="clear" w:color="auto" w:fill="auto"/>
            <w:vAlign w:val="center"/>
            <w:hideMark/>
          </w:tcPr>
          <w:p w14:paraId="65ADD9C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60" w:type="dxa"/>
            <w:gridSpan w:val="2"/>
            <w:tcBorders>
              <w:top w:val="nil"/>
              <w:left w:val="nil"/>
              <w:bottom w:val="single" w:sz="8" w:space="0" w:color="auto"/>
              <w:right w:val="nil"/>
            </w:tcBorders>
            <w:shd w:val="clear" w:color="auto" w:fill="auto"/>
            <w:vAlign w:val="center"/>
            <w:hideMark/>
          </w:tcPr>
          <w:p w14:paraId="5988DE7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8" w:space="0" w:color="auto"/>
              <w:right w:val="single" w:sz="4" w:space="0" w:color="auto"/>
            </w:tcBorders>
            <w:shd w:val="clear" w:color="auto" w:fill="auto"/>
            <w:vAlign w:val="center"/>
            <w:hideMark/>
          </w:tcPr>
          <w:p w14:paraId="72CC65E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single" w:sz="4" w:space="0" w:color="auto"/>
            </w:tcBorders>
            <w:shd w:val="clear" w:color="auto" w:fill="auto"/>
            <w:vAlign w:val="center"/>
            <w:hideMark/>
          </w:tcPr>
          <w:p w14:paraId="266D6E5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single" w:sz="8" w:space="0" w:color="auto"/>
            </w:tcBorders>
            <w:shd w:val="clear" w:color="auto" w:fill="auto"/>
            <w:vAlign w:val="center"/>
            <w:hideMark/>
          </w:tcPr>
          <w:p w14:paraId="4F2EADF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single" w:sz="4" w:space="0" w:color="auto"/>
            </w:tcBorders>
            <w:shd w:val="clear" w:color="auto" w:fill="auto"/>
            <w:vAlign w:val="center"/>
            <w:hideMark/>
          </w:tcPr>
          <w:p w14:paraId="4CD5871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nil"/>
            </w:tcBorders>
            <w:shd w:val="clear" w:color="auto" w:fill="auto"/>
            <w:vAlign w:val="center"/>
            <w:hideMark/>
          </w:tcPr>
          <w:p w14:paraId="36AC88C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8" w:space="0" w:color="auto"/>
              <w:right w:val="nil"/>
            </w:tcBorders>
            <w:shd w:val="clear" w:color="auto" w:fill="auto"/>
            <w:vAlign w:val="center"/>
            <w:hideMark/>
          </w:tcPr>
          <w:p w14:paraId="1408D53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8" w:space="0" w:color="auto"/>
              <w:right w:val="single" w:sz="8" w:space="0" w:color="auto"/>
            </w:tcBorders>
            <w:shd w:val="clear" w:color="auto" w:fill="auto"/>
            <w:vAlign w:val="center"/>
            <w:hideMark/>
          </w:tcPr>
          <w:p w14:paraId="31E8C0C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nil"/>
            </w:tcBorders>
            <w:shd w:val="clear" w:color="auto" w:fill="auto"/>
            <w:vAlign w:val="center"/>
            <w:hideMark/>
          </w:tcPr>
          <w:p w14:paraId="493765C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8" w:space="0" w:color="auto"/>
              <w:right w:val="single" w:sz="4" w:space="0" w:color="auto"/>
            </w:tcBorders>
            <w:shd w:val="clear" w:color="auto" w:fill="auto"/>
            <w:vAlign w:val="center"/>
            <w:hideMark/>
          </w:tcPr>
          <w:p w14:paraId="6D498AC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single" w:sz="4" w:space="0" w:color="auto"/>
            </w:tcBorders>
            <w:shd w:val="clear" w:color="auto" w:fill="auto"/>
            <w:vAlign w:val="center"/>
            <w:hideMark/>
          </w:tcPr>
          <w:p w14:paraId="395E6A5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single" w:sz="8" w:space="0" w:color="auto"/>
            </w:tcBorders>
            <w:shd w:val="clear" w:color="auto" w:fill="auto"/>
            <w:vAlign w:val="center"/>
            <w:hideMark/>
          </w:tcPr>
          <w:p w14:paraId="7623126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8" w:space="0" w:color="auto"/>
              <w:right w:val="nil"/>
            </w:tcBorders>
            <w:shd w:val="clear" w:color="auto" w:fill="auto"/>
            <w:vAlign w:val="center"/>
            <w:hideMark/>
          </w:tcPr>
          <w:p w14:paraId="3A84ED9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53" w:type="dxa"/>
            <w:gridSpan w:val="2"/>
            <w:tcBorders>
              <w:top w:val="nil"/>
              <w:left w:val="nil"/>
              <w:bottom w:val="single" w:sz="8" w:space="0" w:color="auto"/>
              <w:right w:val="nil"/>
            </w:tcBorders>
            <w:shd w:val="clear" w:color="auto" w:fill="auto"/>
            <w:vAlign w:val="center"/>
            <w:hideMark/>
          </w:tcPr>
          <w:p w14:paraId="189C092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8" w:space="0" w:color="auto"/>
              <w:right w:val="single" w:sz="4" w:space="0" w:color="auto"/>
            </w:tcBorders>
            <w:shd w:val="clear" w:color="auto" w:fill="auto"/>
            <w:vAlign w:val="center"/>
            <w:hideMark/>
          </w:tcPr>
          <w:p w14:paraId="35191A8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single" w:sz="4" w:space="0" w:color="auto"/>
            </w:tcBorders>
            <w:shd w:val="clear" w:color="auto" w:fill="auto"/>
            <w:vAlign w:val="center"/>
            <w:hideMark/>
          </w:tcPr>
          <w:p w14:paraId="1F1C823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8" w:space="0" w:color="auto"/>
              <w:right w:val="single" w:sz="8" w:space="0" w:color="auto"/>
            </w:tcBorders>
            <w:shd w:val="clear" w:color="auto" w:fill="auto"/>
            <w:vAlign w:val="center"/>
            <w:hideMark/>
          </w:tcPr>
          <w:p w14:paraId="23BB6C0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8" w:space="0" w:color="auto"/>
              <w:right w:val="single" w:sz="4" w:space="0" w:color="auto"/>
            </w:tcBorders>
            <w:shd w:val="clear" w:color="auto" w:fill="auto"/>
            <w:vAlign w:val="center"/>
            <w:hideMark/>
          </w:tcPr>
          <w:p w14:paraId="682BA39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nil"/>
              <w:bottom w:val="single" w:sz="8" w:space="0" w:color="auto"/>
              <w:right w:val="nil"/>
            </w:tcBorders>
            <w:shd w:val="clear" w:color="auto" w:fill="auto"/>
            <w:vAlign w:val="center"/>
            <w:hideMark/>
          </w:tcPr>
          <w:p w14:paraId="6D30361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8" w:space="0" w:color="auto"/>
              <w:right w:val="nil"/>
            </w:tcBorders>
            <w:shd w:val="clear" w:color="auto" w:fill="auto"/>
            <w:vAlign w:val="center"/>
            <w:hideMark/>
          </w:tcPr>
          <w:p w14:paraId="6D9806D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8" w:space="0" w:color="auto"/>
              <w:right w:val="single" w:sz="8" w:space="0" w:color="auto"/>
            </w:tcBorders>
            <w:shd w:val="clear" w:color="auto" w:fill="auto"/>
            <w:vAlign w:val="center"/>
            <w:hideMark/>
          </w:tcPr>
          <w:p w14:paraId="7C4A608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5" w:type="dxa"/>
            <w:gridSpan w:val="2"/>
            <w:tcBorders>
              <w:top w:val="nil"/>
              <w:left w:val="nil"/>
              <w:bottom w:val="single" w:sz="8" w:space="0" w:color="auto"/>
              <w:right w:val="nil"/>
            </w:tcBorders>
            <w:shd w:val="clear" w:color="auto" w:fill="auto"/>
            <w:vAlign w:val="center"/>
            <w:hideMark/>
          </w:tcPr>
          <w:p w14:paraId="4C653A4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8" w:space="0" w:color="auto"/>
              <w:right w:val="nil"/>
            </w:tcBorders>
            <w:shd w:val="clear" w:color="auto" w:fill="auto"/>
            <w:vAlign w:val="center"/>
            <w:hideMark/>
          </w:tcPr>
          <w:p w14:paraId="627AD5D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2" w:type="dxa"/>
            <w:gridSpan w:val="2"/>
            <w:tcBorders>
              <w:top w:val="nil"/>
              <w:left w:val="nil"/>
              <w:bottom w:val="single" w:sz="8" w:space="0" w:color="auto"/>
              <w:right w:val="nil"/>
            </w:tcBorders>
            <w:shd w:val="clear" w:color="auto" w:fill="auto"/>
            <w:vAlign w:val="center"/>
            <w:hideMark/>
          </w:tcPr>
          <w:p w14:paraId="1D6B987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8" w:space="0" w:color="auto"/>
              <w:right w:val="single" w:sz="8" w:space="0" w:color="auto"/>
            </w:tcBorders>
            <w:shd w:val="clear" w:color="auto" w:fill="auto"/>
            <w:vAlign w:val="center"/>
            <w:hideMark/>
          </w:tcPr>
          <w:p w14:paraId="43C3E50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3"/>
            <w:tcBorders>
              <w:top w:val="nil"/>
              <w:left w:val="nil"/>
              <w:bottom w:val="single" w:sz="8" w:space="0" w:color="auto"/>
              <w:right w:val="nil"/>
            </w:tcBorders>
            <w:shd w:val="clear" w:color="auto" w:fill="auto"/>
            <w:vAlign w:val="center"/>
            <w:hideMark/>
          </w:tcPr>
          <w:p w14:paraId="4D35AC9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8" w:space="0" w:color="auto"/>
              <w:right w:val="nil"/>
            </w:tcBorders>
            <w:shd w:val="clear" w:color="auto" w:fill="auto"/>
            <w:vAlign w:val="center"/>
            <w:hideMark/>
          </w:tcPr>
          <w:p w14:paraId="1F2BB49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8" w:space="0" w:color="auto"/>
              <w:right w:val="nil"/>
            </w:tcBorders>
            <w:shd w:val="clear" w:color="auto" w:fill="auto"/>
            <w:vAlign w:val="center"/>
            <w:hideMark/>
          </w:tcPr>
          <w:p w14:paraId="6ABAD49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8" w:space="0" w:color="auto"/>
              <w:right w:val="single" w:sz="8" w:space="0" w:color="auto"/>
            </w:tcBorders>
            <w:shd w:val="clear" w:color="auto" w:fill="auto"/>
            <w:vAlign w:val="center"/>
            <w:hideMark/>
          </w:tcPr>
          <w:p w14:paraId="1C7BCF9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80" w:type="dxa"/>
            <w:gridSpan w:val="3"/>
            <w:tcBorders>
              <w:top w:val="nil"/>
              <w:left w:val="nil"/>
              <w:bottom w:val="single" w:sz="8" w:space="0" w:color="auto"/>
              <w:right w:val="nil"/>
            </w:tcBorders>
            <w:shd w:val="clear" w:color="auto" w:fill="auto"/>
            <w:vAlign w:val="center"/>
            <w:hideMark/>
          </w:tcPr>
          <w:p w14:paraId="54D6FEE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8" w:space="0" w:color="auto"/>
              <w:right w:val="nil"/>
            </w:tcBorders>
            <w:shd w:val="clear" w:color="auto" w:fill="auto"/>
            <w:vAlign w:val="center"/>
            <w:hideMark/>
          </w:tcPr>
          <w:p w14:paraId="56FD250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tcBorders>
              <w:top w:val="nil"/>
              <w:left w:val="single" w:sz="4" w:space="0" w:color="auto"/>
              <w:bottom w:val="single" w:sz="8" w:space="0" w:color="auto"/>
              <w:right w:val="nil"/>
            </w:tcBorders>
            <w:shd w:val="clear" w:color="auto" w:fill="auto"/>
            <w:vAlign w:val="center"/>
            <w:hideMark/>
          </w:tcPr>
          <w:p w14:paraId="488354B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8" w:space="0" w:color="auto"/>
              <w:right w:val="single" w:sz="8" w:space="0" w:color="auto"/>
            </w:tcBorders>
            <w:shd w:val="clear" w:color="auto" w:fill="auto"/>
            <w:vAlign w:val="center"/>
            <w:hideMark/>
          </w:tcPr>
          <w:p w14:paraId="7155C70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r>
      <w:tr w:rsidR="006B0D6A" w:rsidRPr="001D6087" w14:paraId="2DEEB54A" w14:textId="77777777" w:rsidTr="00D329CB">
        <w:trPr>
          <w:gridAfter w:val="1"/>
          <w:wAfter w:w="8" w:type="dxa"/>
          <w:trHeight w:val="302"/>
        </w:trPr>
        <w:tc>
          <w:tcPr>
            <w:tcW w:w="1576" w:type="dxa"/>
            <w:gridSpan w:val="2"/>
            <w:tcBorders>
              <w:top w:val="nil"/>
              <w:left w:val="single" w:sz="8" w:space="0" w:color="auto"/>
              <w:bottom w:val="single" w:sz="4" w:space="0" w:color="auto"/>
              <w:right w:val="single" w:sz="8" w:space="0" w:color="auto"/>
            </w:tcBorders>
            <w:shd w:val="clear" w:color="auto" w:fill="auto"/>
            <w:vAlign w:val="center"/>
            <w:hideMark/>
          </w:tcPr>
          <w:p w14:paraId="41A2BE38"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Presentación del artículo a la revista</w:t>
            </w:r>
          </w:p>
        </w:tc>
        <w:tc>
          <w:tcPr>
            <w:tcW w:w="1531" w:type="dxa"/>
            <w:gridSpan w:val="2"/>
            <w:tcBorders>
              <w:top w:val="nil"/>
              <w:left w:val="nil"/>
              <w:bottom w:val="single" w:sz="4" w:space="0" w:color="auto"/>
              <w:right w:val="single" w:sz="8" w:space="0" w:color="auto"/>
            </w:tcBorders>
            <w:shd w:val="clear" w:color="auto" w:fill="auto"/>
            <w:vAlign w:val="center"/>
            <w:hideMark/>
          </w:tcPr>
          <w:p w14:paraId="1B683607"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  </w:t>
            </w:r>
            <w:r w:rsidRPr="00294F1A">
              <w:rPr>
                <w:rFonts w:ascii="Arial" w:hAnsi="Arial" w:cs="Arial"/>
                <w:color w:val="000000"/>
              </w:rPr>
              <w:t>Inv. Principal</w:t>
            </w:r>
          </w:p>
        </w:tc>
        <w:tc>
          <w:tcPr>
            <w:tcW w:w="583" w:type="dxa"/>
            <w:tcBorders>
              <w:top w:val="single" w:sz="4" w:space="0" w:color="auto"/>
              <w:left w:val="single" w:sz="8" w:space="0" w:color="auto"/>
              <w:bottom w:val="nil"/>
              <w:right w:val="single" w:sz="8" w:space="0" w:color="auto"/>
            </w:tcBorders>
            <w:shd w:val="clear" w:color="000000" w:fill="C0C0C0"/>
            <w:vAlign w:val="center"/>
            <w:hideMark/>
          </w:tcPr>
          <w:p w14:paraId="07ED6032"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Pr>
                <w:rFonts w:ascii="Arial" w:eastAsia="Times New Roman" w:hAnsi="Arial" w:cs="Arial"/>
                <w:b/>
                <w:bCs/>
                <w:lang w:eastAsia="es-CO"/>
              </w:rPr>
              <w:t>1-11</w:t>
            </w:r>
          </w:p>
        </w:tc>
        <w:tc>
          <w:tcPr>
            <w:tcW w:w="660" w:type="dxa"/>
            <w:gridSpan w:val="2"/>
            <w:tcBorders>
              <w:top w:val="single" w:sz="4" w:space="0" w:color="auto"/>
              <w:left w:val="nil"/>
              <w:bottom w:val="nil"/>
              <w:right w:val="single" w:sz="4" w:space="0" w:color="auto"/>
            </w:tcBorders>
            <w:shd w:val="clear" w:color="000000" w:fill="FF8080"/>
            <w:vAlign w:val="center"/>
            <w:hideMark/>
          </w:tcPr>
          <w:p w14:paraId="389013BD"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31</w:t>
            </w:r>
            <w:r>
              <w:rPr>
                <w:rFonts w:ascii="Arial" w:eastAsia="Times New Roman" w:hAnsi="Arial" w:cs="Arial"/>
                <w:b/>
                <w:bCs/>
                <w:lang w:eastAsia="es-CO"/>
              </w:rPr>
              <w:t>-11</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0A520EA2"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09080F9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nil"/>
            </w:tcBorders>
            <w:shd w:val="clear" w:color="auto" w:fill="auto"/>
            <w:vAlign w:val="center"/>
            <w:hideMark/>
          </w:tcPr>
          <w:p w14:paraId="154A797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65233FE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14580B3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10B3059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3EEA25B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auto"/>
            <w:vAlign w:val="center"/>
            <w:hideMark/>
          </w:tcPr>
          <w:p w14:paraId="37B55EE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hideMark/>
          </w:tcPr>
          <w:p w14:paraId="4406AF1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4F76EF4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60" w:type="dxa"/>
            <w:gridSpan w:val="2"/>
            <w:tcBorders>
              <w:top w:val="nil"/>
              <w:left w:val="nil"/>
              <w:bottom w:val="single" w:sz="4" w:space="0" w:color="auto"/>
              <w:right w:val="nil"/>
            </w:tcBorders>
            <w:shd w:val="clear" w:color="auto" w:fill="auto"/>
            <w:vAlign w:val="center"/>
            <w:hideMark/>
          </w:tcPr>
          <w:p w14:paraId="20C630F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6E503F3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17967E5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0378D92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4E2F339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03DBD95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242DA72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0671BCF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546AFBA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274486F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0AFB6B8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6A590F2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75A747B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53" w:type="dxa"/>
            <w:gridSpan w:val="2"/>
            <w:tcBorders>
              <w:top w:val="nil"/>
              <w:left w:val="nil"/>
              <w:bottom w:val="single" w:sz="4" w:space="0" w:color="auto"/>
              <w:right w:val="nil"/>
            </w:tcBorders>
            <w:shd w:val="clear" w:color="auto" w:fill="auto"/>
            <w:vAlign w:val="center"/>
            <w:hideMark/>
          </w:tcPr>
          <w:p w14:paraId="2D76738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14:paraId="343A98E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4" w:space="0" w:color="auto"/>
            </w:tcBorders>
            <w:shd w:val="clear" w:color="auto" w:fill="auto"/>
            <w:vAlign w:val="center"/>
            <w:hideMark/>
          </w:tcPr>
          <w:p w14:paraId="4708726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single" w:sz="8" w:space="0" w:color="auto"/>
            </w:tcBorders>
            <w:shd w:val="clear" w:color="auto" w:fill="auto"/>
            <w:vAlign w:val="center"/>
            <w:hideMark/>
          </w:tcPr>
          <w:p w14:paraId="2A19411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hideMark/>
          </w:tcPr>
          <w:p w14:paraId="25E201B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nil"/>
              <w:bottom w:val="single" w:sz="4" w:space="0" w:color="auto"/>
              <w:right w:val="nil"/>
            </w:tcBorders>
            <w:shd w:val="clear" w:color="auto" w:fill="auto"/>
            <w:vAlign w:val="center"/>
            <w:hideMark/>
          </w:tcPr>
          <w:p w14:paraId="6A69A45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71D1D6D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1A2D173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5" w:type="dxa"/>
            <w:gridSpan w:val="2"/>
            <w:tcBorders>
              <w:top w:val="nil"/>
              <w:left w:val="nil"/>
              <w:bottom w:val="single" w:sz="4" w:space="0" w:color="auto"/>
              <w:right w:val="nil"/>
            </w:tcBorders>
            <w:shd w:val="clear" w:color="auto" w:fill="auto"/>
            <w:vAlign w:val="center"/>
            <w:hideMark/>
          </w:tcPr>
          <w:p w14:paraId="4EE113C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2BC01E2C"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nil"/>
            </w:tcBorders>
            <w:shd w:val="clear" w:color="auto" w:fill="auto"/>
            <w:vAlign w:val="center"/>
            <w:hideMark/>
          </w:tcPr>
          <w:p w14:paraId="04523AE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61AA7D3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3"/>
            <w:tcBorders>
              <w:top w:val="nil"/>
              <w:left w:val="nil"/>
              <w:bottom w:val="single" w:sz="4" w:space="0" w:color="auto"/>
              <w:right w:val="nil"/>
            </w:tcBorders>
            <w:shd w:val="clear" w:color="auto" w:fill="auto"/>
            <w:vAlign w:val="center"/>
            <w:hideMark/>
          </w:tcPr>
          <w:p w14:paraId="64939EB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0E3DDC7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nil"/>
            </w:tcBorders>
            <w:shd w:val="clear" w:color="auto" w:fill="auto"/>
            <w:vAlign w:val="center"/>
            <w:hideMark/>
          </w:tcPr>
          <w:p w14:paraId="763F2A8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704F557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2E8E503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nil"/>
            </w:tcBorders>
            <w:shd w:val="clear" w:color="auto" w:fill="auto"/>
            <w:vAlign w:val="center"/>
            <w:hideMark/>
          </w:tcPr>
          <w:p w14:paraId="24A8C27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tcBorders>
              <w:top w:val="nil"/>
              <w:left w:val="single" w:sz="4" w:space="0" w:color="auto"/>
              <w:bottom w:val="single" w:sz="4" w:space="0" w:color="auto"/>
              <w:right w:val="nil"/>
            </w:tcBorders>
            <w:shd w:val="clear" w:color="auto" w:fill="auto"/>
            <w:vAlign w:val="center"/>
            <w:hideMark/>
          </w:tcPr>
          <w:p w14:paraId="79396A0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43" w:type="dxa"/>
            <w:gridSpan w:val="2"/>
            <w:tcBorders>
              <w:top w:val="nil"/>
              <w:left w:val="single" w:sz="4" w:space="0" w:color="auto"/>
              <w:bottom w:val="single" w:sz="4" w:space="0" w:color="auto"/>
              <w:right w:val="single" w:sz="8" w:space="0" w:color="auto"/>
            </w:tcBorders>
            <w:shd w:val="clear" w:color="auto" w:fill="auto"/>
            <w:vAlign w:val="center"/>
            <w:hideMark/>
          </w:tcPr>
          <w:p w14:paraId="2AA5991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r>
      <w:tr w:rsidR="006B0D6A" w:rsidRPr="001D6087" w14:paraId="7BCAAB6A" w14:textId="77777777" w:rsidTr="00D329CB">
        <w:trPr>
          <w:trHeight w:val="302"/>
        </w:trPr>
        <w:tc>
          <w:tcPr>
            <w:tcW w:w="1566" w:type="dxa"/>
            <w:tcBorders>
              <w:top w:val="nil"/>
              <w:left w:val="single" w:sz="8" w:space="0" w:color="auto"/>
              <w:bottom w:val="single" w:sz="4" w:space="0" w:color="auto"/>
              <w:right w:val="single" w:sz="8" w:space="0" w:color="auto"/>
            </w:tcBorders>
            <w:shd w:val="clear" w:color="auto" w:fill="auto"/>
            <w:vAlign w:val="center"/>
            <w:hideMark/>
          </w:tcPr>
          <w:p w14:paraId="39AD989F"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hAnsi="Arial" w:cs="Arial"/>
                <w:color w:val="000000"/>
              </w:rPr>
              <w:t xml:space="preserve">Informe final </w:t>
            </w:r>
            <w:proofErr w:type="spellStart"/>
            <w:r w:rsidRPr="00294F1A">
              <w:rPr>
                <w:rFonts w:ascii="Arial" w:hAnsi="Arial" w:cs="Arial"/>
                <w:color w:val="000000"/>
              </w:rPr>
              <w:t>Fodein</w:t>
            </w:r>
            <w:proofErr w:type="spellEnd"/>
          </w:p>
        </w:tc>
        <w:tc>
          <w:tcPr>
            <w:tcW w:w="1523" w:type="dxa"/>
            <w:gridSpan w:val="2"/>
            <w:tcBorders>
              <w:top w:val="nil"/>
              <w:left w:val="nil"/>
              <w:bottom w:val="single" w:sz="4" w:space="0" w:color="auto"/>
              <w:right w:val="single" w:sz="8" w:space="0" w:color="auto"/>
            </w:tcBorders>
            <w:shd w:val="clear" w:color="auto" w:fill="auto"/>
            <w:vAlign w:val="center"/>
            <w:hideMark/>
          </w:tcPr>
          <w:p w14:paraId="53C4E334" w14:textId="77777777" w:rsidR="006B0D6A" w:rsidRPr="001D6087" w:rsidRDefault="006B0D6A" w:rsidP="002B4C9A">
            <w:pPr>
              <w:spacing w:after="0" w:line="240" w:lineRule="auto"/>
              <w:rPr>
                <w:rFonts w:ascii="Arial" w:eastAsia="Times New Roman" w:hAnsi="Arial" w:cs="Arial"/>
                <w:sz w:val="20"/>
                <w:szCs w:val="20"/>
                <w:lang w:eastAsia="es-CO"/>
              </w:rPr>
            </w:pPr>
            <w:r w:rsidRPr="00294F1A">
              <w:rPr>
                <w:rFonts w:ascii="Arial" w:eastAsia="Times New Roman" w:hAnsi="Arial" w:cs="Arial"/>
                <w:lang w:eastAsia="es-CO"/>
              </w:rPr>
              <w:t>  </w:t>
            </w:r>
            <w:r w:rsidRPr="00294F1A">
              <w:rPr>
                <w:rFonts w:ascii="Arial" w:hAnsi="Arial" w:cs="Arial"/>
                <w:color w:val="000000"/>
              </w:rPr>
              <w:t>Inv. Principal</w:t>
            </w:r>
          </w:p>
        </w:tc>
        <w:tc>
          <w:tcPr>
            <w:tcW w:w="615" w:type="dxa"/>
            <w:gridSpan w:val="3"/>
            <w:tcBorders>
              <w:top w:val="single" w:sz="4" w:space="0" w:color="auto"/>
              <w:left w:val="single" w:sz="8" w:space="0" w:color="auto"/>
              <w:bottom w:val="single" w:sz="4" w:space="0" w:color="auto"/>
              <w:right w:val="single" w:sz="8" w:space="0" w:color="auto"/>
            </w:tcBorders>
            <w:shd w:val="clear" w:color="000000" w:fill="C0C0C0"/>
            <w:vAlign w:val="center"/>
            <w:hideMark/>
          </w:tcPr>
          <w:p w14:paraId="434D1AC1"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1</w:t>
            </w:r>
            <w:r>
              <w:rPr>
                <w:rFonts w:ascii="Arial" w:eastAsia="Times New Roman" w:hAnsi="Arial" w:cs="Arial"/>
                <w:b/>
                <w:bCs/>
                <w:lang w:eastAsia="es-CO"/>
              </w:rPr>
              <w:t>-11</w:t>
            </w:r>
          </w:p>
        </w:tc>
        <w:tc>
          <w:tcPr>
            <w:tcW w:w="698" w:type="dxa"/>
            <w:gridSpan w:val="2"/>
            <w:tcBorders>
              <w:top w:val="single" w:sz="4" w:space="0" w:color="auto"/>
              <w:left w:val="nil"/>
              <w:bottom w:val="single" w:sz="4" w:space="0" w:color="auto"/>
              <w:right w:val="single" w:sz="4" w:space="0" w:color="auto"/>
            </w:tcBorders>
            <w:shd w:val="clear" w:color="000000" w:fill="FF8080"/>
            <w:vAlign w:val="center"/>
            <w:hideMark/>
          </w:tcPr>
          <w:p w14:paraId="0008484A" w14:textId="77777777" w:rsidR="006B0D6A" w:rsidRPr="001D6087" w:rsidRDefault="006B0D6A" w:rsidP="002B4C9A">
            <w:pPr>
              <w:spacing w:after="0" w:line="240" w:lineRule="auto"/>
              <w:jc w:val="center"/>
              <w:rPr>
                <w:rFonts w:ascii="Arial" w:eastAsia="Times New Roman" w:hAnsi="Arial" w:cs="Arial"/>
                <w:b/>
                <w:bCs/>
                <w:sz w:val="14"/>
                <w:szCs w:val="14"/>
                <w:lang w:eastAsia="es-CO"/>
              </w:rPr>
            </w:pPr>
            <w:r w:rsidRPr="00294F1A">
              <w:rPr>
                <w:rFonts w:ascii="Arial" w:eastAsia="Times New Roman" w:hAnsi="Arial" w:cs="Arial"/>
                <w:b/>
                <w:bCs/>
                <w:lang w:eastAsia="es-CO"/>
              </w:rPr>
              <w:t>31</w:t>
            </w:r>
            <w:r>
              <w:rPr>
                <w:rFonts w:ascii="Arial" w:eastAsia="Times New Roman" w:hAnsi="Arial" w:cs="Arial"/>
                <w:b/>
                <w:bCs/>
                <w:lang w:eastAsia="es-CO"/>
              </w:rPr>
              <w:t>-11</w:t>
            </w:r>
          </w:p>
        </w:tc>
        <w:tc>
          <w:tcPr>
            <w:tcW w:w="194" w:type="dxa"/>
            <w:gridSpan w:val="2"/>
            <w:tcBorders>
              <w:top w:val="nil"/>
              <w:left w:val="single" w:sz="4" w:space="0" w:color="auto"/>
              <w:bottom w:val="nil"/>
              <w:right w:val="single" w:sz="4" w:space="0" w:color="auto"/>
            </w:tcBorders>
            <w:shd w:val="diagCross" w:color="000000" w:fill="C0C0C0"/>
            <w:vAlign w:val="center"/>
            <w:hideMark/>
          </w:tcPr>
          <w:p w14:paraId="58CA011E" w14:textId="77777777" w:rsidR="006B0D6A" w:rsidRPr="001D6087" w:rsidRDefault="006B0D6A" w:rsidP="002B4C9A">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42" w:type="dxa"/>
            <w:gridSpan w:val="2"/>
            <w:tcBorders>
              <w:top w:val="nil"/>
              <w:left w:val="single" w:sz="8" w:space="0" w:color="auto"/>
              <w:bottom w:val="single" w:sz="4" w:space="0" w:color="auto"/>
              <w:right w:val="nil"/>
            </w:tcBorders>
            <w:shd w:val="clear" w:color="auto" w:fill="auto"/>
            <w:vAlign w:val="center"/>
            <w:hideMark/>
          </w:tcPr>
          <w:p w14:paraId="5899CB9E"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nil"/>
            </w:tcBorders>
            <w:shd w:val="clear" w:color="auto" w:fill="auto"/>
            <w:vAlign w:val="center"/>
            <w:hideMark/>
          </w:tcPr>
          <w:p w14:paraId="1F254D3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single" w:sz="4" w:space="0" w:color="auto"/>
            </w:tcBorders>
            <w:shd w:val="clear" w:color="auto" w:fill="auto"/>
            <w:vAlign w:val="center"/>
            <w:hideMark/>
          </w:tcPr>
          <w:p w14:paraId="750FB7C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8" w:space="0" w:color="auto"/>
            </w:tcBorders>
            <w:shd w:val="clear" w:color="auto" w:fill="auto"/>
            <w:vAlign w:val="center"/>
            <w:hideMark/>
          </w:tcPr>
          <w:p w14:paraId="770B339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nil"/>
            </w:tcBorders>
            <w:shd w:val="clear" w:color="auto" w:fill="auto"/>
            <w:vAlign w:val="center"/>
            <w:hideMark/>
          </w:tcPr>
          <w:p w14:paraId="03C765C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single" w:sz="4" w:space="0" w:color="auto"/>
            </w:tcBorders>
            <w:shd w:val="clear" w:color="auto" w:fill="auto"/>
            <w:vAlign w:val="center"/>
            <w:hideMark/>
          </w:tcPr>
          <w:p w14:paraId="13992EA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4" w:space="0" w:color="auto"/>
            </w:tcBorders>
            <w:shd w:val="clear" w:color="auto" w:fill="auto"/>
            <w:vAlign w:val="center"/>
            <w:hideMark/>
          </w:tcPr>
          <w:p w14:paraId="769EC96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8" w:space="0" w:color="auto"/>
            </w:tcBorders>
            <w:shd w:val="clear" w:color="auto" w:fill="auto"/>
            <w:vAlign w:val="center"/>
            <w:hideMark/>
          </w:tcPr>
          <w:p w14:paraId="44A24CD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nil"/>
            </w:tcBorders>
            <w:shd w:val="clear" w:color="auto" w:fill="auto"/>
            <w:vAlign w:val="center"/>
            <w:hideMark/>
          </w:tcPr>
          <w:p w14:paraId="216B944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69" w:type="dxa"/>
            <w:gridSpan w:val="2"/>
            <w:tcBorders>
              <w:top w:val="nil"/>
              <w:left w:val="nil"/>
              <w:bottom w:val="single" w:sz="4" w:space="0" w:color="auto"/>
              <w:right w:val="nil"/>
            </w:tcBorders>
            <w:shd w:val="clear" w:color="auto" w:fill="auto"/>
            <w:vAlign w:val="center"/>
            <w:hideMark/>
          </w:tcPr>
          <w:p w14:paraId="3724210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single" w:sz="4" w:space="0" w:color="auto"/>
            </w:tcBorders>
            <w:shd w:val="clear" w:color="auto" w:fill="auto"/>
            <w:vAlign w:val="center"/>
            <w:hideMark/>
          </w:tcPr>
          <w:p w14:paraId="00144DC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4" w:space="0" w:color="auto"/>
            </w:tcBorders>
            <w:shd w:val="clear" w:color="auto" w:fill="auto"/>
            <w:vAlign w:val="center"/>
            <w:hideMark/>
          </w:tcPr>
          <w:p w14:paraId="25F8C0A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8" w:space="0" w:color="auto"/>
            </w:tcBorders>
            <w:shd w:val="clear" w:color="auto" w:fill="auto"/>
            <w:vAlign w:val="center"/>
            <w:hideMark/>
          </w:tcPr>
          <w:p w14:paraId="5302CB90"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4" w:space="0" w:color="auto"/>
            </w:tcBorders>
            <w:shd w:val="clear" w:color="auto" w:fill="auto"/>
            <w:vAlign w:val="center"/>
            <w:hideMark/>
          </w:tcPr>
          <w:p w14:paraId="2D482A1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nil"/>
            </w:tcBorders>
            <w:shd w:val="clear" w:color="auto" w:fill="auto"/>
            <w:vAlign w:val="center"/>
            <w:hideMark/>
          </w:tcPr>
          <w:p w14:paraId="4483282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nil"/>
            </w:tcBorders>
            <w:shd w:val="clear" w:color="auto" w:fill="auto"/>
            <w:vAlign w:val="center"/>
            <w:hideMark/>
          </w:tcPr>
          <w:p w14:paraId="76A7D5F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14:paraId="1FC8BD0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nil"/>
            </w:tcBorders>
            <w:shd w:val="clear" w:color="auto" w:fill="auto"/>
            <w:vAlign w:val="center"/>
            <w:hideMark/>
          </w:tcPr>
          <w:p w14:paraId="73095E7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single" w:sz="4" w:space="0" w:color="auto"/>
            </w:tcBorders>
            <w:shd w:val="clear" w:color="auto" w:fill="auto"/>
            <w:vAlign w:val="center"/>
            <w:hideMark/>
          </w:tcPr>
          <w:p w14:paraId="497A8ED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4" w:space="0" w:color="auto"/>
            </w:tcBorders>
            <w:shd w:val="clear" w:color="auto" w:fill="auto"/>
            <w:vAlign w:val="center"/>
            <w:hideMark/>
          </w:tcPr>
          <w:p w14:paraId="7DC5C4C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8" w:space="0" w:color="auto"/>
            </w:tcBorders>
            <w:shd w:val="clear" w:color="auto" w:fill="auto"/>
            <w:vAlign w:val="center"/>
            <w:hideMark/>
          </w:tcPr>
          <w:p w14:paraId="271A48B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79" w:type="dxa"/>
            <w:gridSpan w:val="3"/>
            <w:tcBorders>
              <w:top w:val="nil"/>
              <w:left w:val="nil"/>
              <w:bottom w:val="single" w:sz="4" w:space="0" w:color="auto"/>
              <w:right w:val="nil"/>
            </w:tcBorders>
            <w:shd w:val="clear" w:color="auto" w:fill="auto"/>
            <w:vAlign w:val="center"/>
            <w:hideMark/>
          </w:tcPr>
          <w:p w14:paraId="3663EF8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154" w:type="dxa"/>
            <w:gridSpan w:val="2"/>
            <w:tcBorders>
              <w:top w:val="nil"/>
              <w:left w:val="nil"/>
              <w:bottom w:val="single" w:sz="4" w:space="0" w:color="auto"/>
              <w:right w:val="nil"/>
            </w:tcBorders>
            <w:shd w:val="clear" w:color="auto" w:fill="auto"/>
            <w:vAlign w:val="center"/>
            <w:hideMark/>
          </w:tcPr>
          <w:p w14:paraId="32E96C48"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single" w:sz="4" w:space="0" w:color="auto"/>
            </w:tcBorders>
            <w:shd w:val="clear" w:color="auto" w:fill="auto"/>
            <w:vAlign w:val="center"/>
            <w:hideMark/>
          </w:tcPr>
          <w:p w14:paraId="3FEBD64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4" w:space="0" w:color="auto"/>
            </w:tcBorders>
            <w:shd w:val="clear" w:color="auto" w:fill="auto"/>
            <w:vAlign w:val="center"/>
            <w:hideMark/>
          </w:tcPr>
          <w:p w14:paraId="55875C1F"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single" w:sz="8" w:space="0" w:color="auto"/>
            </w:tcBorders>
            <w:shd w:val="clear" w:color="auto" w:fill="auto"/>
            <w:vAlign w:val="center"/>
            <w:hideMark/>
          </w:tcPr>
          <w:p w14:paraId="44E5E94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79" w:type="dxa"/>
            <w:gridSpan w:val="3"/>
            <w:tcBorders>
              <w:top w:val="nil"/>
              <w:left w:val="nil"/>
              <w:bottom w:val="single" w:sz="4" w:space="0" w:color="auto"/>
              <w:right w:val="single" w:sz="4" w:space="0" w:color="auto"/>
            </w:tcBorders>
            <w:shd w:val="clear" w:color="auto" w:fill="auto"/>
            <w:vAlign w:val="center"/>
            <w:hideMark/>
          </w:tcPr>
          <w:p w14:paraId="43341939"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13" w:type="dxa"/>
            <w:gridSpan w:val="2"/>
            <w:tcBorders>
              <w:top w:val="nil"/>
              <w:left w:val="nil"/>
              <w:bottom w:val="single" w:sz="4" w:space="0" w:color="auto"/>
              <w:right w:val="nil"/>
            </w:tcBorders>
            <w:shd w:val="clear" w:color="auto" w:fill="auto"/>
            <w:vAlign w:val="center"/>
            <w:hideMark/>
          </w:tcPr>
          <w:p w14:paraId="40B868EA"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nil"/>
            </w:tcBorders>
            <w:shd w:val="clear" w:color="auto" w:fill="auto"/>
            <w:vAlign w:val="center"/>
            <w:hideMark/>
          </w:tcPr>
          <w:p w14:paraId="7D9D9E3D"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14:paraId="22CC841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52" w:type="dxa"/>
            <w:gridSpan w:val="2"/>
            <w:tcBorders>
              <w:top w:val="nil"/>
              <w:left w:val="nil"/>
              <w:bottom w:val="single" w:sz="4" w:space="0" w:color="auto"/>
              <w:right w:val="nil"/>
            </w:tcBorders>
            <w:shd w:val="clear" w:color="auto" w:fill="auto"/>
            <w:vAlign w:val="center"/>
            <w:hideMark/>
          </w:tcPr>
          <w:p w14:paraId="1AF36E6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nil"/>
            </w:tcBorders>
            <w:shd w:val="clear" w:color="auto" w:fill="auto"/>
            <w:vAlign w:val="center"/>
            <w:hideMark/>
          </w:tcPr>
          <w:p w14:paraId="07DEF9F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nil"/>
              <w:bottom w:val="single" w:sz="4" w:space="0" w:color="auto"/>
              <w:right w:val="nil"/>
            </w:tcBorders>
            <w:shd w:val="clear" w:color="auto" w:fill="auto"/>
            <w:vAlign w:val="center"/>
            <w:hideMark/>
          </w:tcPr>
          <w:p w14:paraId="1027B047"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14:paraId="5DA254D4"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tcBorders>
              <w:top w:val="nil"/>
              <w:left w:val="nil"/>
              <w:bottom w:val="single" w:sz="4" w:space="0" w:color="auto"/>
              <w:right w:val="nil"/>
            </w:tcBorders>
            <w:shd w:val="clear" w:color="auto" w:fill="auto"/>
            <w:vAlign w:val="center"/>
            <w:hideMark/>
          </w:tcPr>
          <w:p w14:paraId="379D3C5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nil"/>
            </w:tcBorders>
            <w:shd w:val="clear" w:color="auto" w:fill="auto"/>
            <w:vAlign w:val="center"/>
            <w:hideMark/>
          </w:tcPr>
          <w:p w14:paraId="2620514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nil"/>
            </w:tcBorders>
            <w:shd w:val="clear" w:color="auto" w:fill="auto"/>
            <w:vAlign w:val="center"/>
            <w:hideMark/>
          </w:tcPr>
          <w:p w14:paraId="40DA3CA6"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14:paraId="0F5586D2"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hideMark/>
          </w:tcPr>
          <w:p w14:paraId="5F21E9F3"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50" w:type="dxa"/>
            <w:gridSpan w:val="2"/>
            <w:tcBorders>
              <w:top w:val="nil"/>
              <w:left w:val="single" w:sz="4" w:space="0" w:color="auto"/>
              <w:bottom w:val="single" w:sz="4" w:space="0" w:color="auto"/>
              <w:right w:val="nil"/>
            </w:tcBorders>
            <w:shd w:val="clear" w:color="auto" w:fill="auto"/>
            <w:vAlign w:val="center"/>
            <w:hideMark/>
          </w:tcPr>
          <w:p w14:paraId="3318E9F1"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50" w:type="dxa"/>
            <w:gridSpan w:val="3"/>
            <w:tcBorders>
              <w:top w:val="nil"/>
              <w:left w:val="single" w:sz="4" w:space="0" w:color="auto"/>
              <w:bottom w:val="single" w:sz="4" w:space="0" w:color="auto"/>
              <w:right w:val="nil"/>
            </w:tcBorders>
            <w:shd w:val="clear" w:color="auto" w:fill="auto"/>
            <w:vAlign w:val="center"/>
            <w:hideMark/>
          </w:tcPr>
          <w:p w14:paraId="5DD39425"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c>
          <w:tcPr>
            <w:tcW w:w="250" w:type="dxa"/>
            <w:gridSpan w:val="2"/>
            <w:tcBorders>
              <w:top w:val="nil"/>
              <w:left w:val="single" w:sz="4" w:space="0" w:color="auto"/>
              <w:bottom w:val="single" w:sz="4" w:space="0" w:color="auto"/>
              <w:right w:val="single" w:sz="8" w:space="0" w:color="auto"/>
            </w:tcBorders>
            <w:shd w:val="clear" w:color="auto" w:fill="auto"/>
            <w:vAlign w:val="center"/>
            <w:hideMark/>
          </w:tcPr>
          <w:p w14:paraId="18E7483B" w14:textId="77777777" w:rsidR="006B0D6A" w:rsidRPr="001D6087" w:rsidRDefault="006B0D6A" w:rsidP="002B4C9A">
            <w:pPr>
              <w:spacing w:after="0" w:line="240" w:lineRule="auto"/>
              <w:jc w:val="center"/>
              <w:rPr>
                <w:rFonts w:ascii="Bodoni MT Condensed" w:eastAsia="Times New Roman" w:hAnsi="Bodoni MT Condensed" w:cs="Arial"/>
                <w:sz w:val="16"/>
                <w:szCs w:val="16"/>
                <w:lang w:eastAsia="es-CO"/>
              </w:rPr>
            </w:pPr>
            <w:r w:rsidRPr="00294F1A">
              <w:rPr>
                <w:rFonts w:ascii="Arial" w:eastAsia="Times New Roman" w:hAnsi="Arial" w:cs="Arial"/>
                <w:lang w:eastAsia="es-CO"/>
              </w:rPr>
              <w:t>x</w:t>
            </w:r>
          </w:p>
        </w:tc>
      </w:tr>
    </w:tbl>
    <w:p w14:paraId="2DAB80DD" w14:textId="77777777" w:rsidR="006B0D6A" w:rsidRPr="00294F1A" w:rsidRDefault="006B0D6A" w:rsidP="00187025">
      <w:pPr>
        <w:spacing w:after="0" w:line="240" w:lineRule="auto"/>
        <w:rPr>
          <w:rFonts w:ascii="Arial" w:eastAsia="Times New Roman" w:hAnsi="Arial" w:cs="Arial"/>
          <w:b/>
          <w:sz w:val="24"/>
          <w:szCs w:val="24"/>
          <w:lang w:eastAsia="es-CO"/>
        </w:rPr>
      </w:pPr>
    </w:p>
    <w:tbl>
      <w:tblPr>
        <w:tblpPr w:leftFromText="141" w:rightFromText="141" w:vertAnchor="page" w:horzAnchor="margin" w:tblpY="6277"/>
        <w:tblOverlap w:val="never"/>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6B0D6A" w14:paraId="6A37779F" w14:textId="77777777" w:rsidTr="006B0D6A">
        <w:trPr>
          <w:trHeight w:val="194"/>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519BFC7E"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8323C12"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6B0D6A" w14:paraId="698F6232" w14:textId="77777777" w:rsidTr="006B0D6A">
        <w:trPr>
          <w:trHeight w:val="194"/>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6CF4FCFB"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D9A0A72"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6B0D6A" w14:paraId="3795F308" w14:textId="77777777" w:rsidTr="006B0D6A">
        <w:trPr>
          <w:trHeight w:val="206"/>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CB70D81"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58DD292"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CD41A88"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00AB809"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264308F0"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4BAA697" w14:textId="77777777" w:rsidR="006B0D6A" w:rsidRDefault="006B0D6A" w:rsidP="006B0D6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6B0D6A" w14:paraId="26C13790" w14:textId="77777777" w:rsidTr="006B0D6A">
        <w:trPr>
          <w:trHeight w:val="471"/>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E993D45"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D03EDC"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Clara Inés Jaramillo Gaviria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0839A3"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981981"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14:paraId="371723EF"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Bogotá-Principal</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14:paraId="0DCA58E6"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$15.000.000</w:t>
            </w:r>
          </w:p>
        </w:tc>
      </w:tr>
      <w:tr w:rsidR="006B0D6A" w14:paraId="445E99FE" w14:textId="77777777" w:rsidTr="006B0D6A">
        <w:trPr>
          <w:trHeight w:val="215"/>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D7D5824"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AB4C33"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bCs/>
                <w:color w:val="222222"/>
                <w:sz w:val="24"/>
                <w:szCs w:val="24"/>
                <w:lang w:eastAsia="es-CO"/>
              </w:rPr>
              <w:t>Jeison Andrés Cardona Zuluaga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970251"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40A356"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14:paraId="68C6DFC6"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Bogotá-Principal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839E59"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sz w:val="24"/>
                <w:szCs w:val="24"/>
                <w:lang w:eastAsia="es-CO"/>
              </w:rPr>
              <w:t>$5.663.750</w:t>
            </w:r>
          </w:p>
        </w:tc>
      </w:tr>
      <w:tr w:rsidR="006B0D6A" w14:paraId="3C298618" w14:textId="77777777" w:rsidTr="006B0D6A">
        <w:trPr>
          <w:trHeight w:val="218"/>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7C46810F" w14:textId="77777777" w:rsidR="006B0D6A" w:rsidRPr="00D66040" w:rsidRDefault="006B0D6A" w:rsidP="006B0D6A">
            <w:pPr>
              <w:spacing w:after="0"/>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D209D8"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proofErr w:type="spellStart"/>
            <w:r w:rsidRPr="00D66040">
              <w:rPr>
                <w:rFonts w:ascii="Arial" w:eastAsia="Times New Roman" w:hAnsi="Arial" w:cs="Arial"/>
                <w:color w:val="222222"/>
                <w:sz w:val="24"/>
                <w:szCs w:val="24"/>
                <w:lang w:eastAsia="es-CO"/>
              </w:rPr>
              <w:t>Kenya</w:t>
            </w:r>
            <w:proofErr w:type="spellEnd"/>
            <w:r w:rsidRPr="00D66040">
              <w:rPr>
                <w:rFonts w:ascii="Arial" w:eastAsia="Times New Roman" w:hAnsi="Arial" w:cs="Arial"/>
                <w:color w:val="222222"/>
                <w:sz w:val="24"/>
                <w:szCs w:val="24"/>
                <w:lang w:eastAsia="es-CO"/>
              </w:rPr>
              <w:t xml:space="preserve"> </w:t>
            </w:r>
            <w:proofErr w:type="spellStart"/>
            <w:r w:rsidRPr="00D66040">
              <w:rPr>
                <w:rFonts w:ascii="Arial" w:eastAsia="Times New Roman" w:hAnsi="Arial" w:cs="Arial"/>
                <w:color w:val="222222"/>
                <w:sz w:val="24"/>
                <w:szCs w:val="24"/>
                <w:lang w:eastAsia="es-CO"/>
              </w:rPr>
              <w:t>Karolina</w:t>
            </w:r>
            <w:proofErr w:type="spellEnd"/>
            <w:r w:rsidRPr="00D66040">
              <w:rPr>
                <w:rFonts w:ascii="Arial" w:eastAsia="Times New Roman" w:hAnsi="Arial" w:cs="Arial"/>
                <w:color w:val="222222"/>
                <w:sz w:val="24"/>
                <w:szCs w:val="24"/>
                <w:lang w:eastAsia="es-CO"/>
              </w:rPr>
              <w:t xml:space="preserve"> Latorre Cañizares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D084CE"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838470"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14:paraId="497C9FF8"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Bogotá-Principal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11BA6B" w14:textId="77777777" w:rsidR="006B0D6A" w:rsidRPr="00D66040" w:rsidRDefault="006B0D6A" w:rsidP="006B0D6A">
            <w:pPr>
              <w:spacing w:after="0" w:line="240" w:lineRule="auto"/>
              <w:jc w:val="center"/>
              <w:rPr>
                <w:rFonts w:ascii="Arial" w:eastAsia="Times New Roman" w:hAnsi="Arial" w:cs="Arial"/>
                <w:color w:val="222222"/>
                <w:sz w:val="24"/>
                <w:szCs w:val="24"/>
                <w:lang w:eastAsia="es-CO"/>
              </w:rPr>
            </w:pPr>
            <w:r w:rsidRPr="00D66040">
              <w:rPr>
                <w:rFonts w:ascii="Arial" w:eastAsia="Times New Roman" w:hAnsi="Arial" w:cs="Arial"/>
                <w:color w:val="222222"/>
                <w:sz w:val="24"/>
                <w:szCs w:val="24"/>
                <w:lang w:eastAsia="es-CO"/>
              </w:rPr>
              <w:t>$6.221.250</w:t>
            </w:r>
          </w:p>
        </w:tc>
      </w:tr>
    </w:tbl>
    <w:tbl>
      <w:tblPr>
        <w:tblStyle w:val="Tablaconcuadrcula"/>
        <w:tblpPr w:leftFromText="141" w:rightFromText="141" w:vertAnchor="text" w:horzAnchor="margin" w:tblpY="48"/>
        <w:tblW w:w="14680" w:type="dxa"/>
        <w:tblLook w:val="04A0" w:firstRow="1" w:lastRow="0" w:firstColumn="1" w:lastColumn="0" w:noHBand="0" w:noVBand="1"/>
      </w:tblPr>
      <w:tblGrid>
        <w:gridCol w:w="1855"/>
        <w:gridCol w:w="5370"/>
        <w:gridCol w:w="2835"/>
        <w:gridCol w:w="1213"/>
        <w:gridCol w:w="1821"/>
        <w:gridCol w:w="35"/>
        <w:gridCol w:w="1527"/>
        <w:gridCol w:w="24"/>
      </w:tblGrid>
      <w:tr w:rsidR="00851A8D" w14:paraId="42EA806B" w14:textId="77777777" w:rsidTr="00851A8D">
        <w:trPr>
          <w:gridAfter w:val="1"/>
          <w:wAfter w:w="24" w:type="dxa"/>
          <w:trHeight w:val="703"/>
        </w:trPr>
        <w:tc>
          <w:tcPr>
            <w:tcW w:w="185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3E179BB" w14:textId="77777777" w:rsidR="00851A8D" w:rsidRPr="00D66040" w:rsidRDefault="00851A8D" w:rsidP="00851A8D">
            <w:pPr>
              <w:ind w:left="-108" w:right="-108"/>
              <w:jc w:val="center"/>
              <w:rPr>
                <w:rFonts w:ascii="Arial" w:hAnsi="Arial" w:cs="Arial"/>
                <w:b/>
                <w:sz w:val="24"/>
                <w:szCs w:val="24"/>
              </w:rPr>
            </w:pPr>
            <w:r w:rsidRPr="00D66040">
              <w:rPr>
                <w:rFonts w:ascii="Arial" w:hAnsi="Arial" w:cs="Arial"/>
                <w:b/>
                <w:sz w:val="24"/>
                <w:szCs w:val="24"/>
              </w:rPr>
              <w:t>FINANCIACIÓN</w:t>
            </w:r>
          </w:p>
        </w:tc>
        <w:tc>
          <w:tcPr>
            <w:tcW w:w="53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C07E64E" w14:textId="77777777" w:rsidR="00851A8D" w:rsidRPr="00D66040" w:rsidRDefault="00851A8D" w:rsidP="00851A8D">
            <w:pPr>
              <w:jc w:val="center"/>
              <w:rPr>
                <w:rFonts w:ascii="Arial" w:hAnsi="Arial" w:cs="Arial"/>
                <w:b/>
                <w:sz w:val="24"/>
                <w:szCs w:val="24"/>
              </w:rPr>
            </w:pPr>
            <w:r w:rsidRPr="00D66040">
              <w:rPr>
                <w:rFonts w:ascii="Arial" w:hAnsi="Arial" w:cs="Arial"/>
                <w:b/>
                <w:sz w:val="24"/>
                <w:szCs w:val="24"/>
              </w:rPr>
              <w:t>RECURSO</w:t>
            </w:r>
          </w:p>
        </w:tc>
        <w:tc>
          <w:tcPr>
            <w:tcW w:w="2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61B2358" w14:textId="77777777" w:rsidR="00851A8D" w:rsidRPr="00D66040" w:rsidRDefault="00851A8D" w:rsidP="00851A8D">
            <w:pPr>
              <w:jc w:val="center"/>
              <w:rPr>
                <w:rFonts w:ascii="Arial" w:hAnsi="Arial" w:cs="Arial"/>
                <w:b/>
                <w:sz w:val="24"/>
                <w:szCs w:val="24"/>
              </w:rPr>
            </w:pPr>
            <w:r w:rsidRPr="00D66040">
              <w:rPr>
                <w:rFonts w:ascii="Arial" w:hAnsi="Arial" w:cs="Arial"/>
                <w:b/>
                <w:sz w:val="24"/>
                <w:szCs w:val="24"/>
              </w:rPr>
              <w:t>DESCRIPCIÓN</w:t>
            </w:r>
          </w:p>
        </w:tc>
        <w:tc>
          <w:tcPr>
            <w:tcW w:w="12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A2794C0" w14:textId="77777777" w:rsidR="00851A8D" w:rsidRPr="00D66040" w:rsidRDefault="00851A8D" w:rsidP="00851A8D">
            <w:pPr>
              <w:spacing w:before="100" w:beforeAutospacing="1" w:after="100" w:afterAutospacing="1"/>
              <w:jc w:val="center"/>
              <w:rPr>
                <w:rFonts w:ascii="Arial" w:eastAsia="Times New Roman" w:hAnsi="Arial" w:cs="Arial"/>
                <w:b/>
                <w:bCs/>
                <w:color w:val="222222"/>
                <w:sz w:val="24"/>
                <w:szCs w:val="24"/>
                <w:lang w:eastAsia="es-CO"/>
              </w:rPr>
            </w:pPr>
            <w:r w:rsidRPr="00D66040">
              <w:rPr>
                <w:rFonts w:ascii="Arial" w:eastAsia="Times New Roman" w:hAnsi="Arial" w:cs="Arial"/>
                <w:b/>
                <w:bCs/>
                <w:color w:val="222222"/>
                <w:sz w:val="24"/>
                <w:szCs w:val="24"/>
                <w:lang w:eastAsia="es-CO"/>
              </w:rPr>
              <w:t>Valor partida</w:t>
            </w:r>
          </w:p>
        </w:tc>
        <w:tc>
          <w:tcPr>
            <w:tcW w:w="182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B8262EA" w14:textId="77777777" w:rsidR="00851A8D" w:rsidRPr="00D66040" w:rsidRDefault="00851A8D" w:rsidP="00851A8D">
            <w:pPr>
              <w:spacing w:before="100" w:beforeAutospacing="1" w:after="100" w:afterAutospacing="1"/>
              <w:jc w:val="center"/>
              <w:rPr>
                <w:rFonts w:ascii="Arial" w:eastAsia="Times New Roman" w:hAnsi="Arial" w:cs="Arial"/>
                <w:b/>
                <w:bCs/>
                <w:color w:val="222222"/>
                <w:sz w:val="24"/>
                <w:szCs w:val="24"/>
                <w:lang w:eastAsia="es-CO"/>
              </w:rPr>
            </w:pPr>
            <w:r w:rsidRPr="00D66040">
              <w:rPr>
                <w:rFonts w:ascii="Arial" w:eastAsia="Times New Roman" w:hAnsi="Arial" w:cs="Arial"/>
                <w:b/>
                <w:bCs/>
                <w:color w:val="222222"/>
                <w:sz w:val="24"/>
                <w:szCs w:val="24"/>
                <w:lang w:eastAsia="es-CO"/>
              </w:rPr>
              <w:t>Valor contrapartida (Externa)</w:t>
            </w:r>
          </w:p>
        </w:tc>
        <w:tc>
          <w:tcPr>
            <w:tcW w:w="156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4198AB0" w14:textId="77777777" w:rsidR="00851A8D" w:rsidRPr="00D66040" w:rsidRDefault="00851A8D" w:rsidP="00851A8D">
            <w:pPr>
              <w:spacing w:before="100" w:beforeAutospacing="1" w:after="100" w:afterAutospacing="1"/>
              <w:jc w:val="center"/>
              <w:rPr>
                <w:rFonts w:ascii="Arial" w:eastAsia="Times New Roman" w:hAnsi="Arial" w:cs="Arial"/>
                <w:b/>
                <w:bCs/>
                <w:color w:val="222222"/>
                <w:sz w:val="24"/>
                <w:szCs w:val="24"/>
                <w:lang w:eastAsia="es-CO"/>
              </w:rPr>
            </w:pPr>
            <w:r w:rsidRPr="00D66040">
              <w:rPr>
                <w:rFonts w:ascii="Arial" w:eastAsia="Times New Roman" w:hAnsi="Arial" w:cs="Arial"/>
                <w:b/>
                <w:bCs/>
                <w:color w:val="222222"/>
                <w:sz w:val="24"/>
                <w:szCs w:val="24"/>
                <w:lang w:eastAsia="es-CO"/>
              </w:rPr>
              <w:t>Total ($)</w:t>
            </w:r>
          </w:p>
        </w:tc>
      </w:tr>
      <w:tr w:rsidR="00851A8D" w14:paraId="505FE56D" w14:textId="77777777" w:rsidTr="00851A8D">
        <w:trPr>
          <w:gridAfter w:val="1"/>
          <w:wAfter w:w="24" w:type="dxa"/>
          <w:trHeight w:val="148"/>
        </w:trPr>
        <w:tc>
          <w:tcPr>
            <w:tcW w:w="1855" w:type="dxa"/>
            <w:vMerge w:val="restart"/>
            <w:tcBorders>
              <w:top w:val="single" w:sz="4" w:space="0" w:color="auto"/>
              <w:left w:val="single" w:sz="4" w:space="0" w:color="auto"/>
              <w:bottom w:val="single" w:sz="4" w:space="0" w:color="auto"/>
              <w:right w:val="single" w:sz="4" w:space="0" w:color="auto"/>
            </w:tcBorders>
            <w:vAlign w:val="center"/>
            <w:hideMark/>
          </w:tcPr>
          <w:p w14:paraId="394D53BA" w14:textId="77777777" w:rsidR="00851A8D" w:rsidRPr="00D66040" w:rsidRDefault="00851A8D" w:rsidP="00851A8D">
            <w:pPr>
              <w:jc w:val="center"/>
              <w:rPr>
                <w:rFonts w:ascii="Arial" w:hAnsi="Arial" w:cs="Arial"/>
                <w:b/>
                <w:sz w:val="24"/>
                <w:szCs w:val="24"/>
              </w:rPr>
            </w:pPr>
            <w:r w:rsidRPr="00D66040">
              <w:rPr>
                <w:rFonts w:ascii="Arial" w:hAnsi="Arial" w:cs="Arial"/>
                <w:b/>
                <w:sz w:val="24"/>
                <w:szCs w:val="24"/>
              </w:rPr>
              <w:t>RUBROS</w:t>
            </w:r>
          </w:p>
        </w:tc>
        <w:tc>
          <w:tcPr>
            <w:tcW w:w="5370" w:type="dxa"/>
            <w:tcBorders>
              <w:top w:val="single" w:sz="4" w:space="0" w:color="auto"/>
              <w:left w:val="single" w:sz="4" w:space="0" w:color="auto"/>
              <w:bottom w:val="single" w:sz="4" w:space="0" w:color="auto"/>
              <w:right w:val="single" w:sz="4" w:space="0" w:color="auto"/>
            </w:tcBorders>
            <w:vAlign w:val="center"/>
            <w:hideMark/>
          </w:tcPr>
          <w:p w14:paraId="6691CBA7"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Servicios Técnicos</w:t>
            </w:r>
          </w:p>
        </w:tc>
        <w:tc>
          <w:tcPr>
            <w:tcW w:w="2835" w:type="dxa"/>
            <w:tcBorders>
              <w:top w:val="single" w:sz="4" w:space="0" w:color="auto"/>
              <w:left w:val="single" w:sz="4" w:space="0" w:color="auto"/>
              <w:bottom w:val="single" w:sz="4" w:space="0" w:color="auto"/>
              <w:right w:val="single" w:sz="4" w:space="0" w:color="auto"/>
            </w:tcBorders>
            <w:vAlign w:val="center"/>
          </w:tcPr>
          <w:p w14:paraId="023EB1A5" w14:textId="77777777" w:rsidR="00851A8D" w:rsidRPr="00D66040" w:rsidRDefault="00851A8D" w:rsidP="00851A8D">
            <w:pPr>
              <w:jc w:val="both"/>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3A31B09A"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1F50DD7D"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hideMark/>
          </w:tcPr>
          <w:p w14:paraId="7C4DD135"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43A559DA" w14:textId="77777777" w:rsidTr="00851A8D">
        <w:trPr>
          <w:gridAfter w:val="1"/>
          <w:wAfter w:w="24" w:type="dxa"/>
          <w:trHeight w:val="294"/>
        </w:trPr>
        <w:tc>
          <w:tcPr>
            <w:tcW w:w="1855" w:type="dxa"/>
            <w:vMerge/>
            <w:tcBorders>
              <w:top w:val="single" w:sz="4" w:space="0" w:color="auto"/>
              <w:left w:val="single" w:sz="4" w:space="0" w:color="auto"/>
              <w:bottom w:val="single" w:sz="4" w:space="0" w:color="auto"/>
              <w:right w:val="single" w:sz="4" w:space="0" w:color="auto"/>
            </w:tcBorders>
            <w:vAlign w:val="center"/>
            <w:hideMark/>
          </w:tcPr>
          <w:p w14:paraId="09F15427" w14:textId="77777777" w:rsidR="00851A8D" w:rsidRPr="00D66040" w:rsidRDefault="00851A8D" w:rsidP="00851A8D">
            <w:pPr>
              <w:rPr>
                <w:rFonts w:ascii="Arial" w:hAnsi="Arial" w:cs="Arial"/>
                <w:b/>
                <w:sz w:val="24"/>
                <w:szCs w:val="24"/>
              </w:rPr>
            </w:pPr>
          </w:p>
        </w:tc>
        <w:tc>
          <w:tcPr>
            <w:tcW w:w="5370" w:type="dxa"/>
            <w:tcBorders>
              <w:top w:val="single" w:sz="4" w:space="0" w:color="auto"/>
              <w:left w:val="single" w:sz="4" w:space="0" w:color="auto"/>
              <w:bottom w:val="single" w:sz="4" w:space="0" w:color="auto"/>
              <w:right w:val="single" w:sz="4" w:space="0" w:color="auto"/>
            </w:tcBorders>
            <w:vAlign w:val="center"/>
            <w:hideMark/>
          </w:tcPr>
          <w:p w14:paraId="0A360F93"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Salidas de campo</w:t>
            </w:r>
          </w:p>
        </w:tc>
        <w:tc>
          <w:tcPr>
            <w:tcW w:w="2835" w:type="dxa"/>
            <w:tcBorders>
              <w:top w:val="single" w:sz="4" w:space="0" w:color="auto"/>
              <w:left w:val="single" w:sz="4" w:space="0" w:color="auto"/>
              <w:bottom w:val="single" w:sz="4" w:space="0" w:color="auto"/>
              <w:right w:val="single" w:sz="4" w:space="0" w:color="auto"/>
            </w:tcBorders>
            <w:vAlign w:val="center"/>
          </w:tcPr>
          <w:p w14:paraId="57001EBE" w14:textId="77777777" w:rsidR="00851A8D" w:rsidRPr="00D66040" w:rsidRDefault="00851A8D" w:rsidP="00851A8D">
            <w:pPr>
              <w:jc w:val="both"/>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3AA83C89"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6327219E"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hideMark/>
          </w:tcPr>
          <w:p w14:paraId="6F41A009"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53BD2DF0" w14:textId="77777777" w:rsidTr="00851A8D">
        <w:trPr>
          <w:gridAfter w:val="1"/>
          <w:wAfter w:w="24" w:type="dxa"/>
          <w:trHeight w:val="185"/>
        </w:trPr>
        <w:tc>
          <w:tcPr>
            <w:tcW w:w="1855" w:type="dxa"/>
            <w:vMerge/>
            <w:tcBorders>
              <w:top w:val="single" w:sz="4" w:space="0" w:color="auto"/>
              <w:left w:val="single" w:sz="4" w:space="0" w:color="auto"/>
              <w:bottom w:val="single" w:sz="4" w:space="0" w:color="auto"/>
              <w:right w:val="single" w:sz="4" w:space="0" w:color="auto"/>
            </w:tcBorders>
            <w:vAlign w:val="center"/>
            <w:hideMark/>
          </w:tcPr>
          <w:p w14:paraId="3974DF48" w14:textId="77777777" w:rsidR="00851A8D" w:rsidRPr="00D66040" w:rsidRDefault="00851A8D" w:rsidP="00851A8D">
            <w:pPr>
              <w:rPr>
                <w:rFonts w:ascii="Arial" w:hAnsi="Arial" w:cs="Arial"/>
                <w:b/>
                <w:sz w:val="24"/>
                <w:szCs w:val="24"/>
              </w:rPr>
            </w:pPr>
          </w:p>
        </w:tc>
        <w:tc>
          <w:tcPr>
            <w:tcW w:w="5370" w:type="dxa"/>
            <w:tcBorders>
              <w:top w:val="single" w:sz="4" w:space="0" w:color="auto"/>
              <w:left w:val="single" w:sz="4" w:space="0" w:color="auto"/>
              <w:bottom w:val="single" w:sz="4" w:space="0" w:color="auto"/>
              <w:right w:val="single" w:sz="4" w:space="0" w:color="auto"/>
            </w:tcBorders>
            <w:vAlign w:val="center"/>
            <w:hideMark/>
          </w:tcPr>
          <w:p w14:paraId="53A693E3"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Equipos</w:t>
            </w:r>
          </w:p>
        </w:tc>
        <w:tc>
          <w:tcPr>
            <w:tcW w:w="2835" w:type="dxa"/>
            <w:tcBorders>
              <w:top w:val="single" w:sz="4" w:space="0" w:color="auto"/>
              <w:left w:val="single" w:sz="4" w:space="0" w:color="auto"/>
              <w:bottom w:val="single" w:sz="4" w:space="0" w:color="auto"/>
              <w:right w:val="single" w:sz="4" w:space="0" w:color="auto"/>
            </w:tcBorders>
            <w:vAlign w:val="center"/>
          </w:tcPr>
          <w:p w14:paraId="3884574A" w14:textId="77777777" w:rsidR="00851A8D" w:rsidRPr="00D66040" w:rsidRDefault="00851A8D" w:rsidP="00851A8D">
            <w:pPr>
              <w:jc w:val="both"/>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481573F8"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7A0ED2DF"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hideMark/>
          </w:tcPr>
          <w:p w14:paraId="25BCB6CA"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0B62BD83" w14:textId="77777777" w:rsidTr="00851A8D">
        <w:trPr>
          <w:gridAfter w:val="1"/>
          <w:wAfter w:w="24" w:type="dxa"/>
          <w:trHeight w:val="364"/>
        </w:trPr>
        <w:tc>
          <w:tcPr>
            <w:tcW w:w="1855" w:type="dxa"/>
            <w:vMerge/>
            <w:tcBorders>
              <w:top w:val="single" w:sz="4" w:space="0" w:color="auto"/>
              <w:left w:val="single" w:sz="4" w:space="0" w:color="auto"/>
              <w:bottom w:val="single" w:sz="4" w:space="0" w:color="auto"/>
              <w:right w:val="single" w:sz="4" w:space="0" w:color="auto"/>
            </w:tcBorders>
            <w:vAlign w:val="center"/>
            <w:hideMark/>
          </w:tcPr>
          <w:p w14:paraId="1B981FC4" w14:textId="77777777" w:rsidR="00851A8D" w:rsidRPr="00D66040" w:rsidRDefault="00851A8D" w:rsidP="00851A8D">
            <w:pPr>
              <w:rPr>
                <w:rFonts w:ascii="Arial" w:hAnsi="Arial" w:cs="Arial"/>
                <w:b/>
                <w:sz w:val="24"/>
                <w:szCs w:val="24"/>
              </w:rPr>
            </w:pPr>
          </w:p>
        </w:tc>
        <w:tc>
          <w:tcPr>
            <w:tcW w:w="5370" w:type="dxa"/>
            <w:tcBorders>
              <w:top w:val="single" w:sz="4" w:space="0" w:color="auto"/>
              <w:left w:val="single" w:sz="4" w:space="0" w:color="auto"/>
              <w:bottom w:val="single" w:sz="4" w:space="0" w:color="auto"/>
              <w:right w:val="single" w:sz="4" w:space="0" w:color="auto"/>
            </w:tcBorders>
            <w:vAlign w:val="center"/>
            <w:hideMark/>
          </w:tcPr>
          <w:p w14:paraId="360751EF"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Materiales, insumos y software</w:t>
            </w:r>
          </w:p>
        </w:tc>
        <w:tc>
          <w:tcPr>
            <w:tcW w:w="2835" w:type="dxa"/>
            <w:tcBorders>
              <w:top w:val="single" w:sz="4" w:space="0" w:color="auto"/>
              <w:left w:val="single" w:sz="4" w:space="0" w:color="auto"/>
              <w:bottom w:val="single" w:sz="4" w:space="0" w:color="auto"/>
              <w:right w:val="single" w:sz="4" w:space="0" w:color="auto"/>
            </w:tcBorders>
            <w:vAlign w:val="center"/>
          </w:tcPr>
          <w:p w14:paraId="51DF0C59" w14:textId="77777777" w:rsidR="00851A8D" w:rsidRPr="00D66040" w:rsidRDefault="00851A8D" w:rsidP="00851A8D">
            <w:pPr>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74E999F4"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40C42DDC"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hideMark/>
          </w:tcPr>
          <w:p w14:paraId="41203374"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0C3D519D" w14:textId="77777777" w:rsidTr="00851A8D">
        <w:trPr>
          <w:gridAfter w:val="1"/>
          <w:wAfter w:w="24" w:type="dxa"/>
          <w:trHeight w:val="310"/>
        </w:trPr>
        <w:tc>
          <w:tcPr>
            <w:tcW w:w="1855" w:type="dxa"/>
            <w:vMerge w:val="restart"/>
            <w:tcBorders>
              <w:top w:val="single" w:sz="4" w:space="0" w:color="auto"/>
              <w:left w:val="single" w:sz="4" w:space="0" w:color="auto"/>
              <w:bottom w:val="single" w:sz="4" w:space="0" w:color="auto"/>
              <w:right w:val="single" w:sz="4" w:space="0" w:color="auto"/>
            </w:tcBorders>
            <w:vAlign w:val="center"/>
            <w:hideMark/>
          </w:tcPr>
          <w:p w14:paraId="660D124B" w14:textId="77777777" w:rsidR="00851A8D" w:rsidRPr="00D66040" w:rsidRDefault="00851A8D" w:rsidP="00851A8D">
            <w:pPr>
              <w:jc w:val="center"/>
              <w:rPr>
                <w:rFonts w:ascii="Arial" w:hAnsi="Arial" w:cs="Arial"/>
                <w:b/>
                <w:sz w:val="24"/>
                <w:szCs w:val="24"/>
              </w:rPr>
            </w:pPr>
            <w:r w:rsidRPr="00D66040">
              <w:rPr>
                <w:rFonts w:ascii="Arial" w:hAnsi="Arial" w:cs="Arial"/>
                <w:b/>
                <w:sz w:val="24"/>
                <w:szCs w:val="24"/>
              </w:rPr>
              <w:t>BOLSAS</w:t>
            </w:r>
          </w:p>
        </w:tc>
        <w:tc>
          <w:tcPr>
            <w:tcW w:w="5370" w:type="dxa"/>
            <w:tcBorders>
              <w:top w:val="single" w:sz="4" w:space="0" w:color="auto"/>
              <w:left w:val="single" w:sz="4" w:space="0" w:color="auto"/>
              <w:bottom w:val="single" w:sz="4" w:space="0" w:color="auto"/>
              <w:right w:val="single" w:sz="4" w:space="0" w:color="auto"/>
            </w:tcBorders>
            <w:vAlign w:val="center"/>
            <w:hideMark/>
          </w:tcPr>
          <w:p w14:paraId="1E83C0EF"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Papelería</w:t>
            </w:r>
          </w:p>
        </w:tc>
        <w:tc>
          <w:tcPr>
            <w:tcW w:w="2835" w:type="dxa"/>
            <w:tcBorders>
              <w:top w:val="single" w:sz="4" w:space="0" w:color="auto"/>
              <w:left w:val="single" w:sz="4" w:space="0" w:color="auto"/>
              <w:bottom w:val="single" w:sz="4" w:space="0" w:color="auto"/>
              <w:right w:val="single" w:sz="4" w:space="0" w:color="auto"/>
            </w:tcBorders>
            <w:vAlign w:val="center"/>
          </w:tcPr>
          <w:p w14:paraId="3F8D43B3" w14:textId="77777777" w:rsidR="00851A8D" w:rsidRPr="00D66040" w:rsidRDefault="00851A8D" w:rsidP="00851A8D">
            <w:pPr>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296B10AE"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0B6BB736"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hideMark/>
          </w:tcPr>
          <w:p w14:paraId="3E60377B"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1B500EF2" w14:textId="77777777" w:rsidTr="00851A8D">
        <w:trPr>
          <w:gridAfter w:val="1"/>
          <w:wAfter w:w="24" w:type="dxa"/>
          <w:trHeight w:val="201"/>
        </w:trPr>
        <w:tc>
          <w:tcPr>
            <w:tcW w:w="1855" w:type="dxa"/>
            <w:vMerge/>
            <w:tcBorders>
              <w:top w:val="single" w:sz="4" w:space="0" w:color="auto"/>
              <w:left w:val="single" w:sz="4" w:space="0" w:color="auto"/>
              <w:bottom w:val="single" w:sz="4" w:space="0" w:color="auto"/>
              <w:right w:val="single" w:sz="4" w:space="0" w:color="auto"/>
            </w:tcBorders>
            <w:vAlign w:val="center"/>
          </w:tcPr>
          <w:p w14:paraId="2770A50A" w14:textId="77777777" w:rsidR="00851A8D" w:rsidRPr="00D66040" w:rsidRDefault="00851A8D" w:rsidP="00851A8D">
            <w:pPr>
              <w:jc w:val="center"/>
              <w:rPr>
                <w:rFonts w:ascii="Arial" w:hAnsi="Arial" w:cs="Arial"/>
                <w:b/>
                <w:sz w:val="24"/>
                <w:szCs w:val="24"/>
              </w:rPr>
            </w:pPr>
          </w:p>
        </w:tc>
        <w:tc>
          <w:tcPr>
            <w:tcW w:w="5370" w:type="dxa"/>
            <w:tcBorders>
              <w:top w:val="single" w:sz="4" w:space="0" w:color="auto"/>
              <w:left w:val="single" w:sz="4" w:space="0" w:color="auto"/>
              <w:bottom w:val="single" w:sz="4" w:space="0" w:color="auto"/>
              <w:right w:val="single" w:sz="4" w:space="0" w:color="auto"/>
            </w:tcBorders>
            <w:vAlign w:val="center"/>
          </w:tcPr>
          <w:p w14:paraId="27784288"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Fotocopias</w:t>
            </w:r>
          </w:p>
        </w:tc>
        <w:tc>
          <w:tcPr>
            <w:tcW w:w="2835" w:type="dxa"/>
            <w:tcBorders>
              <w:top w:val="single" w:sz="4" w:space="0" w:color="auto"/>
              <w:left w:val="single" w:sz="4" w:space="0" w:color="auto"/>
              <w:bottom w:val="single" w:sz="4" w:space="0" w:color="auto"/>
              <w:right w:val="single" w:sz="4" w:space="0" w:color="auto"/>
            </w:tcBorders>
            <w:vAlign w:val="center"/>
          </w:tcPr>
          <w:p w14:paraId="4B9D2356" w14:textId="77777777" w:rsidR="00851A8D" w:rsidRPr="00D66040" w:rsidRDefault="00851A8D" w:rsidP="00851A8D">
            <w:pPr>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66618277"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45D70278"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tcPr>
          <w:p w14:paraId="64869D5E"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31C697A1" w14:textId="77777777" w:rsidTr="00851A8D">
        <w:trPr>
          <w:gridAfter w:val="1"/>
          <w:wAfter w:w="24" w:type="dxa"/>
          <w:trHeight w:val="264"/>
        </w:trPr>
        <w:tc>
          <w:tcPr>
            <w:tcW w:w="1855" w:type="dxa"/>
            <w:vMerge/>
            <w:tcBorders>
              <w:top w:val="single" w:sz="4" w:space="0" w:color="auto"/>
              <w:left w:val="single" w:sz="4" w:space="0" w:color="auto"/>
              <w:bottom w:val="single" w:sz="4" w:space="0" w:color="auto"/>
              <w:right w:val="single" w:sz="4" w:space="0" w:color="auto"/>
            </w:tcBorders>
            <w:vAlign w:val="center"/>
          </w:tcPr>
          <w:p w14:paraId="695A0DB0" w14:textId="77777777" w:rsidR="00851A8D" w:rsidRPr="00D66040" w:rsidRDefault="00851A8D" w:rsidP="00851A8D">
            <w:pPr>
              <w:jc w:val="center"/>
              <w:rPr>
                <w:rFonts w:ascii="Arial" w:hAnsi="Arial" w:cs="Arial"/>
                <w:b/>
                <w:sz w:val="24"/>
                <w:szCs w:val="24"/>
              </w:rPr>
            </w:pPr>
          </w:p>
        </w:tc>
        <w:tc>
          <w:tcPr>
            <w:tcW w:w="5370" w:type="dxa"/>
            <w:tcBorders>
              <w:top w:val="single" w:sz="4" w:space="0" w:color="auto"/>
              <w:left w:val="single" w:sz="4" w:space="0" w:color="auto"/>
              <w:bottom w:val="single" w:sz="4" w:space="0" w:color="auto"/>
              <w:right w:val="single" w:sz="4" w:space="0" w:color="auto"/>
            </w:tcBorders>
            <w:vAlign w:val="center"/>
          </w:tcPr>
          <w:p w14:paraId="3ECC067C"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Material bibliográfico</w:t>
            </w:r>
          </w:p>
        </w:tc>
        <w:tc>
          <w:tcPr>
            <w:tcW w:w="2835" w:type="dxa"/>
            <w:tcBorders>
              <w:top w:val="single" w:sz="4" w:space="0" w:color="auto"/>
              <w:left w:val="single" w:sz="4" w:space="0" w:color="auto"/>
              <w:bottom w:val="single" w:sz="4" w:space="0" w:color="auto"/>
              <w:right w:val="single" w:sz="4" w:space="0" w:color="auto"/>
            </w:tcBorders>
            <w:vAlign w:val="center"/>
          </w:tcPr>
          <w:p w14:paraId="34218BF4" w14:textId="77777777" w:rsidR="00851A8D" w:rsidRPr="00D66040" w:rsidRDefault="00851A8D" w:rsidP="00851A8D">
            <w:pPr>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0602DF5E"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373FD6D1"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tcPr>
          <w:p w14:paraId="2720D636"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7968DF74" w14:textId="77777777" w:rsidTr="00851A8D">
        <w:trPr>
          <w:gridAfter w:val="1"/>
          <w:wAfter w:w="24" w:type="dxa"/>
          <w:trHeight w:val="364"/>
        </w:trPr>
        <w:tc>
          <w:tcPr>
            <w:tcW w:w="1855" w:type="dxa"/>
            <w:vMerge/>
            <w:tcBorders>
              <w:top w:val="single" w:sz="4" w:space="0" w:color="auto"/>
              <w:left w:val="single" w:sz="4" w:space="0" w:color="auto"/>
              <w:bottom w:val="single" w:sz="4" w:space="0" w:color="auto"/>
              <w:right w:val="single" w:sz="4" w:space="0" w:color="auto"/>
            </w:tcBorders>
            <w:vAlign w:val="center"/>
            <w:hideMark/>
          </w:tcPr>
          <w:p w14:paraId="2AB3D64E" w14:textId="77777777" w:rsidR="00851A8D" w:rsidRPr="00D66040" w:rsidRDefault="00851A8D" w:rsidP="00851A8D">
            <w:pPr>
              <w:rPr>
                <w:rFonts w:ascii="Arial" w:hAnsi="Arial" w:cs="Arial"/>
                <w:b/>
                <w:sz w:val="24"/>
                <w:szCs w:val="24"/>
              </w:rPr>
            </w:pPr>
          </w:p>
        </w:tc>
        <w:tc>
          <w:tcPr>
            <w:tcW w:w="5370" w:type="dxa"/>
            <w:tcBorders>
              <w:top w:val="single" w:sz="4" w:space="0" w:color="auto"/>
              <w:left w:val="single" w:sz="4" w:space="0" w:color="auto"/>
              <w:bottom w:val="single" w:sz="4" w:space="0" w:color="auto"/>
              <w:right w:val="single" w:sz="4" w:space="0" w:color="auto"/>
            </w:tcBorders>
            <w:vAlign w:val="center"/>
            <w:hideMark/>
          </w:tcPr>
          <w:p w14:paraId="50312781"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Auxilio de transporte</w:t>
            </w:r>
          </w:p>
        </w:tc>
        <w:tc>
          <w:tcPr>
            <w:tcW w:w="2835" w:type="dxa"/>
            <w:tcBorders>
              <w:top w:val="single" w:sz="4" w:space="0" w:color="auto"/>
              <w:left w:val="single" w:sz="4" w:space="0" w:color="auto"/>
              <w:bottom w:val="single" w:sz="4" w:space="0" w:color="auto"/>
              <w:right w:val="single" w:sz="4" w:space="0" w:color="auto"/>
            </w:tcBorders>
            <w:vAlign w:val="center"/>
          </w:tcPr>
          <w:p w14:paraId="08C57069" w14:textId="77777777" w:rsidR="00851A8D" w:rsidRPr="00D66040" w:rsidRDefault="00851A8D" w:rsidP="00851A8D">
            <w:pPr>
              <w:jc w:val="both"/>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197618E1"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62A53412"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hideMark/>
          </w:tcPr>
          <w:p w14:paraId="76CB898D"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5404A8B7" w14:textId="77777777" w:rsidTr="00851A8D">
        <w:trPr>
          <w:gridAfter w:val="1"/>
          <w:wAfter w:w="24" w:type="dxa"/>
          <w:trHeight w:val="279"/>
        </w:trPr>
        <w:tc>
          <w:tcPr>
            <w:tcW w:w="1855" w:type="dxa"/>
            <w:vMerge/>
            <w:tcBorders>
              <w:top w:val="single" w:sz="4" w:space="0" w:color="auto"/>
              <w:left w:val="single" w:sz="4" w:space="0" w:color="auto"/>
              <w:bottom w:val="single" w:sz="4" w:space="0" w:color="auto"/>
              <w:right w:val="single" w:sz="4" w:space="0" w:color="auto"/>
            </w:tcBorders>
            <w:vAlign w:val="center"/>
            <w:hideMark/>
          </w:tcPr>
          <w:p w14:paraId="47516172" w14:textId="77777777" w:rsidR="00851A8D" w:rsidRPr="00D66040" w:rsidRDefault="00851A8D" w:rsidP="00851A8D">
            <w:pPr>
              <w:rPr>
                <w:rFonts w:ascii="Arial" w:hAnsi="Arial" w:cs="Arial"/>
                <w:b/>
                <w:sz w:val="24"/>
                <w:szCs w:val="24"/>
              </w:rPr>
            </w:pPr>
          </w:p>
        </w:tc>
        <w:tc>
          <w:tcPr>
            <w:tcW w:w="5370" w:type="dxa"/>
            <w:tcBorders>
              <w:top w:val="single" w:sz="4" w:space="0" w:color="auto"/>
              <w:left w:val="single" w:sz="4" w:space="0" w:color="auto"/>
              <w:bottom w:val="single" w:sz="4" w:space="0" w:color="auto"/>
              <w:right w:val="single" w:sz="4" w:space="0" w:color="auto"/>
            </w:tcBorders>
            <w:vAlign w:val="center"/>
            <w:hideMark/>
          </w:tcPr>
          <w:p w14:paraId="18143971"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 xml:space="preserve">Movilidad </w:t>
            </w:r>
          </w:p>
        </w:tc>
        <w:tc>
          <w:tcPr>
            <w:tcW w:w="2835" w:type="dxa"/>
            <w:tcBorders>
              <w:top w:val="single" w:sz="4" w:space="0" w:color="auto"/>
              <w:left w:val="single" w:sz="4" w:space="0" w:color="auto"/>
              <w:bottom w:val="single" w:sz="4" w:space="0" w:color="auto"/>
              <w:right w:val="single" w:sz="4" w:space="0" w:color="auto"/>
            </w:tcBorders>
            <w:vAlign w:val="center"/>
          </w:tcPr>
          <w:p w14:paraId="5AEC7486" w14:textId="77777777" w:rsidR="00851A8D" w:rsidRPr="00D66040" w:rsidRDefault="00851A8D" w:rsidP="00851A8D">
            <w:pPr>
              <w:jc w:val="both"/>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3C3F15AB"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5B2F048E"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hideMark/>
          </w:tcPr>
          <w:p w14:paraId="35CEA7B5"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717ABCA4" w14:textId="77777777" w:rsidTr="00851A8D">
        <w:trPr>
          <w:gridAfter w:val="1"/>
          <w:wAfter w:w="24" w:type="dxa"/>
          <w:trHeight w:val="279"/>
        </w:trPr>
        <w:tc>
          <w:tcPr>
            <w:tcW w:w="1855" w:type="dxa"/>
            <w:vMerge/>
            <w:tcBorders>
              <w:top w:val="single" w:sz="4" w:space="0" w:color="auto"/>
              <w:left w:val="single" w:sz="4" w:space="0" w:color="auto"/>
              <w:bottom w:val="single" w:sz="4" w:space="0" w:color="auto"/>
              <w:right w:val="single" w:sz="4" w:space="0" w:color="auto"/>
            </w:tcBorders>
            <w:vAlign w:val="center"/>
            <w:hideMark/>
          </w:tcPr>
          <w:p w14:paraId="51C945C7" w14:textId="77777777" w:rsidR="00851A8D" w:rsidRPr="00D66040" w:rsidRDefault="00851A8D" w:rsidP="00851A8D">
            <w:pPr>
              <w:rPr>
                <w:rFonts w:ascii="Arial" w:hAnsi="Arial" w:cs="Arial"/>
                <w:b/>
                <w:sz w:val="24"/>
                <w:szCs w:val="24"/>
              </w:rPr>
            </w:pPr>
          </w:p>
        </w:tc>
        <w:tc>
          <w:tcPr>
            <w:tcW w:w="5370" w:type="dxa"/>
            <w:tcBorders>
              <w:top w:val="single" w:sz="4" w:space="0" w:color="auto"/>
              <w:left w:val="single" w:sz="4" w:space="0" w:color="auto"/>
              <w:bottom w:val="single" w:sz="4" w:space="0" w:color="auto"/>
              <w:right w:val="single" w:sz="4" w:space="0" w:color="auto"/>
            </w:tcBorders>
            <w:vAlign w:val="center"/>
            <w:hideMark/>
          </w:tcPr>
          <w:p w14:paraId="3186C035" w14:textId="77777777" w:rsidR="00851A8D" w:rsidRPr="00D66040" w:rsidRDefault="00851A8D" w:rsidP="00851A8D">
            <w:pPr>
              <w:jc w:val="both"/>
              <w:rPr>
                <w:rFonts w:ascii="Arial" w:hAnsi="Arial" w:cs="Arial"/>
                <w:b/>
                <w:sz w:val="24"/>
                <w:szCs w:val="24"/>
              </w:rPr>
            </w:pPr>
            <w:r w:rsidRPr="00D66040">
              <w:rPr>
                <w:rFonts w:ascii="Arial" w:hAnsi="Arial" w:cs="Arial"/>
                <w:b/>
                <w:sz w:val="24"/>
                <w:szCs w:val="24"/>
              </w:rPr>
              <w:t>Publicaciones (Artículos, proceso editorial y traducción)</w:t>
            </w:r>
          </w:p>
        </w:tc>
        <w:tc>
          <w:tcPr>
            <w:tcW w:w="2835" w:type="dxa"/>
            <w:tcBorders>
              <w:top w:val="single" w:sz="4" w:space="0" w:color="auto"/>
              <w:left w:val="single" w:sz="4" w:space="0" w:color="auto"/>
              <w:bottom w:val="single" w:sz="4" w:space="0" w:color="auto"/>
              <w:right w:val="single" w:sz="4" w:space="0" w:color="auto"/>
            </w:tcBorders>
            <w:vAlign w:val="center"/>
          </w:tcPr>
          <w:p w14:paraId="19886DB9" w14:textId="77777777" w:rsidR="00851A8D" w:rsidRPr="00D66040" w:rsidRDefault="00851A8D" w:rsidP="00851A8D">
            <w:pPr>
              <w:jc w:val="both"/>
              <w:rPr>
                <w:rFonts w:ascii="Arial" w:hAnsi="Arial" w:cs="Arial"/>
                <w:sz w:val="24"/>
                <w:szCs w:val="24"/>
              </w:rPr>
            </w:pPr>
          </w:p>
        </w:tc>
        <w:tc>
          <w:tcPr>
            <w:tcW w:w="1213" w:type="dxa"/>
            <w:tcBorders>
              <w:top w:val="single" w:sz="4" w:space="0" w:color="auto"/>
              <w:left w:val="single" w:sz="4" w:space="0" w:color="auto"/>
              <w:bottom w:val="single" w:sz="4" w:space="0" w:color="auto"/>
              <w:right w:val="single" w:sz="4" w:space="0" w:color="auto"/>
            </w:tcBorders>
          </w:tcPr>
          <w:p w14:paraId="21E61C17" w14:textId="77777777" w:rsidR="00851A8D" w:rsidRPr="00D66040" w:rsidRDefault="00851A8D" w:rsidP="00851A8D">
            <w:pPr>
              <w:jc w:val="both"/>
              <w:rPr>
                <w:rFonts w:ascii="Arial" w:hAnsi="Arial" w:cs="Arial"/>
                <w:sz w:val="24"/>
                <w:szCs w:val="24"/>
              </w:rPr>
            </w:pPr>
          </w:p>
        </w:tc>
        <w:tc>
          <w:tcPr>
            <w:tcW w:w="1821" w:type="dxa"/>
            <w:tcBorders>
              <w:top w:val="single" w:sz="4" w:space="0" w:color="auto"/>
              <w:left w:val="single" w:sz="4" w:space="0" w:color="auto"/>
              <w:bottom w:val="single" w:sz="4" w:space="0" w:color="auto"/>
              <w:right w:val="single" w:sz="4" w:space="0" w:color="auto"/>
            </w:tcBorders>
          </w:tcPr>
          <w:p w14:paraId="13D05595" w14:textId="77777777" w:rsidR="00851A8D" w:rsidRPr="00D66040" w:rsidRDefault="00851A8D" w:rsidP="00851A8D">
            <w:pPr>
              <w:jc w:val="both"/>
              <w:rPr>
                <w:rFonts w:ascii="Arial" w:hAnsi="Arial" w:cs="Arial"/>
                <w:sz w:val="24"/>
                <w:szCs w:val="24"/>
              </w:rPr>
            </w:pPr>
          </w:p>
        </w:tc>
        <w:tc>
          <w:tcPr>
            <w:tcW w:w="1562" w:type="dxa"/>
            <w:gridSpan w:val="2"/>
            <w:tcBorders>
              <w:top w:val="single" w:sz="4" w:space="0" w:color="auto"/>
              <w:left w:val="single" w:sz="4" w:space="0" w:color="auto"/>
              <w:bottom w:val="single" w:sz="4" w:space="0" w:color="auto"/>
              <w:right w:val="single" w:sz="4" w:space="0" w:color="auto"/>
            </w:tcBorders>
            <w:vAlign w:val="center"/>
            <w:hideMark/>
          </w:tcPr>
          <w:p w14:paraId="3A6FE396"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$ 0</w:t>
            </w:r>
          </w:p>
        </w:tc>
      </w:tr>
      <w:tr w:rsidR="00851A8D" w14:paraId="0914F443" w14:textId="77777777" w:rsidTr="00851A8D">
        <w:trPr>
          <w:trHeight w:val="364"/>
        </w:trPr>
        <w:tc>
          <w:tcPr>
            <w:tcW w:w="13129" w:type="dxa"/>
            <w:gridSpan w:val="6"/>
            <w:tcBorders>
              <w:top w:val="single" w:sz="4" w:space="0" w:color="auto"/>
              <w:left w:val="single" w:sz="4" w:space="0" w:color="auto"/>
              <w:bottom w:val="single" w:sz="4" w:space="0" w:color="auto"/>
              <w:right w:val="single" w:sz="4" w:space="0" w:color="auto"/>
            </w:tcBorders>
            <w:vAlign w:val="center"/>
          </w:tcPr>
          <w:p w14:paraId="0CA3E6E7" w14:textId="77777777" w:rsidR="00851A8D" w:rsidRPr="00D66040" w:rsidRDefault="00851A8D" w:rsidP="00851A8D">
            <w:pPr>
              <w:jc w:val="right"/>
              <w:rPr>
                <w:rFonts w:ascii="Arial" w:hAnsi="Arial" w:cs="Arial"/>
                <w:sz w:val="24"/>
                <w:szCs w:val="24"/>
              </w:rPr>
            </w:pPr>
            <w:r w:rsidRPr="00D66040">
              <w:rPr>
                <w:rFonts w:ascii="Arial" w:hAnsi="Arial" w:cs="Arial"/>
                <w:b/>
                <w:sz w:val="24"/>
                <w:szCs w:val="24"/>
              </w:rPr>
              <w:t>TOTAL DEL PROYECTO:</w:t>
            </w:r>
          </w:p>
        </w:tc>
        <w:tc>
          <w:tcPr>
            <w:tcW w:w="1551" w:type="dxa"/>
            <w:gridSpan w:val="2"/>
            <w:tcBorders>
              <w:top w:val="single" w:sz="4" w:space="0" w:color="auto"/>
              <w:left w:val="single" w:sz="4" w:space="0" w:color="auto"/>
              <w:bottom w:val="single" w:sz="4" w:space="0" w:color="auto"/>
              <w:right w:val="single" w:sz="4" w:space="0" w:color="auto"/>
            </w:tcBorders>
            <w:vAlign w:val="center"/>
          </w:tcPr>
          <w:p w14:paraId="06DDE132" w14:textId="77777777" w:rsidR="00851A8D" w:rsidRPr="00D66040" w:rsidRDefault="00851A8D" w:rsidP="00851A8D">
            <w:pPr>
              <w:jc w:val="both"/>
              <w:rPr>
                <w:rFonts w:ascii="Arial" w:hAnsi="Arial" w:cs="Arial"/>
                <w:sz w:val="24"/>
                <w:szCs w:val="24"/>
              </w:rPr>
            </w:pPr>
            <w:r w:rsidRPr="00D66040">
              <w:rPr>
                <w:rFonts w:ascii="Arial" w:hAnsi="Arial" w:cs="Arial"/>
                <w:sz w:val="24"/>
                <w:szCs w:val="24"/>
              </w:rPr>
              <w:t>$</w:t>
            </w:r>
            <w:r>
              <w:rPr>
                <w:rFonts w:ascii="Arial" w:hAnsi="Arial" w:cs="Arial"/>
                <w:sz w:val="24"/>
                <w:szCs w:val="24"/>
              </w:rPr>
              <w:t>26.885.000</w:t>
            </w:r>
          </w:p>
        </w:tc>
      </w:tr>
    </w:tbl>
    <w:p w14:paraId="1F16EB45" w14:textId="3ABAB40D" w:rsidR="00187025" w:rsidRDefault="00187025" w:rsidP="001D6087">
      <w:pPr>
        <w:spacing w:after="0" w:line="240" w:lineRule="auto"/>
        <w:rPr>
          <w:rFonts w:ascii="Times New Roman" w:eastAsia="Times New Roman" w:hAnsi="Times New Roman" w:cs="Times New Roman"/>
          <w:sz w:val="24"/>
          <w:szCs w:val="24"/>
          <w:lang w:eastAsia="es-CO"/>
        </w:rPr>
      </w:pPr>
    </w:p>
    <w:p w14:paraId="279A2194" w14:textId="77777777" w:rsidR="006B0D6A" w:rsidRDefault="006B0D6A" w:rsidP="001D6087">
      <w:pPr>
        <w:spacing w:after="0" w:line="240" w:lineRule="auto"/>
        <w:rPr>
          <w:rFonts w:ascii="Times New Roman" w:eastAsia="Times New Roman" w:hAnsi="Times New Roman" w:cs="Times New Roman"/>
          <w:sz w:val="24"/>
          <w:szCs w:val="24"/>
          <w:lang w:eastAsia="es-CO"/>
        </w:rPr>
      </w:pPr>
    </w:p>
    <w:p w14:paraId="0BE98940" w14:textId="6A5A3AE7" w:rsidR="00990021" w:rsidRDefault="00990021" w:rsidP="001D6087">
      <w:pPr>
        <w:spacing w:after="0" w:line="240" w:lineRule="auto"/>
        <w:rPr>
          <w:rFonts w:ascii="Times New Roman" w:eastAsia="Times New Roman" w:hAnsi="Times New Roman" w:cs="Times New Roman"/>
          <w:sz w:val="24"/>
          <w:szCs w:val="24"/>
          <w:lang w:eastAsia="es-CO"/>
        </w:rPr>
      </w:pPr>
    </w:p>
    <w:p w14:paraId="2292A9FA" w14:textId="77777777" w:rsidR="00DB2350" w:rsidRDefault="00DB2350" w:rsidP="001D6087">
      <w:pPr>
        <w:spacing w:after="0" w:line="240" w:lineRule="auto"/>
        <w:rPr>
          <w:rFonts w:ascii="Times New Roman" w:eastAsia="Times New Roman" w:hAnsi="Times New Roman" w:cs="Times New Roman"/>
          <w:sz w:val="24"/>
          <w:szCs w:val="24"/>
          <w:lang w:eastAsia="es-CO"/>
        </w:rPr>
      </w:pPr>
    </w:p>
    <w:tbl>
      <w:tblPr>
        <w:tblpPr w:leftFromText="141" w:rightFromText="141" w:horzAnchor="margin" w:tblpY="870"/>
        <w:tblW w:w="14983" w:type="dxa"/>
        <w:shd w:val="clear" w:color="auto" w:fill="FFFFFF"/>
        <w:tblLook w:val="04A0" w:firstRow="1" w:lastRow="0" w:firstColumn="1" w:lastColumn="0" w:noHBand="0" w:noVBand="1"/>
      </w:tblPr>
      <w:tblGrid>
        <w:gridCol w:w="14983"/>
      </w:tblGrid>
      <w:tr w:rsidR="00DB2350" w14:paraId="3353AD92" w14:textId="77777777" w:rsidTr="002B4C9A">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96002AE" w14:textId="77777777" w:rsidR="00DB2350" w:rsidRDefault="00DB2350" w:rsidP="002B4C9A">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Referencia bibliográficas</w:t>
            </w:r>
          </w:p>
        </w:tc>
      </w:tr>
      <w:tr w:rsidR="00304379" w14:paraId="1EE10C01" w14:textId="77777777" w:rsidTr="002B4C9A">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67E784A" w14:textId="77777777" w:rsidR="00304379" w:rsidRDefault="00304379" w:rsidP="00304379">
            <w:pPr>
              <w:rPr>
                <w:rFonts w:ascii="Times New Roman" w:hAnsi="Times New Roman" w:cs="Times New Roman"/>
                <w:sz w:val="24"/>
                <w:szCs w:val="24"/>
              </w:rPr>
            </w:pPr>
            <w:proofErr w:type="spellStart"/>
            <w:r w:rsidRPr="00BB3ACA">
              <w:rPr>
                <w:rFonts w:ascii="Times New Roman" w:hAnsi="Times New Roman" w:cs="Times New Roman"/>
                <w:sz w:val="24"/>
                <w:szCs w:val="24"/>
              </w:rPr>
              <w:t>Bañales</w:t>
            </w:r>
            <w:proofErr w:type="spellEnd"/>
            <w:r>
              <w:rPr>
                <w:rFonts w:ascii="Times New Roman" w:hAnsi="Times New Roman" w:cs="Times New Roman"/>
                <w:sz w:val="24"/>
                <w:szCs w:val="24"/>
              </w:rPr>
              <w:t xml:space="preserve"> F.</w:t>
            </w:r>
            <w:r w:rsidRPr="00BB3ACA">
              <w:rPr>
                <w:rFonts w:ascii="Times New Roman" w:hAnsi="Times New Roman" w:cs="Times New Roman"/>
                <w:sz w:val="24"/>
                <w:szCs w:val="24"/>
              </w:rPr>
              <w:t xml:space="preserve">, </w:t>
            </w:r>
            <w:r>
              <w:rPr>
                <w:rFonts w:ascii="Times New Roman" w:hAnsi="Times New Roman" w:cs="Times New Roman"/>
                <w:sz w:val="24"/>
                <w:szCs w:val="24"/>
              </w:rPr>
              <w:t xml:space="preserve">Gerardo; </w:t>
            </w:r>
            <w:r w:rsidRPr="00BB3ACA">
              <w:rPr>
                <w:rFonts w:ascii="Times New Roman" w:hAnsi="Times New Roman" w:cs="Times New Roman"/>
                <w:sz w:val="24"/>
                <w:szCs w:val="24"/>
              </w:rPr>
              <w:t>Castelló</w:t>
            </w:r>
            <w:r>
              <w:rPr>
                <w:rFonts w:ascii="Times New Roman" w:hAnsi="Times New Roman" w:cs="Times New Roman"/>
                <w:sz w:val="24"/>
                <w:szCs w:val="24"/>
              </w:rPr>
              <w:t xml:space="preserve"> B., Montserrat</w:t>
            </w:r>
            <w:r w:rsidRPr="00BB3ACA">
              <w:rPr>
                <w:rFonts w:ascii="Times New Roman" w:hAnsi="Times New Roman" w:cs="Times New Roman"/>
                <w:sz w:val="24"/>
                <w:szCs w:val="24"/>
              </w:rPr>
              <w:t xml:space="preserve"> y </w:t>
            </w:r>
            <w:r>
              <w:rPr>
                <w:rFonts w:ascii="Times New Roman" w:hAnsi="Times New Roman" w:cs="Times New Roman"/>
                <w:sz w:val="24"/>
                <w:szCs w:val="24"/>
              </w:rPr>
              <w:t xml:space="preserve">Vega L., </w:t>
            </w:r>
            <w:r w:rsidRPr="00BB3ACA">
              <w:rPr>
                <w:rFonts w:ascii="Times New Roman" w:hAnsi="Times New Roman" w:cs="Times New Roman"/>
                <w:sz w:val="24"/>
                <w:szCs w:val="24"/>
              </w:rPr>
              <w:t>N</w:t>
            </w:r>
            <w:r>
              <w:rPr>
                <w:rFonts w:ascii="Times New Roman" w:hAnsi="Times New Roman" w:cs="Times New Roman"/>
                <w:sz w:val="24"/>
                <w:szCs w:val="24"/>
              </w:rPr>
              <w:t>orma</w:t>
            </w:r>
            <w:r w:rsidRPr="00BB3ACA">
              <w:rPr>
                <w:rFonts w:ascii="Times New Roman" w:hAnsi="Times New Roman" w:cs="Times New Roman"/>
                <w:sz w:val="24"/>
                <w:szCs w:val="24"/>
              </w:rPr>
              <w:t xml:space="preserve"> A. (</w:t>
            </w:r>
            <w:proofErr w:type="spellStart"/>
            <w:r w:rsidRPr="00BB3ACA">
              <w:rPr>
                <w:rFonts w:ascii="Times New Roman" w:hAnsi="Times New Roman" w:cs="Times New Roman"/>
                <w:sz w:val="24"/>
                <w:szCs w:val="24"/>
              </w:rPr>
              <w:t>Coords</w:t>
            </w:r>
            <w:proofErr w:type="spellEnd"/>
            <w:r w:rsidRPr="00BB3ACA">
              <w:rPr>
                <w:rFonts w:ascii="Times New Roman" w:hAnsi="Times New Roman" w:cs="Times New Roman"/>
                <w:sz w:val="24"/>
                <w:szCs w:val="24"/>
              </w:rPr>
              <w:t>.)</w:t>
            </w:r>
            <w:r>
              <w:rPr>
                <w:rFonts w:ascii="Times New Roman" w:hAnsi="Times New Roman" w:cs="Times New Roman"/>
                <w:sz w:val="24"/>
                <w:szCs w:val="24"/>
              </w:rPr>
              <w:t xml:space="preserve">. (2016). </w:t>
            </w:r>
            <w:r w:rsidRPr="00C32254">
              <w:rPr>
                <w:rFonts w:ascii="Times New Roman" w:hAnsi="Times New Roman" w:cs="Times New Roman"/>
                <w:i/>
                <w:sz w:val="24"/>
                <w:szCs w:val="24"/>
              </w:rPr>
              <w:t>Enseñar a leer y escribir en la educación superior. Propuestas educativas basadas en la investigación</w:t>
            </w:r>
            <w:r w:rsidRPr="002B4994">
              <w:rPr>
                <w:rFonts w:ascii="Times New Roman" w:hAnsi="Times New Roman" w:cs="Times New Roman"/>
                <w:sz w:val="24"/>
                <w:szCs w:val="24"/>
              </w:rPr>
              <w:t xml:space="preserve">. </w:t>
            </w:r>
            <w:r>
              <w:rPr>
                <w:rFonts w:ascii="Times New Roman" w:hAnsi="Times New Roman" w:cs="Times New Roman"/>
                <w:sz w:val="24"/>
                <w:szCs w:val="24"/>
              </w:rPr>
              <w:t>México:</w:t>
            </w:r>
            <w:r w:rsidRPr="002B4994">
              <w:rPr>
                <w:rFonts w:ascii="Times New Roman" w:hAnsi="Times New Roman" w:cs="Times New Roman"/>
                <w:sz w:val="24"/>
                <w:szCs w:val="24"/>
              </w:rPr>
              <w:t xml:space="preserve"> </w:t>
            </w:r>
            <w:r w:rsidRPr="00BB3ACA">
              <w:rPr>
                <w:rFonts w:ascii="Times New Roman" w:hAnsi="Times New Roman" w:cs="Times New Roman"/>
                <w:sz w:val="24"/>
                <w:szCs w:val="24"/>
              </w:rPr>
              <w:t xml:space="preserve">México: </w:t>
            </w:r>
            <w:r w:rsidRPr="006D6E50">
              <w:rPr>
                <w:rFonts w:ascii="Times New Roman" w:hAnsi="Times New Roman" w:cs="Times New Roman"/>
                <w:sz w:val="24"/>
                <w:szCs w:val="24"/>
              </w:rPr>
              <w:t>Libros Digitales de Acceso Libre.</w:t>
            </w:r>
            <w:r>
              <w:rPr>
                <w:rFonts w:ascii="Times New Roman" w:hAnsi="Times New Roman" w:cs="Times New Roman"/>
                <w:sz w:val="24"/>
                <w:szCs w:val="24"/>
              </w:rPr>
              <w:t xml:space="preserve"> </w:t>
            </w:r>
            <w:r w:rsidRPr="003D3C8A">
              <w:rPr>
                <w:rFonts w:ascii="Times New Roman" w:hAnsi="Times New Roman" w:cs="Times New Roman"/>
                <w:sz w:val="24"/>
                <w:szCs w:val="24"/>
              </w:rPr>
              <w:t>[En línea]. Disponible en:</w:t>
            </w:r>
            <w:r>
              <w:rPr>
                <w:rFonts w:ascii="Times New Roman" w:hAnsi="Times New Roman" w:cs="Times New Roman"/>
                <w:sz w:val="24"/>
                <w:szCs w:val="24"/>
              </w:rPr>
              <w:t xml:space="preserve"> </w:t>
            </w:r>
            <w:r w:rsidRPr="008966B4">
              <w:rPr>
                <w:rFonts w:ascii="Times New Roman" w:hAnsi="Times New Roman" w:cs="Times New Roman"/>
                <w:sz w:val="24"/>
                <w:szCs w:val="24"/>
              </w:rPr>
              <w:t>http:// www.fundacion-sm.org.mx/sites/default/files/Ense% C3%B1ar%20a%20leer%20y%20escribir.pdf</w:t>
            </w:r>
          </w:p>
          <w:p w14:paraId="4CD99635" w14:textId="77777777" w:rsidR="00304379" w:rsidRPr="00E51E04" w:rsidRDefault="00304379" w:rsidP="00304379">
            <w:pPr>
              <w:rPr>
                <w:rFonts w:ascii="Times New Roman" w:hAnsi="Times New Roman" w:cs="Times New Roman"/>
                <w:sz w:val="24"/>
                <w:szCs w:val="24"/>
              </w:rPr>
            </w:pPr>
            <w:r w:rsidRPr="00E51E04">
              <w:rPr>
                <w:rFonts w:ascii="Times New Roman" w:hAnsi="Times New Roman" w:cs="Times New Roman"/>
                <w:sz w:val="24"/>
                <w:szCs w:val="24"/>
              </w:rPr>
              <w:t xml:space="preserve">Casas, P. (6 de diciembre de 2018).  El problema no es solo plata: 42 % de los universitarios deserta. El Espectador. </w:t>
            </w:r>
            <w:r w:rsidRPr="003D3C8A">
              <w:rPr>
                <w:rFonts w:ascii="Times New Roman" w:hAnsi="Times New Roman" w:cs="Times New Roman"/>
                <w:sz w:val="24"/>
                <w:szCs w:val="24"/>
              </w:rPr>
              <w:t>[En línea]. Disponible en:</w:t>
            </w:r>
            <w:r>
              <w:rPr>
                <w:rFonts w:ascii="Times New Roman" w:hAnsi="Times New Roman" w:cs="Times New Roman"/>
                <w:sz w:val="24"/>
                <w:szCs w:val="24"/>
              </w:rPr>
              <w:t xml:space="preserve"> </w:t>
            </w:r>
            <w:r w:rsidRPr="00E51E04">
              <w:rPr>
                <w:rFonts w:ascii="Times New Roman" w:hAnsi="Times New Roman" w:cs="Times New Roman"/>
                <w:sz w:val="24"/>
                <w:szCs w:val="24"/>
              </w:rPr>
              <w:t xml:space="preserve">https://www.elespectador.com/noticias/educacion/el-problema-no-es-solo-plata-42-de-los-universitarios-deserta-articulo-827739 </w:t>
            </w:r>
          </w:p>
          <w:p w14:paraId="52645B99" w14:textId="77777777" w:rsidR="00304379" w:rsidRPr="003D3C8A" w:rsidRDefault="00304379" w:rsidP="00304379">
            <w:pPr>
              <w:rPr>
                <w:rFonts w:ascii="Times New Roman" w:hAnsi="Times New Roman" w:cs="Times New Roman"/>
                <w:sz w:val="24"/>
                <w:szCs w:val="24"/>
              </w:rPr>
            </w:pPr>
            <w:proofErr w:type="spellStart"/>
            <w:r w:rsidRPr="003D3C8A">
              <w:rPr>
                <w:rFonts w:ascii="Times New Roman" w:hAnsi="Times New Roman" w:cs="Times New Roman"/>
                <w:sz w:val="24"/>
                <w:szCs w:val="24"/>
              </w:rPr>
              <w:t>Celi</w:t>
            </w:r>
            <w:proofErr w:type="spellEnd"/>
            <w:r w:rsidRPr="003D3C8A">
              <w:rPr>
                <w:rFonts w:ascii="Times New Roman" w:hAnsi="Times New Roman" w:cs="Times New Roman"/>
                <w:sz w:val="24"/>
                <w:szCs w:val="24"/>
              </w:rPr>
              <w:t xml:space="preserve">, </w:t>
            </w:r>
            <w:proofErr w:type="spellStart"/>
            <w:r w:rsidRPr="003D3C8A">
              <w:rPr>
                <w:rFonts w:ascii="Times New Roman" w:hAnsi="Times New Roman" w:cs="Times New Roman"/>
                <w:sz w:val="24"/>
                <w:szCs w:val="24"/>
              </w:rPr>
              <w:t>Marly</w:t>
            </w:r>
            <w:proofErr w:type="spellEnd"/>
            <w:r w:rsidRPr="003D3C8A">
              <w:rPr>
                <w:rFonts w:ascii="Times New Roman" w:hAnsi="Times New Roman" w:cs="Times New Roman"/>
                <w:sz w:val="24"/>
                <w:szCs w:val="24"/>
              </w:rPr>
              <w:t xml:space="preserve"> T., Jiménez, Óscar A. y Jaramillo, Juan F. ¿Cuál es la brecha de la calidad educativa en Colombia en la educación media y en la superior? en </w:t>
            </w:r>
            <w:r w:rsidRPr="00E51E04">
              <w:rPr>
                <w:rFonts w:ascii="Times New Roman" w:hAnsi="Times New Roman" w:cs="Times New Roman"/>
                <w:sz w:val="24"/>
                <w:szCs w:val="24"/>
              </w:rPr>
              <w:t>ICFES, Estudios sobre la calidad de la educación en Colombia</w:t>
            </w:r>
            <w:r w:rsidRPr="003D3C8A">
              <w:rPr>
                <w:rFonts w:ascii="Times New Roman" w:hAnsi="Times New Roman" w:cs="Times New Roman"/>
                <w:sz w:val="24"/>
                <w:szCs w:val="24"/>
              </w:rPr>
              <w:t>. Bogotá, Colombia: Ministerio de Educación Nacional. 2012</w:t>
            </w:r>
            <w:r>
              <w:rPr>
                <w:rFonts w:ascii="Times New Roman" w:hAnsi="Times New Roman" w:cs="Times New Roman"/>
                <w:sz w:val="24"/>
                <w:szCs w:val="24"/>
              </w:rPr>
              <w:t>,</w:t>
            </w:r>
            <w:r w:rsidRPr="003D3C8A">
              <w:rPr>
                <w:rFonts w:ascii="Times New Roman" w:hAnsi="Times New Roman" w:cs="Times New Roman"/>
                <w:sz w:val="24"/>
                <w:szCs w:val="24"/>
              </w:rPr>
              <w:t xml:space="preserve"> pp. 67-98.</w:t>
            </w:r>
          </w:p>
          <w:p w14:paraId="6F1AEF72" w14:textId="77777777" w:rsidR="00304379" w:rsidRPr="00E51E04" w:rsidRDefault="00304379" w:rsidP="00304379">
            <w:pPr>
              <w:rPr>
                <w:rFonts w:ascii="Times New Roman" w:hAnsi="Times New Roman" w:cs="Times New Roman"/>
                <w:sz w:val="24"/>
                <w:szCs w:val="24"/>
              </w:rPr>
            </w:pPr>
            <w:proofErr w:type="spellStart"/>
            <w:r w:rsidRPr="00E51E04">
              <w:rPr>
                <w:rFonts w:ascii="Times New Roman" w:hAnsi="Times New Roman" w:cs="Times New Roman"/>
                <w:sz w:val="24"/>
                <w:szCs w:val="24"/>
              </w:rPr>
              <w:t>Cocimano</w:t>
            </w:r>
            <w:proofErr w:type="spellEnd"/>
            <w:r w:rsidRPr="00E51E04">
              <w:rPr>
                <w:rFonts w:ascii="Times New Roman" w:hAnsi="Times New Roman" w:cs="Times New Roman"/>
                <w:sz w:val="24"/>
                <w:szCs w:val="24"/>
              </w:rPr>
              <w:t xml:space="preserve">, Gabriel. La tradición oral latinoamericana. Las voces anónimas del continente caliente. Araucaria. </w:t>
            </w:r>
            <w:r w:rsidRPr="0030766A">
              <w:rPr>
                <w:rFonts w:ascii="Times New Roman" w:hAnsi="Times New Roman" w:cs="Times New Roman"/>
                <w:i/>
                <w:sz w:val="24"/>
                <w:szCs w:val="24"/>
              </w:rPr>
              <w:t>Revista Iberoamericana de Filosofía, Política y Humanidades</w:t>
            </w:r>
            <w:r w:rsidRPr="00E51E04">
              <w:rPr>
                <w:rFonts w:ascii="Times New Roman" w:hAnsi="Times New Roman" w:cs="Times New Roman"/>
                <w:sz w:val="24"/>
                <w:szCs w:val="24"/>
              </w:rPr>
              <w:t>, Nº 16</w:t>
            </w:r>
            <w:r>
              <w:rPr>
                <w:rFonts w:ascii="Times New Roman" w:hAnsi="Times New Roman" w:cs="Times New Roman"/>
                <w:sz w:val="24"/>
                <w:szCs w:val="24"/>
              </w:rPr>
              <w:t>, d</w:t>
            </w:r>
            <w:r w:rsidRPr="00E51E04">
              <w:rPr>
                <w:rFonts w:ascii="Times New Roman" w:hAnsi="Times New Roman" w:cs="Times New Roman"/>
                <w:sz w:val="24"/>
                <w:szCs w:val="24"/>
              </w:rPr>
              <w:t>iciembre de 2006</w:t>
            </w:r>
            <w:r>
              <w:rPr>
                <w:rFonts w:ascii="Times New Roman" w:hAnsi="Times New Roman" w:cs="Times New Roman"/>
                <w:sz w:val="24"/>
                <w:szCs w:val="24"/>
              </w:rPr>
              <w:t>,</w:t>
            </w:r>
            <w:r w:rsidRPr="00E51E04">
              <w:rPr>
                <w:rFonts w:ascii="Times New Roman" w:hAnsi="Times New Roman" w:cs="Times New Roman"/>
                <w:sz w:val="24"/>
                <w:szCs w:val="24"/>
              </w:rPr>
              <w:t xml:space="preserve"> </w:t>
            </w:r>
            <w:r>
              <w:rPr>
                <w:rFonts w:ascii="Times New Roman" w:hAnsi="Times New Roman" w:cs="Times New Roman"/>
                <w:sz w:val="24"/>
                <w:szCs w:val="24"/>
              </w:rPr>
              <w:t>pp.</w:t>
            </w:r>
            <w:r w:rsidRPr="00E51E04">
              <w:rPr>
                <w:rFonts w:ascii="Times New Roman" w:hAnsi="Times New Roman" w:cs="Times New Roman"/>
                <w:sz w:val="24"/>
                <w:szCs w:val="24"/>
              </w:rPr>
              <w:t xml:space="preserve"> 23-36</w:t>
            </w:r>
          </w:p>
          <w:p w14:paraId="7760D3B5" w14:textId="77777777" w:rsidR="00304379" w:rsidRDefault="00304379" w:rsidP="00304379">
            <w:pPr>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 xml:space="preserve">DHFI- USTA. </w:t>
            </w:r>
            <w:r w:rsidRPr="0030766A">
              <w:rPr>
                <w:rFonts w:ascii="Times New Roman" w:eastAsia="Times New Roman" w:hAnsi="Times New Roman" w:cs="Times New Roman"/>
                <w:bCs/>
                <w:i/>
                <w:color w:val="222222"/>
                <w:sz w:val="24"/>
                <w:szCs w:val="24"/>
                <w:lang w:eastAsia="es-CO"/>
              </w:rPr>
              <w:t>Departamento de Humanidades y Formación Integral</w:t>
            </w:r>
            <w:r>
              <w:rPr>
                <w:rFonts w:ascii="Times New Roman" w:eastAsia="Times New Roman" w:hAnsi="Times New Roman" w:cs="Times New Roman"/>
                <w:bCs/>
                <w:color w:val="222222"/>
                <w:sz w:val="24"/>
                <w:szCs w:val="24"/>
                <w:lang w:eastAsia="es-CO"/>
              </w:rPr>
              <w:t xml:space="preserve">. (2015). </w:t>
            </w:r>
            <w:r w:rsidRPr="0030766A">
              <w:rPr>
                <w:rFonts w:ascii="Times New Roman" w:eastAsia="Times New Roman" w:hAnsi="Times New Roman" w:cs="Times New Roman"/>
                <w:bCs/>
                <w:color w:val="222222"/>
                <w:sz w:val="24"/>
                <w:szCs w:val="24"/>
                <w:lang w:eastAsia="es-CO"/>
              </w:rPr>
              <w:t>Proyecto Coordinación Lectoescritura - Cátedra Humanidades</w:t>
            </w:r>
            <w:r>
              <w:rPr>
                <w:rFonts w:ascii="Times New Roman" w:eastAsia="Times New Roman" w:hAnsi="Times New Roman" w:cs="Times New Roman"/>
                <w:bCs/>
                <w:color w:val="222222"/>
                <w:sz w:val="24"/>
                <w:szCs w:val="24"/>
                <w:lang w:eastAsia="es-CO"/>
              </w:rPr>
              <w:t xml:space="preserve"> DHFI. Bogotá: Documento interno inédito.</w:t>
            </w:r>
          </w:p>
          <w:p w14:paraId="58A6CB27" w14:textId="77777777" w:rsidR="00304379" w:rsidRPr="00E51E04" w:rsidRDefault="00304379" w:rsidP="00304379">
            <w:pPr>
              <w:rPr>
                <w:rFonts w:ascii="Times New Roman" w:hAnsi="Times New Roman" w:cs="Times New Roman"/>
                <w:sz w:val="24"/>
                <w:szCs w:val="24"/>
              </w:rPr>
            </w:pPr>
            <w:r w:rsidRPr="00E51E04">
              <w:rPr>
                <w:rFonts w:ascii="Times New Roman" w:hAnsi="Times New Roman" w:cs="Times New Roman"/>
                <w:sz w:val="24"/>
                <w:szCs w:val="24"/>
              </w:rPr>
              <w:t xml:space="preserve">Domínguez Y., J. Guillermo ¿Por qué no escriben textos los estudiantes? (Parte1). </w:t>
            </w:r>
            <w:r w:rsidRPr="0030766A">
              <w:rPr>
                <w:rFonts w:ascii="Times New Roman" w:hAnsi="Times New Roman" w:cs="Times New Roman"/>
                <w:i/>
                <w:sz w:val="24"/>
                <w:szCs w:val="24"/>
              </w:rPr>
              <w:t>Revista del Centro de Investigación</w:t>
            </w:r>
            <w:r w:rsidRPr="00E51E04">
              <w:rPr>
                <w:rFonts w:ascii="Times New Roman" w:hAnsi="Times New Roman" w:cs="Times New Roman"/>
                <w:sz w:val="24"/>
                <w:szCs w:val="24"/>
              </w:rPr>
              <w:t>. Universidad La Salle, vol. 5, núm. 19, julio-diciembre, 2002, pp. 85-98.</w:t>
            </w:r>
          </w:p>
          <w:p w14:paraId="11CC6F83" w14:textId="77777777" w:rsidR="00304379" w:rsidRPr="00E51E04" w:rsidRDefault="00304379" w:rsidP="00304379">
            <w:pPr>
              <w:rPr>
                <w:rFonts w:ascii="Times New Roman" w:hAnsi="Times New Roman" w:cs="Times New Roman"/>
                <w:sz w:val="24"/>
                <w:szCs w:val="24"/>
              </w:rPr>
            </w:pPr>
            <w:r w:rsidRPr="00E51E04">
              <w:rPr>
                <w:rFonts w:ascii="Times New Roman" w:hAnsi="Times New Roman" w:cs="Times New Roman"/>
                <w:sz w:val="24"/>
                <w:szCs w:val="24"/>
              </w:rPr>
              <w:t xml:space="preserve">González J., Elvira I.; Hernández, P. María de L. y Márquez Z, Juan. La oralidad y la escritura en el proceso de aprendizaje Aplicación del método aprende a escuchar, pensar y escribir. </w:t>
            </w:r>
            <w:r w:rsidRPr="0030766A">
              <w:rPr>
                <w:rFonts w:ascii="Times New Roman" w:hAnsi="Times New Roman" w:cs="Times New Roman"/>
                <w:i/>
                <w:sz w:val="24"/>
                <w:szCs w:val="24"/>
              </w:rPr>
              <w:t>Contaduría y Administración</w:t>
            </w:r>
            <w:r>
              <w:rPr>
                <w:rFonts w:ascii="Times New Roman" w:hAnsi="Times New Roman" w:cs="Times New Roman"/>
                <w:sz w:val="24"/>
                <w:szCs w:val="24"/>
              </w:rPr>
              <w:t>.</w:t>
            </w:r>
            <w:r w:rsidRPr="00E51E04">
              <w:rPr>
                <w:rFonts w:ascii="Times New Roman" w:hAnsi="Times New Roman" w:cs="Times New Roman"/>
                <w:sz w:val="24"/>
                <w:szCs w:val="24"/>
              </w:rPr>
              <w:t xml:space="preserve"> [online]. 2013, vol.58, n.2, pp.261-278.</w:t>
            </w:r>
          </w:p>
          <w:p w14:paraId="6ADEADFC" w14:textId="77777777" w:rsidR="00304379" w:rsidRDefault="00304379" w:rsidP="00304379">
            <w:pPr>
              <w:rPr>
                <w:rFonts w:ascii="Times New Roman" w:hAnsi="Times New Roman" w:cs="Times New Roman"/>
                <w:sz w:val="24"/>
                <w:szCs w:val="24"/>
              </w:rPr>
            </w:pPr>
            <w:r>
              <w:rPr>
                <w:rFonts w:ascii="Times New Roman" w:hAnsi="Times New Roman" w:cs="Times New Roman"/>
                <w:sz w:val="24"/>
                <w:szCs w:val="24"/>
              </w:rPr>
              <w:t xml:space="preserve">Gonzáles M., Viviana y González T., Rosa M. Competencias genéricas y formación profesional: un análisis desde la docencia universitaria. </w:t>
            </w:r>
            <w:r w:rsidRPr="0030766A">
              <w:rPr>
                <w:rFonts w:ascii="Times New Roman" w:hAnsi="Times New Roman" w:cs="Times New Roman"/>
                <w:i/>
                <w:sz w:val="24"/>
                <w:szCs w:val="24"/>
              </w:rPr>
              <w:t>Revista Iberoamericana de Educación</w:t>
            </w:r>
            <w:r>
              <w:rPr>
                <w:rFonts w:ascii="Times New Roman" w:hAnsi="Times New Roman" w:cs="Times New Roman"/>
                <w:sz w:val="24"/>
                <w:szCs w:val="24"/>
              </w:rPr>
              <w:t xml:space="preserve"> No. 47 (2008) pp. 185-209.</w:t>
            </w:r>
          </w:p>
          <w:p w14:paraId="7BC57BA1" w14:textId="77777777" w:rsidR="00304379" w:rsidRPr="00E51E04" w:rsidRDefault="00304379" w:rsidP="00304379">
            <w:pPr>
              <w:rPr>
                <w:rFonts w:ascii="Times New Roman" w:hAnsi="Times New Roman" w:cs="Times New Roman"/>
                <w:sz w:val="24"/>
                <w:szCs w:val="24"/>
              </w:rPr>
            </w:pPr>
            <w:r w:rsidRPr="00E51E04">
              <w:rPr>
                <w:rFonts w:ascii="Times New Roman" w:hAnsi="Times New Roman" w:cs="Times New Roman"/>
                <w:sz w:val="24"/>
                <w:szCs w:val="24"/>
              </w:rPr>
              <w:t xml:space="preserve">MEN. Ministerio de Educación Nacional. (2009). </w:t>
            </w:r>
            <w:r w:rsidRPr="00C32254">
              <w:rPr>
                <w:rFonts w:ascii="Times New Roman" w:hAnsi="Times New Roman" w:cs="Times New Roman"/>
                <w:i/>
                <w:sz w:val="24"/>
                <w:szCs w:val="24"/>
              </w:rPr>
              <w:t>Deserción estudiantil en la educación superior colombiana. Metodología de seguimiento, diagnóstico y elementos para su prevención</w:t>
            </w:r>
            <w:r w:rsidRPr="00E51E04">
              <w:rPr>
                <w:rFonts w:ascii="Times New Roman" w:hAnsi="Times New Roman" w:cs="Times New Roman"/>
                <w:sz w:val="24"/>
                <w:szCs w:val="24"/>
              </w:rPr>
              <w:t>. Bogotá, Colombia: Imprenta Nacional de Colombia.</w:t>
            </w:r>
          </w:p>
          <w:p w14:paraId="6224BCA8" w14:textId="28293E15" w:rsidR="00304379" w:rsidRPr="00E51E04" w:rsidRDefault="00304379" w:rsidP="00304379">
            <w:pPr>
              <w:rPr>
                <w:rFonts w:ascii="Times New Roman" w:hAnsi="Times New Roman" w:cs="Times New Roman"/>
                <w:sz w:val="24"/>
                <w:szCs w:val="24"/>
              </w:rPr>
            </w:pPr>
            <w:r w:rsidRPr="00E51E04">
              <w:rPr>
                <w:rFonts w:ascii="Times New Roman" w:hAnsi="Times New Roman" w:cs="Times New Roman"/>
                <w:sz w:val="24"/>
                <w:szCs w:val="24"/>
              </w:rPr>
              <w:t xml:space="preserve">MEN. Ministerio de Educación Nacional.  (2015). </w:t>
            </w:r>
            <w:r w:rsidRPr="00C32254">
              <w:rPr>
                <w:rFonts w:ascii="Times New Roman" w:hAnsi="Times New Roman" w:cs="Times New Roman"/>
                <w:i/>
                <w:sz w:val="24"/>
                <w:szCs w:val="24"/>
              </w:rPr>
              <w:t>Tasa de analfabetismo funcional</w:t>
            </w:r>
            <w:r w:rsidRPr="00E51E04">
              <w:rPr>
                <w:rFonts w:ascii="Times New Roman" w:hAnsi="Times New Roman" w:cs="Times New Roman"/>
                <w:sz w:val="24"/>
                <w:szCs w:val="24"/>
              </w:rPr>
              <w:t xml:space="preserve">. En Objetivos del milenio 2015. </w:t>
            </w:r>
            <w:r w:rsidRPr="003D3C8A">
              <w:rPr>
                <w:rFonts w:ascii="Times New Roman" w:hAnsi="Times New Roman" w:cs="Times New Roman"/>
                <w:sz w:val="24"/>
                <w:szCs w:val="24"/>
              </w:rPr>
              <w:t>[En línea]. Disponible en:</w:t>
            </w:r>
            <w:r>
              <w:rPr>
                <w:rFonts w:ascii="Times New Roman" w:hAnsi="Times New Roman" w:cs="Times New Roman"/>
                <w:sz w:val="24"/>
                <w:szCs w:val="24"/>
              </w:rPr>
              <w:t xml:space="preserve"> </w:t>
            </w:r>
            <w:r w:rsidRPr="00E51E04">
              <w:rPr>
                <w:rFonts w:ascii="Times New Roman" w:hAnsi="Times New Roman" w:cs="Times New Roman"/>
                <w:sz w:val="24"/>
                <w:szCs w:val="24"/>
              </w:rPr>
              <w:t>https://www.mineducacion.gov.co/cvn/1665/articles-101270_archivo_pdf1.pdf</w:t>
            </w:r>
          </w:p>
          <w:p w14:paraId="36666BE6" w14:textId="77777777" w:rsidR="00304379" w:rsidRPr="002F7DA1" w:rsidRDefault="00304379" w:rsidP="00304379">
            <w:pPr>
              <w:rPr>
                <w:rFonts w:ascii="Times New Roman" w:hAnsi="Times New Roman" w:cs="Times New Roman"/>
                <w:sz w:val="24"/>
                <w:szCs w:val="24"/>
              </w:rPr>
            </w:pPr>
            <w:r w:rsidRPr="002F7DA1">
              <w:rPr>
                <w:rFonts w:ascii="Times New Roman" w:hAnsi="Times New Roman" w:cs="Times New Roman"/>
                <w:sz w:val="24"/>
                <w:szCs w:val="24"/>
              </w:rPr>
              <w:t>Montealegre, Rosalía; Forero, Luz A</w:t>
            </w:r>
            <w:r>
              <w:rPr>
                <w:rFonts w:ascii="Times New Roman" w:hAnsi="Times New Roman" w:cs="Times New Roman"/>
                <w:sz w:val="24"/>
                <w:szCs w:val="24"/>
              </w:rPr>
              <w:t>.</w:t>
            </w:r>
            <w:r w:rsidRPr="002F7DA1">
              <w:rPr>
                <w:rFonts w:ascii="Times New Roman" w:hAnsi="Times New Roman" w:cs="Times New Roman"/>
                <w:sz w:val="24"/>
                <w:szCs w:val="24"/>
              </w:rPr>
              <w:t xml:space="preserve"> Desarrollo de la lectoescritura: adquisición y dominio</w:t>
            </w:r>
            <w:r>
              <w:rPr>
                <w:rFonts w:ascii="Times New Roman" w:hAnsi="Times New Roman" w:cs="Times New Roman"/>
                <w:sz w:val="24"/>
                <w:szCs w:val="24"/>
              </w:rPr>
              <w:t>.</w:t>
            </w:r>
            <w:r w:rsidRPr="002F7DA1">
              <w:rPr>
                <w:rFonts w:ascii="Times New Roman" w:hAnsi="Times New Roman" w:cs="Times New Roman"/>
                <w:sz w:val="24"/>
                <w:szCs w:val="24"/>
              </w:rPr>
              <w:t xml:space="preserve"> </w:t>
            </w:r>
            <w:r w:rsidRPr="00C32254">
              <w:rPr>
                <w:rFonts w:ascii="Times New Roman" w:hAnsi="Times New Roman" w:cs="Times New Roman"/>
                <w:i/>
                <w:sz w:val="24"/>
                <w:szCs w:val="24"/>
              </w:rPr>
              <w:t>Acta Colombiana de Psicología</w:t>
            </w:r>
            <w:r w:rsidRPr="002F7DA1">
              <w:rPr>
                <w:rFonts w:ascii="Times New Roman" w:hAnsi="Times New Roman" w:cs="Times New Roman"/>
                <w:sz w:val="24"/>
                <w:szCs w:val="24"/>
              </w:rPr>
              <w:t>, vol. 9, núm. 1, mayo, 2006, pp. 25-40</w:t>
            </w:r>
          </w:p>
          <w:p w14:paraId="12461B7E" w14:textId="77777777" w:rsidR="00304379" w:rsidRPr="003D3C8A" w:rsidRDefault="00304379" w:rsidP="00304379">
            <w:pPr>
              <w:rPr>
                <w:rFonts w:ascii="Times New Roman" w:hAnsi="Times New Roman" w:cs="Times New Roman"/>
                <w:sz w:val="24"/>
                <w:szCs w:val="24"/>
              </w:rPr>
            </w:pPr>
            <w:r w:rsidRPr="003D3C8A">
              <w:rPr>
                <w:rFonts w:ascii="Times New Roman" w:hAnsi="Times New Roman" w:cs="Times New Roman"/>
                <w:sz w:val="24"/>
                <w:szCs w:val="24"/>
              </w:rPr>
              <w:t xml:space="preserve">OCDE. Organización para la Cooperación y el Desarrollo Económico. (2016). </w:t>
            </w:r>
            <w:r w:rsidRPr="00C32254">
              <w:rPr>
                <w:rFonts w:ascii="Times New Roman" w:hAnsi="Times New Roman" w:cs="Times New Roman"/>
                <w:i/>
                <w:sz w:val="24"/>
                <w:szCs w:val="24"/>
              </w:rPr>
              <w:t>Revisión de políticas nacionales de educación. La educación en Colombia</w:t>
            </w:r>
            <w:r w:rsidRPr="003D3C8A">
              <w:rPr>
                <w:rFonts w:ascii="Times New Roman" w:hAnsi="Times New Roman" w:cs="Times New Roman"/>
                <w:sz w:val="24"/>
                <w:szCs w:val="24"/>
              </w:rPr>
              <w:t>. Bogotá, Colombia: Ministerio de Educación Nacional.</w:t>
            </w:r>
          </w:p>
          <w:p w14:paraId="26996872" w14:textId="77777777" w:rsidR="00304379" w:rsidRDefault="00304379" w:rsidP="00304379">
            <w:pPr>
              <w:rPr>
                <w:rFonts w:ascii="Times New Roman" w:hAnsi="Times New Roman" w:cs="Times New Roman"/>
                <w:sz w:val="24"/>
                <w:szCs w:val="24"/>
              </w:rPr>
            </w:pPr>
            <w:r>
              <w:rPr>
                <w:rFonts w:ascii="Times New Roman" w:hAnsi="Times New Roman" w:cs="Times New Roman"/>
                <w:sz w:val="24"/>
                <w:szCs w:val="24"/>
              </w:rPr>
              <w:lastRenderedPageBreak/>
              <w:t xml:space="preserve">ODES. </w:t>
            </w:r>
            <w:r w:rsidRPr="00E51E04">
              <w:rPr>
                <w:rFonts w:ascii="Times New Roman" w:hAnsi="Times New Roman" w:cs="Times New Roman"/>
                <w:sz w:val="24"/>
                <w:szCs w:val="24"/>
              </w:rPr>
              <w:t>Observatorio</w:t>
            </w:r>
            <w:r>
              <w:rPr>
                <w:rFonts w:ascii="Times New Roman" w:hAnsi="Times New Roman" w:cs="Times New Roman"/>
                <w:sz w:val="24"/>
                <w:szCs w:val="24"/>
              </w:rPr>
              <w:t xml:space="preserve"> </w:t>
            </w:r>
            <w:r w:rsidRPr="00E51E04">
              <w:rPr>
                <w:rFonts w:ascii="Times New Roman" w:hAnsi="Times New Roman" w:cs="Times New Roman"/>
                <w:sz w:val="24"/>
                <w:szCs w:val="24"/>
              </w:rPr>
              <w:t>de Educación</w:t>
            </w:r>
            <w:r>
              <w:rPr>
                <w:rFonts w:ascii="Times New Roman" w:hAnsi="Times New Roman" w:cs="Times New Roman"/>
                <w:sz w:val="24"/>
                <w:szCs w:val="24"/>
              </w:rPr>
              <w:t xml:space="preserve"> </w:t>
            </w:r>
            <w:r w:rsidRPr="00E51E04">
              <w:rPr>
                <w:rFonts w:ascii="Times New Roman" w:hAnsi="Times New Roman" w:cs="Times New Roman"/>
                <w:sz w:val="24"/>
                <w:szCs w:val="24"/>
              </w:rPr>
              <w:t>Superior de Medellín</w:t>
            </w:r>
            <w:r>
              <w:rPr>
                <w:rFonts w:ascii="Times New Roman" w:hAnsi="Times New Roman" w:cs="Times New Roman"/>
                <w:sz w:val="24"/>
                <w:szCs w:val="24"/>
              </w:rPr>
              <w:t xml:space="preserve">. Deserción en la Educación Superior. </w:t>
            </w:r>
            <w:r w:rsidRPr="00C32254">
              <w:rPr>
                <w:rFonts w:ascii="Times New Roman" w:hAnsi="Times New Roman" w:cs="Times New Roman"/>
                <w:i/>
                <w:sz w:val="24"/>
                <w:szCs w:val="24"/>
              </w:rPr>
              <w:t>Boletín</w:t>
            </w:r>
            <w:r>
              <w:rPr>
                <w:rFonts w:ascii="Times New Roman" w:hAnsi="Times New Roman" w:cs="Times New Roman"/>
                <w:sz w:val="24"/>
                <w:szCs w:val="24"/>
              </w:rPr>
              <w:t xml:space="preserve"> no. 5, julio-2017. </w:t>
            </w:r>
            <w:r w:rsidRPr="003D3C8A">
              <w:rPr>
                <w:rFonts w:ascii="Times New Roman" w:hAnsi="Times New Roman" w:cs="Times New Roman"/>
                <w:sz w:val="24"/>
                <w:szCs w:val="24"/>
              </w:rPr>
              <w:t>[En línea]. Disponible en:</w:t>
            </w:r>
            <w:r>
              <w:rPr>
                <w:rFonts w:ascii="Times New Roman" w:hAnsi="Times New Roman" w:cs="Times New Roman"/>
                <w:sz w:val="24"/>
                <w:szCs w:val="24"/>
              </w:rPr>
              <w:t xml:space="preserve"> </w:t>
            </w:r>
            <w:r w:rsidRPr="00E51E04">
              <w:rPr>
                <w:rFonts w:ascii="Times New Roman" w:hAnsi="Times New Roman" w:cs="Times New Roman"/>
                <w:sz w:val="24"/>
                <w:szCs w:val="24"/>
              </w:rPr>
              <w:t>http://www.sapiencia.gov.co/wp-content/uploads/2017/07/BOLETIN_ODES_DESERCION_EN_LA_EDUCACION_SUPERIOR.pdf</w:t>
            </w:r>
          </w:p>
          <w:p w14:paraId="6648B5AD" w14:textId="77777777" w:rsidR="00304379" w:rsidRPr="00E51E04" w:rsidRDefault="00304379" w:rsidP="00304379">
            <w:pPr>
              <w:rPr>
                <w:rFonts w:ascii="Times New Roman" w:hAnsi="Times New Roman" w:cs="Times New Roman"/>
                <w:sz w:val="24"/>
                <w:szCs w:val="24"/>
              </w:rPr>
            </w:pPr>
            <w:proofErr w:type="spellStart"/>
            <w:r w:rsidRPr="00E51E04">
              <w:rPr>
                <w:rFonts w:ascii="Times New Roman" w:hAnsi="Times New Roman" w:cs="Times New Roman"/>
                <w:sz w:val="24"/>
                <w:szCs w:val="24"/>
              </w:rPr>
              <w:t>Ong</w:t>
            </w:r>
            <w:proofErr w:type="spellEnd"/>
            <w:r w:rsidRPr="00E51E04">
              <w:rPr>
                <w:rFonts w:ascii="Times New Roman" w:hAnsi="Times New Roman" w:cs="Times New Roman"/>
                <w:sz w:val="24"/>
                <w:szCs w:val="24"/>
              </w:rPr>
              <w:t xml:space="preserve">, Walter J. (1997). </w:t>
            </w:r>
            <w:r w:rsidRPr="00C32254">
              <w:rPr>
                <w:rFonts w:ascii="Times New Roman" w:hAnsi="Times New Roman" w:cs="Times New Roman"/>
                <w:i/>
                <w:sz w:val="24"/>
                <w:szCs w:val="24"/>
              </w:rPr>
              <w:t>Oralidad y escritura. Tecnología de la palabra</w:t>
            </w:r>
            <w:r w:rsidRPr="00E51E04">
              <w:rPr>
                <w:rFonts w:ascii="Times New Roman" w:hAnsi="Times New Roman" w:cs="Times New Roman"/>
                <w:sz w:val="24"/>
                <w:szCs w:val="24"/>
              </w:rPr>
              <w:t xml:space="preserve">. México: Fondo de Cultura Económica. </w:t>
            </w:r>
          </w:p>
          <w:p w14:paraId="0E6EAD01" w14:textId="77777777" w:rsidR="00304379" w:rsidRDefault="00304379" w:rsidP="00304379">
            <w:pPr>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REDLEES.</w:t>
            </w:r>
            <w:r w:rsidRPr="0036425B">
              <w:rPr>
                <w:rFonts w:ascii="Times New Roman" w:eastAsia="Times New Roman" w:hAnsi="Times New Roman" w:cs="Times New Roman"/>
                <w:bCs/>
                <w:color w:val="222222"/>
                <w:sz w:val="24"/>
                <w:szCs w:val="24"/>
                <w:lang w:eastAsia="es-CO"/>
              </w:rPr>
              <w:t xml:space="preserve"> Red de Lectura y Escritura en Educación Superior</w:t>
            </w:r>
            <w:r>
              <w:rPr>
                <w:rFonts w:ascii="Times New Roman" w:eastAsia="Times New Roman" w:hAnsi="Times New Roman" w:cs="Times New Roman"/>
                <w:bCs/>
                <w:color w:val="222222"/>
                <w:sz w:val="24"/>
                <w:szCs w:val="24"/>
                <w:lang w:eastAsia="es-CO"/>
              </w:rPr>
              <w:t xml:space="preserve">. (2019). </w:t>
            </w:r>
            <w:r w:rsidRPr="00C32254">
              <w:rPr>
                <w:rFonts w:ascii="Times New Roman" w:eastAsia="Times New Roman" w:hAnsi="Times New Roman" w:cs="Times New Roman"/>
                <w:bCs/>
                <w:i/>
                <w:color w:val="222222"/>
                <w:sz w:val="24"/>
                <w:szCs w:val="24"/>
                <w:lang w:eastAsia="es-CO"/>
              </w:rPr>
              <w:t>Misión</w:t>
            </w:r>
            <w:r>
              <w:rPr>
                <w:rFonts w:ascii="Times New Roman" w:eastAsia="Times New Roman" w:hAnsi="Times New Roman" w:cs="Times New Roman"/>
                <w:bCs/>
                <w:color w:val="222222"/>
                <w:sz w:val="24"/>
                <w:szCs w:val="24"/>
                <w:lang w:eastAsia="es-CO"/>
              </w:rPr>
              <w:t xml:space="preserve">. </w:t>
            </w:r>
            <w:r w:rsidRPr="003D3C8A">
              <w:rPr>
                <w:rFonts w:ascii="Times New Roman" w:hAnsi="Times New Roman" w:cs="Times New Roman"/>
                <w:sz w:val="24"/>
                <w:szCs w:val="24"/>
              </w:rPr>
              <w:t xml:space="preserve">[En línea]. Disponible en: </w:t>
            </w:r>
            <w:r w:rsidRPr="00ED35D6">
              <w:rPr>
                <w:rFonts w:ascii="Times New Roman" w:eastAsia="Times New Roman" w:hAnsi="Times New Roman" w:cs="Times New Roman"/>
                <w:bCs/>
                <w:color w:val="222222"/>
                <w:sz w:val="24"/>
                <w:szCs w:val="24"/>
                <w:lang w:eastAsia="es-CO"/>
              </w:rPr>
              <w:t>https://ascun.org.co/red/detalle/red-de-lectura-y-escritura-en-educacion-superior-redless</w:t>
            </w:r>
          </w:p>
          <w:p w14:paraId="46EFBC34" w14:textId="77777777" w:rsidR="00304379" w:rsidRPr="003D3C8A" w:rsidRDefault="00304379" w:rsidP="00304379">
            <w:pPr>
              <w:rPr>
                <w:rFonts w:ascii="Times New Roman" w:hAnsi="Times New Roman" w:cs="Times New Roman"/>
                <w:sz w:val="24"/>
                <w:szCs w:val="24"/>
              </w:rPr>
            </w:pPr>
            <w:r w:rsidRPr="003D3C8A">
              <w:rPr>
                <w:rFonts w:ascii="Times New Roman" w:hAnsi="Times New Roman" w:cs="Times New Roman"/>
                <w:sz w:val="24"/>
                <w:szCs w:val="24"/>
              </w:rPr>
              <w:t xml:space="preserve">Semana (2016). </w:t>
            </w:r>
            <w:r w:rsidRPr="00C32254">
              <w:rPr>
                <w:rFonts w:ascii="Times New Roman" w:hAnsi="Times New Roman" w:cs="Times New Roman"/>
                <w:i/>
                <w:sz w:val="24"/>
                <w:szCs w:val="24"/>
              </w:rPr>
              <w:t>Mediocres niveles de lectura y escritura entre los jóvenes universitarios</w:t>
            </w:r>
            <w:r w:rsidRPr="003D3C8A">
              <w:rPr>
                <w:rFonts w:ascii="Times New Roman" w:hAnsi="Times New Roman" w:cs="Times New Roman"/>
                <w:sz w:val="24"/>
                <w:szCs w:val="24"/>
              </w:rPr>
              <w:t xml:space="preserve">. [En línea]. Disponible en: </w:t>
            </w:r>
            <w:hyperlink r:id="rId8" w:history="1">
              <w:r w:rsidRPr="00E51E04">
                <w:t>https://www.semana.com/educacion/articulo/bajos-niveles-de-lectura-en-universidades-de-colombia/506165</w:t>
              </w:r>
            </w:hyperlink>
            <w:r w:rsidRPr="003D3C8A">
              <w:rPr>
                <w:rFonts w:ascii="Times New Roman" w:hAnsi="Times New Roman" w:cs="Times New Roman"/>
                <w:sz w:val="24"/>
                <w:szCs w:val="24"/>
              </w:rPr>
              <w:t>.</w:t>
            </w:r>
          </w:p>
          <w:p w14:paraId="7614039C" w14:textId="77777777" w:rsidR="00304379" w:rsidRPr="00E51E04" w:rsidRDefault="00304379" w:rsidP="00304379">
            <w:pPr>
              <w:rPr>
                <w:rFonts w:ascii="Times New Roman" w:hAnsi="Times New Roman" w:cs="Times New Roman"/>
                <w:sz w:val="24"/>
                <w:szCs w:val="24"/>
              </w:rPr>
            </w:pPr>
            <w:r w:rsidRPr="00E51E04">
              <w:rPr>
                <w:rFonts w:ascii="Times New Roman" w:hAnsi="Times New Roman" w:cs="Times New Roman"/>
                <w:sz w:val="24"/>
                <w:szCs w:val="24"/>
              </w:rPr>
              <w:t xml:space="preserve">Unesco. (1998). </w:t>
            </w:r>
            <w:r w:rsidRPr="00C32254">
              <w:rPr>
                <w:rFonts w:ascii="Times New Roman" w:hAnsi="Times New Roman" w:cs="Times New Roman"/>
                <w:i/>
                <w:sz w:val="24"/>
                <w:szCs w:val="24"/>
              </w:rPr>
              <w:t>Declaración mundial sobre la educación superior en el siglo XXI: visión y acción y marco de acción prioritaria para el cambio y el desarrollo de la educación superior</w:t>
            </w:r>
            <w:r w:rsidRPr="00E51E04">
              <w:rPr>
                <w:rFonts w:ascii="Times New Roman" w:hAnsi="Times New Roman" w:cs="Times New Roman"/>
                <w:sz w:val="24"/>
                <w:szCs w:val="24"/>
              </w:rPr>
              <w:t xml:space="preserve">. París, 9 de octubre de 1998. </w:t>
            </w:r>
            <w:r w:rsidRPr="003D3C8A">
              <w:rPr>
                <w:rFonts w:ascii="Times New Roman" w:hAnsi="Times New Roman" w:cs="Times New Roman"/>
                <w:sz w:val="24"/>
                <w:szCs w:val="24"/>
              </w:rPr>
              <w:t xml:space="preserve">[En línea]. Disponible en: </w:t>
            </w:r>
            <w:hyperlink r:id="rId9" w:history="1">
              <w:r w:rsidRPr="00E51E04">
                <w:t>http://www.unesco.org/education/educprog/wche/declaration_spa.htm</w:t>
              </w:r>
            </w:hyperlink>
          </w:p>
          <w:p w14:paraId="78DB6703" w14:textId="77777777" w:rsidR="00304379" w:rsidRDefault="00304379" w:rsidP="00304379">
            <w:pPr>
              <w:rPr>
                <w:rFonts w:ascii="Times New Roman" w:hAnsi="Times New Roman" w:cs="Times New Roman"/>
                <w:sz w:val="24"/>
                <w:szCs w:val="24"/>
              </w:rPr>
            </w:pPr>
            <w:r>
              <w:rPr>
                <w:rFonts w:ascii="Times New Roman" w:hAnsi="Times New Roman" w:cs="Times New Roman"/>
                <w:sz w:val="24"/>
                <w:szCs w:val="24"/>
              </w:rPr>
              <w:t xml:space="preserve">PUJ. Pontificia Universidad Javeriana. (2019). Centro de Escritura Javeriano. </w:t>
            </w:r>
            <w:r w:rsidRPr="003D3C8A">
              <w:rPr>
                <w:rFonts w:ascii="Times New Roman" w:hAnsi="Times New Roman" w:cs="Times New Roman"/>
                <w:sz w:val="24"/>
                <w:szCs w:val="24"/>
              </w:rPr>
              <w:t xml:space="preserve">[En línea]. Disponible en: </w:t>
            </w:r>
            <w:r w:rsidRPr="00820720">
              <w:rPr>
                <w:rFonts w:ascii="Times New Roman" w:hAnsi="Times New Roman" w:cs="Times New Roman"/>
                <w:sz w:val="24"/>
                <w:szCs w:val="24"/>
              </w:rPr>
              <w:t>https://www.javerianacali.edu.co/centro-escritura</w:t>
            </w:r>
          </w:p>
          <w:p w14:paraId="140BDB4C" w14:textId="77777777" w:rsidR="00304379" w:rsidRPr="00896B59" w:rsidRDefault="00304379" w:rsidP="00304379">
            <w:pPr>
              <w:rPr>
                <w:rFonts w:ascii="Times New Roman" w:hAnsi="Times New Roman" w:cs="Times New Roman"/>
                <w:sz w:val="24"/>
                <w:szCs w:val="24"/>
              </w:rPr>
            </w:pPr>
            <w:proofErr w:type="spellStart"/>
            <w:r>
              <w:rPr>
                <w:rFonts w:ascii="Times New Roman" w:hAnsi="Times New Roman" w:cs="Times New Roman"/>
                <w:sz w:val="24"/>
                <w:szCs w:val="24"/>
              </w:rPr>
              <w:t>UdeA</w:t>
            </w:r>
            <w:proofErr w:type="spellEnd"/>
            <w:r>
              <w:rPr>
                <w:rFonts w:ascii="Times New Roman" w:hAnsi="Times New Roman" w:cs="Times New Roman"/>
                <w:sz w:val="24"/>
                <w:szCs w:val="24"/>
              </w:rPr>
              <w:t xml:space="preserve">. Universidad de Antioquia. (2019). Lengua Materna. Proyecto Bajo Palabra. </w:t>
            </w:r>
            <w:r w:rsidRPr="003D3C8A">
              <w:rPr>
                <w:rFonts w:ascii="Times New Roman" w:hAnsi="Times New Roman" w:cs="Times New Roman"/>
                <w:sz w:val="24"/>
                <w:szCs w:val="24"/>
              </w:rPr>
              <w:t xml:space="preserve">[En línea]. Disponible en: </w:t>
            </w:r>
            <w:hyperlink r:id="rId10" w:history="1">
              <w:r w:rsidRPr="00896B59">
                <w:rPr>
                  <w:rStyle w:val="Hipervnculo"/>
                  <w:rFonts w:ascii="Times New Roman" w:hAnsi="Times New Roman" w:cs="Times New Roman"/>
                  <w:color w:val="auto"/>
                  <w:sz w:val="24"/>
                  <w:szCs w:val="24"/>
                  <w:u w:val="none"/>
                </w:rPr>
                <w:t>http://docencia.udea.edu.co/LenguaMaterna/</w:t>
              </w:r>
            </w:hyperlink>
          </w:p>
          <w:p w14:paraId="25E8BA2B" w14:textId="77777777" w:rsidR="00304379" w:rsidRDefault="00304379" w:rsidP="00304379">
            <w:pPr>
              <w:rPr>
                <w:rFonts w:ascii="Times New Roman" w:hAnsi="Times New Roman" w:cs="Times New Roman"/>
                <w:sz w:val="24"/>
                <w:szCs w:val="24"/>
              </w:rPr>
            </w:pPr>
            <w:r>
              <w:rPr>
                <w:rFonts w:ascii="Times New Roman" w:hAnsi="Times New Roman" w:cs="Times New Roman"/>
                <w:sz w:val="24"/>
                <w:szCs w:val="24"/>
              </w:rPr>
              <w:t xml:space="preserve">USA. Universidad Sergio Arboleda. (2019). </w:t>
            </w:r>
            <w:r w:rsidRPr="00896B59">
              <w:rPr>
                <w:rFonts w:ascii="Times New Roman" w:hAnsi="Times New Roman" w:cs="Times New Roman"/>
                <w:sz w:val="24"/>
                <w:szCs w:val="24"/>
              </w:rPr>
              <w:t>Departamento de Lectura y Escritura Académicas</w:t>
            </w:r>
            <w:r>
              <w:rPr>
                <w:rFonts w:ascii="Times New Roman" w:hAnsi="Times New Roman" w:cs="Times New Roman"/>
                <w:sz w:val="24"/>
                <w:szCs w:val="24"/>
              </w:rPr>
              <w:t xml:space="preserve">. </w:t>
            </w:r>
            <w:r w:rsidRPr="00896B59">
              <w:rPr>
                <w:rFonts w:ascii="Times New Roman" w:hAnsi="Times New Roman" w:cs="Times New Roman"/>
                <w:sz w:val="24"/>
                <w:szCs w:val="24"/>
              </w:rPr>
              <w:t xml:space="preserve">Sobre el Programa </w:t>
            </w:r>
            <w:r>
              <w:rPr>
                <w:rFonts w:ascii="Times New Roman" w:hAnsi="Times New Roman" w:cs="Times New Roman"/>
                <w:sz w:val="24"/>
                <w:szCs w:val="24"/>
              </w:rPr>
              <w:t>d</w:t>
            </w:r>
            <w:r w:rsidRPr="00896B59">
              <w:rPr>
                <w:rFonts w:ascii="Times New Roman" w:hAnsi="Times New Roman" w:cs="Times New Roman"/>
                <w:sz w:val="24"/>
                <w:szCs w:val="24"/>
              </w:rPr>
              <w:t>e Lectura y Escritura Académicas</w:t>
            </w:r>
            <w:r>
              <w:rPr>
                <w:rFonts w:ascii="Times New Roman" w:hAnsi="Times New Roman" w:cs="Times New Roman"/>
                <w:sz w:val="24"/>
                <w:szCs w:val="24"/>
              </w:rPr>
              <w:t>.</w:t>
            </w:r>
            <w:r w:rsidRPr="00896B59">
              <w:rPr>
                <w:rFonts w:ascii="Times New Roman" w:hAnsi="Times New Roman" w:cs="Times New Roman"/>
                <w:sz w:val="24"/>
                <w:szCs w:val="24"/>
              </w:rPr>
              <w:t xml:space="preserve"> </w:t>
            </w:r>
            <w:r w:rsidRPr="003D3C8A">
              <w:rPr>
                <w:rFonts w:ascii="Times New Roman" w:hAnsi="Times New Roman" w:cs="Times New Roman"/>
                <w:sz w:val="24"/>
                <w:szCs w:val="24"/>
              </w:rPr>
              <w:t xml:space="preserve">[En línea]. Disponible en: </w:t>
            </w:r>
            <w:hyperlink r:id="rId11" w:history="1">
              <w:r w:rsidRPr="00896B59">
                <w:rPr>
                  <w:rStyle w:val="Hipervnculo"/>
                  <w:rFonts w:ascii="Times New Roman" w:hAnsi="Times New Roman" w:cs="Times New Roman"/>
                  <w:color w:val="auto"/>
                  <w:sz w:val="24"/>
                  <w:szCs w:val="24"/>
                  <w:u w:val="none"/>
                </w:rPr>
                <w:t>https://www.usergioarboleda.edu.co/escuela-de-filosofia-y-humanidades/departamento-de-lectura-y-escritura/</w:t>
              </w:r>
            </w:hyperlink>
          </w:p>
          <w:p w14:paraId="6C3AC901" w14:textId="77777777" w:rsidR="00304379" w:rsidRDefault="00304379" w:rsidP="00304379">
            <w:pPr>
              <w:rPr>
                <w:rFonts w:ascii="Times New Roman" w:hAnsi="Times New Roman" w:cs="Times New Roman"/>
                <w:sz w:val="24"/>
                <w:szCs w:val="24"/>
              </w:rPr>
            </w:pPr>
            <w:r>
              <w:rPr>
                <w:rFonts w:ascii="Times New Roman" w:hAnsi="Times New Roman" w:cs="Times New Roman"/>
                <w:sz w:val="24"/>
                <w:szCs w:val="24"/>
              </w:rPr>
              <w:t xml:space="preserve">U. Rosario. Universidad del Rosario. (2019). </w:t>
            </w:r>
            <w:r w:rsidRPr="00DC7545">
              <w:rPr>
                <w:rFonts w:ascii="Times New Roman" w:hAnsi="Times New Roman" w:cs="Times New Roman"/>
                <w:sz w:val="24"/>
                <w:szCs w:val="24"/>
              </w:rPr>
              <w:t>Guías de Calidad Académica</w:t>
            </w:r>
            <w:r>
              <w:rPr>
                <w:rFonts w:ascii="Times New Roman" w:hAnsi="Times New Roman" w:cs="Times New Roman"/>
                <w:sz w:val="24"/>
                <w:szCs w:val="24"/>
              </w:rPr>
              <w:t xml:space="preserve">. </w:t>
            </w:r>
            <w:r w:rsidRPr="003D3C8A">
              <w:rPr>
                <w:rFonts w:ascii="Times New Roman" w:hAnsi="Times New Roman" w:cs="Times New Roman"/>
                <w:sz w:val="24"/>
                <w:szCs w:val="24"/>
              </w:rPr>
              <w:t xml:space="preserve">[En línea]. Disponible en: </w:t>
            </w:r>
            <w:r w:rsidRPr="00DC7545">
              <w:rPr>
                <w:rFonts w:ascii="Times New Roman" w:hAnsi="Times New Roman" w:cs="Times New Roman"/>
                <w:sz w:val="24"/>
                <w:szCs w:val="24"/>
              </w:rPr>
              <w:t>https://www.urosario.edu.co/Escuela-de-Ciencias-Humanas/Estudiantes/Guias-de-calidad-Academica/</w:t>
            </w:r>
          </w:p>
          <w:p w14:paraId="263E0CD9" w14:textId="77777777" w:rsidR="00304379" w:rsidRDefault="00304379" w:rsidP="00304379">
            <w:pPr>
              <w:rPr>
                <w:rFonts w:ascii="Times New Roman" w:hAnsi="Times New Roman" w:cs="Times New Roman"/>
                <w:sz w:val="24"/>
                <w:szCs w:val="24"/>
              </w:rPr>
            </w:pPr>
            <w:proofErr w:type="spellStart"/>
            <w:r>
              <w:rPr>
                <w:rFonts w:ascii="Times New Roman" w:hAnsi="Times New Roman" w:cs="Times New Roman"/>
                <w:sz w:val="24"/>
                <w:szCs w:val="24"/>
              </w:rPr>
              <w:t>Uniandes</w:t>
            </w:r>
            <w:proofErr w:type="spellEnd"/>
            <w:r>
              <w:rPr>
                <w:rFonts w:ascii="Times New Roman" w:hAnsi="Times New Roman" w:cs="Times New Roman"/>
                <w:sz w:val="24"/>
                <w:szCs w:val="24"/>
              </w:rPr>
              <w:t xml:space="preserve">. Universidad de los Andes. (2019). Centro de Español. </w:t>
            </w:r>
            <w:r w:rsidRPr="003D3C8A">
              <w:rPr>
                <w:rFonts w:ascii="Times New Roman" w:hAnsi="Times New Roman" w:cs="Times New Roman"/>
                <w:sz w:val="24"/>
                <w:szCs w:val="24"/>
              </w:rPr>
              <w:t>[En línea]. Disponible en:</w:t>
            </w:r>
            <w:r>
              <w:rPr>
                <w:rFonts w:ascii="Times New Roman" w:hAnsi="Times New Roman" w:cs="Times New Roman"/>
                <w:sz w:val="24"/>
                <w:szCs w:val="24"/>
              </w:rPr>
              <w:t xml:space="preserve"> </w:t>
            </w:r>
            <w:r w:rsidRPr="004A7786">
              <w:rPr>
                <w:rFonts w:ascii="Times New Roman" w:hAnsi="Times New Roman" w:cs="Times New Roman"/>
                <w:sz w:val="24"/>
                <w:szCs w:val="24"/>
              </w:rPr>
              <w:t>https://centrodeespanol.uniandes.edu.co/</w:t>
            </w:r>
          </w:p>
          <w:p w14:paraId="357FA072" w14:textId="77777777" w:rsidR="00304379" w:rsidRPr="00E51E04" w:rsidRDefault="00304379" w:rsidP="00304379">
            <w:pPr>
              <w:ind w:left="709" w:hanging="709"/>
              <w:rPr>
                <w:rFonts w:ascii="Times New Roman" w:hAnsi="Times New Roman" w:cs="Times New Roman"/>
                <w:sz w:val="24"/>
                <w:szCs w:val="24"/>
              </w:rPr>
            </w:pPr>
            <w:r>
              <w:rPr>
                <w:rFonts w:ascii="Times New Roman" w:hAnsi="Times New Roman" w:cs="Times New Roman"/>
                <w:sz w:val="24"/>
                <w:szCs w:val="24"/>
              </w:rPr>
              <w:t xml:space="preserve">USTA. </w:t>
            </w:r>
            <w:r w:rsidRPr="00E51E04">
              <w:rPr>
                <w:rFonts w:ascii="Times New Roman" w:hAnsi="Times New Roman" w:cs="Times New Roman"/>
                <w:sz w:val="24"/>
                <w:szCs w:val="24"/>
              </w:rPr>
              <w:t xml:space="preserve">Universidad Santo Tomás. (2016a). </w:t>
            </w:r>
            <w:r w:rsidRPr="00C32254">
              <w:rPr>
                <w:rFonts w:ascii="Times New Roman" w:hAnsi="Times New Roman" w:cs="Times New Roman"/>
                <w:i/>
                <w:sz w:val="24"/>
                <w:szCs w:val="24"/>
              </w:rPr>
              <w:t xml:space="preserve">Plan Integral </w:t>
            </w:r>
            <w:proofErr w:type="spellStart"/>
            <w:r w:rsidRPr="00C32254">
              <w:rPr>
                <w:rFonts w:ascii="Times New Roman" w:hAnsi="Times New Roman" w:cs="Times New Roman"/>
                <w:i/>
                <w:sz w:val="24"/>
                <w:szCs w:val="24"/>
              </w:rPr>
              <w:t>Multicampus</w:t>
            </w:r>
            <w:proofErr w:type="spellEnd"/>
            <w:r w:rsidRPr="00C32254">
              <w:rPr>
                <w:rFonts w:ascii="Times New Roman" w:hAnsi="Times New Roman" w:cs="Times New Roman"/>
                <w:i/>
                <w:sz w:val="24"/>
                <w:szCs w:val="24"/>
              </w:rPr>
              <w:t xml:space="preserve"> 2016-2027</w:t>
            </w:r>
            <w:r w:rsidRPr="00E51E04">
              <w:rPr>
                <w:rFonts w:ascii="Times New Roman" w:hAnsi="Times New Roman" w:cs="Times New Roman"/>
                <w:sz w:val="24"/>
                <w:szCs w:val="24"/>
              </w:rPr>
              <w:t>. Bogotá, Colombia: USTA.</w:t>
            </w:r>
          </w:p>
          <w:p w14:paraId="7C3B176B" w14:textId="0C78AE4D" w:rsidR="00304379" w:rsidRPr="00E51E04" w:rsidRDefault="00304379" w:rsidP="00304379">
            <w:pPr>
              <w:rPr>
                <w:rFonts w:ascii="Times New Roman" w:hAnsi="Times New Roman" w:cs="Times New Roman"/>
                <w:sz w:val="24"/>
                <w:szCs w:val="24"/>
              </w:rPr>
            </w:pPr>
            <w:r>
              <w:rPr>
                <w:rFonts w:ascii="Times New Roman" w:hAnsi="Times New Roman" w:cs="Times New Roman"/>
                <w:sz w:val="24"/>
                <w:szCs w:val="24"/>
              </w:rPr>
              <w:t xml:space="preserve">USTA. </w:t>
            </w:r>
            <w:r w:rsidRPr="00E51E04">
              <w:rPr>
                <w:rFonts w:ascii="Times New Roman" w:hAnsi="Times New Roman" w:cs="Times New Roman"/>
                <w:sz w:val="24"/>
                <w:szCs w:val="24"/>
              </w:rPr>
              <w:t xml:space="preserve">Universidad Santo Tomás. </w:t>
            </w:r>
            <w:bookmarkStart w:id="0" w:name="_GoBack"/>
            <w:bookmarkEnd w:id="0"/>
            <w:r w:rsidRPr="00E51E04">
              <w:rPr>
                <w:rFonts w:ascii="Times New Roman" w:hAnsi="Times New Roman" w:cs="Times New Roman"/>
                <w:sz w:val="24"/>
                <w:szCs w:val="24"/>
              </w:rPr>
              <w:t xml:space="preserve"> (2016b). </w:t>
            </w:r>
            <w:r w:rsidRPr="00C32254">
              <w:rPr>
                <w:rFonts w:ascii="Times New Roman" w:hAnsi="Times New Roman" w:cs="Times New Roman"/>
                <w:i/>
                <w:sz w:val="24"/>
                <w:szCs w:val="24"/>
              </w:rPr>
              <w:t>Plan General de Desarrollo 2016-2019</w:t>
            </w:r>
            <w:r w:rsidRPr="00E51E04">
              <w:rPr>
                <w:rFonts w:ascii="Times New Roman" w:hAnsi="Times New Roman" w:cs="Times New Roman"/>
                <w:sz w:val="24"/>
                <w:szCs w:val="24"/>
              </w:rPr>
              <w:t>. Bogotá, Colombia: USTA.</w:t>
            </w:r>
          </w:p>
          <w:p w14:paraId="01FE5431" w14:textId="77777777" w:rsidR="00304379" w:rsidRPr="003D3C8A" w:rsidRDefault="00304379" w:rsidP="00304379">
            <w:pPr>
              <w:rPr>
                <w:rFonts w:ascii="Times New Roman" w:hAnsi="Times New Roman" w:cs="Times New Roman"/>
                <w:sz w:val="24"/>
                <w:szCs w:val="24"/>
              </w:rPr>
            </w:pPr>
            <w:proofErr w:type="spellStart"/>
            <w:r w:rsidRPr="003D3C8A">
              <w:rPr>
                <w:rFonts w:ascii="Times New Roman" w:hAnsi="Times New Roman" w:cs="Times New Roman"/>
                <w:sz w:val="24"/>
                <w:szCs w:val="24"/>
              </w:rPr>
              <w:t>Villamarin</w:t>
            </w:r>
            <w:proofErr w:type="spellEnd"/>
            <w:r w:rsidRPr="003D3C8A">
              <w:rPr>
                <w:rFonts w:ascii="Times New Roman" w:hAnsi="Times New Roman" w:cs="Times New Roman"/>
                <w:sz w:val="24"/>
                <w:szCs w:val="24"/>
              </w:rPr>
              <w:t xml:space="preserve"> M., Francisco J. (2018) Bajos niveles de lectura en los jóvenes universitarios: un problema estructural. una explicación desde la teoría de Emile Durkheim. </w:t>
            </w:r>
            <w:r w:rsidRPr="00E51E04">
              <w:rPr>
                <w:rFonts w:ascii="Times New Roman" w:hAnsi="Times New Roman" w:cs="Times New Roman"/>
                <w:sz w:val="24"/>
                <w:szCs w:val="24"/>
              </w:rPr>
              <w:t>TENDENCIAS Revista de la Facultad de Ciencias Económicas y Administrativas. Universidad de Nariño</w:t>
            </w:r>
            <w:r w:rsidRPr="003D3C8A">
              <w:rPr>
                <w:rFonts w:ascii="Times New Roman" w:hAnsi="Times New Roman" w:cs="Times New Roman"/>
                <w:sz w:val="24"/>
                <w:szCs w:val="24"/>
              </w:rPr>
              <w:t xml:space="preserve"> Vol. XIX No. 2 - 2º Semestre 2018, julio - diciembre – pp. 229-241.</w:t>
            </w:r>
          </w:p>
          <w:p w14:paraId="14F09A12" w14:textId="77777777" w:rsidR="00304379" w:rsidRPr="00E51E04" w:rsidRDefault="00304379" w:rsidP="00304379">
            <w:pPr>
              <w:rPr>
                <w:rFonts w:ascii="Times New Roman" w:hAnsi="Times New Roman" w:cs="Times New Roman"/>
                <w:sz w:val="24"/>
                <w:szCs w:val="24"/>
              </w:rPr>
            </w:pPr>
            <w:proofErr w:type="spellStart"/>
            <w:r w:rsidRPr="00E51E04">
              <w:rPr>
                <w:rFonts w:ascii="Times New Roman" w:hAnsi="Times New Roman" w:cs="Times New Roman"/>
                <w:sz w:val="24"/>
                <w:szCs w:val="24"/>
              </w:rPr>
              <w:t>Villaveces</w:t>
            </w:r>
            <w:proofErr w:type="spellEnd"/>
            <w:r w:rsidRPr="00E51E04">
              <w:rPr>
                <w:rFonts w:ascii="Times New Roman" w:hAnsi="Times New Roman" w:cs="Times New Roman"/>
                <w:sz w:val="24"/>
                <w:szCs w:val="24"/>
              </w:rPr>
              <w:t xml:space="preserve"> C. José L. (</w:t>
            </w:r>
            <w:proofErr w:type="spellStart"/>
            <w:r w:rsidRPr="00E51E04">
              <w:rPr>
                <w:rFonts w:ascii="Times New Roman" w:hAnsi="Times New Roman" w:cs="Times New Roman"/>
                <w:sz w:val="24"/>
                <w:szCs w:val="24"/>
              </w:rPr>
              <w:t>s.f</w:t>
            </w:r>
            <w:proofErr w:type="spellEnd"/>
            <w:r w:rsidRPr="00E51E04">
              <w:rPr>
                <w:rFonts w:ascii="Times New Roman" w:hAnsi="Times New Roman" w:cs="Times New Roman"/>
                <w:sz w:val="24"/>
                <w:szCs w:val="24"/>
              </w:rPr>
              <w:t xml:space="preserve">). Documento: Competencia: Cultura científica, tecnológica y manejo de la información. </w:t>
            </w:r>
            <w:r w:rsidRPr="003D3C8A">
              <w:rPr>
                <w:rFonts w:ascii="Times New Roman" w:hAnsi="Times New Roman" w:cs="Times New Roman"/>
                <w:sz w:val="24"/>
                <w:szCs w:val="24"/>
              </w:rPr>
              <w:t xml:space="preserve">[En línea]. Disponible en: </w:t>
            </w:r>
            <w:r w:rsidRPr="00E51E04">
              <w:rPr>
                <w:rFonts w:ascii="Times New Roman" w:hAnsi="Times New Roman" w:cs="Times New Roman"/>
                <w:sz w:val="24"/>
                <w:szCs w:val="24"/>
              </w:rPr>
              <w:t xml:space="preserve"> http://www.mineducacion.gov.co/1621/articles-189357_archivo_pdf_cientifica.pdf</w:t>
            </w:r>
          </w:p>
          <w:p w14:paraId="73FF2951" w14:textId="6D5355D7" w:rsidR="00304379" w:rsidRPr="00031161" w:rsidRDefault="00304379" w:rsidP="00304379">
            <w:pPr>
              <w:jc w:val="both"/>
              <w:rPr>
                <w:rFonts w:ascii="Arial" w:eastAsia="Times New Roman" w:hAnsi="Arial" w:cs="Arial"/>
                <w:b/>
                <w:bCs/>
                <w:color w:val="222222"/>
                <w:sz w:val="24"/>
                <w:szCs w:val="24"/>
                <w:lang w:eastAsia="es-CO"/>
              </w:rPr>
            </w:pPr>
            <w:proofErr w:type="spellStart"/>
            <w:r w:rsidRPr="003D3C8A">
              <w:rPr>
                <w:rFonts w:ascii="Times New Roman" w:hAnsi="Times New Roman" w:cs="Times New Roman"/>
                <w:sz w:val="24"/>
                <w:szCs w:val="24"/>
              </w:rPr>
              <w:lastRenderedPageBreak/>
              <w:t>Wompner</w:t>
            </w:r>
            <w:proofErr w:type="spellEnd"/>
            <w:r w:rsidRPr="003D3C8A">
              <w:rPr>
                <w:rFonts w:ascii="Times New Roman" w:hAnsi="Times New Roman" w:cs="Times New Roman"/>
                <w:sz w:val="24"/>
                <w:szCs w:val="24"/>
              </w:rPr>
              <w:t>, Fredy y Fernández M.</w:t>
            </w:r>
            <w:r>
              <w:rPr>
                <w:rFonts w:ascii="Times New Roman" w:hAnsi="Times New Roman" w:cs="Times New Roman"/>
                <w:sz w:val="24"/>
                <w:szCs w:val="24"/>
              </w:rPr>
              <w:t xml:space="preserve">, </w:t>
            </w:r>
            <w:r w:rsidRPr="003D3C8A">
              <w:rPr>
                <w:rFonts w:ascii="Times New Roman" w:hAnsi="Times New Roman" w:cs="Times New Roman"/>
                <w:sz w:val="24"/>
                <w:szCs w:val="24"/>
              </w:rPr>
              <w:t>René</w:t>
            </w:r>
            <w:r>
              <w:rPr>
                <w:rFonts w:ascii="Times New Roman" w:hAnsi="Times New Roman" w:cs="Times New Roman"/>
                <w:sz w:val="24"/>
                <w:szCs w:val="24"/>
              </w:rPr>
              <w:t xml:space="preserve">. </w:t>
            </w:r>
            <w:r w:rsidRPr="003D3C8A">
              <w:rPr>
                <w:rFonts w:ascii="Times New Roman" w:hAnsi="Times New Roman" w:cs="Times New Roman"/>
                <w:sz w:val="24"/>
                <w:szCs w:val="24"/>
              </w:rPr>
              <w:t xml:space="preserve">Aprender a aprender. Un método valioso para la educación superior. [En línea]. Disponible en: </w:t>
            </w:r>
            <w:r w:rsidRPr="003016BF">
              <w:rPr>
                <w:rFonts w:ascii="Times New Roman" w:hAnsi="Times New Roman" w:cs="Times New Roman"/>
                <w:i/>
                <w:sz w:val="24"/>
                <w:szCs w:val="24"/>
              </w:rPr>
              <w:t>Observatorio de la Economía Latinoamericana</w:t>
            </w:r>
            <w:r w:rsidRPr="00E51E04">
              <w:rPr>
                <w:rFonts w:ascii="Times New Roman" w:hAnsi="Times New Roman" w:cs="Times New Roman"/>
                <w:sz w:val="24"/>
                <w:szCs w:val="24"/>
              </w:rPr>
              <w:t xml:space="preserve"> 72</w:t>
            </w:r>
            <w:r w:rsidRPr="003D3C8A">
              <w:rPr>
                <w:rFonts w:ascii="Times New Roman" w:hAnsi="Times New Roman" w:cs="Times New Roman"/>
                <w:sz w:val="24"/>
                <w:szCs w:val="24"/>
              </w:rPr>
              <w:t>, enero 2007. [En línea]. Disponible en: www.eumed.net/cursecon/ecolat/cl/</w:t>
            </w:r>
          </w:p>
        </w:tc>
      </w:tr>
    </w:tbl>
    <w:p w14:paraId="188F4445" w14:textId="77777777" w:rsidR="00DB2350" w:rsidRDefault="00DB2350" w:rsidP="001D6087">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14:paraId="0937E2FA" w14:textId="77777777" w:rsidTr="00ED1717">
        <w:tc>
          <w:tcPr>
            <w:tcW w:w="0" w:type="auto"/>
            <w:shd w:val="clear" w:color="auto" w:fill="FFFFFF"/>
            <w:tcMar>
              <w:top w:w="15" w:type="dxa"/>
              <w:left w:w="15" w:type="dxa"/>
              <w:bottom w:w="15" w:type="dxa"/>
              <w:right w:w="15" w:type="dxa"/>
            </w:tcMar>
            <w:vAlign w:val="center"/>
            <w:hideMark/>
          </w:tcPr>
          <w:p w14:paraId="55AA8186" w14:textId="77777777" w:rsidR="00ED1717" w:rsidRDefault="00ED1717">
            <w:pPr>
              <w:spacing w:after="0"/>
              <w:rPr>
                <w:sz w:val="20"/>
                <w:szCs w:val="20"/>
                <w:lang w:eastAsia="es-CO"/>
              </w:rPr>
            </w:pPr>
          </w:p>
        </w:tc>
      </w:tr>
    </w:tbl>
    <w:p w14:paraId="1E312CAB" w14:textId="77777777" w:rsidR="00642463" w:rsidRPr="00642463" w:rsidRDefault="00642463" w:rsidP="00DB2350">
      <w:pPr>
        <w:jc w:val="center"/>
        <w:rPr>
          <w:b/>
          <w:lang w:val="es-ES"/>
        </w:rPr>
      </w:pPr>
    </w:p>
    <w:sectPr w:rsidR="00642463" w:rsidRPr="00642463" w:rsidSect="000E7C00">
      <w:headerReference w:type="even" r:id="rId12"/>
      <w:headerReference w:type="default" r:id="rId13"/>
      <w:footerReference w:type="default" r:id="rId14"/>
      <w:headerReference w:type="first" r:id="rId15"/>
      <w:footerReference w:type="first" r:id="rId16"/>
      <w:pgSz w:w="15840" w:h="12240" w:orient="landscape" w:code="1"/>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52A061" w14:textId="77777777" w:rsidR="009F55E0" w:rsidRDefault="009F55E0" w:rsidP="00F14D0D">
      <w:pPr>
        <w:spacing w:after="0" w:line="240" w:lineRule="auto"/>
      </w:pPr>
      <w:r>
        <w:separator/>
      </w:r>
    </w:p>
  </w:endnote>
  <w:endnote w:type="continuationSeparator" w:id="0">
    <w:p w14:paraId="1C5D7DC8" w14:textId="77777777" w:rsidR="009F55E0" w:rsidRDefault="009F55E0"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altName w:val="Cambria"/>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E441E" w14:textId="77777777" w:rsidR="00332DDB" w:rsidRDefault="00332DDB">
    <w:pPr>
      <w:pStyle w:val="Piedepgina"/>
    </w:pPr>
    <w:r w:rsidRPr="00ED1717">
      <w:rPr>
        <w:noProof/>
        <w:lang w:eastAsia="es-CO"/>
      </w:rPr>
      <w:drawing>
        <wp:anchor distT="0" distB="0" distL="114300" distR="114300" simplePos="0" relativeHeight="251688960" behindDoc="0" locked="0" layoutInCell="1" allowOverlap="1" wp14:anchorId="211A930F" wp14:editId="13886C36">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C21D9" w14:textId="77777777" w:rsidR="00332DDB" w:rsidRDefault="00332DDB">
    <w:pPr>
      <w:pStyle w:val="Piedepgina"/>
    </w:pPr>
    <w:r>
      <w:rPr>
        <w:noProof/>
        <w:lang w:eastAsia="es-CO"/>
      </w:rPr>
      <w:drawing>
        <wp:anchor distT="0" distB="0" distL="114300" distR="114300" simplePos="0" relativeHeight="251679744" behindDoc="0" locked="0" layoutInCell="1" allowOverlap="1" wp14:anchorId="5075707A" wp14:editId="4468D648">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4B64EA" w14:textId="77777777" w:rsidR="009F55E0" w:rsidRDefault="009F55E0" w:rsidP="00F14D0D">
      <w:pPr>
        <w:spacing w:after="0" w:line="240" w:lineRule="auto"/>
      </w:pPr>
      <w:r>
        <w:separator/>
      </w:r>
    </w:p>
  </w:footnote>
  <w:footnote w:type="continuationSeparator" w:id="0">
    <w:p w14:paraId="67B8EF20" w14:textId="77777777" w:rsidR="009F55E0" w:rsidRDefault="009F55E0"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32ABD" w14:textId="77777777" w:rsidR="00332DDB" w:rsidRDefault="009F55E0">
    <w:pPr>
      <w:pStyle w:val="Encabezado"/>
    </w:pPr>
    <w:r>
      <w:rPr>
        <w:noProof/>
      </w:rPr>
      <w:pict w14:anchorId="03FD24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A07D1" w14:textId="77777777" w:rsidR="00332DDB" w:rsidRDefault="00332DDB"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2173142D" wp14:editId="56D9B419">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BAB93D" w14:textId="77777777" w:rsidR="00332DDB" w:rsidRDefault="00332DDB" w:rsidP="004F1944">
    <w:pPr>
      <w:pStyle w:val="Encabezado"/>
      <w:jc w:val="right"/>
      <w:rPr>
        <w:sz w:val="14"/>
        <w:szCs w:val="16"/>
        <w:lang w:val="es-ES"/>
      </w:rPr>
    </w:pPr>
  </w:p>
  <w:p w14:paraId="29612A9C" w14:textId="546DDA8F" w:rsidR="00332DDB" w:rsidRPr="004F1944" w:rsidRDefault="00332DDB"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304379">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304379">
      <w:rPr>
        <w:b/>
        <w:bCs/>
        <w:noProof/>
        <w:sz w:val="14"/>
        <w:szCs w:val="16"/>
      </w:rPr>
      <w:t>15</w:t>
    </w:r>
    <w:r w:rsidRPr="006930C8">
      <w:rPr>
        <w:b/>
        <w:bCs/>
        <w:sz w:val="14"/>
        <w:szCs w:val="16"/>
      </w:rPr>
      <w:fldChar w:fldCharType="end"/>
    </w:r>
    <w:r w:rsidR="009F55E0">
      <w:rPr>
        <w:noProof/>
        <w:lang w:eastAsia="es-CO"/>
      </w:rPr>
      <w:pict w14:anchorId="78DF14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6580"/>
      <w:docPartObj>
        <w:docPartGallery w:val="Page Numbers (Top of Page)"/>
        <w:docPartUnique/>
      </w:docPartObj>
    </w:sdtPr>
    <w:sdtEndPr>
      <w:rPr>
        <w:b/>
      </w:rPr>
    </w:sdtEndPr>
    <w:sdtContent>
      <w:p w14:paraId="7DD5B85E" w14:textId="77777777" w:rsidR="00332DDB" w:rsidRDefault="00332DDB"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73AC0B36" wp14:editId="2A370E48">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0EE67D" w14:textId="715953C9" w:rsidR="00332DDB" w:rsidRDefault="00332DDB"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304379">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304379">
          <w:rPr>
            <w:b/>
            <w:bCs/>
            <w:noProof/>
            <w:sz w:val="14"/>
            <w:szCs w:val="16"/>
          </w:rPr>
          <w:t>15</w:t>
        </w:r>
        <w:r w:rsidRPr="006930C8">
          <w:rPr>
            <w:b/>
            <w:bCs/>
            <w:sz w:val="14"/>
            <w:szCs w:val="16"/>
          </w:rPr>
          <w:fldChar w:fldCharType="end"/>
        </w:r>
        <w:r w:rsidR="009F55E0">
          <w:rPr>
            <w:noProof/>
            <w:lang w:eastAsia="es-CO"/>
          </w:rPr>
          <w:pict w14:anchorId="1D2B96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55ACF218" w14:textId="77777777" w:rsidR="00332DDB" w:rsidRPr="00A34F4E" w:rsidRDefault="009F55E0" w:rsidP="00A34F4E">
    <w:pPr>
      <w:pStyle w:val="Encabezado"/>
      <w:jc w:val="right"/>
      <w:rPr>
        <w:sz w:val="14"/>
        <w:szCs w:val="16"/>
      </w:rPr>
    </w:pPr>
    <w:r>
      <w:rPr>
        <w:noProof/>
      </w:rPr>
      <w:pict w14:anchorId="2C443A18">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C46236"/>
    <w:multiLevelType w:val="hybridMultilevel"/>
    <w:tmpl w:val="02B0872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s-CO" w:vendorID="64" w:dllVersion="131078" w:nlCheck="1" w:checkStyle="0"/>
  <w:activeWritingStyle w:appName="MSWord" w:lang="es-ES" w:vendorID="64" w:dllVersion="131078"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10109"/>
    <w:rsid w:val="00025618"/>
    <w:rsid w:val="00031161"/>
    <w:rsid w:val="00061113"/>
    <w:rsid w:val="000720B3"/>
    <w:rsid w:val="0009117E"/>
    <w:rsid w:val="000A1F3D"/>
    <w:rsid w:val="000D4132"/>
    <w:rsid w:val="000D63EE"/>
    <w:rsid w:val="000E7C00"/>
    <w:rsid w:val="00141983"/>
    <w:rsid w:val="001773DE"/>
    <w:rsid w:val="00187025"/>
    <w:rsid w:val="00194D98"/>
    <w:rsid w:val="001C4C62"/>
    <w:rsid w:val="001C6852"/>
    <w:rsid w:val="001C71E1"/>
    <w:rsid w:val="001D6087"/>
    <w:rsid w:val="001E20E0"/>
    <w:rsid w:val="001E7932"/>
    <w:rsid w:val="001F6D20"/>
    <w:rsid w:val="00217E48"/>
    <w:rsid w:val="0022265F"/>
    <w:rsid w:val="00251442"/>
    <w:rsid w:val="00251825"/>
    <w:rsid w:val="00257D23"/>
    <w:rsid w:val="002652B5"/>
    <w:rsid w:val="00265B89"/>
    <w:rsid w:val="002761C2"/>
    <w:rsid w:val="00280851"/>
    <w:rsid w:val="00294F1A"/>
    <w:rsid w:val="002A18AF"/>
    <w:rsid w:val="002A3DB2"/>
    <w:rsid w:val="002B1A55"/>
    <w:rsid w:val="002B2729"/>
    <w:rsid w:val="002C3E46"/>
    <w:rsid w:val="00304379"/>
    <w:rsid w:val="00311E44"/>
    <w:rsid w:val="00321614"/>
    <w:rsid w:val="00332DDB"/>
    <w:rsid w:val="00334B6C"/>
    <w:rsid w:val="00343306"/>
    <w:rsid w:val="0034423C"/>
    <w:rsid w:val="0036247F"/>
    <w:rsid w:val="00387219"/>
    <w:rsid w:val="003A22B3"/>
    <w:rsid w:val="003D2DF8"/>
    <w:rsid w:val="003F0E49"/>
    <w:rsid w:val="00403605"/>
    <w:rsid w:val="004A0718"/>
    <w:rsid w:val="004D6E9B"/>
    <w:rsid w:val="004F1944"/>
    <w:rsid w:val="00515B61"/>
    <w:rsid w:val="00535D0F"/>
    <w:rsid w:val="0058167B"/>
    <w:rsid w:val="00582B5F"/>
    <w:rsid w:val="00583222"/>
    <w:rsid w:val="005A66ED"/>
    <w:rsid w:val="005B5DC9"/>
    <w:rsid w:val="005C3460"/>
    <w:rsid w:val="005C6AF4"/>
    <w:rsid w:val="005D3A79"/>
    <w:rsid w:val="005D7AC3"/>
    <w:rsid w:val="005F27AF"/>
    <w:rsid w:val="006021B7"/>
    <w:rsid w:val="00603A44"/>
    <w:rsid w:val="0061319F"/>
    <w:rsid w:val="00615CC7"/>
    <w:rsid w:val="00617F7C"/>
    <w:rsid w:val="00642463"/>
    <w:rsid w:val="0067092C"/>
    <w:rsid w:val="00676308"/>
    <w:rsid w:val="006930C8"/>
    <w:rsid w:val="00694B49"/>
    <w:rsid w:val="006A5C3E"/>
    <w:rsid w:val="006B0D6A"/>
    <w:rsid w:val="006E3336"/>
    <w:rsid w:val="006F4699"/>
    <w:rsid w:val="006F4FA4"/>
    <w:rsid w:val="007002B4"/>
    <w:rsid w:val="00705D21"/>
    <w:rsid w:val="00712F55"/>
    <w:rsid w:val="00737531"/>
    <w:rsid w:val="00762648"/>
    <w:rsid w:val="0076408E"/>
    <w:rsid w:val="00767012"/>
    <w:rsid w:val="00794EE7"/>
    <w:rsid w:val="007A29B8"/>
    <w:rsid w:val="007E1E78"/>
    <w:rsid w:val="0080056C"/>
    <w:rsid w:val="008401DB"/>
    <w:rsid w:val="00844089"/>
    <w:rsid w:val="00851A8D"/>
    <w:rsid w:val="008955EF"/>
    <w:rsid w:val="008A2C8B"/>
    <w:rsid w:val="008C1647"/>
    <w:rsid w:val="008D2ED2"/>
    <w:rsid w:val="008D47D0"/>
    <w:rsid w:val="008D6920"/>
    <w:rsid w:val="008F0F1A"/>
    <w:rsid w:val="009038BA"/>
    <w:rsid w:val="00922517"/>
    <w:rsid w:val="009246D1"/>
    <w:rsid w:val="00924CCC"/>
    <w:rsid w:val="009262D8"/>
    <w:rsid w:val="00944309"/>
    <w:rsid w:val="0096272C"/>
    <w:rsid w:val="00982DB6"/>
    <w:rsid w:val="00990021"/>
    <w:rsid w:val="0099314B"/>
    <w:rsid w:val="009974C6"/>
    <w:rsid w:val="009C1711"/>
    <w:rsid w:val="009C6513"/>
    <w:rsid w:val="009D2CE3"/>
    <w:rsid w:val="009D4910"/>
    <w:rsid w:val="009E016F"/>
    <w:rsid w:val="009F368A"/>
    <w:rsid w:val="009F55E0"/>
    <w:rsid w:val="00A0280F"/>
    <w:rsid w:val="00A04BC7"/>
    <w:rsid w:val="00A07061"/>
    <w:rsid w:val="00A34F4E"/>
    <w:rsid w:val="00A512B6"/>
    <w:rsid w:val="00AC47BF"/>
    <w:rsid w:val="00AD04AA"/>
    <w:rsid w:val="00B00682"/>
    <w:rsid w:val="00B2385F"/>
    <w:rsid w:val="00B35133"/>
    <w:rsid w:val="00B35FB6"/>
    <w:rsid w:val="00B416B0"/>
    <w:rsid w:val="00B6632E"/>
    <w:rsid w:val="00B66D74"/>
    <w:rsid w:val="00B705C7"/>
    <w:rsid w:val="00B91AF1"/>
    <w:rsid w:val="00B96FCD"/>
    <w:rsid w:val="00BB19D9"/>
    <w:rsid w:val="00BB1DE8"/>
    <w:rsid w:val="00BC5021"/>
    <w:rsid w:val="00C15915"/>
    <w:rsid w:val="00C17434"/>
    <w:rsid w:val="00C4364A"/>
    <w:rsid w:val="00C46EE5"/>
    <w:rsid w:val="00C5405E"/>
    <w:rsid w:val="00C57E95"/>
    <w:rsid w:val="00C65B97"/>
    <w:rsid w:val="00C7499F"/>
    <w:rsid w:val="00CB03E7"/>
    <w:rsid w:val="00CB1DDB"/>
    <w:rsid w:val="00CC77C3"/>
    <w:rsid w:val="00CE4C6C"/>
    <w:rsid w:val="00D05F45"/>
    <w:rsid w:val="00D07C52"/>
    <w:rsid w:val="00D11105"/>
    <w:rsid w:val="00D21D51"/>
    <w:rsid w:val="00D2386B"/>
    <w:rsid w:val="00D329CB"/>
    <w:rsid w:val="00D50DDE"/>
    <w:rsid w:val="00D540AA"/>
    <w:rsid w:val="00D66040"/>
    <w:rsid w:val="00D71E9A"/>
    <w:rsid w:val="00DA5AD7"/>
    <w:rsid w:val="00DB2350"/>
    <w:rsid w:val="00DC124D"/>
    <w:rsid w:val="00DE419F"/>
    <w:rsid w:val="00E034DF"/>
    <w:rsid w:val="00E22662"/>
    <w:rsid w:val="00E41954"/>
    <w:rsid w:val="00E4560B"/>
    <w:rsid w:val="00E55B73"/>
    <w:rsid w:val="00E6008D"/>
    <w:rsid w:val="00E65262"/>
    <w:rsid w:val="00E75BAD"/>
    <w:rsid w:val="00E762C6"/>
    <w:rsid w:val="00E82164"/>
    <w:rsid w:val="00E930A9"/>
    <w:rsid w:val="00E93AD0"/>
    <w:rsid w:val="00EA042A"/>
    <w:rsid w:val="00EA5619"/>
    <w:rsid w:val="00EB1CCD"/>
    <w:rsid w:val="00EC5323"/>
    <w:rsid w:val="00ED1717"/>
    <w:rsid w:val="00EF5EE5"/>
    <w:rsid w:val="00F05497"/>
    <w:rsid w:val="00F14D0D"/>
    <w:rsid w:val="00F2277F"/>
    <w:rsid w:val="00F243E8"/>
    <w:rsid w:val="00F34710"/>
    <w:rsid w:val="00F376FD"/>
    <w:rsid w:val="00F55938"/>
    <w:rsid w:val="00F61919"/>
    <w:rsid w:val="00F72E48"/>
    <w:rsid w:val="00FA5249"/>
    <w:rsid w:val="00FB33BC"/>
    <w:rsid w:val="00FC1807"/>
    <w:rsid w:val="00FC2DA2"/>
    <w:rsid w:val="00FD4B3A"/>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3A01940D"/>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emana.com/educacion/articulo/bajos-niveles-de-lectura-en-universidades-de-colombia/506165"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sergioarboleda.edu.co/escuela-de-filosofia-y-humanidades/departamento-de-lectura-y-escritura/"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docencia.udea.edu.co/LenguaMaterna/" TargetMode="External"/><Relationship Id="rId4" Type="http://schemas.openxmlformats.org/officeDocument/2006/relationships/settings" Target="settings.xml"/><Relationship Id="rId9" Type="http://schemas.openxmlformats.org/officeDocument/2006/relationships/hyperlink" Target="http://www.unesco.org/education/educprog/wche/declaration_spa.htm"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FDC3BB-A182-4844-A35A-0FA96D95B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15</Pages>
  <Words>5404</Words>
  <Characters>29722</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Clara Inés Jaramillo G.</cp:lastModifiedBy>
  <cp:revision>20</cp:revision>
  <cp:lastPrinted>2019-05-21T14:57:00Z</cp:lastPrinted>
  <dcterms:created xsi:type="dcterms:W3CDTF">2019-08-09T00:47:00Z</dcterms:created>
  <dcterms:modified xsi:type="dcterms:W3CDTF">2019-08-09T17:06:00Z</dcterms:modified>
</cp:coreProperties>
</file>