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599E" w:rsidRDefault="002B599E" w:rsidP="002B599E">
      <w:pPr>
        <w:jc w:val="center"/>
        <w:rPr>
          <w:rFonts w:eastAsia="Arial"/>
          <w:b/>
          <w:szCs w:val="24"/>
        </w:rPr>
      </w:pPr>
      <w:r>
        <w:rPr>
          <w:rFonts w:eastAsia="Arial"/>
          <w:b/>
          <w:szCs w:val="24"/>
        </w:rPr>
        <w:t>INVENTARIO DE ANUNCIOS PUBLICITARIOS</w:t>
      </w:r>
    </w:p>
    <w:p w:rsidR="002B599E" w:rsidRPr="005A2F86" w:rsidRDefault="002B599E" w:rsidP="002B599E">
      <w:pPr>
        <w:jc w:val="center"/>
        <w:rPr>
          <w:rFonts w:eastAsia="Arial"/>
          <w:color w:val="000000"/>
          <w:szCs w:val="24"/>
        </w:rPr>
      </w:pPr>
      <w:r>
        <w:rPr>
          <w:rFonts w:eastAsia="Arial"/>
          <w:b/>
          <w:szCs w:val="24"/>
        </w:rPr>
        <w:t>CONSUMO DE MARCAS DE ALIMENTOS LIGHT</w:t>
      </w:r>
    </w:p>
    <w:p w:rsidR="002B599E" w:rsidRPr="005A2F86" w:rsidRDefault="002B599E" w:rsidP="002B599E">
      <w:pPr>
        <w:jc w:val="center"/>
        <w:rPr>
          <w:rFonts w:eastAsia="Arial"/>
          <w:b/>
          <w:color w:val="548DD4"/>
          <w:szCs w:val="24"/>
          <w:u w:val="single"/>
        </w:rPr>
      </w:pPr>
    </w:p>
    <w:p w:rsidR="006F3ED0" w:rsidRPr="005A2F86" w:rsidRDefault="006F3ED0" w:rsidP="005A2F86">
      <w:pPr>
        <w:jc w:val="center"/>
        <w:rPr>
          <w:rFonts w:eastAsia="Arial"/>
          <w:b/>
          <w:szCs w:val="24"/>
        </w:rPr>
      </w:pPr>
    </w:p>
    <w:tbl>
      <w:tblPr>
        <w:tblStyle w:val="a0"/>
        <w:tblpPr w:leftFromText="180" w:rightFromText="180" w:vertAnchor="page" w:horzAnchor="margin" w:tblpY="3511"/>
        <w:tblW w:w="858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00"/>
        <w:gridCol w:w="6586"/>
      </w:tblGrid>
      <w:tr w:rsidR="006F3ED0" w:rsidRPr="005A2F86" w:rsidTr="002B599E">
        <w:trPr>
          <w:trHeight w:val="950"/>
        </w:trPr>
        <w:tc>
          <w:tcPr>
            <w:tcW w:w="2000" w:type="dxa"/>
          </w:tcPr>
          <w:p w:rsidR="006F3ED0" w:rsidRPr="005A2F86" w:rsidRDefault="003E0532" w:rsidP="002B599E">
            <w:pPr>
              <w:tabs>
                <w:tab w:val="left" w:pos="360"/>
              </w:tabs>
              <w:ind w:firstLine="0"/>
              <w:jc w:val="center"/>
              <w:rPr>
                <w:rFonts w:eastAsia="Arial"/>
                <w:b/>
                <w:szCs w:val="24"/>
              </w:rPr>
            </w:pPr>
            <w:bookmarkStart w:id="0" w:name="_heading=h.gjdgxs" w:colFirst="0" w:colLast="0"/>
            <w:bookmarkEnd w:id="0"/>
            <w:r w:rsidRPr="005A2F86">
              <w:rPr>
                <w:rFonts w:eastAsia="Arial"/>
                <w:b/>
                <w:szCs w:val="24"/>
              </w:rPr>
              <w:t xml:space="preserve">Título </w:t>
            </w:r>
            <w:r w:rsidR="007F72E4">
              <w:rPr>
                <w:rFonts w:eastAsia="Arial"/>
                <w:b/>
                <w:szCs w:val="24"/>
              </w:rPr>
              <w:t>del proyecto</w:t>
            </w:r>
          </w:p>
        </w:tc>
        <w:tc>
          <w:tcPr>
            <w:tcW w:w="6586" w:type="dxa"/>
          </w:tcPr>
          <w:p w:rsidR="006F3ED0" w:rsidRPr="005A2F86" w:rsidRDefault="003E0532" w:rsidP="002B599E">
            <w:pPr>
              <w:pBdr>
                <w:top w:val="single" w:sz="4" w:space="1" w:color="000000"/>
                <w:left w:val="single" w:sz="4" w:space="4" w:color="000000"/>
                <w:bottom w:val="single" w:sz="4" w:space="1" w:color="000000"/>
                <w:right w:val="single" w:sz="4" w:space="4" w:color="000000"/>
              </w:pBdr>
              <w:spacing w:after="160"/>
              <w:ind w:firstLine="0"/>
              <w:jc w:val="both"/>
              <w:rPr>
                <w:rFonts w:eastAsia="Arial"/>
                <w:szCs w:val="24"/>
              </w:rPr>
            </w:pPr>
            <w:r w:rsidRPr="005A2F86">
              <w:rPr>
                <w:szCs w:val="24"/>
              </w:rPr>
              <w:t>Comprensión del papel persuasivo de los mensajes vistos en la publicidad de alimentos light en la orientación de hábitos saludables y de regulación emocional en jóvenes universitarios de Bogotá</w:t>
            </w:r>
          </w:p>
        </w:tc>
      </w:tr>
      <w:tr w:rsidR="006F3ED0" w:rsidRPr="005A2F86" w:rsidTr="002B599E">
        <w:trPr>
          <w:trHeight w:val="732"/>
        </w:trPr>
        <w:tc>
          <w:tcPr>
            <w:tcW w:w="2000" w:type="dxa"/>
          </w:tcPr>
          <w:p w:rsidR="006F3ED0" w:rsidRPr="005A2F86" w:rsidRDefault="003E0532" w:rsidP="002B599E">
            <w:pPr>
              <w:tabs>
                <w:tab w:val="left" w:pos="360"/>
              </w:tabs>
              <w:ind w:firstLine="0"/>
              <w:jc w:val="center"/>
              <w:rPr>
                <w:rFonts w:eastAsia="Arial"/>
                <w:b/>
                <w:szCs w:val="24"/>
              </w:rPr>
            </w:pPr>
            <w:r w:rsidRPr="005A2F86">
              <w:rPr>
                <w:rFonts w:eastAsia="Arial"/>
                <w:b/>
                <w:szCs w:val="24"/>
              </w:rPr>
              <w:t>Autor(es)</w:t>
            </w:r>
          </w:p>
        </w:tc>
        <w:tc>
          <w:tcPr>
            <w:tcW w:w="6586" w:type="dxa"/>
          </w:tcPr>
          <w:p w:rsidR="006F3ED0" w:rsidRPr="005A2F86" w:rsidRDefault="003E0532" w:rsidP="002B599E">
            <w:pPr>
              <w:tabs>
                <w:tab w:val="left" w:pos="360"/>
              </w:tabs>
              <w:ind w:firstLine="0"/>
              <w:jc w:val="both"/>
              <w:rPr>
                <w:rFonts w:eastAsia="Arial"/>
                <w:szCs w:val="24"/>
              </w:rPr>
            </w:pPr>
            <w:r w:rsidRPr="005A2F86">
              <w:rPr>
                <w:rFonts w:eastAsia="Arial"/>
                <w:szCs w:val="24"/>
              </w:rPr>
              <w:t xml:space="preserve">Carolina </w:t>
            </w:r>
            <w:r w:rsidR="007F72E4" w:rsidRPr="005A2F86">
              <w:rPr>
                <w:rFonts w:eastAsia="Arial"/>
                <w:szCs w:val="24"/>
              </w:rPr>
              <w:t>Garzón</w:t>
            </w:r>
            <w:r w:rsidRPr="005A2F86">
              <w:rPr>
                <w:rFonts w:eastAsia="Arial"/>
                <w:szCs w:val="24"/>
              </w:rPr>
              <w:t xml:space="preserve"> Medina, Luis Fernando Botero Cardona, </w:t>
            </w:r>
            <w:r w:rsidRPr="005A2F86">
              <w:rPr>
                <w:szCs w:val="24"/>
              </w:rPr>
              <w:t xml:space="preserve">Jessica Haslith Ruiz </w:t>
            </w:r>
            <w:r w:rsidR="007F72E4" w:rsidRPr="005A2F86">
              <w:rPr>
                <w:szCs w:val="24"/>
              </w:rPr>
              <w:t>Gámez</w:t>
            </w:r>
            <w:r w:rsidRPr="005A2F86">
              <w:rPr>
                <w:szCs w:val="24"/>
              </w:rPr>
              <w:t xml:space="preserve">, Daniel Felipe Lugo </w:t>
            </w:r>
            <w:r w:rsidR="007F72E4" w:rsidRPr="005A2F86">
              <w:rPr>
                <w:szCs w:val="24"/>
              </w:rPr>
              <w:t>Flórez</w:t>
            </w:r>
            <w:r w:rsidRPr="005A2F86">
              <w:rPr>
                <w:szCs w:val="24"/>
              </w:rPr>
              <w:t xml:space="preserve">, Mariana Paola Bonilla Salazar, Laura Camila Peñuela </w:t>
            </w:r>
            <w:r w:rsidR="007F72E4" w:rsidRPr="005A2F86">
              <w:rPr>
                <w:szCs w:val="24"/>
              </w:rPr>
              <w:t>Ramírez</w:t>
            </w:r>
            <w:r w:rsidRPr="005A2F86">
              <w:rPr>
                <w:szCs w:val="24"/>
              </w:rPr>
              <w:t xml:space="preserve"> </w:t>
            </w:r>
          </w:p>
        </w:tc>
      </w:tr>
      <w:tr w:rsidR="006F3ED0" w:rsidRPr="005A2F86" w:rsidTr="002B599E">
        <w:trPr>
          <w:trHeight w:val="380"/>
        </w:trPr>
        <w:tc>
          <w:tcPr>
            <w:tcW w:w="2000" w:type="dxa"/>
          </w:tcPr>
          <w:p w:rsidR="006F3ED0" w:rsidRPr="005A2F86" w:rsidRDefault="003E0532" w:rsidP="002B599E">
            <w:pPr>
              <w:tabs>
                <w:tab w:val="left" w:pos="360"/>
              </w:tabs>
              <w:ind w:firstLine="0"/>
              <w:jc w:val="center"/>
              <w:rPr>
                <w:rFonts w:eastAsia="Arial"/>
                <w:b/>
                <w:szCs w:val="24"/>
              </w:rPr>
            </w:pPr>
            <w:r w:rsidRPr="005A2F86">
              <w:rPr>
                <w:rFonts w:eastAsia="Arial"/>
                <w:b/>
                <w:szCs w:val="24"/>
              </w:rPr>
              <w:t>Línea de investigación</w:t>
            </w:r>
          </w:p>
        </w:tc>
        <w:tc>
          <w:tcPr>
            <w:tcW w:w="6586" w:type="dxa"/>
          </w:tcPr>
          <w:p w:rsidR="006F3ED0" w:rsidRPr="005A2F86" w:rsidRDefault="00355344" w:rsidP="002B599E">
            <w:pPr>
              <w:ind w:firstLine="0"/>
              <w:jc w:val="both"/>
              <w:rPr>
                <w:rFonts w:eastAsia="Arial"/>
                <w:szCs w:val="24"/>
              </w:rPr>
            </w:pPr>
            <w:r>
              <w:rPr>
                <w:rFonts w:eastAsia="Arial"/>
                <w:szCs w:val="24"/>
              </w:rPr>
              <w:t xml:space="preserve">Conocimiento profundo del consumidor y de los mercados </w:t>
            </w:r>
          </w:p>
        </w:tc>
      </w:tr>
      <w:tr w:rsidR="006F3ED0" w:rsidRPr="005A2F86" w:rsidTr="002B599E">
        <w:trPr>
          <w:trHeight w:val="1492"/>
        </w:trPr>
        <w:tc>
          <w:tcPr>
            <w:tcW w:w="2000" w:type="dxa"/>
          </w:tcPr>
          <w:p w:rsidR="006F3ED0" w:rsidRPr="005A2F86" w:rsidRDefault="003E0532" w:rsidP="002B599E">
            <w:pPr>
              <w:tabs>
                <w:tab w:val="left" w:pos="360"/>
              </w:tabs>
              <w:ind w:firstLine="0"/>
              <w:jc w:val="center"/>
              <w:rPr>
                <w:rFonts w:eastAsia="Arial"/>
                <w:b/>
                <w:szCs w:val="24"/>
              </w:rPr>
            </w:pPr>
            <w:r w:rsidRPr="005A2F86">
              <w:rPr>
                <w:rFonts w:eastAsia="Arial"/>
                <w:b/>
                <w:szCs w:val="24"/>
              </w:rPr>
              <w:t>Grupo de Investigación al que se vincula la estrategia de formación y capacidades</w:t>
            </w:r>
          </w:p>
        </w:tc>
        <w:tc>
          <w:tcPr>
            <w:tcW w:w="6586" w:type="dxa"/>
          </w:tcPr>
          <w:p w:rsidR="006F3ED0" w:rsidRPr="005A2F86" w:rsidRDefault="00355344" w:rsidP="002B599E">
            <w:pPr>
              <w:ind w:firstLine="0"/>
              <w:jc w:val="both"/>
              <w:rPr>
                <w:rFonts w:eastAsia="Arial"/>
                <w:szCs w:val="24"/>
              </w:rPr>
            </w:pPr>
            <w:r>
              <w:rPr>
                <w:rFonts w:eastAsia="Arial"/>
                <w:szCs w:val="24"/>
              </w:rPr>
              <w:t xml:space="preserve">Consumo y Mercados </w:t>
            </w:r>
          </w:p>
        </w:tc>
      </w:tr>
      <w:tr w:rsidR="006F3ED0" w:rsidRPr="005A2F86" w:rsidTr="002B599E">
        <w:trPr>
          <w:trHeight w:val="366"/>
        </w:trPr>
        <w:tc>
          <w:tcPr>
            <w:tcW w:w="2000" w:type="dxa"/>
          </w:tcPr>
          <w:p w:rsidR="006F3ED0" w:rsidRPr="005A2F86" w:rsidRDefault="007F72E4" w:rsidP="006A3C37">
            <w:pPr>
              <w:tabs>
                <w:tab w:val="left" w:pos="360"/>
              </w:tabs>
              <w:ind w:firstLine="0"/>
              <w:rPr>
                <w:rFonts w:eastAsia="Arial"/>
                <w:b/>
                <w:szCs w:val="24"/>
              </w:rPr>
            </w:pPr>
            <w:bookmarkStart w:id="1" w:name="_GoBack"/>
            <w:bookmarkEnd w:id="1"/>
            <w:r>
              <w:rPr>
                <w:rFonts w:eastAsia="Arial"/>
                <w:b/>
                <w:szCs w:val="24"/>
              </w:rPr>
              <w:t>Grupo de estudio</w:t>
            </w:r>
            <w:r w:rsidR="003E0532" w:rsidRPr="005A2F86">
              <w:rPr>
                <w:rFonts w:eastAsia="Arial"/>
                <w:b/>
                <w:szCs w:val="24"/>
              </w:rPr>
              <w:t xml:space="preserve"> </w:t>
            </w:r>
          </w:p>
        </w:tc>
        <w:tc>
          <w:tcPr>
            <w:tcW w:w="6586" w:type="dxa"/>
          </w:tcPr>
          <w:p w:rsidR="006F3ED0" w:rsidRPr="005A2F86" w:rsidRDefault="007F72E4" w:rsidP="002B599E">
            <w:pPr>
              <w:tabs>
                <w:tab w:val="left" w:pos="360"/>
              </w:tabs>
              <w:ind w:firstLine="0"/>
              <w:jc w:val="both"/>
              <w:rPr>
                <w:rFonts w:eastAsia="Arial"/>
                <w:szCs w:val="24"/>
              </w:rPr>
            </w:pPr>
            <w:r>
              <w:rPr>
                <w:rFonts w:eastAsia="Arial"/>
                <w:szCs w:val="24"/>
              </w:rPr>
              <w:t>Emociones y consumo</w:t>
            </w:r>
            <w:r w:rsidR="003E0532" w:rsidRPr="005A2F86">
              <w:rPr>
                <w:rFonts w:eastAsia="Arial"/>
                <w:szCs w:val="24"/>
              </w:rPr>
              <w:t xml:space="preserve"> </w:t>
            </w:r>
          </w:p>
        </w:tc>
      </w:tr>
    </w:tbl>
    <w:p w:rsidR="006F3ED0" w:rsidRPr="005A2F86" w:rsidRDefault="006F3ED0" w:rsidP="005A2F86">
      <w:pPr>
        <w:tabs>
          <w:tab w:val="left" w:pos="705"/>
        </w:tabs>
        <w:jc w:val="both"/>
        <w:rPr>
          <w:rFonts w:eastAsia="Arial"/>
          <w:b/>
          <w:szCs w:val="24"/>
        </w:rPr>
      </w:pPr>
    </w:p>
    <w:p w:rsidR="006F3ED0" w:rsidRPr="005A2F86" w:rsidRDefault="003E0532" w:rsidP="005A2F86">
      <w:pPr>
        <w:tabs>
          <w:tab w:val="left" w:pos="705"/>
        </w:tabs>
        <w:jc w:val="both"/>
        <w:rPr>
          <w:rFonts w:eastAsia="Arial"/>
          <w:b/>
          <w:szCs w:val="24"/>
        </w:rPr>
      </w:pPr>
      <w:r w:rsidRPr="005A2F86">
        <w:rPr>
          <w:rFonts w:eastAsia="Arial"/>
          <w:b/>
          <w:szCs w:val="24"/>
        </w:rPr>
        <w:t xml:space="preserve">Resumen </w:t>
      </w:r>
    </w:p>
    <w:p w:rsidR="006F3ED0" w:rsidRPr="005A2F86" w:rsidRDefault="006F3ED0" w:rsidP="005A2F86">
      <w:pPr>
        <w:tabs>
          <w:tab w:val="left" w:pos="705"/>
        </w:tabs>
        <w:jc w:val="both"/>
        <w:rPr>
          <w:rFonts w:eastAsia="Arial"/>
          <w:szCs w:val="24"/>
        </w:rPr>
      </w:pPr>
    </w:p>
    <w:p w:rsidR="006F3ED0" w:rsidRDefault="003E0532" w:rsidP="007F72E4">
      <w:pPr>
        <w:tabs>
          <w:tab w:val="left" w:pos="705"/>
        </w:tabs>
        <w:ind w:firstLine="0"/>
        <w:jc w:val="both"/>
        <w:rPr>
          <w:rFonts w:eastAsia="Arial"/>
          <w:b/>
          <w:szCs w:val="24"/>
        </w:rPr>
      </w:pPr>
      <w:r w:rsidRPr="005A2F86">
        <w:rPr>
          <w:rFonts w:eastAsia="Arial"/>
          <w:szCs w:val="24"/>
        </w:rPr>
        <w:t xml:space="preserve">El presente </w:t>
      </w:r>
      <w:r w:rsidR="00F42F60">
        <w:rPr>
          <w:rFonts w:eastAsia="Arial"/>
          <w:szCs w:val="24"/>
        </w:rPr>
        <w:t>inventario</w:t>
      </w:r>
      <w:r w:rsidRPr="005A2F86">
        <w:rPr>
          <w:rFonts w:eastAsia="Arial"/>
          <w:szCs w:val="24"/>
        </w:rPr>
        <w:t xml:space="preserve"> busca reconocer el papel persuasivo de los mensajes vistos en la publicidad de alimentos light en la orientación de hábitos salud</w:t>
      </w:r>
      <w:r w:rsidR="00355344">
        <w:rPr>
          <w:rFonts w:eastAsia="Arial"/>
          <w:szCs w:val="24"/>
        </w:rPr>
        <w:t xml:space="preserve">ables y de regulación emocional. Por medio del análisis de contenido y del método hermenéutico, a través de la revisión de fuentes secundarias: videos de anuncios publicitarios, páginas web, redes sociales y documentos académicos, </w:t>
      </w:r>
      <w:r w:rsidR="007F72E4">
        <w:rPr>
          <w:rFonts w:eastAsia="Arial"/>
          <w:szCs w:val="24"/>
        </w:rPr>
        <w:t>los resultados encontrados permiten constatar</w:t>
      </w:r>
      <w:r w:rsidR="007F72E4" w:rsidRPr="007F72E4">
        <w:rPr>
          <w:rFonts w:eastAsia="Arial"/>
          <w:szCs w:val="24"/>
        </w:rPr>
        <w:t xml:space="preserve"> la influencia persuasiva del anuncio ante la presentación del modelo fitness</w:t>
      </w:r>
      <w:r w:rsidR="007F72E4">
        <w:rPr>
          <w:rFonts w:eastAsia="Arial"/>
          <w:szCs w:val="24"/>
        </w:rPr>
        <w:t xml:space="preserve">, </w:t>
      </w:r>
      <w:r w:rsidR="007F72E4" w:rsidRPr="007F72E4">
        <w:rPr>
          <w:rFonts w:eastAsia="Arial"/>
          <w:szCs w:val="24"/>
        </w:rPr>
        <w:t xml:space="preserve">en una condición física ideal </w:t>
      </w:r>
      <w:r w:rsidR="007F72E4" w:rsidRPr="007F72E4">
        <w:rPr>
          <w:rFonts w:eastAsia="Arial"/>
          <w:szCs w:val="24"/>
        </w:rPr>
        <w:lastRenderedPageBreak/>
        <w:t>y el incremento de la culpa ante una situación de consumo hipercalórico</w:t>
      </w:r>
      <w:r w:rsidR="007F72E4">
        <w:rPr>
          <w:rFonts w:eastAsia="Arial"/>
          <w:szCs w:val="24"/>
        </w:rPr>
        <w:t>, evidenciándose declaraciones de salud más hacia el cuidado de lo estético, que hacia lo funcional.</w:t>
      </w:r>
      <w:r w:rsidRPr="005A2F86">
        <w:rPr>
          <w:rFonts w:eastAsia="Arial"/>
          <w:szCs w:val="24"/>
        </w:rPr>
        <w:t xml:space="preserve"> </w:t>
      </w:r>
      <w:r w:rsidRPr="005A2F86">
        <w:rPr>
          <w:rFonts w:eastAsia="Arial"/>
          <w:b/>
          <w:szCs w:val="24"/>
        </w:rPr>
        <w:t xml:space="preserve"> </w:t>
      </w:r>
    </w:p>
    <w:p w:rsidR="007F72E4" w:rsidRPr="005A2F86" w:rsidRDefault="007F72E4" w:rsidP="007F72E4">
      <w:pPr>
        <w:tabs>
          <w:tab w:val="left" w:pos="705"/>
        </w:tabs>
        <w:ind w:firstLine="0"/>
        <w:jc w:val="both"/>
        <w:rPr>
          <w:rFonts w:eastAsia="Arial"/>
          <w:b/>
          <w:szCs w:val="24"/>
        </w:rPr>
      </w:pPr>
    </w:p>
    <w:p w:rsidR="006F3ED0" w:rsidRDefault="003E0532" w:rsidP="005A2F86">
      <w:pPr>
        <w:tabs>
          <w:tab w:val="left" w:pos="705"/>
        </w:tabs>
        <w:jc w:val="both"/>
        <w:rPr>
          <w:rFonts w:eastAsia="Arial"/>
          <w:szCs w:val="24"/>
        </w:rPr>
      </w:pPr>
      <w:r w:rsidRPr="005A2F86">
        <w:rPr>
          <w:rFonts w:eastAsia="Arial"/>
          <w:b/>
          <w:szCs w:val="24"/>
        </w:rPr>
        <w:t xml:space="preserve">Palabras claves: </w:t>
      </w:r>
      <w:r w:rsidRPr="005A2F86">
        <w:rPr>
          <w:rFonts w:eastAsia="Arial"/>
          <w:szCs w:val="24"/>
        </w:rPr>
        <w:t xml:space="preserve">Alimentos </w:t>
      </w:r>
      <w:r w:rsidR="00E63144" w:rsidRPr="005A2F86">
        <w:rPr>
          <w:rFonts w:eastAsia="Arial"/>
          <w:szCs w:val="24"/>
        </w:rPr>
        <w:t>light, papel</w:t>
      </w:r>
      <w:r w:rsidRPr="005A2F86">
        <w:rPr>
          <w:rFonts w:eastAsia="Arial"/>
          <w:szCs w:val="24"/>
        </w:rPr>
        <w:t xml:space="preserve"> persuasivo, regulación </w:t>
      </w:r>
      <w:r w:rsidR="00E63144" w:rsidRPr="005A2F86">
        <w:rPr>
          <w:rFonts w:eastAsia="Arial"/>
          <w:szCs w:val="24"/>
        </w:rPr>
        <w:t>emocional, hábitos</w:t>
      </w:r>
      <w:r w:rsidRPr="005A2F86">
        <w:rPr>
          <w:rFonts w:eastAsia="Arial"/>
          <w:szCs w:val="24"/>
        </w:rPr>
        <w:t xml:space="preserve"> saludables </w:t>
      </w:r>
    </w:p>
    <w:p w:rsidR="004725B0" w:rsidRDefault="004725B0" w:rsidP="005A2F86">
      <w:pPr>
        <w:tabs>
          <w:tab w:val="left" w:pos="705"/>
        </w:tabs>
        <w:jc w:val="both"/>
        <w:rPr>
          <w:rFonts w:eastAsia="Arial"/>
          <w:szCs w:val="24"/>
        </w:rPr>
      </w:pPr>
    </w:p>
    <w:p w:rsidR="004725B0" w:rsidRPr="004725B0" w:rsidRDefault="004725B0" w:rsidP="005A2F86">
      <w:pPr>
        <w:tabs>
          <w:tab w:val="left" w:pos="705"/>
        </w:tabs>
        <w:jc w:val="both"/>
        <w:rPr>
          <w:rFonts w:eastAsia="Arial"/>
          <w:b/>
          <w:szCs w:val="24"/>
        </w:rPr>
      </w:pPr>
      <w:r w:rsidRPr="004725B0">
        <w:rPr>
          <w:rFonts w:eastAsia="Arial"/>
          <w:b/>
          <w:szCs w:val="24"/>
        </w:rPr>
        <w:t>Abstract</w:t>
      </w:r>
    </w:p>
    <w:p w:rsidR="006F3ED0" w:rsidRDefault="006F3ED0" w:rsidP="005A2F86">
      <w:pPr>
        <w:tabs>
          <w:tab w:val="left" w:pos="705"/>
        </w:tabs>
        <w:jc w:val="both"/>
        <w:rPr>
          <w:rFonts w:eastAsia="Arial"/>
          <w:b/>
          <w:szCs w:val="24"/>
        </w:rPr>
      </w:pPr>
    </w:p>
    <w:p w:rsidR="004725B0" w:rsidRPr="004725B0" w:rsidRDefault="004725B0" w:rsidP="004725B0">
      <w:pPr>
        <w:tabs>
          <w:tab w:val="left" w:pos="705"/>
        </w:tabs>
        <w:jc w:val="both"/>
        <w:rPr>
          <w:rFonts w:eastAsia="Arial"/>
          <w:szCs w:val="24"/>
          <w:lang w:val="en-US"/>
        </w:rPr>
      </w:pPr>
      <w:r w:rsidRPr="004725B0">
        <w:rPr>
          <w:rFonts w:eastAsia="Arial"/>
          <w:szCs w:val="24"/>
          <w:lang w:val="en-US"/>
        </w:rPr>
        <w:t>This inventory seeks to recognize the persuasive role of the messages seen in the advertising of light foods in guiding healthy habits and emotional regulation. Through content analysis and the hermeneutic method, through the review of secondary sources: videos of advertisements, web pages, social networks and academic documents, the results found allow us to verify the persuasive influence of the advertisement before the presentation of the fitness model , in an ideal physical condition and the increase of guilt in a situation of hypercaloric consumption, evidencing health statements more towards the care of the aesthetic, than towards the functional.</w:t>
      </w:r>
    </w:p>
    <w:p w:rsidR="004725B0" w:rsidRPr="004725B0" w:rsidRDefault="004725B0" w:rsidP="004725B0">
      <w:pPr>
        <w:tabs>
          <w:tab w:val="left" w:pos="705"/>
        </w:tabs>
        <w:jc w:val="both"/>
        <w:rPr>
          <w:rFonts w:eastAsia="Arial"/>
          <w:b/>
          <w:szCs w:val="24"/>
          <w:lang w:val="en-US"/>
        </w:rPr>
      </w:pPr>
    </w:p>
    <w:p w:rsidR="004725B0" w:rsidRDefault="004725B0" w:rsidP="004725B0">
      <w:pPr>
        <w:tabs>
          <w:tab w:val="left" w:pos="705"/>
        </w:tabs>
        <w:jc w:val="both"/>
        <w:rPr>
          <w:rFonts w:eastAsia="Arial"/>
          <w:szCs w:val="24"/>
          <w:lang w:val="en-US"/>
        </w:rPr>
      </w:pPr>
      <w:r w:rsidRPr="004725B0">
        <w:rPr>
          <w:rFonts w:eastAsia="Arial"/>
          <w:b/>
          <w:szCs w:val="24"/>
          <w:lang w:val="en-US"/>
        </w:rPr>
        <w:t xml:space="preserve">Keywords: </w:t>
      </w:r>
      <w:r w:rsidRPr="004725B0">
        <w:rPr>
          <w:rFonts w:eastAsia="Arial"/>
          <w:szCs w:val="24"/>
          <w:lang w:val="en-US"/>
        </w:rPr>
        <w:t>Light foods, persuasive role, emotional regulation, healthy habits</w:t>
      </w:r>
    </w:p>
    <w:p w:rsidR="004725B0" w:rsidRDefault="004725B0" w:rsidP="004725B0">
      <w:pPr>
        <w:tabs>
          <w:tab w:val="left" w:pos="705"/>
        </w:tabs>
        <w:jc w:val="both"/>
        <w:rPr>
          <w:rFonts w:eastAsia="Arial"/>
          <w:szCs w:val="24"/>
          <w:lang w:val="en-US"/>
        </w:rPr>
      </w:pPr>
    </w:p>
    <w:p w:rsidR="00C11D2D" w:rsidRPr="00C11D2D" w:rsidRDefault="00C11D2D" w:rsidP="004725B0">
      <w:pPr>
        <w:tabs>
          <w:tab w:val="left" w:pos="705"/>
        </w:tabs>
        <w:jc w:val="both"/>
        <w:rPr>
          <w:rFonts w:eastAsia="Arial"/>
          <w:b/>
          <w:szCs w:val="24"/>
          <w:lang w:val="en-US"/>
        </w:rPr>
      </w:pPr>
      <w:r w:rsidRPr="00C11D2D">
        <w:rPr>
          <w:rFonts w:eastAsia="Arial"/>
          <w:b/>
          <w:szCs w:val="24"/>
          <w:lang w:val="en-US"/>
        </w:rPr>
        <w:t>Introducción</w:t>
      </w:r>
    </w:p>
    <w:p w:rsidR="00C11D2D" w:rsidRPr="004725B0" w:rsidRDefault="00C11D2D" w:rsidP="004725B0">
      <w:pPr>
        <w:tabs>
          <w:tab w:val="left" w:pos="705"/>
        </w:tabs>
        <w:jc w:val="both"/>
        <w:rPr>
          <w:rFonts w:eastAsia="Arial"/>
          <w:szCs w:val="24"/>
          <w:lang w:val="en-US"/>
        </w:rPr>
      </w:pPr>
    </w:p>
    <w:p w:rsidR="006F3ED0" w:rsidRDefault="003E0532" w:rsidP="00E63144">
      <w:pPr>
        <w:jc w:val="both"/>
        <w:rPr>
          <w:rFonts w:eastAsia="Arial"/>
          <w:szCs w:val="24"/>
        </w:rPr>
      </w:pPr>
      <w:r w:rsidRPr="005A2F86">
        <w:rPr>
          <w:rFonts w:eastAsia="Arial"/>
          <w:szCs w:val="24"/>
        </w:rPr>
        <w:t xml:space="preserve">Los hábitos de consumo han </w:t>
      </w:r>
      <w:r w:rsidR="005A2F86" w:rsidRPr="005A2F86">
        <w:rPr>
          <w:rFonts w:eastAsia="Arial"/>
          <w:szCs w:val="24"/>
        </w:rPr>
        <w:t>evolucionado a</w:t>
      </w:r>
      <w:r w:rsidRPr="005A2F86">
        <w:rPr>
          <w:rFonts w:eastAsia="Arial"/>
          <w:szCs w:val="24"/>
        </w:rPr>
        <w:t xml:space="preserve"> lo largo del tiempo, adaptando nuevas tendencias alimentarias como es el caso de los alimentos light, este grupo de productos en Colombia representa el 7% de la industria de </w:t>
      </w:r>
      <w:r w:rsidR="00F42F60" w:rsidRPr="005A2F86">
        <w:rPr>
          <w:rFonts w:eastAsia="Arial"/>
          <w:szCs w:val="24"/>
        </w:rPr>
        <w:t>alimentos y</w:t>
      </w:r>
      <w:r w:rsidRPr="005A2F86">
        <w:rPr>
          <w:rFonts w:eastAsia="Arial"/>
          <w:szCs w:val="24"/>
        </w:rPr>
        <w:t xml:space="preserve"> bebidas, au</w:t>
      </w:r>
      <w:r w:rsidR="00F42F60">
        <w:rPr>
          <w:rFonts w:eastAsia="Arial"/>
          <w:szCs w:val="24"/>
        </w:rPr>
        <w:t>mentando sus ventas en un 12% (</w:t>
      </w:r>
      <w:r w:rsidRPr="005A2F86">
        <w:rPr>
          <w:rFonts w:eastAsia="Arial"/>
          <w:szCs w:val="24"/>
        </w:rPr>
        <w:t>Nielsen</w:t>
      </w:r>
      <w:r w:rsidR="00F42F60">
        <w:rPr>
          <w:rFonts w:eastAsia="Arial"/>
          <w:szCs w:val="24"/>
        </w:rPr>
        <w:t xml:space="preserve">, </w:t>
      </w:r>
      <w:r w:rsidRPr="005A2F86">
        <w:rPr>
          <w:rFonts w:eastAsia="Arial"/>
          <w:szCs w:val="24"/>
        </w:rPr>
        <w:t xml:space="preserve">2018). No </w:t>
      </w:r>
      <w:r w:rsidR="00F42F60" w:rsidRPr="005A2F86">
        <w:rPr>
          <w:rFonts w:eastAsia="Arial"/>
          <w:szCs w:val="24"/>
        </w:rPr>
        <w:t>obstante,</w:t>
      </w:r>
      <w:r w:rsidRPr="005A2F86">
        <w:rPr>
          <w:rFonts w:eastAsia="Arial"/>
          <w:szCs w:val="24"/>
        </w:rPr>
        <w:t xml:space="preserve"> este tipo de alimentación ha tenido diferentes efectos emocionales, y comportamentales en las personas, es el caso del ritual del acto </w:t>
      </w:r>
      <w:r w:rsidR="00F42F60" w:rsidRPr="005A2F86">
        <w:rPr>
          <w:rFonts w:eastAsia="Arial"/>
          <w:szCs w:val="24"/>
        </w:rPr>
        <w:t>de comer</w:t>
      </w:r>
      <w:r w:rsidRPr="005A2F86">
        <w:rPr>
          <w:rFonts w:eastAsia="Arial"/>
          <w:szCs w:val="24"/>
        </w:rPr>
        <w:t xml:space="preserve">, donde se ha identificado la percepción en las porciones y la necesidad de aumentarlas, a causa de los estímulos negativos que recibe el </w:t>
      </w:r>
      <w:r w:rsidR="00F42F60" w:rsidRPr="005A2F86">
        <w:rPr>
          <w:rFonts w:eastAsia="Arial"/>
          <w:szCs w:val="24"/>
        </w:rPr>
        <w:t>cerebro, como</w:t>
      </w:r>
      <w:r w:rsidRPr="005A2F86">
        <w:rPr>
          <w:rFonts w:eastAsia="Arial"/>
          <w:szCs w:val="24"/>
        </w:rPr>
        <w:t xml:space="preserve"> la ansiedad, depresión, fatiga y respuestas negativas a nivel emocional. Por otro lado, la relación del aprendizaje asociativo </w:t>
      </w:r>
      <w:r w:rsidRPr="005A2F86">
        <w:rPr>
          <w:rFonts w:eastAsia="Arial"/>
          <w:szCs w:val="24"/>
        </w:rPr>
        <w:lastRenderedPageBreak/>
        <w:t xml:space="preserve">en la comida se conecta </w:t>
      </w:r>
      <w:r w:rsidR="00F42F60" w:rsidRPr="005A2F86">
        <w:rPr>
          <w:rFonts w:eastAsia="Arial"/>
          <w:szCs w:val="24"/>
        </w:rPr>
        <w:t>con la</w:t>
      </w:r>
      <w:r w:rsidRPr="005A2F86">
        <w:rPr>
          <w:rFonts w:eastAsia="Arial"/>
          <w:szCs w:val="24"/>
        </w:rPr>
        <w:t xml:space="preserve"> felicidad, y el efecto placentero que genera (emotion regulating eating). </w:t>
      </w:r>
    </w:p>
    <w:p w:rsidR="00A277BB" w:rsidRPr="005A2F86" w:rsidRDefault="00A277BB" w:rsidP="00E63144">
      <w:pPr>
        <w:jc w:val="both"/>
        <w:rPr>
          <w:rFonts w:eastAsia="Arial"/>
          <w:szCs w:val="24"/>
        </w:rPr>
      </w:pPr>
    </w:p>
    <w:p w:rsidR="004725B0" w:rsidRDefault="003E0532" w:rsidP="00F42F60">
      <w:pPr>
        <w:jc w:val="both"/>
      </w:pPr>
      <w:r w:rsidRPr="005A2F86">
        <w:rPr>
          <w:rFonts w:eastAsia="Arial"/>
          <w:szCs w:val="24"/>
        </w:rPr>
        <w:t xml:space="preserve">Cada respuesta emocional está conectada con los anuncios publicitarios, implementando estrategias que permiten la interacción emocional con el producto, como el juego de colores, los mensajes </w:t>
      </w:r>
      <w:r w:rsidR="00F42F60" w:rsidRPr="005A2F86">
        <w:rPr>
          <w:rFonts w:eastAsia="Arial"/>
          <w:szCs w:val="24"/>
        </w:rPr>
        <w:t>persuasivos, los</w:t>
      </w:r>
      <w:r w:rsidRPr="005A2F86">
        <w:rPr>
          <w:rFonts w:eastAsia="Arial"/>
          <w:szCs w:val="24"/>
        </w:rPr>
        <w:t xml:space="preserve"> grupos de referencia, produciendo una comunicación </w:t>
      </w:r>
      <w:r w:rsidR="00F42F60" w:rsidRPr="005A2F86">
        <w:rPr>
          <w:rFonts w:eastAsia="Arial"/>
          <w:szCs w:val="24"/>
        </w:rPr>
        <w:t>asertiva y</w:t>
      </w:r>
      <w:r w:rsidRPr="005A2F86">
        <w:rPr>
          <w:rFonts w:eastAsia="Arial"/>
          <w:szCs w:val="24"/>
        </w:rPr>
        <w:t xml:space="preserve"> persuasiva en la persona para tomar la decisión </w:t>
      </w:r>
      <w:r w:rsidR="00F42F60">
        <w:rPr>
          <w:rFonts w:eastAsia="Arial"/>
          <w:szCs w:val="24"/>
        </w:rPr>
        <w:t>de consumirlo, con base en ello. A</w:t>
      </w:r>
      <w:r w:rsidRPr="005A2F86">
        <w:rPr>
          <w:rFonts w:eastAsia="Arial"/>
          <w:szCs w:val="24"/>
        </w:rPr>
        <w:t xml:space="preserve">lgunos estudios como el de Garzón Medina y Barreto (2013) y Mc Cormick, Lacaze, &amp; Pereyra (2005) evidencian el papel de influencia que tienen los agentes de </w:t>
      </w:r>
      <w:r w:rsidR="00F42F60" w:rsidRPr="005A2F86">
        <w:rPr>
          <w:rFonts w:eastAsia="Arial"/>
          <w:szCs w:val="24"/>
        </w:rPr>
        <w:t>socialización</w:t>
      </w:r>
      <w:r w:rsidRPr="005A2F86">
        <w:rPr>
          <w:rFonts w:eastAsia="Arial"/>
          <w:szCs w:val="24"/>
        </w:rPr>
        <w:t xml:space="preserve"> </w:t>
      </w:r>
      <w:r w:rsidR="00F42F60">
        <w:rPr>
          <w:rFonts w:eastAsia="Arial"/>
          <w:szCs w:val="24"/>
        </w:rPr>
        <w:t xml:space="preserve">secundario, como es el caso de los medios de comunicación y la publicidad, </w:t>
      </w:r>
      <w:r w:rsidRPr="005A2F86">
        <w:rPr>
          <w:rFonts w:eastAsia="Arial"/>
          <w:szCs w:val="24"/>
        </w:rPr>
        <w:t>e</w:t>
      </w:r>
      <w:r w:rsidR="00F42F60">
        <w:rPr>
          <w:rFonts w:eastAsia="Arial"/>
          <w:szCs w:val="24"/>
        </w:rPr>
        <w:t>n el consumo de alimentos light. En correspondencia con esto, Sánchez (2016</w:t>
      </w:r>
      <w:r w:rsidR="00F977A2">
        <w:rPr>
          <w:rFonts w:eastAsia="Arial"/>
          <w:szCs w:val="24"/>
        </w:rPr>
        <w:t>, citado en Garzón Medina, Forero, Calderón, Franco, Galindo, Guio, Mora y Ruiz, 2020</w:t>
      </w:r>
      <w:r w:rsidR="00F42F60">
        <w:rPr>
          <w:rFonts w:eastAsia="Arial"/>
          <w:szCs w:val="24"/>
        </w:rPr>
        <w:t xml:space="preserve">), sustenta que hay </w:t>
      </w:r>
      <w:r w:rsidR="00F42F60" w:rsidRPr="00F42F60">
        <w:rPr>
          <w:rFonts w:eastAsia="Arial"/>
          <w:szCs w:val="24"/>
        </w:rPr>
        <w:t>tres</w:t>
      </w:r>
      <w:r w:rsidR="00F42F60" w:rsidRPr="00F42F60">
        <w:rPr>
          <w:rFonts w:eastAsia="Arial"/>
          <w:szCs w:val="24"/>
        </w:rPr>
        <w:t xml:space="preserve"> formas que usa la publicidad para vestir los productos</w:t>
      </w:r>
      <w:r w:rsidR="00F42F60">
        <w:rPr>
          <w:rFonts w:eastAsia="Arial"/>
          <w:szCs w:val="24"/>
        </w:rPr>
        <w:t xml:space="preserve"> de salud: </w:t>
      </w:r>
      <w:r w:rsidR="00F977A2">
        <w:rPr>
          <w:rFonts w:eastAsia="Arial"/>
          <w:szCs w:val="24"/>
        </w:rPr>
        <w:t>a) a</w:t>
      </w:r>
      <w:r w:rsidR="00F42F60">
        <w:t xml:space="preserve">ñadir nutrientes a los alimentos, lo que implica hacer declaraciones de que se añade cierto componente como vitaminas o minerales, en particular, lo que lo convierte en </w:t>
      </w:r>
      <w:r w:rsidR="00F977A2">
        <w:t>fuentes de nutrientes; b) d</w:t>
      </w:r>
      <w:r w:rsidR="00F42F60">
        <w:t>ar a entender lo que no es a través del diseño de eslóganes y mensajes con afirmaciones que generen recordación sobre un efecto qu</w:t>
      </w:r>
      <w:r w:rsidR="00F977A2">
        <w:t>e, en realidad, no está probado; y c) i</w:t>
      </w:r>
      <w:r w:rsidR="00F42F60">
        <w:t>nventar un nombre comercial saludable, usando expresiones como “digestive”, “funcional”, “</w:t>
      </w:r>
      <w:r w:rsidR="00F977A2">
        <w:t>light</w:t>
      </w:r>
      <w:r w:rsidR="00F42F60">
        <w:t>”, entre otros.</w:t>
      </w:r>
      <w:r w:rsidR="00F977A2">
        <w:t xml:space="preserve"> </w:t>
      </w:r>
    </w:p>
    <w:p w:rsidR="008D581F" w:rsidRDefault="00F977A2" w:rsidP="00F42F60">
      <w:pPr>
        <w:jc w:val="both"/>
      </w:pPr>
      <w:r>
        <w:t xml:space="preserve"> </w:t>
      </w:r>
    </w:p>
    <w:p w:rsidR="004725B0" w:rsidRDefault="00F977A2" w:rsidP="004725B0">
      <w:pPr>
        <w:jc w:val="both"/>
      </w:pPr>
      <w:r>
        <w:t>C</w:t>
      </w:r>
      <w:r w:rsidR="003E0532" w:rsidRPr="005A2F86">
        <w:rPr>
          <w:rFonts w:eastAsia="Arial"/>
          <w:szCs w:val="24"/>
        </w:rPr>
        <w:t>on base en lo anterior</w:t>
      </w:r>
      <w:r w:rsidR="00F42F60">
        <w:rPr>
          <w:rFonts w:eastAsia="Arial"/>
          <w:szCs w:val="24"/>
        </w:rPr>
        <w:t xml:space="preserve">, </w:t>
      </w:r>
      <w:r>
        <w:rPr>
          <w:rFonts w:eastAsia="Arial"/>
          <w:szCs w:val="24"/>
        </w:rPr>
        <w:t xml:space="preserve">se sustenta </w:t>
      </w:r>
      <w:r w:rsidR="00F42F60">
        <w:rPr>
          <w:rFonts w:eastAsia="Arial"/>
          <w:szCs w:val="24"/>
        </w:rPr>
        <w:t xml:space="preserve">el presente inventario </w:t>
      </w:r>
      <w:r>
        <w:rPr>
          <w:rFonts w:eastAsia="Arial"/>
          <w:szCs w:val="24"/>
        </w:rPr>
        <w:t xml:space="preserve">de anuncios publicitarios de alimentos light, caracterizado a través de 4 dimensiones claves: </w:t>
      </w:r>
      <w:r w:rsidR="008D581F">
        <w:rPr>
          <w:rFonts w:eastAsia="Arial"/>
          <w:szCs w:val="24"/>
        </w:rPr>
        <w:t>a) el componente emocional regulado, analizado desde la relación cognición y emoción frente contenido en el mensaje del anuncio (</w:t>
      </w:r>
      <w:r w:rsidR="008D581F" w:rsidRPr="009D524D">
        <w:t>Gross &amp; Thompson, 2007</w:t>
      </w:r>
      <w:r w:rsidR="008D581F">
        <w:t>); b) mensaje persuasivo del anunció, frente a los ideales, cambios de actitud e influencias del mensaje en el comportamiento del consumidor (</w:t>
      </w:r>
      <w:bookmarkStart w:id="2" w:name="_Hlk14886810"/>
      <w:r w:rsidR="008D581F" w:rsidRPr="009D524D">
        <w:t>Mestre, Palmero y Guil</w:t>
      </w:r>
      <w:r w:rsidR="008D581F">
        <w:t xml:space="preserve">, </w:t>
      </w:r>
      <w:r w:rsidR="008D581F" w:rsidRPr="009D524D">
        <w:t>2004)</w:t>
      </w:r>
      <w:bookmarkEnd w:id="2"/>
      <w:r w:rsidR="008D581F">
        <w:t xml:space="preserve">; c) </w:t>
      </w:r>
      <w:r w:rsidR="004725B0">
        <w:t xml:space="preserve">declaración de salud, desde el componente nutricional añadido y sus beneficios (Sánchez, 2016); y d) derecho vulnerado, conforme a lo establecido por la Ley 1480 (2011), ya que </w:t>
      </w:r>
      <w:r w:rsidR="004725B0">
        <w:t>se estipula e</w:t>
      </w:r>
      <w:r w:rsidR="004725B0">
        <w:t>l derecho a recibir información, ya que se debe o</w:t>
      </w:r>
      <w:r w:rsidR="004725B0">
        <w:t xml:space="preserve">btener información completa, veraz, transparente, oportuna, verificable, comprensible, precisa e idónea respecto de los productos que se ofrezcan o se pongan en </w:t>
      </w:r>
      <w:r w:rsidR="004725B0">
        <w:lastRenderedPageBreak/>
        <w:t>circulación, así como sobre los riesgos que puedan derivarse de su consumo o utilización, los mecanismos de protección de sus derechos y las formas de ejercerlos</w:t>
      </w:r>
      <w:r w:rsidR="00332A65">
        <w:t xml:space="preserve"> (ver anexo)</w:t>
      </w:r>
      <w:r w:rsidR="004725B0">
        <w:t>.</w:t>
      </w:r>
    </w:p>
    <w:p w:rsidR="00332A65" w:rsidRDefault="00332A65" w:rsidP="004725B0">
      <w:pPr>
        <w:jc w:val="both"/>
      </w:pPr>
    </w:p>
    <w:p w:rsidR="00332A65" w:rsidRPr="00BA4436" w:rsidRDefault="00332A65" w:rsidP="004725B0">
      <w:pPr>
        <w:jc w:val="both"/>
        <w:rPr>
          <w:b/>
        </w:rPr>
      </w:pPr>
      <w:r w:rsidRPr="00BA4436">
        <w:rPr>
          <w:b/>
        </w:rPr>
        <w:t>Referencias</w:t>
      </w:r>
    </w:p>
    <w:p w:rsidR="00332A65" w:rsidRDefault="00332A65" w:rsidP="002B599E">
      <w:pPr>
        <w:spacing w:before="240" w:after="240" w:line="240" w:lineRule="auto"/>
        <w:ind w:left="720" w:hanging="720"/>
        <w:rPr>
          <w:rFonts w:eastAsia="Arial"/>
          <w:szCs w:val="24"/>
        </w:rPr>
      </w:pPr>
      <w:r w:rsidRPr="005A2F86">
        <w:rPr>
          <w:rFonts w:eastAsia="Arial"/>
          <w:szCs w:val="24"/>
        </w:rPr>
        <w:t>Nielsen, (2018). 4 de cada 10 colombianos están cambiando a la versión saludable de su producto preferido. Obtenido de:</w:t>
      </w:r>
      <w:r>
        <w:rPr>
          <w:rFonts w:eastAsia="Arial"/>
          <w:szCs w:val="24"/>
        </w:rPr>
        <w:t xml:space="preserve"> </w:t>
      </w:r>
      <w:hyperlink r:id="rId9" w:history="1">
        <w:r w:rsidR="00BA4436" w:rsidRPr="00717DE5">
          <w:rPr>
            <w:rStyle w:val="Hipervnculo"/>
            <w:rFonts w:eastAsia="Arial"/>
            <w:szCs w:val="24"/>
          </w:rPr>
          <w:t>https://www.nielsen.com/co/es/insights/article/2018/4-de-cada-10-colombianos-estan-cambiando-a-la-version-saludable-de-su-producto-preferido/</w:t>
        </w:r>
      </w:hyperlink>
    </w:p>
    <w:p w:rsidR="004725B0" w:rsidRDefault="00332A65" w:rsidP="002B599E">
      <w:pPr>
        <w:spacing w:line="240" w:lineRule="auto"/>
        <w:ind w:left="720" w:hanging="720"/>
        <w:jc w:val="both"/>
        <w:rPr>
          <w:rFonts w:eastAsia="Arial"/>
          <w:szCs w:val="24"/>
        </w:rPr>
      </w:pPr>
      <w:r>
        <w:rPr>
          <w:rFonts w:eastAsia="Arial"/>
          <w:szCs w:val="24"/>
        </w:rPr>
        <w:t>Garzón Medina, C</w:t>
      </w:r>
      <w:r w:rsidRPr="005A2F86">
        <w:rPr>
          <w:rFonts w:eastAsia="Arial"/>
          <w:szCs w:val="24"/>
        </w:rPr>
        <w:t xml:space="preserve">., &amp; Barreto, I. (2013). Prácticas alimentarias y significados de alimentos light de familias de un sector urbano de Bogotá. </w:t>
      </w:r>
      <w:r>
        <w:rPr>
          <w:rFonts w:eastAsia="Arial"/>
          <w:szCs w:val="24"/>
        </w:rPr>
        <w:t>Suma psicológica</w:t>
      </w:r>
      <w:r w:rsidRPr="005A2F86">
        <w:rPr>
          <w:rFonts w:eastAsia="Arial"/>
          <w:szCs w:val="24"/>
        </w:rPr>
        <w:t>, 20(1), 89-99.</w:t>
      </w:r>
    </w:p>
    <w:p w:rsidR="00332A65" w:rsidRDefault="00332A65" w:rsidP="002B599E">
      <w:pPr>
        <w:spacing w:line="240" w:lineRule="auto"/>
        <w:ind w:left="720" w:hanging="720"/>
        <w:jc w:val="both"/>
        <w:rPr>
          <w:rFonts w:eastAsia="Arial"/>
          <w:szCs w:val="24"/>
        </w:rPr>
      </w:pPr>
    </w:p>
    <w:p w:rsidR="00332A65" w:rsidRDefault="00332A65" w:rsidP="002B599E">
      <w:pPr>
        <w:spacing w:line="240" w:lineRule="auto"/>
        <w:ind w:left="720" w:hanging="720"/>
        <w:jc w:val="both"/>
      </w:pPr>
      <w:r w:rsidRPr="00332A65">
        <w:rPr>
          <w:lang w:val="en-US"/>
        </w:rPr>
        <w:t xml:space="preserve">Mc Cormick, M., Lacaze, M., &amp; Pereyra, A. (2005). </w:t>
      </w:r>
      <w:r>
        <w:t>Características de los hogares y hábitos alimentarios en Buenos Aires y sus alrededores. Cuadernos del Ceagro, 1, 45-78.</w:t>
      </w:r>
    </w:p>
    <w:p w:rsidR="00F42F60" w:rsidRDefault="00F42F60" w:rsidP="002B599E">
      <w:pPr>
        <w:spacing w:line="240" w:lineRule="auto"/>
        <w:ind w:left="720" w:hanging="720"/>
        <w:jc w:val="both"/>
        <w:rPr>
          <w:rFonts w:eastAsia="Arial"/>
          <w:szCs w:val="24"/>
        </w:rPr>
      </w:pPr>
    </w:p>
    <w:p w:rsidR="00332A65" w:rsidRDefault="00332A65" w:rsidP="002B599E">
      <w:pPr>
        <w:spacing w:line="240" w:lineRule="auto"/>
        <w:ind w:left="720" w:hanging="720"/>
        <w:jc w:val="both"/>
        <w:rPr>
          <w:rFonts w:eastAsia="Arial"/>
          <w:szCs w:val="24"/>
        </w:rPr>
      </w:pPr>
      <w:r>
        <w:t>Sánchez, A. (27 de abril de 2016). Las tres formas que usa la publicidad para vestir los productos de salud. Consumer. Recuperado de https://www. consumer.es/alimentacion/las-tresformas-que-usa-la-publicidad-paravestir-los-productos-de-salud.html</w:t>
      </w:r>
    </w:p>
    <w:p w:rsidR="00F42F60" w:rsidRDefault="00F42F60" w:rsidP="002B599E">
      <w:pPr>
        <w:spacing w:line="240" w:lineRule="auto"/>
        <w:ind w:left="720" w:hanging="720"/>
        <w:jc w:val="both"/>
        <w:rPr>
          <w:rFonts w:eastAsia="Arial"/>
          <w:szCs w:val="24"/>
        </w:rPr>
      </w:pPr>
    </w:p>
    <w:p w:rsidR="00F42F60" w:rsidRDefault="00332A65" w:rsidP="002B599E">
      <w:pPr>
        <w:spacing w:line="240" w:lineRule="auto"/>
        <w:ind w:left="720" w:hanging="720"/>
        <w:jc w:val="both"/>
        <w:rPr>
          <w:rFonts w:eastAsia="Arial"/>
          <w:szCs w:val="24"/>
        </w:rPr>
      </w:pPr>
      <w:r>
        <w:rPr>
          <w:rFonts w:eastAsia="Arial"/>
          <w:szCs w:val="24"/>
        </w:rPr>
        <w:t xml:space="preserve">Garzón Medina, </w:t>
      </w:r>
      <w:r>
        <w:rPr>
          <w:rFonts w:eastAsia="Arial"/>
          <w:szCs w:val="24"/>
        </w:rPr>
        <w:t xml:space="preserve">C., </w:t>
      </w:r>
      <w:r>
        <w:rPr>
          <w:rFonts w:eastAsia="Arial"/>
          <w:szCs w:val="24"/>
        </w:rPr>
        <w:t>Forero,</w:t>
      </w:r>
      <w:r>
        <w:rPr>
          <w:rFonts w:eastAsia="Arial"/>
          <w:szCs w:val="24"/>
        </w:rPr>
        <w:t xml:space="preserve"> M., Calderón</w:t>
      </w:r>
      <w:r>
        <w:rPr>
          <w:rFonts w:eastAsia="Arial"/>
          <w:szCs w:val="24"/>
        </w:rPr>
        <w:t>,</w:t>
      </w:r>
      <w:r>
        <w:rPr>
          <w:rFonts w:eastAsia="Arial"/>
          <w:szCs w:val="24"/>
        </w:rPr>
        <w:t xml:space="preserve"> A., </w:t>
      </w:r>
      <w:r>
        <w:rPr>
          <w:rFonts w:eastAsia="Arial"/>
          <w:szCs w:val="24"/>
        </w:rPr>
        <w:t xml:space="preserve"> Franco,</w:t>
      </w:r>
      <w:r>
        <w:rPr>
          <w:rFonts w:eastAsia="Arial"/>
          <w:szCs w:val="24"/>
        </w:rPr>
        <w:t>K.,</w:t>
      </w:r>
      <w:r>
        <w:rPr>
          <w:rFonts w:eastAsia="Arial"/>
          <w:szCs w:val="24"/>
        </w:rPr>
        <w:t xml:space="preserve"> Galindo,</w:t>
      </w:r>
      <w:r>
        <w:rPr>
          <w:rFonts w:eastAsia="Arial"/>
          <w:szCs w:val="24"/>
        </w:rPr>
        <w:t>D.,</w:t>
      </w:r>
      <w:r>
        <w:rPr>
          <w:rFonts w:eastAsia="Arial"/>
          <w:szCs w:val="24"/>
        </w:rPr>
        <w:t xml:space="preserve"> Guio,</w:t>
      </w:r>
      <w:r>
        <w:rPr>
          <w:rFonts w:eastAsia="Arial"/>
          <w:szCs w:val="24"/>
        </w:rPr>
        <w:t>J.,</w:t>
      </w:r>
      <w:r>
        <w:rPr>
          <w:rFonts w:eastAsia="Arial"/>
          <w:szCs w:val="24"/>
        </w:rPr>
        <w:t xml:space="preserve"> Mora</w:t>
      </w:r>
      <w:r>
        <w:rPr>
          <w:rFonts w:eastAsia="Arial"/>
          <w:szCs w:val="24"/>
        </w:rPr>
        <w:t>,F</w:t>
      </w:r>
      <w:r>
        <w:rPr>
          <w:rFonts w:eastAsia="Arial"/>
          <w:szCs w:val="24"/>
        </w:rPr>
        <w:t xml:space="preserve"> y Ruiz,</w:t>
      </w:r>
      <w:r>
        <w:rPr>
          <w:rFonts w:eastAsia="Arial"/>
          <w:szCs w:val="24"/>
        </w:rPr>
        <w:t>S. (</w:t>
      </w:r>
      <w:r>
        <w:rPr>
          <w:rFonts w:eastAsia="Arial"/>
          <w:szCs w:val="24"/>
        </w:rPr>
        <w:t>2020)</w:t>
      </w:r>
      <w:r>
        <w:rPr>
          <w:rFonts w:eastAsia="Arial"/>
          <w:szCs w:val="24"/>
        </w:rPr>
        <w:t xml:space="preserve">. </w:t>
      </w:r>
      <w:r w:rsidRPr="00332A65">
        <w:rPr>
          <w:rFonts w:eastAsia="Arial"/>
          <w:szCs w:val="24"/>
        </w:rPr>
        <w:t>Programa de</w:t>
      </w:r>
      <w:r>
        <w:rPr>
          <w:rFonts w:eastAsia="Arial"/>
          <w:szCs w:val="24"/>
        </w:rPr>
        <w:t xml:space="preserve"> </w:t>
      </w:r>
      <w:r w:rsidRPr="00332A65">
        <w:rPr>
          <w:rFonts w:eastAsia="Arial"/>
          <w:szCs w:val="24"/>
        </w:rPr>
        <w:t>educación para el</w:t>
      </w:r>
      <w:r>
        <w:rPr>
          <w:rFonts w:eastAsia="Arial"/>
          <w:szCs w:val="24"/>
        </w:rPr>
        <w:t xml:space="preserve"> </w:t>
      </w:r>
      <w:r w:rsidRPr="00332A65">
        <w:rPr>
          <w:rFonts w:eastAsia="Arial"/>
          <w:szCs w:val="24"/>
        </w:rPr>
        <w:t>consumo responsable</w:t>
      </w:r>
      <w:r>
        <w:rPr>
          <w:rFonts w:eastAsia="Arial"/>
          <w:szCs w:val="24"/>
        </w:rPr>
        <w:t xml:space="preserve"> </w:t>
      </w:r>
      <w:r w:rsidRPr="00332A65">
        <w:rPr>
          <w:rFonts w:eastAsia="Arial"/>
          <w:szCs w:val="24"/>
        </w:rPr>
        <w:t>de alimentos y</w:t>
      </w:r>
      <w:r>
        <w:rPr>
          <w:rFonts w:eastAsia="Arial"/>
          <w:szCs w:val="24"/>
        </w:rPr>
        <w:t xml:space="preserve"> </w:t>
      </w:r>
      <w:r w:rsidRPr="00332A65">
        <w:rPr>
          <w:rFonts w:eastAsia="Arial"/>
          <w:szCs w:val="24"/>
        </w:rPr>
        <w:t>bebidas lácteas</w:t>
      </w:r>
      <w:r>
        <w:rPr>
          <w:rFonts w:eastAsia="Arial"/>
          <w:szCs w:val="24"/>
        </w:rPr>
        <w:t xml:space="preserve"> </w:t>
      </w:r>
      <w:r w:rsidRPr="00332A65">
        <w:rPr>
          <w:rFonts w:eastAsia="Arial"/>
          <w:szCs w:val="24"/>
        </w:rPr>
        <w:t>funcionales</w:t>
      </w:r>
      <w:r>
        <w:rPr>
          <w:rFonts w:eastAsia="Arial"/>
          <w:szCs w:val="24"/>
        </w:rPr>
        <w:t xml:space="preserve">. Bogota: Ediciones USTA. Recuperado de: </w:t>
      </w:r>
      <w:r w:rsidRPr="00332A65">
        <w:rPr>
          <w:rFonts w:eastAsia="Arial"/>
          <w:szCs w:val="24"/>
        </w:rPr>
        <w:t>file:///C:/Users/User/Downloads/Obracompleta.Coleccionmodular.2020Garzoncarolina%20(1).pdf</w:t>
      </w:r>
    </w:p>
    <w:p w:rsidR="00F42F60" w:rsidRDefault="00F42F60" w:rsidP="002B599E">
      <w:pPr>
        <w:spacing w:line="240" w:lineRule="auto"/>
        <w:ind w:left="720" w:hanging="720"/>
        <w:jc w:val="both"/>
        <w:rPr>
          <w:rFonts w:eastAsia="Arial"/>
          <w:szCs w:val="24"/>
        </w:rPr>
      </w:pPr>
    </w:p>
    <w:p w:rsidR="00BA4436" w:rsidRPr="00BA4436" w:rsidRDefault="00332A65" w:rsidP="002B599E">
      <w:pPr>
        <w:spacing w:line="240" w:lineRule="auto"/>
        <w:ind w:left="720" w:hanging="720"/>
        <w:jc w:val="both"/>
        <w:rPr>
          <w:lang w:val="es-ES"/>
        </w:rPr>
      </w:pPr>
      <w:r w:rsidRPr="009D524D">
        <w:rPr>
          <w:lang w:val="en-US"/>
        </w:rPr>
        <w:t xml:space="preserve">Gross, J. J. y Thompson, R. A. (2007). Emotion Regulation: Conceptual foundations. En J. J. Gross (ed.), </w:t>
      </w:r>
      <w:r w:rsidRPr="009D524D">
        <w:rPr>
          <w:i/>
          <w:iCs/>
          <w:lang w:val="en-US"/>
        </w:rPr>
        <w:t>Handbook of Emotion Regulation</w:t>
      </w:r>
      <w:r w:rsidRPr="009D524D">
        <w:rPr>
          <w:lang w:val="en-US"/>
        </w:rPr>
        <w:t xml:space="preserve"> (pp. 3-24). </w:t>
      </w:r>
      <w:r w:rsidRPr="00BA4436">
        <w:rPr>
          <w:lang w:val="es-ES"/>
        </w:rPr>
        <w:t>Nueva York:Guilford</w:t>
      </w:r>
      <w:r w:rsidRPr="00BA4436">
        <w:rPr>
          <w:lang w:val="es-ES"/>
        </w:rPr>
        <w:t>.</w:t>
      </w:r>
    </w:p>
    <w:p w:rsidR="00332A65" w:rsidRPr="00BA4436" w:rsidRDefault="00332A65" w:rsidP="002B599E">
      <w:pPr>
        <w:spacing w:line="240" w:lineRule="auto"/>
        <w:ind w:left="720" w:hanging="720"/>
        <w:jc w:val="both"/>
        <w:rPr>
          <w:lang w:val="en-US"/>
        </w:rPr>
      </w:pPr>
      <w:r w:rsidRPr="009D524D">
        <w:t xml:space="preserve">Mestre, J. M., Palmero, F. y Guil, R. (2004). Inteligencia emocional: una explicación desde los procesos psicológicos básicos. En J. M. Mestre y F. Palmero (eds.), </w:t>
      </w:r>
      <w:r w:rsidRPr="009D524D">
        <w:rPr>
          <w:i/>
          <w:iCs/>
        </w:rPr>
        <w:t>Procesos psicológicos básicos: una guía académica para los estudios Psicopedagogía, Pedagogía y Psicología</w:t>
      </w:r>
      <w:r w:rsidRPr="009D524D">
        <w:t xml:space="preserve"> (pp. 249-280). Madrid: McGraw-Hill.</w:t>
      </w:r>
    </w:p>
    <w:p w:rsidR="00332A65" w:rsidRPr="00BA4436" w:rsidRDefault="00BA4436" w:rsidP="002B599E">
      <w:pPr>
        <w:spacing w:line="240" w:lineRule="auto"/>
        <w:ind w:left="720" w:hanging="720"/>
        <w:jc w:val="both"/>
        <w:rPr>
          <w:lang w:val="es-ES"/>
        </w:rPr>
      </w:pPr>
      <w:r w:rsidRPr="00BA4436">
        <w:rPr>
          <w:lang w:val="es-ES"/>
        </w:rPr>
        <w:t>Ley 1480 de 2011. Por medio de la cual se expide el Estatuto del Consumidor y se dictan otras disposiciones.</w:t>
      </w:r>
      <w:r>
        <w:rPr>
          <w:lang w:val="es-ES"/>
        </w:rPr>
        <w:t xml:space="preserve"> Recuperado de: </w:t>
      </w:r>
      <w:r w:rsidRPr="00BA4436">
        <w:rPr>
          <w:lang w:val="es-ES"/>
        </w:rPr>
        <w:t>http://www.secretariasenado.gov.co/senado/basedoc/ley_1480_2011.html</w:t>
      </w:r>
    </w:p>
    <w:p w:rsidR="00332A65" w:rsidRPr="00BA4436" w:rsidRDefault="00332A65" w:rsidP="00F42F60">
      <w:pPr>
        <w:jc w:val="both"/>
        <w:rPr>
          <w:lang w:val="es-ES"/>
        </w:rPr>
      </w:pPr>
    </w:p>
    <w:p w:rsidR="00332A65" w:rsidRDefault="00332A65" w:rsidP="00F42F60">
      <w:pPr>
        <w:jc w:val="both"/>
        <w:rPr>
          <w:rFonts w:eastAsia="Arial"/>
          <w:szCs w:val="24"/>
        </w:rPr>
      </w:pPr>
    </w:p>
    <w:p w:rsidR="00A277BB" w:rsidRDefault="002B599E" w:rsidP="00F42F60">
      <w:pPr>
        <w:jc w:val="both"/>
        <w:rPr>
          <w:rFonts w:eastAsia="Arial"/>
          <w:szCs w:val="24"/>
        </w:rPr>
      </w:pPr>
      <w:r>
        <w:rPr>
          <w:rFonts w:eastAsia="Arial"/>
          <w:szCs w:val="24"/>
          <w:lang w:val="es-ES"/>
        </w:rPr>
        <w:t xml:space="preserve"> </w:t>
      </w:r>
    </w:p>
    <w:p w:rsidR="00A277BB" w:rsidRDefault="00A277BB" w:rsidP="00F42F60">
      <w:pPr>
        <w:jc w:val="both"/>
        <w:rPr>
          <w:rFonts w:eastAsia="Arial"/>
          <w:szCs w:val="24"/>
        </w:rPr>
      </w:pPr>
    </w:p>
    <w:sectPr w:rsidR="00A277BB" w:rsidSect="002B599E">
      <w:pgSz w:w="12242" w:h="15842"/>
      <w:pgMar w:top="1701" w:right="1701" w:bottom="1701" w:left="1701"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608" w:rsidRDefault="003F1608">
      <w:pPr>
        <w:spacing w:line="240" w:lineRule="auto"/>
      </w:pPr>
      <w:r>
        <w:separator/>
      </w:r>
    </w:p>
  </w:endnote>
  <w:endnote w:type="continuationSeparator" w:id="0">
    <w:p w:rsidR="003F1608" w:rsidRDefault="003F16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608" w:rsidRDefault="003F1608">
      <w:pPr>
        <w:spacing w:line="240" w:lineRule="auto"/>
      </w:pPr>
      <w:r>
        <w:separator/>
      </w:r>
    </w:p>
  </w:footnote>
  <w:footnote w:type="continuationSeparator" w:id="0">
    <w:p w:rsidR="003F1608" w:rsidRDefault="003F160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EB0068"/>
    <w:multiLevelType w:val="multilevel"/>
    <w:tmpl w:val="86C483BE"/>
    <w:lvl w:ilvl="0">
      <w:start w:val="1"/>
      <w:numFmt w:val="decimal"/>
      <w:lvlText w:val="%1."/>
      <w:lvlJc w:val="left"/>
      <w:pPr>
        <w:ind w:left="262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ED0"/>
    <w:rsid w:val="002519C9"/>
    <w:rsid w:val="002B599E"/>
    <w:rsid w:val="00332A65"/>
    <w:rsid w:val="00355344"/>
    <w:rsid w:val="003E0532"/>
    <w:rsid w:val="003F1608"/>
    <w:rsid w:val="004725B0"/>
    <w:rsid w:val="005A2F86"/>
    <w:rsid w:val="006A3C37"/>
    <w:rsid w:val="006F3ED0"/>
    <w:rsid w:val="007F72E4"/>
    <w:rsid w:val="008D581F"/>
    <w:rsid w:val="00A277BB"/>
    <w:rsid w:val="00A94ACB"/>
    <w:rsid w:val="00BA4436"/>
    <w:rsid w:val="00C11D2D"/>
    <w:rsid w:val="00E63144"/>
    <w:rsid w:val="00F42F60"/>
    <w:rsid w:val="00F72034"/>
    <w:rsid w:val="00F977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D812D"/>
  <w15:docId w15:val="{43B5C463-A7ED-42F0-84CA-AE7F58F09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F86"/>
    <w:pPr>
      <w:spacing w:line="360" w:lineRule="auto"/>
      <w:ind w:firstLine="720"/>
    </w:pPr>
    <w:rPr>
      <w:sz w:val="24"/>
    </w:rPr>
  </w:style>
  <w:style w:type="paragraph" w:styleId="Ttulo1">
    <w:name w:val="heading 1"/>
    <w:basedOn w:val="Normal"/>
    <w:next w:val="Normal"/>
    <w:uiPriority w:val="9"/>
    <w:qFormat/>
    <w:pPr>
      <w:keepNext/>
      <w:jc w:val="center"/>
      <w:outlineLvl w:val="0"/>
    </w:pPr>
    <w:rPr>
      <w:rFonts w:ascii="Arial" w:eastAsia="Arial" w:hAnsi="Arial" w:cs="Arial"/>
      <w:b/>
      <w:szCs w:val="24"/>
    </w:rPr>
  </w:style>
  <w:style w:type="paragraph" w:styleId="Ttulo2">
    <w:name w:val="heading 2"/>
    <w:basedOn w:val="Normal"/>
    <w:next w:val="Normal"/>
    <w:uiPriority w:val="9"/>
    <w:semiHidden/>
    <w:unhideWhenUsed/>
    <w:qFormat/>
    <w:pPr>
      <w:keepNext/>
      <w:jc w:val="both"/>
      <w:outlineLvl w:val="1"/>
    </w:pPr>
    <w:rPr>
      <w:rFonts w:ascii="Arial" w:eastAsia="Arial" w:hAnsi="Arial" w:cs="Arial"/>
      <w:b/>
      <w:szCs w:val="24"/>
      <w:u w:val="single"/>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Cs w:val="24"/>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left w:w="70" w:type="dxa"/>
        <w:right w:w="70" w:type="dxa"/>
      </w:tblCellMar>
    </w:tblPr>
  </w:style>
  <w:style w:type="character" w:styleId="Hipervnculo">
    <w:name w:val="Hyperlink"/>
    <w:basedOn w:val="Fuentedeprrafopredeter"/>
    <w:uiPriority w:val="99"/>
    <w:unhideWhenUsed/>
    <w:rsid w:val="00A94A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2414">
      <w:bodyDiv w:val="1"/>
      <w:marLeft w:val="0"/>
      <w:marRight w:val="0"/>
      <w:marTop w:val="0"/>
      <w:marBottom w:val="0"/>
      <w:divBdr>
        <w:top w:val="none" w:sz="0" w:space="0" w:color="auto"/>
        <w:left w:val="none" w:sz="0" w:space="0" w:color="auto"/>
        <w:bottom w:val="none" w:sz="0" w:space="0" w:color="auto"/>
        <w:right w:val="none" w:sz="0" w:space="0" w:color="auto"/>
      </w:divBdr>
    </w:div>
    <w:div w:id="391543663">
      <w:bodyDiv w:val="1"/>
      <w:marLeft w:val="0"/>
      <w:marRight w:val="0"/>
      <w:marTop w:val="0"/>
      <w:marBottom w:val="0"/>
      <w:divBdr>
        <w:top w:val="none" w:sz="0" w:space="0" w:color="auto"/>
        <w:left w:val="none" w:sz="0" w:space="0" w:color="auto"/>
        <w:bottom w:val="none" w:sz="0" w:space="0" w:color="auto"/>
        <w:right w:val="none" w:sz="0" w:space="0" w:color="auto"/>
      </w:divBdr>
    </w:div>
    <w:div w:id="1036270842">
      <w:bodyDiv w:val="1"/>
      <w:marLeft w:val="0"/>
      <w:marRight w:val="0"/>
      <w:marTop w:val="0"/>
      <w:marBottom w:val="0"/>
      <w:divBdr>
        <w:top w:val="none" w:sz="0" w:space="0" w:color="auto"/>
        <w:left w:val="none" w:sz="0" w:space="0" w:color="auto"/>
        <w:bottom w:val="none" w:sz="0" w:space="0" w:color="auto"/>
        <w:right w:val="none" w:sz="0" w:space="0" w:color="auto"/>
      </w:divBdr>
    </w:div>
    <w:div w:id="18264344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s://www.nielsen.com/co/es/insights/article/2018/4-de-cada-10-colombianos-estan-cambiando-a-la-version-saludable-de-su-producto-preferid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RaDBgyH537LEKmjppRUrAAtp80g==">AMUW2mVrgs/9oCm3frYwLPuP8mZc4U/3VHyx1UJULUPlXVhY2ZZyyK2H/YQDkPd2MDkRpPZLN+OPaSvgUuov5e8Sv2+6eQchK8vZz4LdhLBUE3yQAWTy/tmDgSeWQvMQpZLFMwnYfytl</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BADD1DA-23D8-45EB-9492-F25F76E724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4</Pages>
  <Words>1122</Words>
  <Characters>6401</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User</cp:lastModifiedBy>
  <cp:revision>6</cp:revision>
  <dcterms:created xsi:type="dcterms:W3CDTF">2020-11-23T23:01:00Z</dcterms:created>
  <dcterms:modified xsi:type="dcterms:W3CDTF">2020-11-24T00:52:00Z</dcterms:modified>
</cp:coreProperties>
</file>