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53524" w14:textId="77777777"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14:paraId="2385FA5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E948A2E"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RPr="00AA476B" w14:paraId="098E1ED8"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E1267B" w14:textId="01A362B9" w:rsidR="002A18AF" w:rsidRPr="00AA476B" w:rsidRDefault="00194953">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La construcción de</w:t>
            </w:r>
            <w:r w:rsidR="00C03B71" w:rsidRPr="00AA476B">
              <w:rPr>
                <w:rFonts w:ascii="Times New Roman" w:eastAsia="Times New Roman" w:hAnsi="Times New Roman" w:cs="Times New Roman"/>
                <w:color w:val="222222"/>
                <w:sz w:val="24"/>
                <w:szCs w:val="24"/>
                <w:lang w:eastAsia="es-CO"/>
              </w:rPr>
              <w:t>l</w:t>
            </w:r>
            <w:r w:rsidRPr="00AA476B">
              <w:rPr>
                <w:rFonts w:ascii="Times New Roman" w:eastAsia="Times New Roman" w:hAnsi="Times New Roman" w:cs="Times New Roman"/>
                <w:color w:val="222222"/>
                <w:sz w:val="24"/>
                <w:szCs w:val="24"/>
                <w:lang w:eastAsia="es-CO"/>
              </w:rPr>
              <w:t xml:space="preserve"> contexto en</w:t>
            </w:r>
            <w:r w:rsidR="00C03B71" w:rsidRPr="00AA476B">
              <w:rPr>
                <w:rFonts w:ascii="Times New Roman" w:eastAsia="Times New Roman" w:hAnsi="Times New Roman" w:cs="Times New Roman"/>
                <w:color w:val="222222"/>
                <w:sz w:val="24"/>
                <w:szCs w:val="24"/>
                <w:lang w:eastAsia="es-CO"/>
              </w:rPr>
              <w:t xml:space="preserve"> los elementos d</w:t>
            </w:r>
            <w:r w:rsidRPr="00AA476B">
              <w:rPr>
                <w:rFonts w:ascii="Times New Roman" w:eastAsia="Times New Roman" w:hAnsi="Times New Roman" w:cs="Times New Roman"/>
                <w:color w:val="222222"/>
                <w:sz w:val="24"/>
                <w:szCs w:val="24"/>
                <w:lang w:eastAsia="es-CO"/>
              </w:rPr>
              <w:t xml:space="preserve">el crimen de desaparición forzada. Interpretación de la norma interna e internacional. </w:t>
            </w:r>
          </w:p>
        </w:tc>
      </w:tr>
      <w:tr w:rsidR="00265B89" w:rsidRPr="00AA476B" w14:paraId="4E1522B9"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C41F5FF" w14:textId="77777777" w:rsidR="00265B89" w:rsidRPr="00AA476B" w:rsidRDefault="00265B89"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798713F2" w14:textId="77777777" w:rsidR="00265B89" w:rsidRPr="00AA476B"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Transdisciplinariedad - Aporte al PIM</w:t>
            </w:r>
          </w:p>
        </w:tc>
      </w:tr>
      <w:tr w:rsidR="00265B89" w:rsidRPr="00AA476B" w14:paraId="54E3D65E"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E1FE22" w14:textId="708FEAA9" w:rsidR="00265B89" w:rsidRPr="00AA476B" w:rsidRDefault="00194953" w:rsidP="002A18AF">
            <w:pPr>
              <w:spacing w:before="100" w:beforeAutospacing="1" w:after="100" w:afterAutospacing="1"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Personas que transforman 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47DF198B" w14:textId="64C13C52" w:rsidR="00265B89" w:rsidRPr="00AA476B" w:rsidRDefault="00194953" w:rsidP="002A18AF">
            <w:pPr>
              <w:spacing w:before="100" w:beforeAutospacing="1" w:after="100" w:afterAutospacing="1"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Proyección social e investigación pertinentes</w:t>
            </w:r>
          </w:p>
        </w:tc>
      </w:tr>
      <w:tr w:rsidR="00265B89" w:rsidRPr="00AA476B" w14:paraId="78E6799F"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3A3AB11" w14:textId="77777777" w:rsidR="00265B89" w:rsidRPr="00AA476B"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65B89" w:rsidRPr="00AA476B" w14:paraId="279B159A"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3411C8" w14:textId="5A53B92E" w:rsidR="00A916F3" w:rsidRPr="00AA476B" w:rsidRDefault="00FC5F31" w:rsidP="00AA476B">
            <w:pPr>
              <w:spacing w:before="100" w:beforeAutospacing="1" w:after="100" w:afterAutospacing="1" w:line="360" w:lineRule="auto"/>
              <w:jc w:val="both"/>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color w:val="222222"/>
                <w:sz w:val="24"/>
                <w:szCs w:val="24"/>
                <w:lang w:eastAsia="es-CO"/>
              </w:rPr>
              <w:t>E</w:t>
            </w:r>
            <w:r w:rsidR="0005758E" w:rsidRPr="00AA476B">
              <w:rPr>
                <w:rFonts w:ascii="Times New Roman" w:eastAsia="Times New Roman" w:hAnsi="Times New Roman" w:cs="Times New Roman"/>
                <w:color w:val="222222"/>
                <w:sz w:val="24"/>
                <w:szCs w:val="24"/>
                <w:lang w:eastAsia="es-CO"/>
              </w:rPr>
              <w:t>l proyecto resulta pertinente, e</w:t>
            </w:r>
            <w:r w:rsidRPr="00AA476B">
              <w:rPr>
                <w:rFonts w:ascii="Times New Roman" w:eastAsia="Times New Roman" w:hAnsi="Times New Roman" w:cs="Times New Roman"/>
                <w:color w:val="222222"/>
                <w:sz w:val="24"/>
                <w:szCs w:val="24"/>
                <w:lang w:eastAsia="es-CO"/>
              </w:rPr>
              <w:t xml:space="preserve">n la medida en que la metodología </w:t>
            </w:r>
            <w:r w:rsidR="0005758E" w:rsidRPr="00AA476B">
              <w:rPr>
                <w:rFonts w:ascii="Times New Roman" w:eastAsia="Times New Roman" w:hAnsi="Times New Roman" w:cs="Times New Roman"/>
                <w:color w:val="222222"/>
                <w:sz w:val="24"/>
                <w:szCs w:val="24"/>
                <w:lang w:eastAsia="es-CO"/>
              </w:rPr>
              <w:t xml:space="preserve">que </w:t>
            </w:r>
            <w:r w:rsidRPr="00AA476B">
              <w:rPr>
                <w:rFonts w:ascii="Times New Roman" w:eastAsia="Times New Roman" w:hAnsi="Times New Roman" w:cs="Times New Roman"/>
                <w:color w:val="222222"/>
                <w:sz w:val="24"/>
                <w:szCs w:val="24"/>
                <w:lang w:eastAsia="es-CO"/>
              </w:rPr>
              <w:t xml:space="preserve">se propone bajo la construcción de los contextos por medio de la Jurisdicción Especial para la </w:t>
            </w:r>
            <w:proofErr w:type="gramStart"/>
            <w:r w:rsidRPr="00AA476B">
              <w:rPr>
                <w:rFonts w:ascii="Times New Roman" w:eastAsia="Times New Roman" w:hAnsi="Times New Roman" w:cs="Times New Roman"/>
                <w:color w:val="222222"/>
                <w:sz w:val="24"/>
                <w:szCs w:val="24"/>
                <w:lang w:eastAsia="es-CO"/>
              </w:rPr>
              <w:t>Paz</w:t>
            </w:r>
            <w:r w:rsidR="00A916F3" w:rsidRPr="00AA476B">
              <w:rPr>
                <w:rFonts w:ascii="Times New Roman" w:eastAsia="Times New Roman" w:hAnsi="Times New Roman" w:cs="Times New Roman"/>
                <w:color w:val="222222"/>
                <w:sz w:val="24"/>
                <w:szCs w:val="24"/>
                <w:lang w:eastAsia="es-CO"/>
              </w:rPr>
              <w:t>,</w:t>
            </w:r>
            <w:proofErr w:type="gramEnd"/>
            <w:r w:rsidR="0005758E" w:rsidRPr="00AA476B">
              <w:rPr>
                <w:rFonts w:ascii="Times New Roman" w:eastAsia="Times New Roman" w:hAnsi="Times New Roman" w:cs="Times New Roman"/>
                <w:color w:val="222222"/>
                <w:sz w:val="24"/>
                <w:szCs w:val="24"/>
                <w:lang w:eastAsia="es-CO"/>
              </w:rPr>
              <w:t xml:space="preserve"> </w:t>
            </w:r>
            <w:r w:rsidR="00A916F3" w:rsidRPr="00AA476B">
              <w:rPr>
                <w:rFonts w:ascii="Times New Roman" w:eastAsia="Times New Roman" w:hAnsi="Times New Roman" w:cs="Times New Roman"/>
                <w:color w:val="222222"/>
                <w:sz w:val="24"/>
                <w:szCs w:val="24"/>
                <w:lang w:eastAsia="es-CO"/>
              </w:rPr>
              <w:t>puede ser</w:t>
            </w:r>
            <w:r w:rsidR="0005758E" w:rsidRPr="00AA476B">
              <w:rPr>
                <w:rFonts w:ascii="Times New Roman" w:eastAsia="Times New Roman" w:hAnsi="Times New Roman" w:cs="Times New Roman"/>
                <w:color w:val="222222"/>
                <w:sz w:val="24"/>
                <w:szCs w:val="24"/>
                <w:lang w:eastAsia="es-CO"/>
              </w:rPr>
              <w:t xml:space="preserve"> </w:t>
            </w:r>
            <w:r w:rsidR="00A916F3" w:rsidRPr="00AA476B">
              <w:rPr>
                <w:rFonts w:ascii="Times New Roman" w:eastAsia="Times New Roman" w:hAnsi="Times New Roman" w:cs="Times New Roman"/>
                <w:color w:val="222222"/>
                <w:sz w:val="24"/>
                <w:szCs w:val="24"/>
                <w:lang w:eastAsia="es-CO"/>
              </w:rPr>
              <w:t>aplicable en</w:t>
            </w:r>
            <w:r w:rsidR="0005758E" w:rsidRPr="00AA476B">
              <w:rPr>
                <w:rFonts w:ascii="Times New Roman" w:eastAsia="Times New Roman" w:hAnsi="Times New Roman" w:cs="Times New Roman"/>
                <w:color w:val="222222"/>
                <w:sz w:val="24"/>
                <w:szCs w:val="24"/>
                <w:lang w:eastAsia="es-CO"/>
              </w:rPr>
              <w:t xml:space="preserve"> la decisión de justicia en materia de Desaparición Forzada</w:t>
            </w:r>
            <w:r w:rsidR="00A916F3" w:rsidRPr="00AA476B">
              <w:rPr>
                <w:rFonts w:ascii="Times New Roman" w:eastAsia="Times New Roman" w:hAnsi="Times New Roman" w:cs="Times New Roman"/>
                <w:color w:val="222222"/>
                <w:sz w:val="24"/>
                <w:szCs w:val="24"/>
                <w:lang w:eastAsia="es-CO"/>
              </w:rPr>
              <w:t xml:space="preserve">. </w:t>
            </w:r>
            <w:proofErr w:type="gramStart"/>
            <w:r w:rsidR="00A916F3" w:rsidRPr="00AA476B">
              <w:rPr>
                <w:rFonts w:ascii="Times New Roman" w:eastAsia="Times New Roman" w:hAnsi="Times New Roman" w:cs="Times New Roman"/>
                <w:color w:val="222222"/>
                <w:sz w:val="24"/>
                <w:szCs w:val="24"/>
                <w:lang w:eastAsia="es-CO"/>
              </w:rPr>
              <w:t xml:space="preserve">La </w:t>
            </w:r>
            <w:r w:rsidR="0005758E" w:rsidRPr="00AA476B">
              <w:rPr>
                <w:rFonts w:ascii="Times New Roman" w:eastAsia="Times New Roman" w:hAnsi="Times New Roman" w:cs="Times New Roman"/>
                <w:color w:val="222222"/>
                <w:sz w:val="24"/>
                <w:szCs w:val="24"/>
                <w:lang w:eastAsia="es-CO"/>
              </w:rPr>
              <w:t xml:space="preserve"> judicialización</w:t>
            </w:r>
            <w:proofErr w:type="gramEnd"/>
            <w:r w:rsidR="0005758E" w:rsidRPr="00AA476B">
              <w:rPr>
                <w:rFonts w:ascii="Times New Roman" w:eastAsia="Times New Roman" w:hAnsi="Times New Roman" w:cs="Times New Roman"/>
                <w:color w:val="222222"/>
                <w:sz w:val="24"/>
                <w:szCs w:val="24"/>
                <w:lang w:eastAsia="es-CO"/>
              </w:rPr>
              <w:t xml:space="preserve"> y juzgamiento</w:t>
            </w:r>
            <w:r w:rsidR="00A916F3" w:rsidRPr="00AA476B">
              <w:rPr>
                <w:rFonts w:ascii="Times New Roman" w:eastAsia="Times New Roman" w:hAnsi="Times New Roman" w:cs="Times New Roman"/>
                <w:color w:val="222222"/>
                <w:sz w:val="24"/>
                <w:szCs w:val="24"/>
                <w:lang w:eastAsia="es-CO"/>
              </w:rPr>
              <w:t xml:space="preserve"> de tales conductas,</w:t>
            </w:r>
            <w:r w:rsidR="0005758E" w:rsidRPr="00AA476B">
              <w:rPr>
                <w:rFonts w:ascii="Times New Roman" w:eastAsia="Times New Roman" w:hAnsi="Times New Roman" w:cs="Times New Roman"/>
                <w:color w:val="222222"/>
                <w:sz w:val="24"/>
                <w:szCs w:val="24"/>
                <w:lang w:eastAsia="es-CO"/>
              </w:rPr>
              <w:t xml:space="preserve"> constituye un aporte para la construcción de la sociedad, buscando reconocer los hechos que afectaron el pasado de las víctimas y la verdad sobre la comisión de delitos de alto impacto que se generan en graves violaciones de Derechos Humanos.</w:t>
            </w:r>
            <w:r w:rsidR="00A916F3" w:rsidRPr="00AA476B">
              <w:rPr>
                <w:rFonts w:ascii="Times New Roman" w:eastAsia="Times New Roman" w:hAnsi="Times New Roman" w:cs="Times New Roman"/>
                <w:color w:val="222222"/>
                <w:sz w:val="24"/>
                <w:szCs w:val="24"/>
                <w:lang w:eastAsia="es-CO"/>
              </w:rPr>
              <w:t xml:space="preserve"> Estos factores se relacionan con la transformación de la sociedad y la relación entre las instancias de justicia para la paz, dada la metodología que se articula con la colaboración y construcción conjunta de los contextos pretendidos, la Universidad y la Sociedad.</w:t>
            </w:r>
          </w:p>
        </w:tc>
      </w:tr>
      <w:tr w:rsidR="002A18AF" w:rsidRPr="00AA476B" w14:paraId="0A6CDCE6"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39876A9" w14:textId="77777777" w:rsidR="002A18AF" w:rsidRPr="00AA476B"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B0CF056" w14:textId="77777777" w:rsidR="002A18AF" w:rsidRPr="00AA476B"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Línea de investigación en la que se inscribe el proyecto</w:t>
            </w:r>
          </w:p>
        </w:tc>
      </w:tr>
      <w:tr w:rsidR="002A18AF" w:rsidRPr="00AA476B" w14:paraId="30A4DAFB"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632C3D" w14:textId="56A62C87" w:rsidR="002A18AF" w:rsidRPr="00AA476B" w:rsidRDefault="00FC5F31" w:rsidP="001D6087">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Derecho Público</w:t>
            </w:r>
            <w:r w:rsidR="00AD249C" w:rsidRPr="00AA476B">
              <w:rPr>
                <w:rFonts w:ascii="Times New Roman" w:eastAsia="Times New Roman" w:hAnsi="Times New Roman" w:cs="Times New Roman"/>
                <w:color w:val="222222"/>
                <w:sz w:val="24"/>
                <w:szCs w:val="24"/>
                <w:lang w:eastAsia="es-CO"/>
              </w:rPr>
              <w:t xml:space="preserve"> “Francisco de Vitoria” – Derecho Penal y Realidad</w:t>
            </w:r>
            <w:r w:rsidR="00EE1596" w:rsidRPr="00AA476B">
              <w:rPr>
                <w:rFonts w:ascii="Times New Roman" w:eastAsia="Times New Roman" w:hAnsi="Times New Roman" w:cs="Times New Roman"/>
                <w:color w:val="222222"/>
                <w:sz w:val="24"/>
                <w:szCs w:val="24"/>
                <w:lang w:eastAsia="es-CO"/>
              </w:rPr>
              <w:t xml:space="preserve"> – Raimundo de Peñafort </w:t>
            </w:r>
            <w:r w:rsidR="0005758E" w:rsidRPr="00AA476B">
              <w:rPr>
                <w:rFonts w:ascii="Times New Roman" w:eastAsia="Times New Roman" w:hAnsi="Times New Roman" w:cs="Times New Roman"/>
                <w:color w:val="222222"/>
                <w:sz w:val="24"/>
                <w:szCs w:val="24"/>
                <w:lang w:eastAsia="es-CO"/>
              </w:rPr>
              <w:t>– Línea Tomas de Aquino</w:t>
            </w:r>
          </w:p>
        </w:tc>
      </w:tr>
    </w:tbl>
    <w:p w14:paraId="3F719937" w14:textId="77777777" w:rsidR="002A18AF" w:rsidRPr="00AA476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2264"/>
        <w:gridCol w:w="6626"/>
        <w:gridCol w:w="1554"/>
        <w:gridCol w:w="4290"/>
      </w:tblGrid>
      <w:tr w:rsidR="002A18AF" w:rsidRPr="00AA476B" w14:paraId="4D80B24D" w14:textId="77777777" w:rsidTr="0005758E">
        <w:trPr>
          <w:trHeight w:val="516"/>
        </w:trPr>
        <w:tc>
          <w:tcPr>
            <w:tcW w:w="79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40F9825" w14:textId="77777777" w:rsidR="002A18AF" w:rsidRPr="00AA476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Nombre del Investigador principal</w:t>
            </w:r>
          </w:p>
        </w:tc>
        <w:tc>
          <w:tcPr>
            <w:tcW w:w="224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54C69A7" w14:textId="77777777" w:rsidR="002A18AF" w:rsidRPr="00AA476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CvLAC</w:t>
            </w:r>
          </w:p>
        </w:tc>
        <w:tc>
          <w:tcPr>
            <w:tcW w:w="52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F7E1DEF" w14:textId="77777777" w:rsidR="002A18AF" w:rsidRPr="00AA476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ORCID</w:t>
            </w:r>
          </w:p>
        </w:tc>
        <w:tc>
          <w:tcPr>
            <w:tcW w:w="143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44F33BC" w14:textId="77777777" w:rsidR="002A18AF" w:rsidRPr="00AA476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Google Académico</w:t>
            </w:r>
          </w:p>
        </w:tc>
      </w:tr>
      <w:tr w:rsidR="002A18AF" w:rsidRPr="00AA476B" w14:paraId="1BEFF401"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45093D" w14:textId="77DD45E7" w:rsidR="002A18AF" w:rsidRPr="00AA476B" w:rsidRDefault="00AD249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Jaime Alberto Sandoval Mesa</w:t>
            </w:r>
          </w:p>
        </w:tc>
        <w:tc>
          <w:tcPr>
            <w:tcW w:w="2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805E20" w14:textId="492FC252" w:rsidR="002A18AF" w:rsidRPr="00AA476B" w:rsidRDefault="004A6B06">
            <w:pPr>
              <w:spacing w:after="0" w:line="240" w:lineRule="auto"/>
              <w:jc w:val="center"/>
              <w:rPr>
                <w:rFonts w:ascii="Times New Roman" w:eastAsia="Times New Roman" w:hAnsi="Times New Roman" w:cs="Times New Roman"/>
                <w:color w:val="222222"/>
                <w:sz w:val="16"/>
                <w:szCs w:val="16"/>
                <w:lang w:eastAsia="es-CO"/>
              </w:rPr>
            </w:pPr>
            <w:hyperlink r:id="rId8" w:history="1">
              <w:r w:rsidR="00AD249C" w:rsidRPr="00AA476B">
                <w:rPr>
                  <w:rStyle w:val="Hipervnculo"/>
                  <w:rFonts w:ascii="Times New Roman" w:hAnsi="Times New Roman" w:cs="Times New Roman"/>
                  <w:sz w:val="16"/>
                  <w:szCs w:val="16"/>
                </w:rPr>
                <w:t>http://scienti.colciencias.gov.co:8081/cvlac/visualizador/generarCurriculoCv.do?cod_rh=0001357050</w:t>
              </w:r>
            </w:hyperlink>
          </w:p>
        </w:tc>
        <w:tc>
          <w:tcPr>
            <w:tcW w:w="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A7B9DC" w14:textId="76D5529D" w:rsidR="002A18AF" w:rsidRPr="00AA476B" w:rsidRDefault="004A6B06">
            <w:pPr>
              <w:spacing w:after="0" w:line="240" w:lineRule="auto"/>
              <w:jc w:val="center"/>
              <w:rPr>
                <w:rFonts w:ascii="Times New Roman" w:eastAsia="Times New Roman" w:hAnsi="Times New Roman" w:cs="Times New Roman"/>
                <w:color w:val="222222"/>
                <w:sz w:val="16"/>
                <w:szCs w:val="16"/>
                <w:lang w:eastAsia="es-CO"/>
              </w:rPr>
            </w:pPr>
            <w:hyperlink r:id="rId9" w:history="1">
              <w:r w:rsidR="0042419F" w:rsidRPr="00AA476B">
                <w:rPr>
                  <w:rStyle w:val="Hipervnculo"/>
                  <w:rFonts w:ascii="Times New Roman" w:hAnsi="Times New Roman" w:cs="Times New Roman"/>
                  <w:sz w:val="16"/>
                  <w:szCs w:val="16"/>
                </w:rPr>
                <w:t>https://orcid.org/0000-0001-8897-4157</w:t>
              </w:r>
            </w:hyperlink>
          </w:p>
        </w:tc>
        <w:tc>
          <w:tcPr>
            <w:tcW w:w="14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91E44A" w14:textId="5609A1F0" w:rsidR="002A18AF" w:rsidRPr="00AA476B" w:rsidRDefault="004A6B06">
            <w:pPr>
              <w:spacing w:after="0" w:line="240" w:lineRule="auto"/>
              <w:jc w:val="center"/>
              <w:rPr>
                <w:rFonts w:ascii="Times New Roman" w:eastAsia="Times New Roman" w:hAnsi="Times New Roman" w:cs="Times New Roman"/>
                <w:color w:val="222222"/>
                <w:sz w:val="16"/>
                <w:szCs w:val="16"/>
                <w:lang w:eastAsia="es-CO"/>
              </w:rPr>
            </w:pPr>
            <w:hyperlink r:id="rId10" w:history="1">
              <w:r w:rsidR="0042419F" w:rsidRPr="00AA476B">
                <w:rPr>
                  <w:rStyle w:val="Hipervnculo"/>
                  <w:rFonts w:ascii="Times New Roman" w:hAnsi="Times New Roman" w:cs="Times New Roman"/>
                  <w:sz w:val="16"/>
                  <w:szCs w:val="16"/>
                </w:rPr>
                <w:t>https://scholar.google.es/citations?user=OfUMoPEAAAAJ&amp;hl=es</w:t>
              </w:r>
            </w:hyperlink>
          </w:p>
        </w:tc>
      </w:tr>
      <w:tr w:rsidR="002A18AF" w:rsidRPr="00AA476B" w14:paraId="7EDE68D9"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F708D6C" w14:textId="77777777" w:rsidR="002A18AF" w:rsidRPr="00AA476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División</w:t>
            </w:r>
          </w:p>
        </w:tc>
        <w:tc>
          <w:tcPr>
            <w:tcW w:w="224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BEE57E0" w14:textId="77777777" w:rsidR="002A18AF" w:rsidRPr="00AA476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Facultad</w:t>
            </w:r>
          </w:p>
        </w:tc>
        <w:tc>
          <w:tcPr>
            <w:tcW w:w="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1AE1EF2" w14:textId="77777777" w:rsidR="002A18AF" w:rsidRPr="00AA476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Programa</w:t>
            </w:r>
          </w:p>
        </w:tc>
        <w:tc>
          <w:tcPr>
            <w:tcW w:w="14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FE5D30E" w14:textId="77777777" w:rsidR="002A18AF" w:rsidRPr="00AA476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Grupo de investigación</w:t>
            </w:r>
          </w:p>
        </w:tc>
      </w:tr>
      <w:tr w:rsidR="002A18AF" w:rsidRPr="00AA476B" w14:paraId="52663862"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69367B" w14:textId="119B62F4" w:rsidR="002A18AF" w:rsidRPr="00AA476B" w:rsidRDefault="0042419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Ciencias Jurídicas y Políticas</w:t>
            </w:r>
          </w:p>
        </w:tc>
        <w:tc>
          <w:tcPr>
            <w:tcW w:w="2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5BEB05" w14:textId="207A690E" w:rsidR="002A18AF" w:rsidRPr="00AA476B" w:rsidRDefault="0042419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Derecho</w:t>
            </w:r>
          </w:p>
        </w:tc>
        <w:tc>
          <w:tcPr>
            <w:tcW w:w="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53EC99" w14:textId="0A7ADDB6" w:rsidR="002A18AF" w:rsidRPr="00AA476B" w:rsidRDefault="0042419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Derecho</w:t>
            </w:r>
          </w:p>
        </w:tc>
        <w:tc>
          <w:tcPr>
            <w:tcW w:w="14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A84B87" w14:textId="0B12775D" w:rsidR="002A18AF" w:rsidRPr="00AA476B" w:rsidRDefault="0042419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Derecho Público</w:t>
            </w:r>
          </w:p>
        </w:tc>
      </w:tr>
      <w:tr w:rsidR="00E6008D" w:rsidRPr="00AA476B" w14:paraId="2C635671"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DEE27A4" w14:textId="77777777" w:rsidR="00E6008D" w:rsidRPr="00AA476B" w:rsidRDefault="00E6008D" w:rsidP="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 xml:space="preserve">Nombre del </w:t>
            </w:r>
            <w:proofErr w:type="gramStart"/>
            <w:r w:rsidRPr="00AA476B">
              <w:rPr>
                <w:rFonts w:ascii="Times New Roman" w:eastAsia="Times New Roman" w:hAnsi="Times New Roman" w:cs="Times New Roman"/>
                <w:b/>
                <w:bCs/>
                <w:color w:val="222222"/>
                <w:sz w:val="24"/>
                <w:szCs w:val="24"/>
                <w:lang w:eastAsia="es-CO"/>
              </w:rPr>
              <w:t>Co-investigador</w:t>
            </w:r>
            <w:proofErr w:type="gramEnd"/>
            <w:r w:rsidRPr="00AA476B">
              <w:rPr>
                <w:rFonts w:ascii="Times New Roman" w:eastAsia="Times New Roman" w:hAnsi="Times New Roman" w:cs="Times New Roman"/>
                <w:b/>
                <w:bCs/>
                <w:color w:val="222222"/>
                <w:sz w:val="24"/>
                <w:szCs w:val="24"/>
                <w:lang w:eastAsia="es-CO"/>
              </w:rPr>
              <w:t xml:space="preserve"> </w:t>
            </w:r>
          </w:p>
        </w:tc>
        <w:tc>
          <w:tcPr>
            <w:tcW w:w="224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73AFA5" w14:textId="77777777" w:rsidR="00E6008D" w:rsidRPr="00AA476B" w:rsidRDefault="00E6008D"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CvLAC</w:t>
            </w:r>
          </w:p>
        </w:tc>
        <w:tc>
          <w:tcPr>
            <w:tcW w:w="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262A87" w14:textId="77777777" w:rsidR="00E6008D" w:rsidRPr="00AA476B" w:rsidRDefault="00E6008D"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ORCID</w:t>
            </w:r>
          </w:p>
        </w:tc>
        <w:tc>
          <w:tcPr>
            <w:tcW w:w="14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3A51DC" w14:textId="77777777" w:rsidR="00E6008D" w:rsidRPr="00AA476B" w:rsidRDefault="00E6008D"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Enlace Google Académico</w:t>
            </w:r>
          </w:p>
        </w:tc>
      </w:tr>
      <w:tr w:rsidR="00E6008D" w:rsidRPr="00AC47BF" w14:paraId="4F5F43DB"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F7E7A4" w14:textId="1F2E4C98" w:rsidR="00E6008D" w:rsidRPr="00AA476B" w:rsidRDefault="00065B7A"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 xml:space="preserve">Juan Guillermo Duran </w:t>
            </w:r>
            <w:r w:rsidR="00E146A1" w:rsidRPr="00AA476B">
              <w:rPr>
                <w:rFonts w:ascii="Times New Roman" w:eastAsia="Times New Roman" w:hAnsi="Times New Roman" w:cs="Times New Roman"/>
                <w:b/>
                <w:bCs/>
                <w:color w:val="222222"/>
                <w:sz w:val="24"/>
                <w:szCs w:val="24"/>
                <w:lang w:eastAsia="es-CO"/>
              </w:rPr>
              <w:t>Mantilla</w:t>
            </w:r>
          </w:p>
        </w:tc>
        <w:tc>
          <w:tcPr>
            <w:tcW w:w="2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7E806E" w14:textId="54DE25BA" w:rsidR="00E6008D" w:rsidRPr="00E146A1" w:rsidRDefault="004A6B06" w:rsidP="001D6087">
            <w:pPr>
              <w:spacing w:before="100" w:beforeAutospacing="1" w:after="100" w:afterAutospacing="1" w:line="240" w:lineRule="auto"/>
              <w:jc w:val="center"/>
              <w:rPr>
                <w:rFonts w:ascii="Arial" w:eastAsia="Times New Roman" w:hAnsi="Arial" w:cs="Arial"/>
                <w:b/>
                <w:bCs/>
                <w:color w:val="222222"/>
                <w:sz w:val="16"/>
                <w:szCs w:val="16"/>
                <w:lang w:eastAsia="es-CO"/>
              </w:rPr>
            </w:pPr>
            <w:hyperlink r:id="rId11" w:history="1">
              <w:r w:rsidR="00E146A1" w:rsidRPr="00E146A1">
                <w:rPr>
                  <w:rStyle w:val="Hipervnculo"/>
                  <w:sz w:val="16"/>
                  <w:szCs w:val="16"/>
                </w:rPr>
                <w:t>http://scienti.colciencias.gov.co:8081/cvlac/visualizador/generarCurriculoCv.do?cod_rh=0001359052</w:t>
              </w:r>
            </w:hyperlink>
          </w:p>
        </w:tc>
        <w:tc>
          <w:tcPr>
            <w:tcW w:w="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11CD8F" w14:textId="13DCBC5B" w:rsidR="00E6008D" w:rsidRPr="00E146A1" w:rsidRDefault="004A6B06" w:rsidP="001D6087">
            <w:pPr>
              <w:spacing w:before="100" w:beforeAutospacing="1" w:after="100" w:afterAutospacing="1" w:line="240" w:lineRule="auto"/>
              <w:jc w:val="center"/>
              <w:rPr>
                <w:rFonts w:ascii="Arial" w:eastAsia="Times New Roman" w:hAnsi="Arial" w:cs="Arial"/>
                <w:b/>
                <w:bCs/>
                <w:color w:val="222222"/>
                <w:sz w:val="16"/>
                <w:szCs w:val="16"/>
                <w:lang w:eastAsia="es-CO"/>
              </w:rPr>
            </w:pPr>
            <w:hyperlink r:id="rId12" w:history="1">
              <w:r w:rsidR="00E146A1" w:rsidRPr="00E146A1">
                <w:rPr>
                  <w:rStyle w:val="Hipervnculo"/>
                  <w:sz w:val="16"/>
                  <w:szCs w:val="16"/>
                </w:rPr>
                <w:t>https://orcid.org/0000-0002-4512-6550</w:t>
              </w:r>
            </w:hyperlink>
          </w:p>
        </w:tc>
        <w:tc>
          <w:tcPr>
            <w:tcW w:w="14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07B95E" w14:textId="2668C9CC" w:rsidR="00E6008D" w:rsidRPr="00E146A1" w:rsidRDefault="004A6B06" w:rsidP="001D6087">
            <w:pPr>
              <w:spacing w:before="100" w:beforeAutospacing="1" w:after="100" w:afterAutospacing="1" w:line="240" w:lineRule="auto"/>
              <w:jc w:val="center"/>
              <w:rPr>
                <w:rFonts w:ascii="Arial" w:eastAsia="Times New Roman" w:hAnsi="Arial" w:cs="Arial"/>
                <w:b/>
                <w:bCs/>
                <w:color w:val="222222"/>
                <w:sz w:val="16"/>
                <w:szCs w:val="16"/>
                <w:lang w:eastAsia="es-CO"/>
              </w:rPr>
            </w:pPr>
            <w:hyperlink r:id="rId13" w:history="1">
              <w:r w:rsidR="00E146A1" w:rsidRPr="00E146A1">
                <w:rPr>
                  <w:rStyle w:val="Hipervnculo"/>
                  <w:sz w:val="16"/>
                  <w:szCs w:val="16"/>
                </w:rPr>
                <w:t>https://scholar.google.es/citations?user=k5ELKDAAAAAJ&amp;hl=es</w:t>
              </w:r>
            </w:hyperlink>
          </w:p>
        </w:tc>
      </w:tr>
      <w:tr w:rsidR="00E6008D" w:rsidRPr="00AA476B" w14:paraId="23C5840D"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BB1A61" w14:textId="77777777" w:rsidR="00E6008D"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lastRenderedPageBreak/>
              <w:t>División</w:t>
            </w:r>
          </w:p>
        </w:tc>
        <w:tc>
          <w:tcPr>
            <w:tcW w:w="2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EFAB57" w14:textId="77777777" w:rsidR="00E6008D"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Facultad</w:t>
            </w:r>
          </w:p>
        </w:tc>
        <w:tc>
          <w:tcPr>
            <w:tcW w:w="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8D19F9" w14:textId="77777777" w:rsidR="00E6008D"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Programa</w:t>
            </w:r>
          </w:p>
        </w:tc>
        <w:tc>
          <w:tcPr>
            <w:tcW w:w="14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2A387A" w14:textId="77777777" w:rsidR="00E6008D"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Grupo de investigación</w:t>
            </w:r>
          </w:p>
        </w:tc>
      </w:tr>
      <w:tr w:rsidR="00E6008D" w:rsidRPr="00AA476B" w14:paraId="34C31281" w14:textId="77777777" w:rsidTr="0005758E">
        <w:trPr>
          <w:trHeight w:val="536"/>
        </w:trPr>
        <w:tc>
          <w:tcPr>
            <w:tcW w:w="7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67B77E" w14:textId="0938BF32" w:rsidR="00E6008D" w:rsidRPr="00AA476B" w:rsidRDefault="00E146A1"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Ciencias Jurídicas y Polìticas</w:t>
            </w:r>
          </w:p>
        </w:tc>
        <w:tc>
          <w:tcPr>
            <w:tcW w:w="2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F755A3" w14:textId="06873EA1" w:rsidR="00E6008D" w:rsidRPr="00AA476B" w:rsidRDefault="00E146A1"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Derecho</w:t>
            </w:r>
          </w:p>
        </w:tc>
        <w:tc>
          <w:tcPr>
            <w:tcW w:w="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9D013E" w14:textId="72464185" w:rsidR="00E6008D" w:rsidRPr="00AA476B" w:rsidRDefault="00E146A1"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Derecho</w:t>
            </w:r>
          </w:p>
        </w:tc>
        <w:tc>
          <w:tcPr>
            <w:tcW w:w="14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4575BF" w14:textId="498EA93E" w:rsidR="00E6008D" w:rsidRPr="00AA476B" w:rsidRDefault="00E146A1"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Raimundo de Peñafort</w:t>
            </w:r>
          </w:p>
        </w:tc>
      </w:tr>
    </w:tbl>
    <w:p w14:paraId="3AA9AAD7" w14:textId="77777777" w:rsidR="002A18AF" w:rsidRPr="00AA476B" w:rsidRDefault="002A18AF" w:rsidP="00AA476B">
      <w:pPr>
        <w:spacing w:after="0" w:line="360" w:lineRule="auto"/>
        <w:rPr>
          <w:rFonts w:ascii="Times New Roman" w:eastAsia="Times New Roman" w:hAnsi="Times New Roman" w:cs="Times New Roman"/>
          <w:vanish/>
          <w:sz w:val="24"/>
          <w:szCs w:val="24"/>
          <w:lang w:eastAsia="es-CO"/>
        </w:rPr>
      </w:pPr>
    </w:p>
    <w:p w14:paraId="1A0BDAFE" w14:textId="77777777" w:rsidR="002A18AF" w:rsidRPr="00AA476B" w:rsidRDefault="002A18AF" w:rsidP="00AA476B">
      <w:pPr>
        <w:spacing w:after="0" w:line="360" w:lineRule="auto"/>
        <w:rPr>
          <w:rFonts w:ascii="Times New Roman" w:eastAsia="Times New Roman" w:hAnsi="Times New Roman" w:cs="Times New Roman"/>
          <w:vanish/>
          <w:sz w:val="24"/>
          <w:szCs w:val="24"/>
          <w:lang w:eastAsia="es-CO"/>
        </w:rPr>
      </w:pPr>
    </w:p>
    <w:p w14:paraId="53DCF06E" w14:textId="77777777" w:rsidR="002A18AF" w:rsidRPr="00AA476B" w:rsidRDefault="002A18AF" w:rsidP="00AA476B">
      <w:pPr>
        <w:spacing w:after="0" w:line="36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RPr="00AA476B" w14:paraId="3C91C9F4"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E00819A"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478E263"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Palabras clave</w:t>
            </w:r>
          </w:p>
        </w:tc>
      </w:tr>
      <w:tr w:rsidR="002A18AF" w:rsidRPr="00AA476B" w14:paraId="3F2AB172"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5D5659" w14:textId="665764BE" w:rsidR="00E6008D" w:rsidRPr="00AA476B" w:rsidRDefault="00C03B71"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El problema principal de investigación se centra en analizar la persecuci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penal en los crímenes de desaparición forzada. En este campo, se observa que es importante el an</w:t>
            </w:r>
            <w:r w:rsidR="00AA476B">
              <w:rPr>
                <w:rFonts w:ascii="Times New Roman" w:eastAsia="Times New Roman" w:hAnsi="Times New Roman" w:cs="Times New Roman"/>
                <w:color w:val="222222"/>
                <w:sz w:val="24"/>
                <w:szCs w:val="24"/>
                <w:lang w:eastAsia="es-CO"/>
              </w:rPr>
              <w:t>á</w:t>
            </w:r>
            <w:r w:rsidRPr="00AA476B">
              <w:rPr>
                <w:rFonts w:ascii="Times New Roman" w:eastAsia="Times New Roman" w:hAnsi="Times New Roman" w:cs="Times New Roman"/>
                <w:color w:val="222222"/>
                <w:sz w:val="24"/>
                <w:szCs w:val="24"/>
                <w:lang w:eastAsia="es-CO"/>
              </w:rPr>
              <w:t>lisis de contexto para recuperar la memoria del desaparecido y sobre todo conocer las experiencias comparadas que han construido tales elementos. Estos elementos repercuten en las consideraciones de lesa humanidad, vale decir, de pol</w:t>
            </w:r>
            <w:r w:rsid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ticas sistem</w:t>
            </w:r>
            <w:r w:rsidR="00AA476B">
              <w:rPr>
                <w:rFonts w:ascii="Times New Roman" w:eastAsia="Times New Roman" w:hAnsi="Times New Roman" w:cs="Times New Roman"/>
                <w:color w:val="222222"/>
                <w:sz w:val="24"/>
                <w:szCs w:val="24"/>
                <w:lang w:eastAsia="es-CO"/>
              </w:rPr>
              <w:t>á</w:t>
            </w:r>
            <w:r w:rsidRPr="00AA476B">
              <w:rPr>
                <w:rFonts w:ascii="Times New Roman" w:eastAsia="Times New Roman" w:hAnsi="Times New Roman" w:cs="Times New Roman"/>
                <w:color w:val="222222"/>
                <w:sz w:val="24"/>
                <w:szCs w:val="24"/>
                <w:lang w:eastAsia="es-CO"/>
              </w:rPr>
              <w:t>ticas y generalizadas para cometer el delito y que califican esta conducta de ser un delito ordinario en un crimen internacional. Adem</w:t>
            </w:r>
            <w:r w:rsidR="00AA476B">
              <w:rPr>
                <w:rFonts w:ascii="Times New Roman" w:eastAsia="Times New Roman" w:hAnsi="Times New Roman" w:cs="Times New Roman"/>
                <w:color w:val="222222"/>
                <w:sz w:val="24"/>
                <w:szCs w:val="24"/>
                <w:lang w:eastAsia="es-CO"/>
              </w:rPr>
              <w:t>á</w:t>
            </w:r>
            <w:r w:rsidRPr="00AA476B">
              <w:rPr>
                <w:rFonts w:ascii="Times New Roman" w:eastAsia="Times New Roman" w:hAnsi="Times New Roman" w:cs="Times New Roman"/>
                <w:color w:val="222222"/>
                <w:sz w:val="24"/>
                <w:szCs w:val="24"/>
                <w:lang w:eastAsia="es-CO"/>
              </w:rPr>
              <w:t>s</w:t>
            </w:r>
            <w:r w:rsidR="00681C41">
              <w:rPr>
                <w:rFonts w:ascii="Times New Roman" w:eastAsia="Times New Roman" w:hAnsi="Times New Roman" w:cs="Times New Roman"/>
                <w:color w:val="222222"/>
                <w:sz w:val="24"/>
                <w:szCs w:val="24"/>
                <w:lang w:eastAsia="es-CO"/>
              </w:rPr>
              <w:t>,</w:t>
            </w:r>
            <w:bookmarkStart w:id="0" w:name="_GoBack"/>
            <w:bookmarkEnd w:id="0"/>
            <w:r w:rsidRPr="00AA476B">
              <w:rPr>
                <w:rFonts w:ascii="Times New Roman" w:eastAsia="Times New Roman" w:hAnsi="Times New Roman" w:cs="Times New Roman"/>
                <w:color w:val="222222"/>
                <w:sz w:val="24"/>
                <w:szCs w:val="24"/>
                <w:lang w:eastAsia="es-CO"/>
              </w:rPr>
              <w:t xml:space="preserve"> el conocer las causas de la desapar</w:t>
            </w:r>
            <w:r w:rsidR="00AA476B">
              <w:rPr>
                <w:rFonts w:ascii="Times New Roman" w:eastAsia="Times New Roman" w:hAnsi="Times New Roman" w:cs="Times New Roman"/>
                <w:color w:val="222222"/>
                <w:sz w:val="24"/>
                <w:szCs w:val="24"/>
                <w:lang w:eastAsia="es-CO"/>
              </w:rPr>
              <w:t>i</w:t>
            </w:r>
            <w:r w:rsidRPr="00AA476B">
              <w:rPr>
                <w:rFonts w:ascii="Times New Roman" w:eastAsia="Times New Roman" w:hAnsi="Times New Roman" w:cs="Times New Roman"/>
                <w:color w:val="222222"/>
                <w:sz w:val="24"/>
                <w:szCs w:val="24"/>
                <w:lang w:eastAsia="es-CO"/>
              </w:rPr>
              <w:t>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este efecto repercute en las garant</w:t>
            </w:r>
            <w:r w:rsid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as judiciales de las v</w:t>
            </w:r>
            <w:r w:rsid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ctimas y en los conceptos especiales de reparaci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que se requieren en este tipo de cr</w:t>
            </w:r>
            <w:r w:rsid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menes y que requieren ser abordados a fondo sobre todo en los elementos tratados en la Jurisdicci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especial para la paz. Por tal razón resulta de importancia conocer c</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mo se construyen tales elementos.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C65152" w14:textId="243B859F" w:rsidR="002A18AF" w:rsidRPr="00AA476B" w:rsidRDefault="00C03B71"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  Desaparición forzada, contexto, lesa humanidad, </w:t>
            </w:r>
            <w:r w:rsidR="00A916F3" w:rsidRPr="00AA476B">
              <w:rPr>
                <w:rFonts w:ascii="Times New Roman" w:eastAsia="Times New Roman" w:hAnsi="Times New Roman" w:cs="Times New Roman"/>
                <w:color w:val="222222"/>
                <w:sz w:val="24"/>
                <w:szCs w:val="24"/>
                <w:lang w:eastAsia="es-CO"/>
              </w:rPr>
              <w:t>juzgamiento</w:t>
            </w:r>
            <w:r w:rsidRPr="00AA476B">
              <w:rPr>
                <w:rFonts w:ascii="Times New Roman" w:eastAsia="Times New Roman" w:hAnsi="Times New Roman" w:cs="Times New Roman"/>
                <w:color w:val="222222"/>
                <w:sz w:val="24"/>
                <w:szCs w:val="24"/>
                <w:lang w:eastAsia="es-CO"/>
              </w:rPr>
              <w:t>, víctimas.</w:t>
            </w:r>
          </w:p>
        </w:tc>
      </w:tr>
    </w:tbl>
    <w:p w14:paraId="63E64983"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32" w:type="dxa"/>
        <w:shd w:val="clear" w:color="auto" w:fill="FFFFFF"/>
        <w:tblLook w:val="04A0" w:firstRow="1" w:lastRow="0" w:firstColumn="1" w:lastColumn="0" w:noHBand="0" w:noVBand="1"/>
      </w:tblPr>
      <w:tblGrid>
        <w:gridCol w:w="14932"/>
      </w:tblGrid>
      <w:tr w:rsidR="002A18AF" w14:paraId="38440F8F" w14:textId="77777777" w:rsidTr="00B90DC6">
        <w:tc>
          <w:tcPr>
            <w:tcW w:w="1493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9F2466" w14:textId="77777777" w:rsidR="002A18AF"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P</w:t>
            </w:r>
            <w:r w:rsidR="002A18AF" w:rsidRPr="00AA476B">
              <w:rPr>
                <w:rFonts w:ascii="Times New Roman" w:eastAsia="Times New Roman" w:hAnsi="Times New Roman" w:cs="Times New Roman"/>
                <w:b/>
                <w:bCs/>
                <w:color w:val="222222"/>
                <w:sz w:val="24"/>
                <w:szCs w:val="24"/>
                <w:lang w:eastAsia="es-CO"/>
              </w:rPr>
              <w:t>roblema de investigación</w:t>
            </w:r>
          </w:p>
        </w:tc>
      </w:tr>
      <w:tr w:rsidR="002A18AF" w14:paraId="28302B5A" w14:textId="77777777" w:rsidTr="00B90DC6">
        <w:tc>
          <w:tcPr>
            <w:tcW w:w="1493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B57C061" w14:textId="58A916AD" w:rsidR="00B90DC6" w:rsidRPr="00AA476B" w:rsidRDefault="00B90DC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En este caso particular de la desaparición forzada, es importante tomar nota atenta de experiencias anteriores que pueden servir de insumo en la construcción del pasado interrumpido por este tipo de crímenes de alcance internacional que tienen una connotación de lesa humanidad y que hacen parte de los acuerdos especiales surgidos en el proceso de paz. Para tal efecto se tomará en cuenta un estudio de caso en Argentina para comparar sus consecuencias actuales a </w:t>
            </w:r>
            <w:r w:rsidRPr="00AA476B">
              <w:rPr>
                <w:rFonts w:ascii="Times New Roman" w:eastAsia="Times New Roman" w:hAnsi="Times New Roman" w:cs="Times New Roman"/>
                <w:color w:val="222222"/>
                <w:sz w:val="24"/>
                <w:szCs w:val="24"/>
                <w:lang w:eastAsia="es-CO"/>
              </w:rPr>
              <w:lastRenderedPageBreak/>
              <w:t>nivel jurisdiccional como por ejemplo en los casos emblemáticos de dicho país.</w:t>
            </w:r>
            <w:r w:rsidR="00A916F3" w:rsidRP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En este sentido surgen dudas si los conceptos de violaciones graves de derechos humanos pueden ser objeto de persecu</w:t>
            </w:r>
            <w:r w:rsidR="00AA476B">
              <w:rPr>
                <w:rFonts w:ascii="Times New Roman" w:eastAsia="Times New Roman" w:hAnsi="Times New Roman" w:cs="Times New Roman"/>
                <w:color w:val="222222"/>
                <w:sz w:val="24"/>
                <w:szCs w:val="24"/>
                <w:lang w:eastAsia="es-CO"/>
              </w:rPr>
              <w:t>c</w:t>
            </w:r>
            <w:r w:rsidRPr="00AA476B">
              <w:rPr>
                <w:rFonts w:ascii="Times New Roman" w:eastAsia="Times New Roman" w:hAnsi="Times New Roman" w:cs="Times New Roman"/>
                <w:color w:val="222222"/>
                <w:sz w:val="24"/>
                <w:szCs w:val="24"/>
                <w:lang w:eastAsia="es-CO"/>
              </w:rPr>
              <w:t>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efectiva; si el ob</w:t>
            </w:r>
            <w:r w:rsidR="00A916F3" w:rsidRPr="00AA476B">
              <w:rPr>
                <w:rFonts w:ascii="Times New Roman" w:eastAsia="Times New Roman" w:hAnsi="Times New Roman" w:cs="Times New Roman"/>
                <w:color w:val="222222"/>
                <w:sz w:val="24"/>
                <w:szCs w:val="24"/>
                <w:lang w:eastAsia="es-CO"/>
              </w:rPr>
              <w:t>j</w:t>
            </w:r>
            <w:r w:rsidRPr="00AA476B">
              <w:rPr>
                <w:rFonts w:ascii="Times New Roman" w:eastAsia="Times New Roman" w:hAnsi="Times New Roman" w:cs="Times New Roman"/>
                <w:color w:val="222222"/>
                <w:sz w:val="24"/>
                <w:szCs w:val="24"/>
                <w:lang w:eastAsia="es-CO"/>
              </w:rPr>
              <w:t>eto material de estos crímenes puede ser objeto de sanción y si los máximos responsables pueden ser objeto de punición en beneficio de las víctimas. Por ahora se presentan conceptos generales que en el transcurso de las decisiones que sean adoptadas por la Justicia Especial para la Paz, puede ser objeto de desarrollo</w:t>
            </w:r>
            <w:r w:rsidR="00AA476B">
              <w:rPr>
                <w:rFonts w:ascii="Times New Roman" w:eastAsia="Times New Roman" w:hAnsi="Times New Roman" w:cs="Times New Roman"/>
                <w:color w:val="222222"/>
                <w:sz w:val="24"/>
                <w:szCs w:val="24"/>
                <w:lang w:eastAsia="es-CO"/>
              </w:rPr>
              <w:t>,</w:t>
            </w:r>
            <w:r w:rsidRPr="00AA476B">
              <w:rPr>
                <w:rFonts w:ascii="Times New Roman" w:eastAsia="Times New Roman" w:hAnsi="Times New Roman" w:cs="Times New Roman"/>
                <w:color w:val="222222"/>
                <w:sz w:val="24"/>
                <w:szCs w:val="24"/>
                <w:lang w:eastAsia="es-CO"/>
              </w:rPr>
              <w:t xml:space="preserve"> pero lo más importante es concebir si el sistema adoptado es aceptable en materia de justicia para la sociedad. En particular, frente a los cr</w:t>
            </w:r>
            <w:r w:rsid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menes de desaparici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forzada que requieren sobre todo una reconstrucci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de los hechos motivo de la comisi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del delito.</w:t>
            </w:r>
          </w:p>
          <w:p w14:paraId="721EAD2E" w14:textId="01B8E422" w:rsidR="00B90DC6" w:rsidRPr="00AA476B" w:rsidRDefault="00B90DC6" w:rsidP="00AA476B">
            <w:pPr>
              <w:spacing w:after="0" w:line="360" w:lineRule="auto"/>
              <w:jc w:val="both"/>
              <w:rPr>
                <w:rFonts w:ascii="Times New Roman" w:eastAsia="Times New Roman" w:hAnsi="Times New Roman" w:cs="Times New Roman"/>
                <w:i/>
                <w:iCs/>
                <w:color w:val="222222"/>
                <w:sz w:val="24"/>
                <w:szCs w:val="24"/>
                <w:lang w:eastAsia="es-CO"/>
              </w:rPr>
            </w:pPr>
            <w:r w:rsidRPr="00AA476B">
              <w:rPr>
                <w:rFonts w:ascii="Times New Roman" w:eastAsia="Times New Roman" w:hAnsi="Times New Roman" w:cs="Times New Roman"/>
                <w:i/>
                <w:iCs/>
                <w:color w:val="222222"/>
                <w:sz w:val="24"/>
                <w:szCs w:val="24"/>
                <w:lang w:eastAsia="es-CO"/>
              </w:rPr>
              <w:t>Pregunta problema.: Cuales son los elementos de contexto en el delito de desaparición forzada.? En relación con la desaparición forzada mencionada cuales serían los elementos de comparación frente al fenómeno colombiano que somete al contexto con ocasión o en desarrollo del conflicto armado.?</w:t>
            </w:r>
          </w:p>
          <w:p w14:paraId="3FF4DEFD" w14:textId="14F7CD3E" w:rsidR="00E6008D" w:rsidRPr="00AA476B" w:rsidRDefault="00B90DC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Lo anterior se deriva de los presupuestos concebidos en el propio acuerdo final (2016) y en su proceso de implementación que señala a la justicia integral para la paz (JEP) como la Jurisdicción Especial para adoptar medidas de Reparación Integral para la Construcción de la Paz; Garantías de No Repetición; Conjunto de órganos de administración de justicia que ejercerán funciones judiciales y cumplirán con el deber del Estado de investigar, juzgar y sancionar los delitos cometidos en el contexto y en razón del conflicto armado, en particular los más graves y representativos, entre ellos el crimen de desaparici</w:t>
            </w:r>
            <w:r w:rsid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 xml:space="preserve">n forzada. </w:t>
            </w:r>
          </w:p>
          <w:p w14:paraId="301B73A4" w14:textId="77777777" w:rsidR="00E6008D" w:rsidRPr="00AA476B" w:rsidRDefault="00E6008D" w:rsidP="00AA476B">
            <w:pPr>
              <w:spacing w:after="0" w:line="360" w:lineRule="auto"/>
              <w:jc w:val="both"/>
              <w:rPr>
                <w:rFonts w:ascii="Times New Roman" w:eastAsia="Times New Roman" w:hAnsi="Times New Roman" w:cs="Times New Roman"/>
                <w:color w:val="222222"/>
                <w:sz w:val="24"/>
                <w:szCs w:val="24"/>
                <w:lang w:eastAsia="es-CO"/>
              </w:rPr>
            </w:pPr>
          </w:p>
        </w:tc>
      </w:tr>
    </w:tbl>
    <w:p w14:paraId="0CF0A66C" w14:textId="77777777" w:rsidR="00B90DC6" w:rsidRDefault="00B90DC6"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A476B" w14:paraId="7130F12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DEDA71E"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Justificación</w:t>
            </w:r>
          </w:p>
        </w:tc>
      </w:tr>
      <w:tr w:rsidR="002A18AF" w:rsidRPr="00AA476B" w14:paraId="46DAA72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95FA179" w14:textId="18C06DA2" w:rsidR="00B804C3" w:rsidRPr="00AA476B" w:rsidRDefault="00B804C3"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De la discusión planteada, se pretende adicionar elementos de fundamentación en el delito de desaparición forzada, asunto que no sólo ha sido tratado como de los más importantes ante la Jurisdicción Especial para la Paz, sino que podrían servir de aporte a un proceso que se inicia en sus efectos y consecuencias no sólo desde el orden constitucional sino también desde el orden social. </w:t>
            </w:r>
          </w:p>
          <w:p w14:paraId="6E4ACE56" w14:textId="293AAEE7" w:rsidR="002A18AF" w:rsidRPr="00AA476B" w:rsidRDefault="00B804C3"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Lo anterior teniendo en cuenta que desde el propio acuerdo final (2016), la ley de implementación de la JEP (Ley 1922 de18 de julio de 2018) Las víctimas pueden participar en los mecanismos e instancias del Sistema Integral como garantía esencial para la satisfacción de sus derechos a la verdad, la justicia, la reparación y la no repetición, máxime frente a los elementos que deciden la responsabilidad sobre este delito. (Disponible en http://www.altocomisionadoparalapaz.gov.co/Prensa/Comunicados/Documents/2016/proceso-paz-colombia-cartilla-acuerdo-victimas.pdf - Consultado el 16.04.2017). Pero esencialmente todo esto se logra si en verdad se persigue y juzga a los máximos responsables, en la comisión de los crímenes de desaparición forzada.</w:t>
            </w:r>
            <w:r w:rsidR="00A916F3" w:rsidRPr="00AA476B">
              <w:rPr>
                <w:rFonts w:ascii="Times New Roman" w:eastAsia="Times New Roman" w:hAnsi="Times New Roman" w:cs="Times New Roman"/>
                <w:color w:val="222222"/>
                <w:sz w:val="24"/>
                <w:szCs w:val="24"/>
                <w:lang w:eastAsia="es-CO"/>
              </w:rPr>
              <w:t xml:space="preserve"> </w:t>
            </w:r>
            <w:r w:rsidR="00B90DC6" w:rsidRPr="00AA476B">
              <w:rPr>
                <w:rFonts w:ascii="Times New Roman" w:eastAsia="Times New Roman" w:hAnsi="Times New Roman" w:cs="Times New Roman"/>
                <w:color w:val="222222"/>
                <w:sz w:val="24"/>
                <w:szCs w:val="24"/>
                <w:lang w:eastAsia="es-CO"/>
              </w:rPr>
              <w:t xml:space="preserve">En este sentido, es de destacar los insumos que se derivan de este factor que pueden servir de base para plantear las investigaciones y </w:t>
            </w:r>
            <w:r w:rsidR="00B90DC6" w:rsidRPr="00AA476B">
              <w:rPr>
                <w:rFonts w:ascii="Times New Roman" w:eastAsia="Times New Roman" w:hAnsi="Times New Roman" w:cs="Times New Roman"/>
                <w:color w:val="222222"/>
                <w:sz w:val="24"/>
                <w:szCs w:val="24"/>
                <w:lang w:eastAsia="es-CO"/>
              </w:rPr>
              <w:lastRenderedPageBreak/>
              <w:t>decisiones en la Jurisdicci</w:t>
            </w:r>
            <w:r w:rsidR="00A916F3" w:rsidRPr="00AA476B">
              <w:rPr>
                <w:rFonts w:ascii="Times New Roman" w:eastAsia="Times New Roman" w:hAnsi="Times New Roman" w:cs="Times New Roman"/>
                <w:color w:val="222222"/>
                <w:sz w:val="24"/>
                <w:szCs w:val="24"/>
                <w:lang w:eastAsia="es-CO"/>
              </w:rPr>
              <w:t>ó</w:t>
            </w:r>
            <w:r w:rsidR="00B90DC6" w:rsidRPr="00AA476B">
              <w:rPr>
                <w:rFonts w:ascii="Times New Roman" w:eastAsia="Times New Roman" w:hAnsi="Times New Roman" w:cs="Times New Roman"/>
                <w:color w:val="222222"/>
                <w:sz w:val="24"/>
                <w:szCs w:val="24"/>
                <w:lang w:eastAsia="es-CO"/>
              </w:rPr>
              <w:t>n Especial para la Paz. Sobre todo, si en el punto 5 (b), se establece una relación entre la unidad de personas desaparecidas y el sistema de justicia integral. Los insumos de otras situaciones similares son de particular interès para construir las decisiones judiciales que har</w:t>
            </w:r>
            <w:r w:rsidR="00A916F3" w:rsidRPr="00AA476B">
              <w:rPr>
                <w:rFonts w:ascii="Times New Roman" w:eastAsia="Times New Roman" w:hAnsi="Times New Roman" w:cs="Times New Roman"/>
                <w:color w:val="222222"/>
                <w:sz w:val="24"/>
                <w:szCs w:val="24"/>
                <w:lang w:eastAsia="es-CO"/>
              </w:rPr>
              <w:t>á</w:t>
            </w:r>
            <w:r w:rsidR="00B90DC6" w:rsidRPr="00AA476B">
              <w:rPr>
                <w:rFonts w:ascii="Times New Roman" w:eastAsia="Times New Roman" w:hAnsi="Times New Roman" w:cs="Times New Roman"/>
                <w:color w:val="222222"/>
                <w:sz w:val="24"/>
                <w:szCs w:val="24"/>
                <w:lang w:eastAsia="es-CO"/>
              </w:rPr>
              <w:t>n parte de la justicia especial para la paz.</w:t>
            </w:r>
          </w:p>
        </w:tc>
      </w:tr>
      <w:tr w:rsidR="002A18AF" w:rsidRPr="00AA476B" w14:paraId="13D3E33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D6D43EE"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lastRenderedPageBreak/>
              <w:t>Objetivo general</w:t>
            </w:r>
          </w:p>
        </w:tc>
      </w:tr>
      <w:tr w:rsidR="002A18AF" w:rsidRPr="00AA476B" w14:paraId="178BD0E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4FB4B7C" w14:textId="4398C1B2" w:rsidR="00E6008D"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Analizar los elementos de contexto del delito de desaparici</w:t>
            </w:r>
            <w:r w:rsidR="00A916F3" w:rsidRP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forzada y su relaci</w:t>
            </w:r>
            <w:r w:rsidR="00A916F3" w:rsidRP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frente a la justicia especial para la paz. En particular, examinar a través de un estudio de caso comparado los elementos relacionados con este factor</w:t>
            </w:r>
            <w:r w:rsidR="00AA476B">
              <w:rPr>
                <w:rFonts w:ascii="Times New Roman" w:eastAsia="Times New Roman" w:hAnsi="Times New Roman" w:cs="Times New Roman"/>
                <w:color w:val="222222"/>
                <w:sz w:val="24"/>
                <w:szCs w:val="24"/>
                <w:lang w:eastAsia="es-CO"/>
              </w:rPr>
              <w:t>.</w:t>
            </w:r>
          </w:p>
        </w:tc>
      </w:tr>
      <w:tr w:rsidR="002A18AF" w:rsidRPr="00AA476B" w14:paraId="661047B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7B0D60B"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Objetivos específicos</w:t>
            </w:r>
          </w:p>
        </w:tc>
      </w:tr>
      <w:tr w:rsidR="002A18AF" w:rsidRPr="00AA476B" w14:paraId="43144EA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334B178" w14:textId="359C96AD" w:rsidR="00E6008D" w:rsidRPr="00AA476B" w:rsidRDefault="006A25B9" w:rsidP="00AA476B">
            <w:pPr>
              <w:pStyle w:val="Prrafodelista"/>
              <w:numPr>
                <w:ilvl w:val="0"/>
                <w:numId w:val="3"/>
              </w:num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Estudiar los elementos de configuración de la desaparición forzada desde su concepto de violación de DIDH, y las influencias en la criminalización de la conducta.</w:t>
            </w:r>
          </w:p>
          <w:p w14:paraId="4BBD9545" w14:textId="564BB0FD" w:rsidR="00E6008D" w:rsidRPr="00AA476B" w:rsidRDefault="006A25B9" w:rsidP="00AA476B">
            <w:pPr>
              <w:pStyle w:val="Prrafodelista"/>
              <w:numPr>
                <w:ilvl w:val="0"/>
                <w:numId w:val="3"/>
              </w:num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Verificar la construcción del concepto probatorio de los elementos de contexto en violaciones graves como la desaparición forzada</w:t>
            </w:r>
            <w:r w:rsidR="00A916F3" w:rsidRPr="00AA476B">
              <w:rPr>
                <w:rFonts w:ascii="Times New Roman" w:eastAsia="Times New Roman" w:hAnsi="Times New Roman" w:cs="Times New Roman"/>
                <w:color w:val="222222"/>
                <w:sz w:val="24"/>
                <w:szCs w:val="24"/>
                <w:lang w:eastAsia="es-CO"/>
              </w:rPr>
              <w:t>.</w:t>
            </w:r>
          </w:p>
        </w:tc>
      </w:tr>
      <w:tr w:rsidR="002A18AF" w:rsidRPr="00AA476B" w14:paraId="59F69C9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F855ABC" w14:textId="77777777" w:rsidR="002A18AF" w:rsidRPr="00AA476B" w:rsidRDefault="00E6008D"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Estado del arte y marco conceptual</w:t>
            </w:r>
          </w:p>
        </w:tc>
      </w:tr>
      <w:tr w:rsidR="002A18AF" w:rsidRPr="00AA476B" w14:paraId="66785E3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B69E0EB" w14:textId="618B8029" w:rsidR="00FB3956" w:rsidRPr="00AA476B" w:rsidRDefault="00FB395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El proyecto que se presenta a consideración tiene por objeto las siguientes definiciones base de investigación:</w:t>
            </w:r>
          </w:p>
          <w:p w14:paraId="3FC0A266" w14:textId="5C230669" w:rsidR="00FB3956" w:rsidRPr="00AA476B" w:rsidRDefault="00FB3956" w:rsidP="00AA476B">
            <w:pPr>
              <w:spacing w:after="0" w:line="360" w:lineRule="auto"/>
              <w:jc w:val="both"/>
              <w:rPr>
                <w:rFonts w:ascii="Times New Roman" w:eastAsia="Times New Roman" w:hAnsi="Times New Roman" w:cs="Times New Roman"/>
                <w:color w:val="222222"/>
                <w:sz w:val="24"/>
                <w:szCs w:val="24"/>
                <w:lang w:eastAsia="es-CO"/>
              </w:rPr>
            </w:pPr>
          </w:p>
          <w:p w14:paraId="46B9BE70" w14:textId="76BC664A" w:rsidR="00FB3956" w:rsidRPr="00AA476B" w:rsidRDefault="00FB3956" w:rsidP="00AA476B">
            <w:pPr>
              <w:spacing w:after="0" w:line="360" w:lineRule="auto"/>
              <w:jc w:val="both"/>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 xml:space="preserve">Desaparición Forzada: </w:t>
            </w:r>
          </w:p>
          <w:p w14:paraId="39090C7E" w14:textId="30D1C642" w:rsidR="007D08D8" w:rsidRPr="00AA476B" w:rsidRDefault="007D08D8"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El artículo II de la convención obre desaparición Forzada de Personas de</w:t>
            </w:r>
            <w:r w:rsidR="00E4070D" w:rsidRPr="00AA476B">
              <w:rPr>
                <w:rFonts w:ascii="Times New Roman" w:eastAsia="Times New Roman" w:hAnsi="Times New Roman" w:cs="Times New Roman"/>
                <w:color w:val="222222"/>
                <w:sz w:val="24"/>
                <w:szCs w:val="24"/>
                <w:lang w:eastAsia="es-CO"/>
              </w:rPr>
              <w:t xml:space="preserve"> junio de 1994 considera que este delito se desarrolla por la privación de la libertad de una o mas personas, cualquiera que fuese su forma cometida, por agentes del Estado o por personas o grupos de personas que actúen con cualquier forma de autorización, apoyo o aquiescencia del Estado. Este sería el primer acto perpetrado, en este delito, lo que vulnera en primer lugar el derecho a la libertad</w:t>
            </w:r>
            <w:r w:rsidR="00E86BDE" w:rsidRPr="00AA476B">
              <w:rPr>
                <w:rFonts w:ascii="Times New Roman" w:eastAsia="Times New Roman" w:hAnsi="Times New Roman" w:cs="Times New Roman"/>
                <w:color w:val="222222"/>
                <w:sz w:val="24"/>
                <w:szCs w:val="24"/>
                <w:lang w:eastAsia="es-CO"/>
              </w:rPr>
              <w:t>, a la vida e integridad personal (Sierra Porto Humberto,</w:t>
            </w:r>
            <w:r w:rsidR="00AE1F45" w:rsidRPr="00AA476B">
              <w:rPr>
                <w:rFonts w:ascii="Times New Roman" w:eastAsia="Times New Roman" w:hAnsi="Times New Roman" w:cs="Times New Roman"/>
                <w:color w:val="222222"/>
                <w:sz w:val="24"/>
                <w:szCs w:val="24"/>
                <w:lang w:eastAsia="es-CO"/>
              </w:rPr>
              <w:t xml:space="preserve"> 2015.</w:t>
            </w:r>
            <w:r w:rsidR="00E86BDE" w:rsidRPr="00AA476B">
              <w:rPr>
                <w:rFonts w:ascii="Times New Roman" w:eastAsia="Times New Roman" w:hAnsi="Times New Roman" w:cs="Times New Roman"/>
                <w:color w:val="222222"/>
                <w:sz w:val="24"/>
                <w:szCs w:val="24"/>
                <w:lang w:eastAsia="es-CO"/>
              </w:rPr>
              <w:t xml:space="preserve"> P.P. 21 a 41)</w:t>
            </w:r>
            <w:r w:rsidR="00E4070D" w:rsidRPr="00AA476B">
              <w:rPr>
                <w:rFonts w:ascii="Times New Roman" w:eastAsia="Times New Roman" w:hAnsi="Times New Roman" w:cs="Times New Roman"/>
                <w:color w:val="222222"/>
                <w:sz w:val="24"/>
                <w:szCs w:val="24"/>
                <w:lang w:eastAsia="es-CO"/>
              </w:rPr>
              <w:t xml:space="preserve">. En seguida aparece el segundo acto que se genera por la negativa de dar información acerca del paradero de la persona e incluso la negativa de reconocer la privación de la libertad. En este segundo acto se vulnera el derecho al amparo judicial y garantías procesales. El delito consagrado en </w:t>
            </w:r>
            <w:proofErr w:type="gramStart"/>
            <w:r w:rsidR="00E4070D" w:rsidRPr="00AA476B">
              <w:rPr>
                <w:rFonts w:ascii="Times New Roman" w:eastAsia="Times New Roman" w:hAnsi="Times New Roman" w:cs="Times New Roman"/>
                <w:color w:val="222222"/>
                <w:sz w:val="24"/>
                <w:szCs w:val="24"/>
                <w:lang w:eastAsia="es-CO"/>
              </w:rPr>
              <w:t>Colombia,</w:t>
            </w:r>
            <w:proofErr w:type="gramEnd"/>
            <w:r w:rsidR="00E4070D" w:rsidRPr="00AA476B">
              <w:rPr>
                <w:rFonts w:ascii="Times New Roman" w:eastAsia="Times New Roman" w:hAnsi="Times New Roman" w:cs="Times New Roman"/>
                <w:color w:val="222222"/>
                <w:sz w:val="24"/>
                <w:szCs w:val="24"/>
                <w:lang w:eastAsia="es-CO"/>
              </w:rPr>
              <w:t xml:space="preserve"> mantiene la forma mencionada, sin embargo, amplia el concepto para aquellos casos en que no se trata de la actuación de agentes estatales, sino también cuando la desarrollan particulares màxime en el escenario del Conflicto Armado Colombiano. Art. 165 C.P.</w:t>
            </w:r>
            <w:r w:rsidR="00A916F3" w:rsidRPr="00AA476B">
              <w:rPr>
                <w:rFonts w:ascii="Times New Roman" w:eastAsia="Times New Roman" w:hAnsi="Times New Roman" w:cs="Times New Roman"/>
                <w:color w:val="222222"/>
                <w:sz w:val="24"/>
                <w:szCs w:val="24"/>
                <w:lang w:eastAsia="es-CO"/>
              </w:rPr>
              <w:t xml:space="preserve"> </w:t>
            </w:r>
            <w:r w:rsidR="000718C6" w:rsidRPr="00AA476B">
              <w:rPr>
                <w:rFonts w:ascii="Times New Roman" w:eastAsia="Times New Roman" w:hAnsi="Times New Roman" w:cs="Times New Roman"/>
                <w:color w:val="222222"/>
                <w:sz w:val="24"/>
                <w:szCs w:val="24"/>
                <w:lang w:eastAsia="es-CO"/>
              </w:rPr>
              <w:t>D</w:t>
            </w:r>
            <w:r w:rsidR="00E4070D" w:rsidRPr="00AA476B">
              <w:rPr>
                <w:rFonts w:ascii="Times New Roman" w:eastAsia="Times New Roman" w:hAnsi="Times New Roman" w:cs="Times New Roman"/>
                <w:color w:val="222222"/>
                <w:sz w:val="24"/>
                <w:szCs w:val="24"/>
                <w:lang w:eastAsia="es-CO"/>
              </w:rPr>
              <w:t xml:space="preserve">e igual forma existen agravantes de esta conducta si en el caso </w:t>
            </w:r>
            <w:r w:rsidR="000718C6" w:rsidRPr="00AA476B">
              <w:rPr>
                <w:rFonts w:ascii="Times New Roman" w:eastAsia="Times New Roman" w:hAnsi="Times New Roman" w:cs="Times New Roman"/>
                <w:color w:val="222222"/>
                <w:sz w:val="24"/>
                <w:szCs w:val="24"/>
                <w:lang w:eastAsia="es-CO"/>
              </w:rPr>
              <w:t xml:space="preserve">se desarrolla la comisión del crimen mediante agentes del estado </w:t>
            </w:r>
            <w:r w:rsidR="000718C6" w:rsidRPr="00AA476B">
              <w:rPr>
                <w:rFonts w:ascii="Times New Roman" w:eastAsia="Times New Roman" w:hAnsi="Times New Roman" w:cs="Times New Roman"/>
                <w:color w:val="222222"/>
                <w:sz w:val="24"/>
                <w:szCs w:val="24"/>
                <w:lang w:eastAsia="es-CO"/>
              </w:rPr>
              <w:lastRenderedPageBreak/>
              <w:t>o si se produce la muerte de la persona cautiva entre otras situaciones. Art. 166 C.P. y atenuantes si los procesados dan información con respecto al paradero de la víctima o información sobre sus restos y demás aspectos. Art. 167 C.P.</w:t>
            </w:r>
            <w:r w:rsidR="00E4070D" w:rsidRPr="00AA476B">
              <w:rPr>
                <w:rFonts w:ascii="Times New Roman" w:eastAsia="Times New Roman" w:hAnsi="Times New Roman" w:cs="Times New Roman"/>
                <w:color w:val="222222"/>
                <w:sz w:val="24"/>
                <w:szCs w:val="24"/>
                <w:lang w:eastAsia="es-CO"/>
              </w:rPr>
              <w:t xml:space="preserve"> </w:t>
            </w:r>
          </w:p>
          <w:p w14:paraId="4E72F449" w14:textId="764ADB09" w:rsidR="00AE1F45" w:rsidRPr="00AA476B" w:rsidRDefault="000718C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De igual forma el delito de desaparición forzada se encuentra tipificado en el Artículo 7º del Estatuto de Roma </w:t>
            </w:r>
            <w:r w:rsidR="00E86BDE" w:rsidRPr="00AA476B">
              <w:rPr>
                <w:rFonts w:ascii="Times New Roman" w:eastAsia="Times New Roman" w:hAnsi="Times New Roman" w:cs="Times New Roman"/>
                <w:color w:val="222222"/>
                <w:sz w:val="24"/>
                <w:szCs w:val="24"/>
                <w:lang w:eastAsia="es-CO"/>
              </w:rPr>
              <w:t>de 1998 normatividad que lo considera Crimen Internacional de lesa humanidad. Esta tradición también deviene de los sistemas de derechos humanos que en múltiples decisiones así lo han considerado como el cas</w:t>
            </w:r>
            <w:r w:rsidR="00AE1F45" w:rsidRPr="00AA476B">
              <w:rPr>
                <w:rFonts w:ascii="Times New Roman" w:eastAsia="Times New Roman" w:hAnsi="Times New Roman" w:cs="Times New Roman"/>
                <w:color w:val="222222"/>
                <w:sz w:val="24"/>
                <w:szCs w:val="24"/>
                <w:lang w:eastAsia="es-CO"/>
              </w:rPr>
              <w:t xml:space="preserve">o </w:t>
            </w:r>
            <w:r w:rsidR="00AE1F45" w:rsidRPr="00AA476B">
              <w:rPr>
                <w:rFonts w:ascii="Times New Roman" w:hAnsi="Times New Roman" w:cs="Times New Roman"/>
                <w:sz w:val="24"/>
                <w:szCs w:val="24"/>
              </w:rPr>
              <w:t xml:space="preserve">Rodríguez Vera y otros (Desaparecidos del Palacio de Justicia) Vs. Colombia. Excepciones Preliminares, Fondo, Reparaciones y Costas. Sentencia de 14 de noviembre de 2014. </w:t>
            </w:r>
            <w:r w:rsidR="00AE1F45" w:rsidRPr="00AA476B">
              <w:rPr>
                <w:rFonts w:ascii="Times New Roman" w:eastAsia="Times New Roman" w:hAnsi="Times New Roman" w:cs="Times New Roman"/>
                <w:color w:val="222222"/>
                <w:sz w:val="24"/>
                <w:szCs w:val="24"/>
                <w:lang w:eastAsia="es-CO"/>
              </w:rPr>
              <w:t>A través de estos diversos documentos y mediante pronunciamientos como el analizados se observa la necesidad de judicialización de los posibles autores, la revelación de los hechos motivos de la desaparición y la reparación de las víctimas. En estos casos se analiza el valor probatorio que surge de estos mecanismos de persecución de violaciones graves de Derechos Humanos que concurren en estos delitos.</w:t>
            </w:r>
            <w:r w:rsidR="00A916F3" w:rsidRPr="00AA476B">
              <w:rPr>
                <w:rFonts w:ascii="Times New Roman" w:eastAsia="Times New Roman" w:hAnsi="Times New Roman" w:cs="Times New Roman"/>
                <w:color w:val="222222"/>
                <w:sz w:val="24"/>
                <w:szCs w:val="24"/>
                <w:lang w:eastAsia="es-CO"/>
              </w:rPr>
              <w:t xml:space="preserve"> </w:t>
            </w:r>
            <w:r w:rsidR="00AE1F45" w:rsidRPr="00AA476B">
              <w:rPr>
                <w:rFonts w:ascii="Times New Roman" w:eastAsia="Times New Roman" w:hAnsi="Times New Roman" w:cs="Times New Roman"/>
                <w:color w:val="222222"/>
                <w:sz w:val="24"/>
                <w:szCs w:val="24"/>
                <w:lang w:eastAsia="es-CO"/>
              </w:rPr>
              <w:t>Sobre este aspecto, se analiza desde la perspectiva de Kai Ambos que s</w:t>
            </w:r>
            <w:r w:rsidR="00A916F3" w:rsidRPr="00AA476B">
              <w:rPr>
                <w:rFonts w:ascii="Times New Roman" w:eastAsia="Times New Roman" w:hAnsi="Times New Roman" w:cs="Times New Roman"/>
                <w:color w:val="222222"/>
                <w:sz w:val="24"/>
                <w:szCs w:val="24"/>
                <w:lang w:eastAsia="es-CO"/>
              </w:rPr>
              <w:t>u</w:t>
            </w:r>
            <w:r w:rsidR="00AE1F45" w:rsidRPr="00AA476B">
              <w:rPr>
                <w:rFonts w:ascii="Times New Roman" w:eastAsia="Times New Roman" w:hAnsi="Times New Roman" w:cs="Times New Roman"/>
                <w:color w:val="222222"/>
                <w:sz w:val="24"/>
                <w:szCs w:val="24"/>
                <w:lang w:eastAsia="es-CO"/>
              </w:rPr>
              <w:t>giere que el valor de la persecución radica en el amparo judicial de la víctima se sepa o no del hallazgo de los restos humanos objeto de la desaparición en contraposición con la tendencia que señala la necesidad de hallazgo efectivo de restos humanos o de la víctima (</w:t>
            </w:r>
            <w:r w:rsidR="00AE1F45" w:rsidRPr="00AA476B">
              <w:rPr>
                <w:rFonts w:ascii="Times New Roman" w:hAnsi="Times New Roman" w:cs="Times New Roman"/>
                <w:sz w:val="23"/>
                <w:szCs w:val="23"/>
              </w:rPr>
              <w:t>Ambos K. y Bhöm M.L. 2009 p. 249).</w:t>
            </w:r>
            <w:r w:rsidR="00A916F3" w:rsidRPr="00AA476B">
              <w:rPr>
                <w:rFonts w:ascii="Times New Roman" w:hAnsi="Times New Roman" w:cs="Times New Roman"/>
                <w:sz w:val="23"/>
                <w:szCs w:val="23"/>
              </w:rPr>
              <w:t xml:space="preserve"> </w:t>
            </w:r>
            <w:r w:rsidR="00AE1F45" w:rsidRPr="00AA476B">
              <w:rPr>
                <w:rFonts w:ascii="Times New Roman" w:eastAsia="Times New Roman" w:hAnsi="Times New Roman" w:cs="Times New Roman"/>
                <w:color w:val="222222"/>
                <w:sz w:val="24"/>
                <w:szCs w:val="24"/>
                <w:lang w:eastAsia="es-CO"/>
              </w:rPr>
              <w:t>Justamente en el presente proyecto esta primera parte se encamina a determinar el concepto de protección de la víctima en el delito de desaparición forzada y cual es su fundamento teórico.</w:t>
            </w:r>
          </w:p>
          <w:p w14:paraId="294F070E" w14:textId="0190924F" w:rsidR="00AE1F45" w:rsidRPr="00AA476B" w:rsidRDefault="00AE1F45" w:rsidP="00AA476B">
            <w:pPr>
              <w:spacing w:after="0" w:line="360" w:lineRule="auto"/>
              <w:jc w:val="both"/>
              <w:rPr>
                <w:rFonts w:ascii="Times New Roman" w:eastAsia="Times New Roman" w:hAnsi="Times New Roman" w:cs="Times New Roman"/>
                <w:color w:val="222222"/>
                <w:sz w:val="24"/>
                <w:szCs w:val="24"/>
                <w:lang w:eastAsia="es-CO"/>
              </w:rPr>
            </w:pPr>
          </w:p>
          <w:p w14:paraId="224991DB" w14:textId="2E9625D7" w:rsidR="00AE1F45" w:rsidRPr="00AA476B" w:rsidRDefault="00AE1F45" w:rsidP="00AA476B">
            <w:pPr>
              <w:spacing w:after="0" w:line="360" w:lineRule="auto"/>
              <w:jc w:val="both"/>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Elementos de Contexto en el delito de Desaparición Forzada</w:t>
            </w:r>
          </w:p>
          <w:p w14:paraId="7D757D88" w14:textId="7855A68E" w:rsidR="00AE1F45" w:rsidRPr="00AA476B" w:rsidRDefault="00AE1F45"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El segundo factor en el delito de desaparición forzada, toda vez que en el mismo aparecen diversos factores que proporcionan un sistema de manejo de fuentes de descubrimiento necesarias para la revelación de los hechos.</w:t>
            </w:r>
            <w:r w:rsidR="00A916F3" w:rsidRP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 xml:space="preserve">En este sentido, el contexto de análisis previo de la desaparición genera posibles tendencias a la razón de los sucesos que motivaron el delito, por </w:t>
            </w:r>
            <w:proofErr w:type="gramStart"/>
            <w:r w:rsidRPr="00AA476B">
              <w:rPr>
                <w:rFonts w:ascii="Times New Roman" w:eastAsia="Times New Roman" w:hAnsi="Times New Roman" w:cs="Times New Roman"/>
                <w:color w:val="222222"/>
                <w:sz w:val="24"/>
                <w:szCs w:val="24"/>
                <w:lang w:eastAsia="es-CO"/>
              </w:rPr>
              <w:t>ejemplo</w:t>
            </w:r>
            <w:proofErr w:type="gramEnd"/>
            <w:r w:rsidRPr="00AA476B">
              <w:rPr>
                <w:rFonts w:ascii="Times New Roman" w:eastAsia="Times New Roman" w:hAnsi="Times New Roman" w:cs="Times New Roman"/>
                <w:color w:val="222222"/>
                <w:sz w:val="24"/>
                <w:szCs w:val="24"/>
                <w:lang w:eastAsia="es-CO"/>
              </w:rPr>
              <w:t xml:space="preserve"> que se trataba de un líder político importante, familiar o relacionado con el mismo. En segundo </w:t>
            </w:r>
            <w:proofErr w:type="gramStart"/>
            <w:r w:rsidRPr="00AA476B">
              <w:rPr>
                <w:rFonts w:ascii="Times New Roman" w:eastAsia="Times New Roman" w:hAnsi="Times New Roman" w:cs="Times New Roman"/>
                <w:color w:val="222222"/>
                <w:sz w:val="24"/>
                <w:szCs w:val="24"/>
                <w:lang w:eastAsia="es-CO"/>
              </w:rPr>
              <w:t>lugar</w:t>
            </w:r>
            <w:proofErr w:type="gramEnd"/>
            <w:r w:rsidRPr="00AA476B">
              <w:rPr>
                <w:rFonts w:ascii="Times New Roman" w:eastAsia="Times New Roman" w:hAnsi="Times New Roman" w:cs="Times New Roman"/>
                <w:color w:val="222222"/>
                <w:sz w:val="24"/>
                <w:szCs w:val="24"/>
                <w:lang w:eastAsia="es-CO"/>
              </w:rPr>
              <w:t xml:space="preserve"> que se trataba de un activista importante en materia de derechos humanos, sociedad civil. También si representaba un sector de la opinión como periodista, </w:t>
            </w:r>
            <w:r w:rsidR="004A1717" w:rsidRPr="00AA476B">
              <w:rPr>
                <w:rFonts w:ascii="Times New Roman" w:eastAsia="Times New Roman" w:hAnsi="Times New Roman" w:cs="Times New Roman"/>
                <w:color w:val="222222"/>
                <w:sz w:val="24"/>
                <w:szCs w:val="24"/>
                <w:lang w:eastAsia="es-CO"/>
              </w:rPr>
              <w:t>profesional liberal etc. Si bien esto se puede identificar a primera vista lo relevante es conocer como se accede a esta información y como se investiga este contexto de construcción que permita establecer los móviles de la desaparición.</w:t>
            </w:r>
          </w:p>
          <w:p w14:paraId="1D135D91" w14:textId="07320D89" w:rsidR="004A58BE" w:rsidRPr="00AA476B" w:rsidRDefault="004A1717"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Sin duda este factor probatorio es necesario para el análisis no sólo de un caso de desaparición forzada, sino para la determinación de una línea de contexto que puede señalar una política sistemática y generalizada de conducta que además de establecer la posibilidad de tratarse de un delito de Lesa Humanidad, también señala la posibilidad de generar un patrón de conducta significativo en la construcción de los insumos de decisiones del sistema especial de la jurisdicción para la paz.</w:t>
            </w:r>
            <w:r w:rsidR="00A916F3" w:rsidRP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 xml:space="preserve">En términos concretos los elementos de contexto, por </w:t>
            </w:r>
            <w:proofErr w:type="gramStart"/>
            <w:r w:rsidRPr="00AA476B">
              <w:rPr>
                <w:rFonts w:ascii="Times New Roman" w:eastAsia="Times New Roman" w:hAnsi="Times New Roman" w:cs="Times New Roman"/>
                <w:color w:val="222222"/>
                <w:sz w:val="24"/>
                <w:szCs w:val="24"/>
                <w:lang w:eastAsia="es-CO"/>
              </w:rPr>
              <w:t>ejemplo</w:t>
            </w:r>
            <w:proofErr w:type="gramEnd"/>
            <w:r w:rsidRPr="00AA476B">
              <w:rPr>
                <w:rFonts w:ascii="Times New Roman" w:eastAsia="Times New Roman" w:hAnsi="Times New Roman" w:cs="Times New Roman"/>
                <w:color w:val="222222"/>
                <w:sz w:val="24"/>
                <w:szCs w:val="24"/>
                <w:lang w:eastAsia="es-CO"/>
              </w:rPr>
              <w:t xml:space="preserve"> aparecen desarrollados inicialmente e</w:t>
            </w:r>
            <w:r w:rsidR="009049E3" w:rsidRPr="00AA476B">
              <w:rPr>
                <w:rFonts w:ascii="Times New Roman" w:eastAsia="Times New Roman" w:hAnsi="Times New Roman" w:cs="Times New Roman"/>
                <w:color w:val="222222"/>
                <w:sz w:val="24"/>
                <w:szCs w:val="24"/>
                <w:lang w:eastAsia="es-CO"/>
              </w:rPr>
              <w:t xml:space="preserve">n Ramelli Arteaga Alejandro </w:t>
            </w:r>
            <w:r w:rsidR="009049E3" w:rsidRPr="00AA476B">
              <w:rPr>
                <w:rFonts w:ascii="Times New Roman" w:eastAsia="Times New Roman" w:hAnsi="Times New Roman" w:cs="Times New Roman"/>
                <w:color w:val="222222"/>
                <w:sz w:val="24"/>
                <w:szCs w:val="24"/>
                <w:lang w:eastAsia="es-CO"/>
              </w:rPr>
              <w:lastRenderedPageBreak/>
              <w:t xml:space="preserve">quien señala que </w:t>
            </w:r>
            <w:r w:rsidR="00D37EE5" w:rsidRPr="00AA476B">
              <w:rPr>
                <w:rFonts w:ascii="Times New Roman" w:eastAsia="Times New Roman" w:hAnsi="Times New Roman" w:cs="Times New Roman"/>
                <w:color w:val="222222"/>
                <w:sz w:val="24"/>
                <w:szCs w:val="24"/>
                <w:lang w:eastAsia="es-CO"/>
              </w:rPr>
              <w:t xml:space="preserve">los elementos que se desarrollan en el lugar donde ocurren las situaciones asociadas a conductas penales revelan elementos para calificar las conductas. (2011, P.P. 132), en este sentido, pueden concurrir conductas asociadas a crímenes de guerra e igualmente a lesa humanidad, dependiendo de los elementos de contexto asociados o </w:t>
            </w:r>
            <w:r w:rsidR="004A58BE" w:rsidRPr="00AA476B">
              <w:rPr>
                <w:rFonts w:ascii="Times New Roman" w:eastAsia="Times New Roman" w:hAnsi="Times New Roman" w:cs="Times New Roman"/>
                <w:color w:val="222222"/>
                <w:sz w:val="24"/>
                <w:szCs w:val="24"/>
                <w:lang w:eastAsia="es-CO"/>
              </w:rPr>
              <w:t xml:space="preserve">concurrentes </w:t>
            </w:r>
            <w:r w:rsidR="00D37EE5" w:rsidRPr="00AA476B">
              <w:rPr>
                <w:rFonts w:ascii="Times New Roman" w:eastAsia="Times New Roman" w:hAnsi="Times New Roman" w:cs="Times New Roman"/>
                <w:color w:val="222222"/>
                <w:sz w:val="24"/>
                <w:szCs w:val="24"/>
                <w:lang w:eastAsia="es-CO"/>
              </w:rPr>
              <w:t>al conflicto</w:t>
            </w:r>
            <w:r w:rsidR="004A58BE" w:rsidRPr="00AA476B">
              <w:rPr>
                <w:rFonts w:ascii="Times New Roman" w:eastAsia="Times New Roman" w:hAnsi="Times New Roman" w:cs="Times New Roman"/>
                <w:color w:val="222222"/>
                <w:sz w:val="24"/>
                <w:szCs w:val="24"/>
                <w:lang w:eastAsia="es-CO"/>
              </w:rPr>
              <w:t xml:space="preserve">. En su criterio se debe elaborar un criterio diferenciador dependiendo del país, región, cadenas de mando, organización etc. (2011, P. 260). Todo ello apunta a señalar el patrón de políticas sistemàticas y generalizadas que se desarrollan en estos delitos, más </w:t>
            </w:r>
            <w:proofErr w:type="gramStart"/>
            <w:r w:rsidR="004A58BE" w:rsidRPr="00AA476B">
              <w:rPr>
                <w:rFonts w:ascii="Times New Roman" w:eastAsia="Times New Roman" w:hAnsi="Times New Roman" w:cs="Times New Roman"/>
                <w:color w:val="222222"/>
                <w:sz w:val="24"/>
                <w:szCs w:val="24"/>
                <w:lang w:eastAsia="es-CO"/>
              </w:rPr>
              <w:t>aun</w:t>
            </w:r>
            <w:proofErr w:type="gramEnd"/>
            <w:r w:rsidR="004A58BE" w:rsidRPr="00AA476B">
              <w:rPr>
                <w:rFonts w:ascii="Times New Roman" w:eastAsia="Times New Roman" w:hAnsi="Times New Roman" w:cs="Times New Roman"/>
                <w:color w:val="222222"/>
                <w:sz w:val="24"/>
                <w:szCs w:val="24"/>
                <w:lang w:eastAsia="es-CO"/>
              </w:rPr>
              <w:t xml:space="preserve"> en tratándose del delito de desaparición forzada.</w:t>
            </w:r>
            <w:r w:rsidR="00AA476B">
              <w:rPr>
                <w:rFonts w:ascii="Times New Roman" w:eastAsia="Times New Roman" w:hAnsi="Times New Roman" w:cs="Times New Roman"/>
                <w:color w:val="222222"/>
                <w:sz w:val="24"/>
                <w:szCs w:val="24"/>
                <w:lang w:eastAsia="es-CO"/>
              </w:rPr>
              <w:t xml:space="preserve"> </w:t>
            </w:r>
            <w:r w:rsidR="003D7E6F" w:rsidRPr="00AA476B">
              <w:rPr>
                <w:rFonts w:ascii="Times New Roman" w:eastAsia="Times New Roman" w:hAnsi="Times New Roman" w:cs="Times New Roman"/>
                <w:color w:val="222222"/>
                <w:sz w:val="24"/>
                <w:szCs w:val="24"/>
                <w:lang w:eastAsia="es-CO"/>
              </w:rPr>
              <w:t>Estos elementos junto con los desarrollos de los análisis de contexto y los diferentes desarrollos de la justicia transicional requieren de concreción en el momento de judicialización de las conductas de lesa humanidad y en concreto con los delitos de desaparición forzada.</w:t>
            </w:r>
          </w:p>
          <w:p w14:paraId="2FA51F85" w14:textId="77777777" w:rsidR="00AA476B" w:rsidRDefault="00AA476B" w:rsidP="00AA476B">
            <w:pPr>
              <w:spacing w:after="0" w:line="360" w:lineRule="auto"/>
              <w:jc w:val="both"/>
              <w:rPr>
                <w:rFonts w:ascii="Times New Roman" w:eastAsia="Times New Roman" w:hAnsi="Times New Roman" w:cs="Times New Roman"/>
                <w:b/>
                <w:bCs/>
                <w:color w:val="222222"/>
                <w:sz w:val="24"/>
                <w:szCs w:val="24"/>
                <w:lang w:eastAsia="es-CO"/>
              </w:rPr>
            </w:pPr>
          </w:p>
          <w:p w14:paraId="5A32221B" w14:textId="263DE5C9" w:rsidR="00AE1F45" w:rsidRPr="00AA476B" w:rsidRDefault="00AE1F45" w:rsidP="00AA476B">
            <w:pPr>
              <w:spacing w:after="0" w:line="360" w:lineRule="auto"/>
              <w:jc w:val="both"/>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Elementos de análisis y discusión en la Justicia Transicional</w:t>
            </w:r>
          </w:p>
          <w:p w14:paraId="02FFE1AB" w14:textId="3F32668D" w:rsidR="00E6008D" w:rsidRPr="00AA476B" w:rsidRDefault="003D7E6F"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De acuerdo con el punto anterior, e</w:t>
            </w:r>
            <w:r w:rsidR="006A25B9" w:rsidRPr="00AA476B">
              <w:rPr>
                <w:rFonts w:ascii="Times New Roman" w:eastAsia="Times New Roman" w:hAnsi="Times New Roman" w:cs="Times New Roman"/>
                <w:color w:val="222222"/>
                <w:sz w:val="24"/>
                <w:szCs w:val="24"/>
                <w:lang w:eastAsia="es-CO"/>
              </w:rPr>
              <w:t xml:space="preserve">n el caso de la Justicia Especial para la Paz, el fin primordial de la justicia transicional es el aseguramiento de la justicia y la paz en aras a una verdadera reconciliación de la sociedad y el fortalecimiento del Estado de </w:t>
            </w:r>
            <w:proofErr w:type="gramStart"/>
            <w:r w:rsidR="006A25B9" w:rsidRPr="00AA476B">
              <w:rPr>
                <w:rFonts w:ascii="Times New Roman" w:eastAsia="Times New Roman" w:hAnsi="Times New Roman" w:cs="Times New Roman"/>
                <w:color w:val="222222"/>
                <w:sz w:val="24"/>
                <w:szCs w:val="24"/>
                <w:lang w:eastAsia="es-CO"/>
              </w:rPr>
              <w:t>Derecho”(</w:t>
            </w:r>
            <w:proofErr w:type="gramEnd"/>
            <w:r w:rsidR="006A25B9" w:rsidRPr="00AA476B">
              <w:rPr>
                <w:rFonts w:ascii="Times New Roman" w:eastAsia="Times New Roman" w:hAnsi="Times New Roman" w:cs="Times New Roman"/>
                <w:color w:val="222222"/>
                <w:sz w:val="24"/>
                <w:szCs w:val="24"/>
                <w:lang w:eastAsia="es-CO"/>
              </w:rPr>
              <w:t xml:space="preserve"> Ezequiel Malarino, 2009, Pág. 301).</w:t>
            </w:r>
            <w:r w:rsidR="00A916F3" w:rsidRPr="00AA476B">
              <w:rPr>
                <w:rFonts w:ascii="Times New Roman" w:eastAsia="Times New Roman" w:hAnsi="Times New Roman" w:cs="Times New Roman"/>
                <w:color w:val="222222"/>
                <w:sz w:val="24"/>
                <w:szCs w:val="24"/>
                <w:lang w:eastAsia="es-CO"/>
              </w:rPr>
              <w:t xml:space="preserve"> </w:t>
            </w:r>
            <w:r w:rsidR="006A25B9" w:rsidRPr="00AA476B">
              <w:rPr>
                <w:rFonts w:ascii="Times New Roman" w:eastAsia="Times New Roman" w:hAnsi="Times New Roman" w:cs="Times New Roman"/>
                <w:color w:val="222222"/>
                <w:sz w:val="24"/>
                <w:szCs w:val="24"/>
                <w:lang w:eastAsia="es-CO"/>
              </w:rPr>
              <w:t>Es así como el 23 de septiembre de 2015, el Gobierno Nacional acordó crear una Jurisdicción Especial para la Paz con el fin de ejercer funciones judiciales y hacer parte del Sistema Integral de Verdad, Justicia, Reparación y No Repetición (SIVJRNR)</w:t>
            </w:r>
            <w:r w:rsidR="00AA476B">
              <w:rPr>
                <w:rFonts w:ascii="Times New Roman" w:eastAsia="Times New Roman" w:hAnsi="Times New Roman" w:cs="Times New Roman"/>
                <w:color w:val="222222"/>
                <w:sz w:val="24"/>
                <w:szCs w:val="24"/>
                <w:lang w:eastAsia="es-CO"/>
              </w:rPr>
              <w:t>.</w:t>
            </w:r>
          </w:p>
          <w:p w14:paraId="472368F0" w14:textId="0B94FF40" w:rsidR="006A25B9"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Desde la comprensión de la justicia transicional, "no basta con que quienes hayan perpetrado violaciones a los derechos humanos sean castigados, sino que -desde la consideración de la necesaria re-dignificación de las víctimas y la importancia de que dichas violaciones no vuelvan a repetirse- se hace necesaria, además, la articulación de mecanismos de esclarecimiento de la verdad y reconstrucción de la memoria histórica".  (Javier Dorado, 2015, págs. 192-204). Justamente este factor puede servir de factor reparador, sin embargo, es necesario analizar los elementos que han sido construidos en los 12 años de justicia transicional en el plano nacional. Máxime frente al caso particular de la desaparición forzada que tiene elementos de construcción necesarios para resarcir la memoria de las víctimas.</w:t>
            </w:r>
          </w:p>
          <w:p w14:paraId="40CD6D35" w14:textId="753DD57A" w:rsidR="006A25B9"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En relación con esta consideración, ha indicado Cortés que "la justicia no requiere necesariamente la implementación de medidas punitivas, pues con un mecanismo como la comisión de la verdad es posible que los ciudadanos, apelando a sus propias tradiciones culturales, logren la justicia, la verdad y la reparación. El esclarecimiento de la verdad y el establecimiento de hechos históricos podrían alcanzarse con independencia de un proceso penal e incluso con mayor eficacia que en este".</w:t>
            </w:r>
            <w:r w:rsidR="00A916F3" w:rsidRP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 xml:space="preserve">En el caso particular de la desaparición forzada, es relevante, derivado de la condición de víctima, el derecho a conocer la verdad que se concreta en conocer las circunstancias en que se cometieron los delitos, la desaparición y el fallecimiento de las víctimas (Conocer Para </w:t>
            </w:r>
            <w:r w:rsidRPr="00AA476B">
              <w:rPr>
                <w:rFonts w:ascii="Times New Roman" w:eastAsia="Times New Roman" w:hAnsi="Times New Roman" w:cs="Times New Roman"/>
                <w:color w:val="222222"/>
                <w:sz w:val="24"/>
                <w:szCs w:val="24"/>
                <w:lang w:eastAsia="es-CO"/>
              </w:rPr>
              <w:lastRenderedPageBreak/>
              <w:t>Defenderse. 2008. PP. 22). De allí la importancia de la construcción de los elementos de contexto necesarios en este sentido para cumplir con esta expectativa derivada de la reconstrucción de la desaparición forzada.</w:t>
            </w:r>
          </w:p>
          <w:p w14:paraId="41595626" w14:textId="3A42FCAF" w:rsidR="006A25B9"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Para tal efecto, el Estado debe propender para garantizar la reconstrucción histórica de los hechos investigados a través de tribunales especiales como los establecidos en la ley de justicia y paz (Conocer para Defenderse. 2008. P.P. 23), así como también en los nuevos mecanismos de las leyes especiales de los acuerdos de paz de 2016. Por consiguiente, de esta prerrogativa esencial se deriva el derecho inalienable a la verdad y el deber de recordar que se concreta en la conservación de los archivos; el establecimiento de restricciones a posibles tesis revisionistas y negacionistas, la conservación de la memoria histórica como deber del Estado (Conocer para Defenderse. 2008. P.P. 26). </w:t>
            </w:r>
          </w:p>
          <w:p w14:paraId="3E736866" w14:textId="074DDE81" w:rsidR="006A25B9"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En el nuevo escenario de paz este fundamento constituye uno de los soportes más importantes, toda vez que el proceso se inicia si y solo si el postulado confiesa la verdad so pena de cumplir una pena mayor contemplada en la Justicia Especial para la paz, máxime frente a los hechos motivo de la desaparición forzada.</w:t>
            </w:r>
            <w:r w:rsidR="00A916F3" w:rsidRP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 xml:space="preserve">Por </w:t>
            </w:r>
            <w:proofErr w:type="gramStart"/>
            <w:r w:rsidRPr="00AA476B">
              <w:rPr>
                <w:rFonts w:ascii="Times New Roman" w:eastAsia="Times New Roman" w:hAnsi="Times New Roman" w:cs="Times New Roman"/>
                <w:color w:val="222222"/>
                <w:sz w:val="24"/>
                <w:szCs w:val="24"/>
                <w:lang w:eastAsia="es-CO"/>
              </w:rPr>
              <w:t>consiguiente</w:t>
            </w:r>
            <w:proofErr w:type="gramEnd"/>
            <w:r w:rsidRPr="00AA476B">
              <w:rPr>
                <w:rFonts w:ascii="Times New Roman" w:eastAsia="Times New Roman" w:hAnsi="Times New Roman" w:cs="Times New Roman"/>
                <w:color w:val="222222"/>
                <w:sz w:val="24"/>
                <w:szCs w:val="24"/>
                <w:lang w:eastAsia="es-CO"/>
              </w:rPr>
              <w:t xml:space="preserve"> se debe propender por un concepto de justicia, razón por la cual el proyecto que se presenta tiene dos variables desde el Derecho y desde la Filosofía del Derecho necesarios para abordar la problemática de la construcción de los contextos pretendidos. Desde este fundamento, el mismo ha sido concebido como el derecho que tienen las víctimas de violaciones de los derechos humanos y el derecho internacional humanitario a solicitar y obtener a través de la estructura concebida en la ley de justicia y paz que el Estado investigue los crímenes, juzgue a sus autores y partícipes e imponga penas conforme a los principios establecidos en dicha legislación, así como a los principios de proporcionalidad, necesidad y razonabilidad (Conocer para Defenderse. 2008. PP. 33 y 36. CFR. punto 4 – numeral 4.9.11.4. CFR. Corte Constitucional. Sentencia C-370 de 2006, M.P. Manuel José Cepeda Espinosa Et. Al.,)</w:t>
            </w:r>
            <w:r w:rsidR="00AA476B">
              <w:rPr>
                <w:rFonts w:ascii="Times New Roman" w:eastAsia="Times New Roman" w:hAnsi="Times New Roman" w:cs="Times New Roman"/>
                <w:color w:val="222222"/>
                <w:sz w:val="24"/>
                <w:szCs w:val="24"/>
                <w:lang w:eastAsia="es-CO"/>
              </w:rPr>
              <w:t xml:space="preserve">. </w:t>
            </w:r>
            <w:r w:rsidRPr="00AA476B">
              <w:rPr>
                <w:rFonts w:ascii="Times New Roman" w:eastAsia="Times New Roman" w:hAnsi="Times New Roman" w:cs="Times New Roman"/>
                <w:color w:val="222222"/>
                <w:sz w:val="24"/>
                <w:szCs w:val="24"/>
                <w:lang w:eastAsia="es-CO"/>
              </w:rPr>
              <w:t xml:space="preserve">En el escenario de justicia y paz, significa el derecho de la víctima de obtener sus derechos y la reparación (CFR. Art. 6º Ley 975 de 2005) del perjuicio ocasionado por el agresor (punto 4 – numeral 4.9.11.4. Corte Constitucional. Sentencia C-370 de 2006, Mp. Manuel José Cepeda Espinosa Et. </w:t>
            </w:r>
            <w:proofErr w:type="gramStart"/>
            <w:r w:rsidRPr="00AA476B">
              <w:rPr>
                <w:rFonts w:ascii="Times New Roman" w:eastAsia="Times New Roman" w:hAnsi="Times New Roman" w:cs="Times New Roman"/>
                <w:color w:val="222222"/>
                <w:sz w:val="24"/>
                <w:szCs w:val="24"/>
                <w:lang w:eastAsia="es-CO"/>
              </w:rPr>
              <w:t>Al )</w:t>
            </w:r>
            <w:proofErr w:type="gramEnd"/>
            <w:r w:rsidRPr="00AA476B">
              <w:rPr>
                <w:rFonts w:ascii="Times New Roman" w:eastAsia="Times New Roman" w:hAnsi="Times New Roman" w:cs="Times New Roman"/>
                <w:color w:val="222222"/>
                <w:sz w:val="24"/>
                <w:szCs w:val="24"/>
                <w:lang w:eastAsia="es-CO"/>
              </w:rPr>
              <w:t>.</w:t>
            </w:r>
            <w:r w:rsidR="00A2354D" w:rsidRPr="00AA476B">
              <w:rPr>
                <w:rFonts w:ascii="Times New Roman" w:eastAsia="Times New Roman" w:hAnsi="Times New Roman" w:cs="Times New Roman"/>
                <w:color w:val="222222"/>
                <w:sz w:val="24"/>
                <w:szCs w:val="24"/>
                <w:lang w:eastAsia="es-CO"/>
              </w:rPr>
              <w:t xml:space="preserve"> Así mismo, este aspecto se reitera tanto en el acuerdo de paz de 2016, como en la ley 1922 de 2018, como en </w:t>
            </w:r>
            <w:proofErr w:type="gramStart"/>
            <w:r w:rsidR="00A2354D" w:rsidRPr="00AA476B">
              <w:rPr>
                <w:rFonts w:ascii="Times New Roman" w:eastAsia="Times New Roman" w:hAnsi="Times New Roman" w:cs="Times New Roman"/>
                <w:color w:val="222222"/>
                <w:sz w:val="24"/>
                <w:szCs w:val="24"/>
                <w:lang w:eastAsia="es-CO"/>
              </w:rPr>
              <w:t>la sentencias</w:t>
            </w:r>
            <w:proofErr w:type="gramEnd"/>
            <w:r w:rsidR="00A2354D" w:rsidRPr="00AA476B">
              <w:rPr>
                <w:rFonts w:ascii="Times New Roman" w:eastAsia="Times New Roman" w:hAnsi="Times New Roman" w:cs="Times New Roman"/>
                <w:color w:val="222222"/>
                <w:sz w:val="24"/>
                <w:szCs w:val="24"/>
                <w:lang w:eastAsia="es-CO"/>
              </w:rPr>
              <w:t xml:space="preserve"> C-080 de 2018 entre otras.</w:t>
            </w:r>
            <w:r w:rsidRPr="00AA476B">
              <w:rPr>
                <w:rFonts w:ascii="Times New Roman" w:eastAsia="Times New Roman" w:hAnsi="Times New Roman" w:cs="Times New Roman"/>
                <w:color w:val="222222"/>
                <w:sz w:val="24"/>
                <w:szCs w:val="24"/>
                <w:lang w:eastAsia="es-CO"/>
              </w:rPr>
              <w:t xml:space="preserve"> </w:t>
            </w:r>
          </w:p>
          <w:p w14:paraId="503A4510" w14:textId="3E5F999E" w:rsidR="00E6008D" w:rsidRPr="00AA476B" w:rsidRDefault="006A25B9"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 xml:space="preserve"> En definitiva, el estado tiene la obligación en este proceso de luchar contra la impunidad de graves violaciones e infracciones a los derechos humanos y al derecho internacional humanitario, traducidas en conductas penales de mayor trascendencia en la comunidad internacional (CFR. Numeral 6.2.3.2.2.7. Corte Constitucional. Sentencia C-370 de 2006, M.P. Manuel José Cepeda Espinosa Et. Al). En el mismo sentido se han descrito mecanismos especiales de la Justicia especial para la paz. El estándar de pena ha sido definitivo, junto con la aplicación del concepto pena alternativa, el cual ha servido de base para el nuevo proceso de paz. No obstante, se encuentra en plena fase de desarrollo legislativo.</w:t>
            </w:r>
            <w:r w:rsidR="00A2354D" w:rsidRPr="00AA476B">
              <w:rPr>
                <w:rFonts w:ascii="Times New Roman" w:eastAsia="Times New Roman" w:hAnsi="Times New Roman" w:cs="Times New Roman"/>
                <w:color w:val="222222"/>
                <w:sz w:val="24"/>
                <w:szCs w:val="24"/>
                <w:lang w:eastAsia="es-CO"/>
              </w:rPr>
              <w:t xml:space="preserve"> Ley 1922 de 2018 y sentencia C- 080 de 2018 y Sentencia C- 112 de 2019.</w:t>
            </w:r>
          </w:p>
        </w:tc>
      </w:tr>
    </w:tbl>
    <w:p w14:paraId="32C330EF"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7822FB8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5390935" w14:textId="77777777" w:rsidR="002A18AF" w:rsidRPr="00AA476B" w:rsidRDefault="002A18AF"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Metodología</w:t>
            </w:r>
          </w:p>
        </w:tc>
      </w:tr>
      <w:tr w:rsidR="002A18AF" w14:paraId="7FC838C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D3B95A5" w14:textId="4FA649B6" w:rsidR="00AB0284" w:rsidRPr="00AA476B" w:rsidRDefault="00AB0284"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El proyecto se realizará mediante un método</w:t>
            </w:r>
            <w:r w:rsidR="00A916F3" w:rsidRPr="00AA476B">
              <w:rPr>
                <w:rFonts w:ascii="Times New Roman" w:eastAsia="Times New Roman" w:hAnsi="Times New Roman" w:cs="Times New Roman"/>
                <w:color w:val="222222"/>
                <w:sz w:val="24"/>
                <w:szCs w:val="24"/>
                <w:lang w:eastAsia="es-CO"/>
              </w:rPr>
              <w:t xml:space="preserve"> cualitativo, de tipo</w:t>
            </w:r>
            <w:r w:rsidRPr="00AA476B">
              <w:rPr>
                <w:rFonts w:ascii="Times New Roman" w:eastAsia="Times New Roman" w:hAnsi="Times New Roman" w:cs="Times New Roman"/>
                <w:color w:val="222222"/>
                <w:sz w:val="24"/>
                <w:szCs w:val="24"/>
                <w:lang w:eastAsia="es-CO"/>
              </w:rPr>
              <w:t xml:space="preserve"> hermenéutico anal</w:t>
            </w:r>
            <w:r w:rsidR="00B44879" w:rsidRP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tico y tendrá como base herramientas metodológicas de tipo teórico documental, histórico, comparativo, descriptivo y prop</w:t>
            </w:r>
            <w:r w:rsidR="00B44879" w:rsidRPr="00AA476B">
              <w:rPr>
                <w:rFonts w:ascii="Times New Roman" w:eastAsia="Times New Roman" w:hAnsi="Times New Roman" w:cs="Times New Roman"/>
                <w:color w:val="222222"/>
                <w:sz w:val="24"/>
                <w:szCs w:val="24"/>
                <w:lang w:eastAsia="es-CO"/>
              </w:rPr>
              <w:t>o</w:t>
            </w:r>
            <w:r w:rsidRPr="00AA476B">
              <w:rPr>
                <w:rFonts w:ascii="Times New Roman" w:eastAsia="Times New Roman" w:hAnsi="Times New Roman" w:cs="Times New Roman"/>
                <w:color w:val="222222"/>
                <w:sz w:val="24"/>
                <w:szCs w:val="24"/>
                <w:lang w:eastAsia="es-CO"/>
              </w:rPr>
              <w:t>siti</w:t>
            </w:r>
            <w:r w:rsidR="00B44879" w:rsidRPr="00AA476B">
              <w:rPr>
                <w:rFonts w:ascii="Times New Roman" w:eastAsia="Times New Roman" w:hAnsi="Times New Roman" w:cs="Times New Roman"/>
                <w:color w:val="222222"/>
                <w:sz w:val="24"/>
                <w:szCs w:val="24"/>
                <w:lang w:eastAsia="es-CO"/>
              </w:rPr>
              <w:t>v</w:t>
            </w:r>
            <w:r w:rsidRPr="00AA476B">
              <w:rPr>
                <w:rFonts w:ascii="Times New Roman" w:eastAsia="Times New Roman" w:hAnsi="Times New Roman" w:cs="Times New Roman"/>
                <w:color w:val="222222"/>
                <w:sz w:val="24"/>
                <w:szCs w:val="24"/>
                <w:lang w:eastAsia="es-CO"/>
              </w:rPr>
              <w:t xml:space="preserve">o. </w:t>
            </w:r>
            <w:r w:rsidR="00A916F3" w:rsidRPr="00AA476B">
              <w:rPr>
                <w:rFonts w:ascii="Times New Roman" w:eastAsia="Times New Roman" w:hAnsi="Times New Roman" w:cs="Times New Roman"/>
                <w:color w:val="222222"/>
                <w:sz w:val="24"/>
                <w:szCs w:val="24"/>
                <w:lang w:eastAsia="es-CO"/>
              </w:rPr>
              <w:t>Así mismo se usará el método de</w:t>
            </w:r>
            <w:r w:rsidR="004358FB" w:rsidRPr="00AA476B">
              <w:rPr>
                <w:rFonts w:ascii="Times New Roman" w:eastAsia="Times New Roman" w:hAnsi="Times New Roman" w:cs="Times New Roman"/>
                <w:color w:val="222222"/>
                <w:sz w:val="24"/>
                <w:szCs w:val="24"/>
                <w:lang w:eastAsia="es-CO"/>
              </w:rPr>
              <w:t xml:space="preserve"> Estudio de casos, mediante </w:t>
            </w:r>
            <w:proofErr w:type="gramStart"/>
            <w:r w:rsidR="004358FB" w:rsidRPr="00AA476B">
              <w:rPr>
                <w:rFonts w:ascii="Times New Roman" w:eastAsia="Times New Roman" w:hAnsi="Times New Roman" w:cs="Times New Roman"/>
                <w:color w:val="222222"/>
                <w:sz w:val="24"/>
                <w:szCs w:val="24"/>
                <w:lang w:eastAsia="es-CO"/>
              </w:rPr>
              <w:t xml:space="preserve">el </w:t>
            </w:r>
            <w:r w:rsidR="00A916F3" w:rsidRPr="00AA476B">
              <w:rPr>
                <w:rFonts w:ascii="Times New Roman" w:eastAsia="Times New Roman" w:hAnsi="Times New Roman" w:cs="Times New Roman"/>
                <w:color w:val="222222"/>
                <w:sz w:val="24"/>
                <w:szCs w:val="24"/>
                <w:lang w:eastAsia="es-CO"/>
              </w:rPr>
              <w:t xml:space="preserve"> </w:t>
            </w:r>
            <w:r w:rsidR="004358FB" w:rsidRPr="00AA476B">
              <w:rPr>
                <w:rFonts w:ascii="Times New Roman" w:eastAsia="Times New Roman" w:hAnsi="Times New Roman" w:cs="Times New Roman"/>
                <w:color w:val="222222"/>
                <w:sz w:val="24"/>
                <w:szCs w:val="24"/>
                <w:lang w:eastAsia="es-CO"/>
              </w:rPr>
              <w:t>análisis</w:t>
            </w:r>
            <w:proofErr w:type="gramEnd"/>
            <w:r w:rsidR="004358FB" w:rsidRPr="00AA476B">
              <w:rPr>
                <w:rFonts w:ascii="Times New Roman" w:eastAsia="Times New Roman" w:hAnsi="Times New Roman" w:cs="Times New Roman"/>
                <w:color w:val="222222"/>
                <w:sz w:val="24"/>
                <w:szCs w:val="24"/>
                <w:lang w:eastAsia="es-CO"/>
              </w:rPr>
              <w:t xml:space="preserve"> de contexto, participación, colaboración y elaboración de situaciones con la participación de funcionarios de la Justicia Especial para la paz. En el momento de la elaboración de los estudios de casos se solicitará la autorización de participación especial a la JEP. </w:t>
            </w:r>
          </w:p>
          <w:p w14:paraId="2CAE7090" w14:textId="3379A9AA" w:rsidR="00E6008D" w:rsidRPr="00AA476B" w:rsidRDefault="00AB0284"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Finalmente acudiendo a las experiencias verificadas se hará empleo del método de análisis jurisprudencial. Sentados los procedentes de comparación y descripción se analizarán los elementos concebidos en el modelo de justicia integral correspondiente al punto 5o numeral b del acuerdo a fin de verificar el real alcance de los aspectos de persecuci</w:t>
            </w:r>
            <w:r w:rsidR="00B44879" w:rsidRP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n de los cr</w:t>
            </w:r>
            <w:r w:rsidR="00BA2F99" w:rsidRP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menes y responsables en la JEP y las posibilidades de realización, en particular del delito de desaparici</w:t>
            </w:r>
            <w:r w:rsidR="00BA2F99" w:rsidRPr="00AA476B">
              <w:rPr>
                <w:rFonts w:ascii="Times New Roman" w:eastAsia="Times New Roman" w:hAnsi="Times New Roman" w:cs="Times New Roman"/>
                <w:color w:val="222222"/>
                <w:sz w:val="24"/>
                <w:szCs w:val="24"/>
                <w:lang w:eastAsia="es-CO"/>
              </w:rPr>
              <w:t>ó</w:t>
            </w:r>
            <w:r w:rsidRPr="00AA476B">
              <w:rPr>
                <w:rFonts w:ascii="Times New Roman" w:eastAsia="Times New Roman" w:hAnsi="Times New Roman" w:cs="Times New Roman"/>
                <w:color w:val="222222"/>
                <w:sz w:val="24"/>
                <w:szCs w:val="24"/>
                <w:lang w:eastAsia="es-CO"/>
              </w:rPr>
              <w:t xml:space="preserve">n forzada. Todo lo anterior a partir de elementos jurídicos, como los desarrollados mediante </w:t>
            </w:r>
            <w:r w:rsidR="004358FB" w:rsidRPr="00AA476B">
              <w:rPr>
                <w:rFonts w:ascii="Times New Roman" w:eastAsia="Times New Roman" w:hAnsi="Times New Roman" w:cs="Times New Roman"/>
                <w:color w:val="222222"/>
                <w:sz w:val="24"/>
                <w:szCs w:val="24"/>
                <w:lang w:eastAsia="es-CO"/>
              </w:rPr>
              <w:t xml:space="preserve">el estudio de </w:t>
            </w:r>
            <w:r w:rsidRPr="00AA476B">
              <w:rPr>
                <w:rFonts w:ascii="Times New Roman" w:eastAsia="Times New Roman" w:hAnsi="Times New Roman" w:cs="Times New Roman"/>
                <w:color w:val="222222"/>
                <w:sz w:val="24"/>
                <w:szCs w:val="24"/>
                <w:lang w:eastAsia="es-CO"/>
              </w:rPr>
              <w:t xml:space="preserve">caso </w:t>
            </w:r>
            <w:r w:rsidR="004358FB" w:rsidRPr="00AA476B">
              <w:rPr>
                <w:rFonts w:ascii="Times New Roman" w:eastAsia="Times New Roman" w:hAnsi="Times New Roman" w:cs="Times New Roman"/>
                <w:color w:val="222222"/>
                <w:sz w:val="24"/>
                <w:szCs w:val="24"/>
                <w:lang w:eastAsia="es-CO"/>
              </w:rPr>
              <w:t xml:space="preserve">sugerido, </w:t>
            </w:r>
            <w:r w:rsidRPr="00AA476B">
              <w:rPr>
                <w:rFonts w:ascii="Times New Roman" w:eastAsia="Times New Roman" w:hAnsi="Times New Roman" w:cs="Times New Roman"/>
                <w:color w:val="222222"/>
                <w:sz w:val="24"/>
                <w:szCs w:val="24"/>
                <w:lang w:eastAsia="es-CO"/>
              </w:rPr>
              <w:t>de seguimiento documental y legislativo. El modelo hermenéutico propuesto se centra en herramientas de tipo cualitativo</w:t>
            </w:r>
            <w:r w:rsidR="004358FB" w:rsidRPr="00AA476B">
              <w:rPr>
                <w:rFonts w:ascii="Times New Roman" w:eastAsia="Times New Roman" w:hAnsi="Times New Roman" w:cs="Times New Roman"/>
                <w:color w:val="222222"/>
                <w:sz w:val="24"/>
                <w:szCs w:val="24"/>
                <w:lang w:eastAsia="es-CO"/>
              </w:rPr>
              <w:t xml:space="preserve"> tanto teóricas como prácticas en lo relativo al estudio de casos.</w:t>
            </w:r>
          </w:p>
          <w:p w14:paraId="3B2118FB" w14:textId="77777777" w:rsidR="00E6008D" w:rsidRPr="00AA476B" w:rsidRDefault="00E6008D" w:rsidP="00AA476B">
            <w:pPr>
              <w:spacing w:after="0" w:line="360" w:lineRule="auto"/>
              <w:jc w:val="both"/>
              <w:rPr>
                <w:rFonts w:ascii="Times New Roman" w:eastAsia="Times New Roman" w:hAnsi="Times New Roman" w:cs="Times New Roman"/>
                <w:color w:val="222222"/>
                <w:sz w:val="24"/>
                <w:szCs w:val="24"/>
                <w:lang w:eastAsia="es-CO"/>
              </w:rPr>
            </w:pPr>
          </w:p>
        </w:tc>
      </w:tr>
      <w:tr w:rsidR="001D6087" w14:paraId="27F4AC5F"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F367A0A" w14:textId="77777777" w:rsidR="001D6087" w:rsidRPr="00AA476B" w:rsidRDefault="001D6087" w:rsidP="00AA476B">
            <w:pPr>
              <w:spacing w:before="100" w:beforeAutospacing="1" w:after="100" w:afterAutospacing="1" w:line="36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Resultados esperados</w:t>
            </w:r>
          </w:p>
        </w:tc>
      </w:tr>
      <w:tr w:rsidR="001D6087" w14:paraId="3DDB6AB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39DF78" w14:textId="2D9E2286" w:rsidR="001D6087" w:rsidRPr="00AA476B" w:rsidRDefault="00AB0284"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Generación de nuevo conocimiento con la publicación de artículos de investigación en revistas indexadas por Publindex Categorías B y C, capítulos de libro, dirección de trabajos de grado de maestr</w:t>
            </w:r>
            <w:r w:rsidR="004358FB" w:rsidRPr="00AA476B">
              <w:rPr>
                <w:rFonts w:ascii="Times New Roman" w:eastAsia="Times New Roman" w:hAnsi="Times New Roman" w:cs="Times New Roman"/>
                <w:color w:val="222222"/>
                <w:sz w:val="24"/>
                <w:szCs w:val="24"/>
                <w:lang w:eastAsia="es-CO"/>
              </w:rPr>
              <w:t>í</w:t>
            </w:r>
            <w:r w:rsidRPr="00AA476B">
              <w:rPr>
                <w:rFonts w:ascii="Times New Roman" w:eastAsia="Times New Roman" w:hAnsi="Times New Roman" w:cs="Times New Roman"/>
                <w:color w:val="222222"/>
                <w:sz w:val="24"/>
                <w:szCs w:val="24"/>
                <w:lang w:eastAsia="es-CO"/>
              </w:rPr>
              <w:t>a con los cuales se busca que los académicos, abogados litigantes en lo penal, administrativo e incluso en el Sistema Interamericano de protección de derechos humanos y agentes estatales puedan encontrar un concepto en materia de la justicia transicional aplicada para el caso colombiano en materia de desaparición forzada, además para que generen estrategias de litigio en el marco de las obligaciones del Estado para la reparación de las víctimas del conflicto armado y que se encuentren incluidas en la justicia especial para la paz. Por último</w:t>
            </w:r>
            <w:r w:rsidR="004358FB" w:rsidRPr="00AA476B">
              <w:rPr>
                <w:rFonts w:ascii="Times New Roman" w:eastAsia="Times New Roman" w:hAnsi="Times New Roman" w:cs="Times New Roman"/>
                <w:color w:val="222222"/>
                <w:sz w:val="24"/>
                <w:szCs w:val="24"/>
                <w:lang w:eastAsia="es-CO"/>
              </w:rPr>
              <w:t>,</w:t>
            </w:r>
            <w:r w:rsidRPr="00AA476B">
              <w:rPr>
                <w:rFonts w:ascii="Times New Roman" w:eastAsia="Times New Roman" w:hAnsi="Times New Roman" w:cs="Times New Roman"/>
                <w:color w:val="222222"/>
                <w:sz w:val="24"/>
                <w:szCs w:val="24"/>
                <w:lang w:eastAsia="es-CO"/>
              </w:rPr>
              <w:t xml:space="preserve"> los resultados serían un soporte jurídico de la JEP que podrán utilizar agentes estatales para la defensa nacional o internacional de la responsabilidad que se genere en el cumplimiento de </w:t>
            </w:r>
            <w:proofErr w:type="gramStart"/>
            <w:r w:rsidRPr="00AA476B">
              <w:rPr>
                <w:rFonts w:ascii="Times New Roman" w:eastAsia="Times New Roman" w:hAnsi="Times New Roman" w:cs="Times New Roman"/>
                <w:color w:val="222222"/>
                <w:sz w:val="24"/>
                <w:szCs w:val="24"/>
                <w:lang w:eastAsia="es-CO"/>
              </w:rPr>
              <w:t>la misma</w:t>
            </w:r>
            <w:proofErr w:type="gramEnd"/>
            <w:r w:rsidRPr="00AA476B">
              <w:rPr>
                <w:rFonts w:ascii="Times New Roman" w:eastAsia="Times New Roman" w:hAnsi="Times New Roman" w:cs="Times New Roman"/>
                <w:color w:val="222222"/>
                <w:sz w:val="24"/>
                <w:szCs w:val="24"/>
                <w:lang w:eastAsia="es-CO"/>
              </w:rPr>
              <w:t>.</w:t>
            </w:r>
          </w:p>
          <w:p w14:paraId="211B1CCB" w14:textId="5C1B29B5" w:rsidR="001D6087" w:rsidRPr="00AA476B" w:rsidRDefault="00D23C2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2 Artículos B Publindex, o 2 Capitulos de libro de investigación.</w:t>
            </w:r>
          </w:p>
          <w:p w14:paraId="191BDD66" w14:textId="5D0940F5" w:rsidR="00D23C26" w:rsidRPr="00AA476B" w:rsidRDefault="00D23C26" w:rsidP="00AA476B">
            <w:pPr>
              <w:spacing w:after="0" w:line="360" w:lineRule="auto"/>
              <w:jc w:val="both"/>
              <w:rPr>
                <w:rFonts w:ascii="Times New Roman" w:eastAsia="Times New Roman" w:hAnsi="Times New Roman" w:cs="Times New Roman"/>
                <w:color w:val="222222"/>
                <w:sz w:val="24"/>
                <w:szCs w:val="24"/>
                <w:lang w:eastAsia="es-CO"/>
              </w:rPr>
            </w:pPr>
          </w:p>
          <w:p w14:paraId="799E02B9" w14:textId="421E3076" w:rsidR="001D6087" w:rsidRPr="00AA476B" w:rsidRDefault="00D23C26" w:rsidP="00AA476B">
            <w:pPr>
              <w:spacing w:after="0" w:line="360" w:lineRule="auto"/>
              <w:jc w:val="both"/>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Una ponencia Nacional y Una ponencia internacional</w:t>
            </w:r>
            <w:r w:rsidR="004358FB" w:rsidRPr="00AA476B">
              <w:rPr>
                <w:rFonts w:ascii="Times New Roman" w:eastAsia="Times New Roman" w:hAnsi="Times New Roman" w:cs="Times New Roman"/>
                <w:color w:val="222222"/>
                <w:sz w:val="24"/>
                <w:szCs w:val="24"/>
                <w:lang w:eastAsia="es-CO"/>
              </w:rPr>
              <w:t xml:space="preserve"> - </w:t>
            </w:r>
            <w:r w:rsidRPr="00AA476B">
              <w:rPr>
                <w:rFonts w:ascii="Times New Roman" w:eastAsia="Times New Roman" w:hAnsi="Times New Roman" w:cs="Times New Roman"/>
                <w:color w:val="222222"/>
                <w:sz w:val="24"/>
                <w:szCs w:val="24"/>
                <w:lang w:eastAsia="es-CO"/>
              </w:rPr>
              <w:t>2 tesis de maestría</w:t>
            </w:r>
            <w:r w:rsidR="004358FB" w:rsidRPr="00AA476B">
              <w:rPr>
                <w:rFonts w:ascii="Times New Roman" w:eastAsia="Times New Roman" w:hAnsi="Times New Roman" w:cs="Times New Roman"/>
                <w:color w:val="222222"/>
                <w:sz w:val="24"/>
                <w:szCs w:val="24"/>
                <w:lang w:eastAsia="es-CO"/>
              </w:rPr>
              <w:t xml:space="preserve"> - </w:t>
            </w:r>
            <w:r w:rsidRPr="00AA476B">
              <w:rPr>
                <w:rFonts w:ascii="Times New Roman" w:eastAsia="Times New Roman" w:hAnsi="Times New Roman" w:cs="Times New Roman"/>
                <w:color w:val="222222"/>
                <w:sz w:val="24"/>
                <w:szCs w:val="24"/>
                <w:lang w:eastAsia="es-CO"/>
              </w:rPr>
              <w:t>Un programa de radio.</w:t>
            </w:r>
          </w:p>
        </w:tc>
      </w:tr>
    </w:tbl>
    <w:p w14:paraId="4F411893" w14:textId="5D6EC02A" w:rsidR="00B17857" w:rsidRDefault="00B17857" w:rsidP="002A18AF">
      <w:pPr>
        <w:spacing w:after="0" w:line="240" w:lineRule="auto"/>
        <w:rPr>
          <w:rFonts w:ascii="Times New Roman" w:eastAsia="Times New Roman" w:hAnsi="Times New Roman" w:cs="Times New Roman"/>
          <w:sz w:val="24"/>
          <w:szCs w:val="24"/>
          <w:lang w:eastAsia="es-CO"/>
        </w:rPr>
      </w:pPr>
    </w:p>
    <w:p w14:paraId="7CCEEA30" w14:textId="28FB38F6" w:rsidR="00AA476B" w:rsidRDefault="00AA476B" w:rsidP="002A18AF">
      <w:pPr>
        <w:spacing w:after="0" w:line="240" w:lineRule="auto"/>
        <w:rPr>
          <w:rFonts w:ascii="Times New Roman" w:eastAsia="Times New Roman" w:hAnsi="Times New Roman" w:cs="Times New Roman"/>
          <w:sz w:val="24"/>
          <w:szCs w:val="24"/>
          <w:lang w:eastAsia="es-CO"/>
        </w:rPr>
      </w:pPr>
    </w:p>
    <w:p w14:paraId="48C50338" w14:textId="77777777" w:rsidR="00AA476B" w:rsidRDefault="00AA476B" w:rsidP="002A18AF">
      <w:pPr>
        <w:spacing w:after="0" w:line="240" w:lineRule="auto"/>
        <w:rPr>
          <w:rFonts w:ascii="Times New Roman" w:eastAsia="Times New Roman" w:hAnsi="Times New Roman" w:cs="Times New Roman"/>
          <w:sz w:val="24"/>
          <w:szCs w:val="24"/>
          <w:lang w:eastAsia="es-CO"/>
        </w:rPr>
      </w:pPr>
    </w:p>
    <w:p w14:paraId="78DD9704" w14:textId="77777777" w:rsidR="001D6087" w:rsidRPr="00AA476B" w:rsidRDefault="001D6087" w:rsidP="002A18AF">
      <w:pPr>
        <w:spacing w:after="0" w:line="240" w:lineRule="auto"/>
        <w:rPr>
          <w:rFonts w:ascii="Times New Roman" w:eastAsia="Times New Roman" w:hAnsi="Times New Roman" w:cs="Times New Roman"/>
          <w:b/>
          <w:sz w:val="24"/>
          <w:szCs w:val="24"/>
          <w:lang w:eastAsia="es-CO"/>
        </w:rPr>
      </w:pPr>
      <w:r w:rsidRPr="00AA476B">
        <w:rPr>
          <w:rFonts w:ascii="Times New Roman" w:eastAsia="Times New Roman" w:hAnsi="Times New Roman" w:cs="Times New Roman"/>
          <w:b/>
          <w:sz w:val="24"/>
          <w:szCs w:val="24"/>
          <w:lang w:eastAsia="es-CO"/>
        </w:rPr>
        <w:lastRenderedPageBreak/>
        <w:t>Cronograma</w:t>
      </w:r>
    </w:p>
    <w:tbl>
      <w:tblPr>
        <w:tblW w:w="14686" w:type="dxa"/>
        <w:tblCellMar>
          <w:left w:w="70" w:type="dxa"/>
          <w:right w:w="70" w:type="dxa"/>
        </w:tblCellMar>
        <w:tblLook w:val="04A0" w:firstRow="1" w:lastRow="0" w:firstColumn="1" w:lastColumn="0" w:noHBand="0" w:noVBand="1"/>
      </w:tblPr>
      <w:tblGrid>
        <w:gridCol w:w="1382"/>
        <w:gridCol w:w="1442"/>
        <w:gridCol w:w="495"/>
        <w:gridCol w:w="557"/>
        <w:gridCol w:w="181"/>
        <w:gridCol w:w="256"/>
        <w:gridCol w:w="255"/>
        <w:gridCol w:w="255"/>
        <w:gridCol w:w="255"/>
        <w:gridCol w:w="255"/>
        <w:gridCol w:w="199"/>
        <w:gridCol w:w="199"/>
        <w:gridCol w:w="199"/>
        <w:gridCol w:w="170"/>
        <w:gridCol w:w="255"/>
        <w:gridCol w:w="258"/>
        <w:gridCol w:w="258"/>
        <w:gridCol w:w="258"/>
        <w:gridCol w:w="258"/>
        <w:gridCol w:w="258"/>
        <w:gridCol w:w="258"/>
        <w:gridCol w:w="258"/>
        <w:gridCol w:w="258"/>
        <w:gridCol w:w="258"/>
        <w:gridCol w:w="258"/>
        <w:gridCol w:w="258"/>
        <w:gridCol w:w="140"/>
        <w:gridCol w:w="152"/>
        <w:gridCol w:w="226"/>
        <w:gridCol w:w="258"/>
        <w:gridCol w:w="258"/>
        <w:gridCol w:w="258"/>
        <w:gridCol w:w="156"/>
        <w:gridCol w:w="140"/>
        <w:gridCol w:w="257"/>
        <w:gridCol w:w="258"/>
        <w:gridCol w:w="258"/>
        <w:gridCol w:w="258"/>
        <w:gridCol w:w="258"/>
        <w:gridCol w:w="258"/>
        <w:gridCol w:w="258"/>
        <w:gridCol w:w="258"/>
        <w:gridCol w:w="258"/>
        <w:gridCol w:w="258"/>
        <w:gridCol w:w="258"/>
        <w:gridCol w:w="147"/>
        <w:gridCol w:w="147"/>
        <w:gridCol w:w="258"/>
        <w:gridCol w:w="258"/>
        <w:gridCol w:w="258"/>
      </w:tblGrid>
      <w:tr w:rsidR="00B17857" w:rsidRPr="00AA476B" w14:paraId="69C7E23A" w14:textId="77777777" w:rsidTr="004358FB">
        <w:trPr>
          <w:trHeight w:val="340"/>
        </w:trPr>
        <w:tc>
          <w:tcPr>
            <w:tcW w:w="1461"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7F77FD1" w14:textId="77777777" w:rsidR="001D6087" w:rsidRPr="00AA476B" w:rsidRDefault="001D6087" w:rsidP="001D6087">
            <w:pPr>
              <w:spacing w:after="0" w:line="240" w:lineRule="auto"/>
              <w:jc w:val="center"/>
              <w:rPr>
                <w:rFonts w:ascii="Times New Roman" w:eastAsia="Times New Roman" w:hAnsi="Times New Roman" w:cs="Times New Roman"/>
                <w:b/>
                <w:bCs/>
                <w:sz w:val="24"/>
                <w:szCs w:val="24"/>
                <w:lang w:eastAsia="es-CO"/>
              </w:rPr>
            </w:pPr>
            <w:r w:rsidRPr="00AA476B">
              <w:rPr>
                <w:rFonts w:ascii="Times New Roman" w:eastAsia="Times New Roman" w:hAnsi="Times New Roman" w:cs="Times New Roman"/>
                <w:b/>
                <w:bCs/>
                <w:sz w:val="24"/>
                <w:szCs w:val="24"/>
                <w:lang w:eastAsia="es-CO"/>
              </w:rPr>
              <w:t xml:space="preserve">   ACTIVIDADES</w:t>
            </w:r>
          </w:p>
        </w:tc>
        <w:tc>
          <w:tcPr>
            <w:tcW w:w="1545"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CEF6F70" w14:textId="77777777" w:rsidR="001D6087" w:rsidRPr="00AA476B" w:rsidRDefault="001D6087" w:rsidP="001D6087">
            <w:pPr>
              <w:spacing w:after="0" w:line="240" w:lineRule="auto"/>
              <w:jc w:val="center"/>
              <w:rPr>
                <w:rFonts w:ascii="Times New Roman" w:eastAsia="Times New Roman" w:hAnsi="Times New Roman" w:cs="Times New Roman"/>
                <w:b/>
                <w:bCs/>
                <w:sz w:val="24"/>
                <w:szCs w:val="24"/>
                <w:lang w:eastAsia="es-CO"/>
              </w:rPr>
            </w:pPr>
            <w:r w:rsidRPr="00AA476B">
              <w:rPr>
                <w:rFonts w:ascii="Times New Roman" w:eastAsia="Times New Roman" w:hAnsi="Times New Roman" w:cs="Times New Roman"/>
                <w:b/>
                <w:bCs/>
                <w:sz w:val="24"/>
                <w:szCs w:val="24"/>
                <w:lang w:eastAsia="es-CO"/>
              </w:rPr>
              <w:t xml:space="preserve">RESPONSABLE </w:t>
            </w:r>
          </w:p>
        </w:tc>
        <w:tc>
          <w:tcPr>
            <w:tcW w:w="1323" w:type="dxa"/>
            <w:gridSpan w:val="2"/>
            <w:tcBorders>
              <w:top w:val="single" w:sz="8" w:space="0" w:color="auto"/>
              <w:left w:val="nil"/>
              <w:bottom w:val="single" w:sz="8" w:space="0" w:color="auto"/>
              <w:right w:val="nil"/>
            </w:tcBorders>
            <w:shd w:val="clear" w:color="000000" w:fill="FFCC99"/>
            <w:noWrap/>
            <w:vAlign w:val="center"/>
            <w:hideMark/>
          </w:tcPr>
          <w:p w14:paraId="2892CE7E" w14:textId="77777777" w:rsidR="001D6087" w:rsidRPr="00AA476B" w:rsidRDefault="001D6087" w:rsidP="001D6087">
            <w:pPr>
              <w:spacing w:after="0" w:line="240" w:lineRule="auto"/>
              <w:jc w:val="center"/>
              <w:rPr>
                <w:rFonts w:ascii="Times New Roman" w:eastAsia="Times New Roman" w:hAnsi="Times New Roman" w:cs="Times New Roman"/>
                <w:b/>
                <w:bCs/>
                <w:sz w:val="24"/>
                <w:szCs w:val="24"/>
                <w:lang w:eastAsia="es-CO"/>
              </w:rPr>
            </w:pPr>
            <w:r w:rsidRPr="00AA476B">
              <w:rPr>
                <w:rFonts w:ascii="Times New Roman" w:eastAsia="Times New Roman" w:hAnsi="Times New Roman" w:cs="Times New Roman"/>
                <w:b/>
                <w:bCs/>
                <w:sz w:val="24"/>
                <w:szCs w:val="24"/>
                <w:lang w:eastAsia="es-CO"/>
              </w:rPr>
              <w:t>FECHA</w:t>
            </w:r>
          </w:p>
        </w:tc>
        <w:tc>
          <w:tcPr>
            <w:tcW w:w="194" w:type="dxa"/>
            <w:tcBorders>
              <w:top w:val="single" w:sz="8" w:space="0" w:color="auto"/>
              <w:left w:val="single" w:sz="4" w:space="0" w:color="auto"/>
              <w:bottom w:val="nil"/>
              <w:right w:val="single" w:sz="8" w:space="0" w:color="auto"/>
            </w:tcBorders>
            <w:shd w:val="diagCross" w:color="000000" w:fill="C0C0C0"/>
            <w:noWrap/>
            <w:vAlign w:val="center"/>
            <w:hideMark/>
          </w:tcPr>
          <w:p w14:paraId="23087118" w14:textId="77777777" w:rsidR="001D6087" w:rsidRPr="00AA476B" w:rsidRDefault="001D6087" w:rsidP="001D6087">
            <w:pPr>
              <w:spacing w:after="0" w:line="240" w:lineRule="auto"/>
              <w:jc w:val="center"/>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p>
        </w:tc>
        <w:tc>
          <w:tcPr>
            <w:tcW w:w="924"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15E77DD6"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FEBRERO</w:t>
            </w:r>
          </w:p>
        </w:tc>
        <w:tc>
          <w:tcPr>
            <w:tcW w:w="844"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6CD34598"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MARZO</w:t>
            </w:r>
          </w:p>
        </w:tc>
        <w:tc>
          <w:tcPr>
            <w:tcW w:w="1146"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0021C3AC"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ABRIL</w:t>
            </w:r>
          </w:p>
        </w:tc>
        <w:tc>
          <w:tcPr>
            <w:tcW w:w="992" w:type="dxa"/>
            <w:gridSpan w:val="4"/>
            <w:tcBorders>
              <w:top w:val="single" w:sz="8" w:space="0" w:color="auto"/>
              <w:left w:val="single" w:sz="8" w:space="0" w:color="auto"/>
              <w:bottom w:val="nil"/>
              <w:right w:val="nil"/>
            </w:tcBorders>
            <w:shd w:val="clear" w:color="000000" w:fill="FFCC99"/>
            <w:noWrap/>
            <w:vAlign w:val="center"/>
            <w:hideMark/>
          </w:tcPr>
          <w:p w14:paraId="2A5C3CE2"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MAYO</w:t>
            </w:r>
          </w:p>
        </w:tc>
        <w:tc>
          <w:tcPr>
            <w:tcW w:w="112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2F9861B3"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JUNIO</w:t>
            </w:r>
          </w:p>
        </w:tc>
        <w:tc>
          <w:tcPr>
            <w:tcW w:w="1225"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03E8EFB7"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JULIO</w:t>
            </w:r>
          </w:p>
        </w:tc>
        <w:tc>
          <w:tcPr>
            <w:tcW w:w="884" w:type="dxa"/>
            <w:gridSpan w:val="4"/>
            <w:tcBorders>
              <w:top w:val="single" w:sz="8" w:space="0" w:color="auto"/>
              <w:left w:val="single" w:sz="8" w:space="0" w:color="auto"/>
              <w:bottom w:val="nil"/>
              <w:right w:val="nil"/>
            </w:tcBorders>
            <w:shd w:val="clear" w:color="000000" w:fill="FFCC99"/>
            <w:noWrap/>
            <w:vAlign w:val="center"/>
            <w:hideMark/>
          </w:tcPr>
          <w:p w14:paraId="1A40F13C"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AGOSTO</w:t>
            </w:r>
          </w:p>
        </w:tc>
        <w:tc>
          <w:tcPr>
            <w:tcW w:w="998"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487355A6"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SEPTIEMBRE</w:t>
            </w:r>
          </w:p>
        </w:tc>
        <w:tc>
          <w:tcPr>
            <w:tcW w:w="1132"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0BA9ACC1"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OCTUBRE</w:t>
            </w:r>
          </w:p>
        </w:tc>
        <w:tc>
          <w:tcPr>
            <w:tcW w:w="894"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07552DBA" w14:textId="77777777" w:rsidR="001D6087" w:rsidRPr="00AA476B" w:rsidRDefault="001D6087" w:rsidP="001D6087">
            <w:pPr>
              <w:spacing w:after="0" w:line="240" w:lineRule="auto"/>
              <w:jc w:val="center"/>
              <w:rPr>
                <w:rFonts w:ascii="Times New Roman" w:eastAsia="Times New Roman" w:hAnsi="Times New Roman" w:cs="Times New Roman"/>
                <w:b/>
                <w:bCs/>
                <w:sz w:val="12"/>
                <w:szCs w:val="12"/>
                <w:lang w:eastAsia="es-CO"/>
              </w:rPr>
            </w:pPr>
            <w:r w:rsidRPr="00AA476B">
              <w:rPr>
                <w:rFonts w:ascii="Times New Roman" w:eastAsia="Times New Roman" w:hAnsi="Times New Roman" w:cs="Times New Roman"/>
                <w:b/>
                <w:bCs/>
                <w:sz w:val="12"/>
                <w:szCs w:val="12"/>
                <w:lang w:eastAsia="es-CO"/>
              </w:rPr>
              <w:t>NOVIEMBRE</w:t>
            </w:r>
          </w:p>
        </w:tc>
      </w:tr>
      <w:tr w:rsidR="00681C41" w:rsidRPr="00AA476B" w14:paraId="6F1D6CC3" w14:textId="77777777" w:rsidTr="004358FB">
        <w:trPr>
          <w:trHeight w:val="548"/>
        </w:trPr>
        <w:tc>
          <w:tcPr>
            <w:tcW w:w="1461" w:type="dxa"/>
            <w:vMerge/>
            <w:tcBorders>
              <w:top w:val="single" w:sz="8" w:space="0" w:color="auto"/>
              <w:left w:val="single" w:sz="8" w:space="0" w:color="auto"/>
              <w:bottom w:val="single" w:sz="8" w:space="0" w:color="000000"/>
              <w:right w:val="single" w:sz="8" w:space="0" w:color="auto"/>
            </w:tcBorders>
            <w:vAlign w:val="center"/>
            <w:hideMark/>
          </w:tcPr>
          <w:p w14:paraId="343ECAF9" w14:textId="77777777" w:rsidR="001D6087" w:rsidRPr="00AA476B" w:rsidRDefault="001D6087" w:rsidP="001D6087">
            <w:pPr>
              <w:spacing w:after="0" w:line="240" w:lineRule="auto"/>
              <w:rPr>
                <w:rFonts w:ascii="Times New Roman" w:eastAsia="Times New Roman" w:hAnsi="Times New Roman" w:cs="Times New Roman"/>
                <w:b/>
                <w:bCs/>
                <w:sz w:val="24"/>
                <w:szCs w:val="24"/>
                <w:lang w:eastAsia="es-CO"/>
              </w:rPr>
            </w:pPr>
          </w:p>
        </w:tc>
        <w:tc>
          <w:tcPr>
            <w:tcW w:w="1545" w:type="dxa"/>
            <w:vMerge/>
            <w:tcBorders>
              <w:top w:val="single" w:sz="8" w:space="0" w:color="auto"/>
              <w:left w:val="single" w:sz="8" w:space="0" w:color="auto"/>
              <w:bottom w:val="single" w:sz="8" w:space="0" w:color="000000"/>
              <w:right w:val="single" w:sz="8" w:space="0" w:color="auto"/>
            </w:tcBorders>
            <w:vAlign w:val="center"/>
            <w:hideMark/>
          </w:tcPr>
          <w:p w14:paraId="67FD8E9E" w14:textId="77777777" w:rsidR="001D6087" w:rsidRPr="00AA476B" w:rsidRDefault="001D6087" w:rsidP="001D6087">
            <w:pPr>
              <w:spacing w:after="0" w:line="240" w:lineRule="auto"/>
              <w:rPr>
                <w:rFonts w:ascii="Times New Roman" w:eastAsia="Times New Roman" w:hAnsi="Times New Roman" w:cs="Times New Roman"/>
                <w:b/>
                <w:bCs/>
                <w:sz w:val="24"/>
                <w:szCs w:val="24"/>
                <w:lang w:eastAsia="es-CO"/>
              </w:rPr>
            </w:pPr>
          </w:p>
        </w:tc>
        <w:tc>
          <w:tcPr>
            <w:tcW w:w="620" w:type="dxa"/>
            <w:tcBorders>
              <w:top w:val="nil"/>
              <w:left w:val="nil"/>
              <w:bottom w:val="single" w:sz="8" w:space="0" w:color="auto"/>
              <w:right w:val="single" w:sz="4" w:space="0" w:color="auto"/>
            </w:tcBorders>
            <w:shd w:val="clear" w:color="000000" w:fill="FFCC00"/>
            <w:noWrap/>
            <w:vAlign w:val="center"/>
            <w:hideMark/>
          </w:tcPr>
          <w:p w14:paraId="05552D47" w14:textId="77777777" w:rsidR="001D6087" w:rsidRPr="00AA476B" w:rsidRDefault="001D6087" w:rsidP="001D6087">
            <w:pPr>
              <w:spacing w:after="0" w:line="240" w:lineRule="auto"/>
              <w:jc w:val="center"/>
              <w:rPr>
                <w:rFonts w:ascii="Times New Roman" w:eastAsia="Times New Roman" w:hAnsi="Times New Roman" w:cs="Times New Roman"/>
                <w:b/>
                <w:bCs/>
                <w:sz w:val="18"/>
                <w:szCs w:val="18"/>
                <w:lang w:eastAsia="es-CO"/>
              </w:rPr>
            </w:pPr>
            <w:r w:rsidRPr="00AA476B">
              <w:rPr>
                <w:rFonts w:ascii="Times New Roman" w:eastAsia="Times New Roman" w:hAnsi="Times New Roman" w:cs="Times New Roman"/>
                <w:b/>
                <w:bCs/>
                <w:sz w:val="18"/>
                <w:szCs w:val="18"/>
                <w:lang w:eastAsia="es-CO"/>
              </w:rPr>
              <w:t>Inicio</w:t>
            </w:r>
          </w:p>
        </w:tc>
        <w:tc>
          <w:tcPr>
            <w:tcW w:w="703" w:type="dxa"/>
            <w:tcBorders>
              <w:top w:val="nil"/>
              <w:left w:val="nil"/>
              <w:bottom w:val="single" w:sz="8" w:space="0" w:color="auto"/>
              <w:right w:val="nil"/>
            </w:tcBorders>
            <w:shd w:val="clear" w:color="000000" w:fill="FFCC00"/>
            <w:noWrap/>
            <w:vAlign w:val="center"/>
            <w:hideMark/>
          </w:tcPr>
          <w:p w14:paraId="2FB6A328" w14:textId="77777777" w:rsidR="001D6087" w:rsidRPr="00AA476B" w:rsidRDefault="001D6087" w:rsidP="001D6087">
            <w:pPr>
              <w:spacing w:after="0" w:line="240" w:lineRule="auto"/>
              <w:jc w:val="center"/>
              <w:rPr>
                <w:rFonts w:ascii="Times New Roman" w:eastAsia="Times New Roman" w:hAnsi="Times New Roman" w:cs="Times New Roman"/>
                <w:b/>
                <w:bCs/>
                <w:sz w:val="18"/>
                <w:szCs w:val="18"/>
                <w:lang w:eastAsia="es-CO"/>
              </w:rPr>
            </w:pPr>
            <w:r w:rsidRPr="00AA476B">
              <w:rPr>
                <w:rFonts w:ascii="Times New Roman" w:eastAsia="Times New Roman" w:hAnsi="Times New Roman" w:cs="Times New Roman"/>
                <w:b/>
                <w:bCs/>
                <w:sz w:val="18"/>
                <w:szCs w:val="18"/>
                <w:lang w:eastAsia="es-CO"/>
              </w:rPr>
              <w:t>Fin.</w:t>
            </w:r>
          </w:p>
        </w:tc>
        <w:tc>
          <w:tcPr>
            <w:tcW w:w="194" w:type="dxa"/>
            <w:tcBorders>
              <w:top w:val="nil"/>
              <w:left w:val="single" w:sz="4" w:space="0" w:color="auto"/>
              <w:bottom w:val="single" w:sz="8" w:space="0" w:color="auto"/>
              <w:right w:val="single" w:sz="8" w:space="0" w:color="auto"/>
            </w:tcBorders>
            <w:shd w:val="diagCross" w:color="000000" w:fill="C0C0C0"/>
            <w:noWrap/>
            <w:vAlign w:val="center"/>
            <w:hideMark/>
          </w:tcPr>
          <w:p w14:paraId="0C9E0F6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8" w:space="0" w:color="auto"/>
              <w:right w:val="single" w:sz="4" w:space="0" w:color="auto"/>
            </w:tcBorders>
            <w:shd w:val="clear" w:color="000000" w:fill="FFCC00"/>
            <w:noWrap/>
            <w:vAlign w:val="center"/>
            <w:hideMark/>
          </w:tcPr>
          <w:p w14:paraId="26C0812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w:t>
            </w:r>
          </w:p>
        </w:tc>
        <w:tc>
          <w:tcPr>
            <w:tcW w:w="231" w:type="dxa"/>
            <w:tcBorders>
              <w:top w:val="nil"/>
              <w:left w:val="nil"/>
              <w:bottom w:val="single" w:sz="8" w:space="0" w:color="auto"/>
              <w:right w:val="single" w:sz="4" w:space="0" w:color="auto"/>
            </w:tcBorders>
            <w:shd w:val="clear" w:color="000000" w:fill="FFCC00"/>
            <w:noWrap/>
            <w:vAlign w:val="center"/>
            <w:hideMark/>
          </w:tcPr>
          <w:p w14:paraId="4228C17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w:t>
            </w:r>
          </w:p>
        </w:tc>
        <w:tc>
          <w:tcPr>
            <w:tcW w:w="231" w:type="dxa"/>
            <w:tcBorders>
              <w:top w:val="nil"/>
              <w:left w:val="nil"/>
              <w:bottom w:val="single" w:sz="8" w:space="0" w:color="auto"/>
              <w:right w:val="single" w:sz="4" w:space="0" w:color="auto"/>
            </w:tcBorders>
            <w:shd w:val="clear" w:color="000000" w:fill="FFCC00"/>
            <w:noWrap/>
            <w:vAlign w:val="center"/>
            <w:hideMark/>
          </w:tcPr>
          <w:p w14:paraId="3092C07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w:t>
            </w:r>
          </w:p>
        </w:tc>
        <w:tc>
          <w:tcPr>
            <w:tcW w:w="231" w:type="dxa"/>
            <w:tcBorders>
              <w:top w:val="nil"/>
              <w:left w:val="nil"/>
              <w:bottom w:val="single" w:sz="8" w:space="0" w:color="auto"/>
              <w:right w:val="single" w:sz="4" w:space="0" w:color="auto"/>
            </w:tcBorders>
            <w:shd w:val="clear" w:color="000000" w:fill="FFCC00"/>
            <w:noWrap/>
            <w:vAlign w:val="center"/>
            <w:hideMark/>
          </w:tcPr>
          <w:p w14:paraId="08EE144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4</w:t>
            </w:r>
          </w:p>
        </w:tc>
        <w:tc>
          <w:tcPr>
            <w:tcW w:w="231" w:type="dxa"/>
            <w:tcBorders>
              <w:top w:val="single" w:sz="8" w:space="0" w:color="auto"/>
              <w:left w:val="single" w:sz="8" w:space="0" w:color="auto"/>
              <w:bottom w:val="single" w:sz="8" w:space="0" w:color="auto"/>
              <w:right w:val="nil"/>
            </w:tcBorders>
            <w:shd w:val="clear" w:color="000000" w:fill="FFCC00"/>
            <w:noWrap/>
            <w:vAlign w:val="center"/>
            <w:hideMark/>
          </w:tcPr>
          <w:p w14:paraId="308BF3F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5</w:t>
            </w:r>
          </w:p>
        </w:tc>
        <w:tc>
          <w:tcPr>
            <w:tcW w:w="204"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41AB88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6</w:t>
            </w:r>
          </w:p>
        </w:tc>
        <w:tc>
          <w:tcPr>
            <w:tcW w:w="204" w:type="dxa"/>
            <w:tcBorders>
              <w:top w:val="single" w:sz="8" w:space="0" w:color="auto"/>
              <w:left w:val="nil"/>
              <w:bottom w:val="single" w:sz="8" w:space="0" w:color="auto"/>
              <w:right w:val="single" w:sz="4" w:space="0" w:color="auto"/>
            </w:tcBorders>
            <w:shd w:val="clear" w:color="000000" w:fill="FFCC00"/>
            <w:noWrap/>
            <w:vAlign w:val="center"/>
            <w:hideMark/>
          </w:tcPr>
          <w:p w14:paraId="1025C13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7</w:t>
            </w:r>
          </w:p>
        </w:tc>
        <w:tc>
          <w:tcPr>
            <w:tcW w:w="205" w:type="dxa"/>
            <w:tcBorders>
              <w:top w:val="single" w:sz="8" w:space="0" w:color="auto"/>
              <w:left w:val="nil"/>
              <w:bottom w:val="single" w:sz="8" w:space="0" w:color="auto"/>
              <w:right w:val="single" w:sz="4" w:space="0" w:color="auto"/>
            </w:tcBorders>
            <w:shd w:val="clear" w:color="000000" w:fill="FFCC00"/>
            <w:noWrap/>
            <w:vAlign w:val="center"/>
            <w:hideMark/>
          </w:tcPr>
          <w:p w14:paraId="1371972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8</w:t>
            </w:r>
          </w:p>
        </w:tc>
        <w:tc>
          <w:tcPr>
            <w:tcW w:w="40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07C13E1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9</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B76C5C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10</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368F291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11</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14:paraId="2D27DBC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12</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6D27304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13</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13738BC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14</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52C61A7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15</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14F365B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16</w:t>
            </w:r>
          </w:p>
        </w:tc>
        <w:tc>
          <w:tcPr>
            <w:tcW w:w="248" w:type="dxa"/>
            <w:tcBorders>
              <w:top w:val="single" w:sz="8" w:space="0" w:color="auto"/>
              <w:left w:val="single" w:sz="8" w:space="0" w:color="auto"/>
              <w:bottom w:val="single" w:sz="8" w:space="0" w:color="auto"/>
              <w:right w:val="nil"/>
            </w:tcBorders>
            <w:shd w:val="clear" w:color="000000" w:fill="FFCC00"/>
            <w:noWrap/>
            <w:vAlign w:val="center"/>
            <w:hideMark/>
          </w:tcPr>
          <w:p w14:paraId="5892B0D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17</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E97164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18</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553D6F8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19</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30ECD64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20</w:t>
            </w:r>
          </w:p>
        </w:tc>
        <w:tc>
          <w:tcPr>
            <w:tcW w:w="473"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08E43C4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21</w:t>
            </w:r>
          </w:p>
        </w:tc>
        <w:tc>
          <w:tcPr>
            <w:tcW w:w="24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36E9404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22</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2D534DB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23</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14:paraId="6FD842B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24</w:t>
            </w:r>
          </w:p>
        </w:tc>
        <w:tc>
          <w:tcPr>
            <w:tcW w:w="28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685126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25</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4A2070E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26</w:t>
            </w:r>
          </w:p>
        </w:tc>
        <w:tc>
          <w:tcPr>
            <w:tcW w:w="248" w:type="dxa"/>
            <w:tcBorders>
              <w:top w:val="single" w:sz="8" w:space="0" w:color="auto"/>
              <w:left w:val="nil"/>
              <w:bottom w:val="single" w:sz="8" w:space="0" w:color="auto"/>
              <w:right w:val="single" w:sz="4" w:space="0" w:color="auto"/>
            </w:tcBorders>
            <w:shd w:val="clear" w:color="000000" w:fill="FFCC00"/>
            <w:noWrap/>
            <w:vAlign w:val="center"/>
            <w:hideMark/>
          </w:tcPr>
          <w:p w14:paraId="59984C8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28</w:t>
            </w:r>
          </w:p>
        </w:tc>
        <w:tc>
          <w:tcPr>
            <w:tcW w:w="248" w:type="dxa"/>
            <w:tcBorders>
              <w:top w:val="single" w:sz="8" w:space="0" w:color="auto"/>
              <w:left w:val="nil"/>
              <w:bottom w:val="single" w:sz="8" w:space="0" w:color="auto"/>
              <w:right w:val="single" w:sz="8" w:space="0" w:color="auto"/>
            </w:tcBorders>
            <w:shd w:val="clear" w:color="000000" w:fill="FFCC00"/>
            <w:noWrap/>
            <w:vAlign w:val="center"/>
            <w:hideMark/>
          </w:tcPr>
          <w:p w14:paraId="42BD6FA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29</w:t>
            </w:r>
          </w:p>
        </w:tc>
        <w:tc>
          <w:tcPr>
            <w:tcW w:w="254" w:type="dxa"/>
            <w:tcBorders>
              <w:top w:val="nil"/>
              <w:left w:val="nil"/>
              <w:bottom w:val="single" w:sz="8" w:space="0" w:color="auto"/>
              <w:right w:val="single" w:sz="4" w:space="0" w:color="auto"/>
            </w:tcBorders>
            <w:shd w:val="clear" w:color="000000" w:fill="FFCC00"/>
            <w:noWrap/>
            <w:vAlign w:val="center"/>
            <w:hideMark/>
          </w:tcPr>
          <w:p w14:paraId="7871168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30</w:t>
            </w:r>
          </w:p>
        </w:tc>
        <w:tc>
          <w:tcPr>
            <w:tcW w:w="248" w:type="dxa"/>
            <w:tcBorders>
              <w:top w:val="nil"/>
              <w:left w:val="single" w:sz="8" w:space="0" w:color="auto"/>
              <w:bottom w:val="single" w:sz="8" w:space="0" w:color="auto"/>
              <w:right w:val="nil"/>
            </w:tcBorders>
            <w:shd w:val="clear" w:color="000000" w:fill="FFCC00"/>
            <w:noWrap/>
            <w:vAlign w:val="center"/>
            <w:hideMark/>
          </w:tcPr>
          <w:p w14:paraId="257965F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31</w:t>
            </w:r>
          </w:p>
        </w:tc>
        <w:tc>
          <w:tcPr>
            <w:tcW w:w="248" w:type="dxa"/>
            <w:tcBorders>
              <w:top w:val="nil"/>
              <w:left w:val="single" w:sz="4" w:space="0" w:color="auto"/>
              <w:bottom w:val="single" w:sz="8" w:space="0" w:color="auto"/>
              <w:right w:val="single" w:sz="4" w:space="0" w:color="auto"/>
            </w:tcBorders>
            <w:shd w:val="clear" w:color="000000" w:fill="FFCC00"/>
            <w:noWrap/>
            <w:vAlign w:val="center"/>
            <w:hideMark/>
          </w:tcPr>
          <w:p w14:paraId="3D48E45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32</w:t>
            </w:r>
          </w:p>
        </w:tc>
        <w:tc>
          <w:tcPr>
            <w:tcW w:w="248" w:type="dxa"/>
            <w:tcBorders>
              <w:top w:val="nil"/>
              <w:left w:val="nil"/>
              <w:bottom w:val="single" w:sz="8" w:space="0" w:color="auto"/>
              <w:right w:val="single" w:sz="8" w:space="0" w:color="auto"/>
            </w:tcBorders>
            <w:shd w:val="clear" w:color="000000" w:fill="FFCC00"/>
            <w:noWrap/>
            <w:vAlign w:val="center"/>
            <w:hideMark/>
          </w:tcPr>
          <w:p w14:paraId="306C6E8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33</w:t>
            </w:r>
          </w:p>
        </w:tc>
        <w:tc>
          <w:tcPr>
            <w:tcW w:w="248" w:type="dxa"/>
            <w:tcBorders>
              <w:top w:val="nil"/>
              <w:left w:val="nil"/>
              <w:bottom w:val="single" w:sz="8" w:space="0" w:color="auto"/>
              <w:right w:val="single" w:sz="4" w:space="0" w:color="auto"/>
            </w:tcBorders>
            <w:shd w:val="clear" w:color="000000" w:fill="FFCC00"/>
            <w:noWrap/>
            <w:vAlign w:val="center"/>
            <w:hideMark/>
          </w:tcPr>
          <w:p w14:paraId="4AD97FE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34</w:t>
            </w:r>
          </w:p>
        </w:tc>
        <w:tc>
          <w:tcPr>
            <w:tcW w:w="248" w:type="dxa"/>
            <w:tcBorders>
              <w:top w:val="nil"/>
              <w:left w:val="nil"/>
              <w:bottom w:val="single" w:sz="8" w:space="0" w:color="auto"/>
              <w:right w:val="nil"/>
            </w:tcBorders>
            <w:shd w:val="clear" w:color="000000" w:fill="FFCC00"/>
            <w:noWrap/>
            <w:vAlign w:val="center"/>
            <w:hideMark/>
          </w:tcPr>
          <w:p w14:paraId="150D47C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35</w:t>
            </w:r>
          </w:p>
        </w:tc>
        <w:tc>
          <w:tcPr>
            <w:tcW w:w="248" w:type="dxa"/>
            <w:tcBorders>
              <w:top w:val="nil"/>
              <w:left w:val="single" w:sz="4" w:space="0" w:color="auto"/>
              <w:bottom w:val="single" w:sz="8" w:space="0" w:color="auto"/>
              <w:right w:val="nil"/>
            </w:tcBorders>
            <w:shd w:val="clear" w:color="000000" w:fill="FFCC00"/>
            <w:noWrap/>
            <w:vAlign w:val="center"/>
            <w:hideMark/>
          </w:tcPr>
          <w:p w14:paraId="39870B8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36</w:t>
            </w:r>
          </w:p>
        </w:tc>
        <w:tc>
          <w:tcPr>
            <w:tcW w:w="248" w:type="dxa"/>
            <w:tcBorders>
              <w:top w:val="nil"/>
              <w:left w:val="single" w:sz="4" w:space="0" w:color="auto"/>
              <w:bottom w:val="single" w:sz="8" w:space="0" w:color="auto"/>
              <w:right w:val="single" w:sz="8" w:space="0" w:color="auto"/>
            </w:tcBorders>
            <w:shd w:val="clear" w:color="000000" w:fill="FFCC00"/>
            <w:vAlign w:val="center"/>
            <w:hideMark/>
          </w:tcPr>
          <w:p w14:paraId="0CD25EB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37</w:t>
            </w:r>
          </w:p>
        </w:tc>
        <w:tc>
          <w:tcPr>
            <w:tcW w:w="280" w:type="dxa"/>
            <w:gridSpan w:val="2"/>
            <w:tcBorders>
              <w:top w:val="nil"/>
              <w:left w:val="nil"/>
              <w:bottom w:val="single" w:sz="8" w:space="0" w:color="auto"/>
              <w:right w:val="nil"/>
            </w:tcBorders>
            <w:shd w:val="clear" w:color="000000" w:fill="FFCC00"/>
            <w:noWrap/>
            <w:vAlign w:val="center"/>
            <w:hideMark/>
          </w:tcPr>
          <w:p w14:paraId="7D89359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38</w:t>
            </w:r>
          </w:p>
        </w:tc>
        <w:tc>
          <w:tcPr>
            <w:tcW w:w="248" w:type="dxa"/>
            <w:tcBorders>
              <w:top w:val="nil"/>
              <w:left w:val="single" w:sz="4" w:space="0" w:color="auto"/>
              <w:bottom w:val="single" w:sz="8" w:space="0" w:color="auto"/>
              <w:right w:val="nil"/>
            </w:tcBorders>
            <w:shd w:val="clear" w:color="000000" w:fill="FFCC00"/>
            <w:noWrap/>
            <w:vAlign w:val="center"/>
            <w:hideMark/>
          </w:tcPr>
          <w:p w14:paraId="13D93C1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39</w:t>
            </w:r>
          </w:p>
        </w:tc>
        <w:tc>
          <w:tcPr>
            <w:tcW w:w="248" w:type="dxa"/>
            <w:tcBorders>
              <w:top w:val="nil"/>
              <w:left w:val="single" w:sz="4" w:space="0" w:color="auto"/>
              <w:bottom w:val="single" w:sz="8" w:space="0" w:color="auto"/>
              <w:right w:val="nil"/>
            </w:tcBorders>
            <w:shd w:val="clear" w:color="000000" w:fill="FFCC00"/>
            <w:noWrap/>
            <w:vAlign w:val="center"/>
            <w:hideMark/>
          </w:tcPr>
          <w:p w14:paraId="0FE3299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40</w:t>
            </w:r>
          </w:p>
        </w:tc>
        <w:tc>
          <w:tcPr>
            <w:tcW w:w="248" w:type="dxa"/>
            <w:tcBorders>
              <w:top w:val="nil"/>
              <w:left w:val="single" w:sz="4" w:space="0" w:color="auto"/>
              <w:bottom w:val="nil"/>
              <w:right w:val="single" w:sz="8" w:space="0" w:color="auto"/>
            </w:tcBorders>
            <w:shd w:val="clear" w:color="000000" w:fill="FFCC00"/>
            <w:noWrap/>
            <w:vAlign w:val="center"/>
            <w:hideMark/>
          </w:tcPr>
          <w:p w14:paraId="18BEE9D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41</w:t>
            </w:r>
          </w:p>
        </w:tc>
      </w:tr>
      <w:tr w:rsidR="004358FB" w:rsidRPr="00AA476B" w14:paraId="138E15C6" w14:textId="77777777" w:rsidTr="004358FB">
        <w:trPr>
          <w:trHeight w:val="340"/>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56E2739E" w14:textId="40DAF8AE" w:rsidR="001D6087" w:rsidRPr="00AA476B" w:rsidRDefault="00D23C26"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Elaboración primer producto</w:t>
            </w:r>
          </w:p>
        </w:tc>
        <w:tc>
          <w:tcPr>
            <w:tcW w:w="1545" w:type="dxa"/>
            <w:tcBorders>
              <w:top w:val="nil"/>
              <w:left w:val="nil"/>
              <w:bottom w:val="single" w:sz="4" w:space="0" w:color="auto"/>
              <w:right w:val="single" w:sz="8" w:space="0" w:color="auto"/>
            </w:tcBorders>
            <w:shd w:val="clear" w:color="auto" w:fill="auto"/>
            <w:vAlign w:val="center"/>
            <w:hideMark/>
          </w:tcPr>
          <w:p w14:paraId="487A5B20" w14:textId="4A8BC5F1"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D23C26" w:rsidRPr="00AA476B">
              <w:rPr>
                <w:rFonts w:ascii="Times New Roman" w:eastAsia="Times New Roman" w:hAnsi="Times New Roman" w:cs="Times New Roman"/>
                <w:sz w:val="20"/>
                <w:szCs w:val="20"/>
                <w:lang w:eastAsia="es-CO"/>
              </w:rPr>
              <w:t>Jaime Sandoval</w:t>
            </w:r>
            <w:r w:rsidR="002265DC" w:rsidRPr="00AA476B">
              <w:rPr>
                <w:rFonts w:ascii="Times New Roman" w:eastAsia="Times New Roman" w:hAnsi="Times New Roman" w:cs="Times New Roman"/>
                <w:sz w:val="20"/>
                <w:szCs w:val="20"/>
                <w:lang w:eastAsia="es-CO"/>
              </w:rPr>
              <w:t xml:space="preserve">/ </w:t>
            </w:r>
            <w:r w:rsidR="00B17857" w:rsidRPr="00AA476B">
              <w:rPr>
                <w:rFonts w:ascii="Times New Roman" w:eastAsia="Times New Roman" w:hAnsi="Times New Roman" w:cs="Times New Roman"/>
                <w:sz w:val="20"/>
                <w:szCs w:val="20"/>
                <w:lang w:eastAsia="es-CO"/>
              </w:rPr>
              <w:t>Juan Guillermo Duràn</w:t>
            </w:r>
          </w:p>
        </w:tc>
        <w:tc>
          <w:tcPr>
            <w:tcW w:w="620" w:type="dxa"/>
            <w:tcBorders>
              <w:top w:val="single" w:sz="8" w:space="0" w:color="auto"/>
              <w:left w:val="single" w:sz="8" w:space="0" w:color="auto"/>
              <w:bottom w:val="nil"/>
              <w:right w:val="single" w:sz="8" w:space="0" w:color="auto"/>
            </w:tcBorders>
            <w:shd w:val="clear" w:color="000000" w:fill="C0C0C0"/>
            <w:vAlign w:val="center"/>
            <w:hideMark/>
          </w:tcPr>
          <w:p w14:paraId="1906B597"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nil"/>
              <w:left w:val="nil"/>
              <w:bottom w:val="nil"/>
              <w:right w:val="nil"/>
            </w:tcBorders>
            <w:shd w:val="clear" w:color="000000" w:fill="FF8080"/>
            <w:vAlign w:val="center"/>
            <w:hideMark/>
          </w:tcPr>
          <w:p w14:paraId="317128F7"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p>
        </w:tc>
        <w:tc>
          <w:tcPr>
            <w:tcW w:w="194" w:type="dxa"/>
            <w:tcBorders>
              <w:top w:val="nil"/>
              <w:left w:val="single" w:sz="4" w:space="0" w:color="auto"/>
              <w:bottom w:val="nil"/>
              <w:right w:val="single" w:sz="4" w:space="0" w:color="auto"/>
            </w:tcBorders>
            <w:shd w:val="diagCross" w:color="000000" w:fill="C0C0C0"/>
            <w:vAlign w:val="center"/>
            <w:hideMark/>
          </w:tcPr>
          <w:p w14:paraId="5D3D4DA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13D96CF8" w14:textId="4ED3BBB2"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r w:rsidR="00D23C26" w:rsidRPr="00AA476B">
              <w:rPr>
                <w:rFonts w:ascii="Times New Roman" w:eastAsia="Times New Roman" w:hAnsi="Times New Roman" w:cs="Times New Roman"/>
                <w:sz w:val="16"/>
                <w:szCs w:val="16"/>
                <w:lang w:eastAsia="es-CO"/>
              </w:rPr>
              <w:t>X</w:t>
            </w:r>
          </w:p>
        </w:tc>
        <w:tc>
          <w:tcPr>
            <w:tcW w:w="231" w:type="dxa"/>
            <w:tcBorders>
              <w:top w:val="nil"/>
              <w:left w:val="single" w:sz="4" w:space="0" w:color="auto"/>
              <w:bottom w:val="single" w:sz="4" w:space="0" w:color="auto"/>
              <w:right w:val="nil"/>
            </w:tcBorders>
            <w:shd w:val="clear" w:color="auto" w:fill="auto"/>
            <w:vAlign w:val="center"/>
            <w:hideMark/>
          </w:tcPr>
          <w:p w14:paraId="17362363" w14:textId="7462F62F"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12F856C6" w14:textId="0E87F743"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5C259A2F" w14:textId="11258B67"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2998D604" w14:textId="68619B86"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6757223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14C915E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015A7BB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402" w:type="dxa"/>
            <w:gridSpan w:val="2"/>
            <w:tcBorders>
              <w:top w:val="single" w:sz="8" w:space="0" w:color="auto"/>
              <w:left w:val="nil"/>
              <w:bottom w:val="single" w:sz="4" w:space="0" w:color="auto"/>
              <w:right w:val="nil"/>
            </w:tcBorders>
            <w:shd w:val="clear" w:color="auto" w:fill="auto"/>
            <w:vAlign w:val="center"/>
            <w:hideMark/>
          </w:tcPr>
          <w:p w14:paraId="0749D15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35EFA0C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44F72EB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59C925B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14B8862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5FFEB4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5F2ADF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0A095B3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23FC149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18AE714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73D29E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007E679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473" w:type="dxa"/>
            <w:gridSpan w:val="3"/>
            <w:tcBorders>
              <w:top w:val="single" w:sz="8" w:space="0" w:color="auto"/>
              <w:left w:val="nil"/>
              <w:bottom w:val="single" w:sz="4" w:space="0" w:color="auto"/>
              <w:right w:val="nil"/>
            </w:tcBorders>
            <w:shd w:val="clear" w:color="auto" w:fill="auto"/>
            <w:vAlign w:val="center"/>
            <w:hideMark/>
          </w:tcPr>
          <w:p w14:paraId="0C58639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35F28FD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358548F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554C244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6517E89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6142E94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EFC55B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171DA5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57D1718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8FC230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1BD9849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02C13B2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A07F36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E11B04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7A3856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742A24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32595FF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9C3EB4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C25435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C94CD2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155CF396" w14:textId="77777777" w:rsidTr="004358FB">
        <w:trPr>
          <w:trHeight w:val="321"/>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4CE61BE7" w14:textId="26A75459"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Elaboración Segundo Producto</w:t>
            </w:r>
          </w:p>
        </w:tc>
        <w:tc>
          <w:tcPr>
            <w:tcW w:w="1545" w:type="dxa"/>
            <w:tcBorders>
              <w:top w:val="nil"/>
              <w:left w:val="nil"/>
              <w:bottom w:val="single" w:sz="4" w:space="0" w:color="auto"/>
              <w:right w:val="single" w:sz="8" w:space="0" w:color="auto"/>
            </w:tcBorders>
            <w:shd w:val="clear" w:color="auto" w:fill="auto"/>
            <w:vAlign w:val="center"/>
            <w:hideMark/>
          </w:tcPr>
          <w:p w14:paraId="32C957FE" w14:textId="51B91F80"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Jaime Sandoval/</w:t>
            </w:r>
            <w:r w:rsidR="00B17857" w:rsidRPr="00AA476B">
              <w:rPr>
                <w:rFonts w:ascii="Times New Roman" w:eastAsia="Times New Roman" w:hAnsi="Times New Roman" w:cs="Times New Roman"/>
                <w:sz w:val="20"/>
                <w:szCs w:val="20"/>
                <w:lang w:eastAsia="es-CO"/>
              </w:rPr>
              <w:t>Juan Guillermo Durán</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1417467"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771B780B"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73D93C1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6FE37FE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05AE54E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0BFCCEC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7C94A6F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6DD63E4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4F20F17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3DDBD51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358BC1E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4D9AAB3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41A8015A" w14:textId="7FCBC096"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6548AA64" w14:textId="46A82E08"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FBDB038" w14:textId="3CFAC658"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1B1E31C8" w14:textId="7B97E4D9"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0688C89" w14:textId="0D335298"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5E45D86" w14:textId="04F44B24"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4E4E453" w14:textId="2AF36737"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6C182DB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69F0FC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4F2D7C5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1F080C3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12C9886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58838D6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49D446B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6FA8B67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366CB59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038045D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6B0421F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1898114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CDB466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327C79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481FAE5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270F17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1EC273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BAA342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6BA01A6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821D7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563B35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CE32F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52B06B1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509D6A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57BC6E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88BC6F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4986D8B3" w14:textId="77777777" w:rsidTr="004358FB">
        <w:trPr>
          <w:trHeight w:val="321"/>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29F96CA7" w14:textId="6EF3ACCD"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Elaboración Ponencia Internacional</w:t>
            </w:r>
          </w:p>
        </w:tc>
        <w:tc>
          <w:tcPr>
            <w:tcW w:w="1545" w:type="dxa"/>
            <w:tcBorders>
              <w:top w:val="nil"/>
              <w:left w:val="nil"/>
              <w:bottom w:val="single" w:sz="4" w:space="0" w:color="auto"/>
              <w:right w:val="single" w:sz="8" w:space="0" w:color="auto"/>
            </w:tcBorders>
            <w:shd w:val="clear" w:color="auto" w:fill="auto"/>
            <w:vAlign w:val="center"/>
            <w:hideMark/>
          </w:tcPr>
          <w:p w14:paraId="60CA0E1E" w14:textId="12DFADC5"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Jaime Sandoval</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28C91BB"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25BF7DF0"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3E4F333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7F6C5BF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7B11A35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6EB3536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7094B0A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1349BCB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0ED9FF1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5C1CE9A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5C3D928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412A0D9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05594D6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4DFC1F1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5C40D28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3DD9487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53BE5C7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8ED390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FB0F96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35C27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11729F3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5527E21" w14:textId="6014104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r w:rsidR="002265DC" w:rsidRPr="00AA476B">
              <w:rPr>
                <w:rFonts w:ascii="Times New Roman" w:eastAsia="Times New Roman" w:hAnsi="Times New Roman" w:cs="Times New Roman"/>
                <w:sz w:val="16"/>
                <w:szCs w:val="16"/>
                <w:lang w:eastAsia="es-CO"/>
              </w:rPr>
              <w:t>X</w:t>
            </w:r>
          </w:p>
        </w:tc>
        <w:tc>
          <w:tcPr>
            <w:tcW w:w="248" w:type="dxa"/>
            <w:tcBorders>
              <w:top w:val="nil"/>
              <w:left w:val="nil"/>
              <w:bottom w:val="single" w:sz="4" w:space="0" w:color="auto"/>
              <w:right w:val="single" w:sz="4" w:space="0" w:color="auto"/>
            </w:tcBorders>
            <w:shd w:val="clear" w:color="auto" w:fill="auto"/>
            <w:vAlign w:val="center"/>
            <w:hideMark/>
          </w:tcPr>
          <w:p w14:paraId="78BDBBEF" w14:textId="7CC163A8"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21DFBB15" w14:textId="22192B81"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1F18E6D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195C1076" w14:textId="28C46B61"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BF0303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4877AF4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328B772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2B67F16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DA415F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AEC7F8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4DE41D4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4343129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F2D0BB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E28262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654D885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6A74D63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F4AB69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04B00E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86DFC5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1E76D42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FB58C4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2D3247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7929895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4E705CF4" w14:textId="77777777" w:rsidTr="004358FB">
        <w:trPr>
          <w:trHeight w:val="321"/>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553432CD" w14:textId="1A4150E1"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Elaboración Ponencia Nacional</w:t>
            </w:r>
          </w:p>
        </w:tc>
        <w:tc>
          <w:tcPr>
            <w:tcW w:w="1545" w:type="dxa"/>
            <w:tcBorders>
              <w:top w:val="nil"/>
              <w:left w:val="nil"/>
              <w:bottom w:val="single" w:sz="4" w:space="0" w:color="auto"/>
              <w:right w:val="single" w:sz="8" w:space="0" w:color="auto"/>
            </w:tcBorders>
            <w:shd w:val="clear" w:color="auto" w:fill="auto"/>
            <w:vAlign w:val="center"/>
            <w:hideMark/>
          </w:tcPr>
          <w:p w14:paraId="4E8DD244" w14:textId="13565D3E"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Jaime Sandoval</w:t>
            </w:r>
            <w:r w:rsidR="00B17857" w:rsidRPr="00AA476B">
              <w:rPr>
                <w:rFonts w:ascii="Times New Roman" w:eastAsia="Times New Roman" w:hAnsi="Times New Roman" w:cs="Times New Roman"/>
                <w:sz w:val="20"/>
                <w:szCs w:val="20"/>
                <w:lang w:eastAsia="es-CO"/>
              </w:rPr>
              <w:t xml:space="preserve">/ Juan Guillermo Durán </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1C854D8"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6D6BA9A6"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5658349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10E5BB3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584B7E8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6341C33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6CEA8AA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7CD58CD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278A120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76E1F68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55BC438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3278919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567693D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1E118EB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29D01D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7C5D26A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1CA14E7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34C8EE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B14674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8C9E8F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34FB99C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33477B2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584B62E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5F1EF1F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41348E3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1840511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672831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21AFC1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0046D5C2" w14:textId="08CEB856"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38831233" w14:textId="7D8270E3"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175DF424" w14:textId="1031B6C5"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r w:rsidR="002265DC" w:rsidRPr="00AA476B">
              <w:rPr>
                <w:rFonts w:ascii="Times New Roman" w:eastAsia="Times New Roman" w:hAnsi="Times New Roman" w:cs="Times New Roman"/>
                <w:sz w:val="16"/>
                <w:szCs w:val="16"/>
                <w:lang w:eastAsia="es-CO"/>
              </w:rPr>
              <w:t>x</w:t>
            </w:r>
          </w:p>
        </w:tc>
        <w:tc>
          <w:tcPr>
            <w:tcW w:w="248" w:type="dxa"/>
            <w:tcBorders>
              <w:top w:val="nil"/>
              <w:left w:val="single" w:sz="4" w:space="0" w:color="auto"/>
              <w:bottom w:val="single" w:sz="4" w:space="0" w:color="auto"/>
              <w:right w:val="nil"/>
            </w:tcBorders>
            <w:shd w:val="clear" w:color="auto" w:fill="auto"/>
            <w:vAlign w:val="center"/>
            <w:hideMark/>
          </w:tcPr>
          <w:p w14:paraId="0A6BC121" w14:textId="5E3D523F"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r w:rsidR="002265DC" w:rsidRPr="00AA476B">
              <w:rPr>
                <w:rFonts w:ascii="Times New Roman" w:eastAsia="Times New Roman" w:hAnsi="Times New Roman" w:cs="Times New Roman"/>
                <w:sz w:val="16"/>
                <w:szCs w:val="16"/>
                <w:lang w:eastAsia="es-CO"/>
              </w:rPr>
              <w:t>x</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62DCBD5E" w14:textId="71891AF1"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4959A9B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FCFF6B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3839B22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873BDC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2B439B8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BB2AB5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064EB6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6AA76F0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345AA08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3CD3E1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3D423D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C70CCD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577F7B00" w14:textId="77777777" w:rsidTr="004358FB">
        <w:trPr>
          <w:trHeight w:val="321"/>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47AAE398" w14:textId="1E108878"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Revisión Primer producto /Artículo</w:t>
            </w:r>
          </w:p>
        </w:tc>
        <w:tc>
          <w:tcPr>
            <w:tcW w:w="1545" w:type="dxa"/>
            <w:tcBorders>
              <w:top w:val="nil"/>
              <w:left w:val="nil"/>
              <w:bottom w:val="single" w:sz="4" w:space="0" w:color="auto"/>
              <w:right w:val="single" w:sz="8" w:space="0" w:color="auto"/>
            </w:tcBorders>
            <w:shd w:val="clear" w:color="auto" w:fill="auto"/>
            <w:vAlign w:val="center"/>
            <w:hideMark/>
          </w:tcPr>
          <w:p w14:paraId="01EA07BA" w14:textId="42464C10"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Jaime Sandoval</w:t>
            </w:r>
            <w:r w:rsidR="00B17857" w:rsidRPr="00AA476B">
              <w:rPr>
                <w:rFonts w:ascii="Times New Roman" w:eastAsia="Times New Roman" w:hAnsi="Times New Roman" w:cs="Times New Roman"/>
                <w:sz w:val="20"/>
                <w:szCs w:val="20"/>
                <w:lang w:eastAsia="es-CO"/>
              </w:rPr>
              <w:t>/ Juan Guillermo Durán</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A372551"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009F577E"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7BEC36A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2FFAB1D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3F84801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59337C3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27309C0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0EDF6B4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2C2434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040D4F4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0DA7A28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7312C3F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31F40FE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B11F30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AA5D1B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466A9EA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0355A31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75F9B0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9CC23C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78666C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6A2100E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0F2CBBB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422A49D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6B5FF90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5BE14A4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6CEC2DD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3BA7379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190D905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3866978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52CF9B3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18254E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00056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81175E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40E478B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7F8D46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3FF898C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F09063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83F7D1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6AE956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2A747A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675597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7EF6FF9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64B8A61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AC79C0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76B9F88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1AC18940" w14:textId="77777777" w:rsidTr="004358FB">
        <w:trPr>
          <w:trHeight w:val="302"/>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509E9EDE" w14:textId="2B241C44"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Revisión Segundo producto de Investigación/ Artículo</w:t>
            </w:r>
          </w:p>
        </w:tc>
        <w:tc>
          <w:tcPr>
            <w:tcW w:w="1545" w:type="dxa"/>
            <w:tcBorders>
              <w:top w:val="nil"/>
              <w:left w:val="nil"/>
              <w:bottom w:val="single" w:sz="4" w:space="0" w:color="auto"/>
              <w:right w:val="single" w:sz="8" w:space="0" w:color="auto"/>
            </w:tcBorders>
            <w:shd w:val="clear" w:color="auto" w:fill="auto"/>
            <w:vAlign w:val="center"/>
            <w:hideMark/>
          </w:tcPr>
          <w:p w14:paraId="70418BC1" w14:textId="550C24C5"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2265DC" w:rsidRPr="00AA476B">
              <w:rPr>
                <w:rFonts w:ascii="Times New Roman" w:eastAsia="Times New Roman" w:hAnsi="Times New Roman" w:cs="Times New Roman"/>
                <w:sz w:val="20"/>
                <w:szCs w:val="20"/>
                <w:lang w:eastAsia="es-CO"/>
              </w:rPr>
              <w:t>Jaime Sandoval</w:t>
            </w:r>
            <w:r w:rsidR="00B17857" w:rsidRPr="00AA476B">
              <w:rPr>
                <w:rFonts w:ascii="Times New Roman" w:eastAsia="Times New Roman" w:hAnsi="Times New Roman" w:cs="Times New Roman"/>
                <w:sz w:val="20"/>
                <w:szCs w:val="20"/>
                <w:lang w:eastAsia="es-CO"/>
              </w:rPr>
              <w:t>/Juan Guillermo Durán</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D9B548A"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6B06FB7C"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05EABD9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1977C89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2356D29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54DA029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4AA2078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4507105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3B09EA9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067868D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5459A68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0E55DD3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0F14307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14951D6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3794D04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63071CE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2ED372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1693CC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D4CF92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4CFE3D3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07FE85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5601E8C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24C5F4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66F0151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2365D53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14B1923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B43561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614BACB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2F2CDC7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6711A23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2A89A0B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7CE6E91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4189E19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619F3E0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51BA840" w14:textId="49EA065C"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11275F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C437E76" w14:textId="3202C8F2"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4573B88" w14:textId="2FE3B75E"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1937400" w14:textId="4DFE679D"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0D5E231" w14:textId="33D9E367"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8534280" w14:textId="48F5B970"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4D2AF407" w14:textId="15D7E16C"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3E08DFC" w14:textId="15EF96A6" w:rsidR="001D6087" w:rsidRPr="00AA476B" w:rsidRDefault="002265DC"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8B39D1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7D9D689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2537DEFC" w14:textId="77777777" w:rsidTr="004358FB">
        <w:trPr>
          <w:trHeight w:val="302"/>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0DBB186C" w14:textId="4F3D6962"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CA1258" w:rsidRPr="00AA476B">
              <w:rPr>
                <w:rFonts w:ascii="Times New Roman" w:eastAsia="Times New Roman" w:hAnsi="Times New Roman" w:cs="Times New Roman"/>
                <w:sz w:val="20"/>
                <w:szCs w:val="20"/>
                <w:lang w:eastAsia="es-CO"/>
              </w:rPr>
              <w:t>Entrega informe de avance</w:t>
            </w:r>
          </w:p>
        </w:tc>
        <w:tc>
          <w:tcPr>
            <w:tcW w:w="1545" w:type="dxa"/>
            <w:tcBorders>
              <w:top w:val="nil"/>
              <w:left w:val="nil"/>
              <w:bottom w:val="single" w:sz="4" w:space="0" w:color="auto"/>
              <w:right w:val="single" w:sz="8" w:space="0" w:color="auto"/>
            </w:tcBorders>
            <w:shd w:val="clear" w:color="auto" w:fill="auto"/>
            <w:vAlign w:val="center"/>
            <w:hideMark/>
          </w:tcPr>
          <w:p w14:paraId="5DA4953D" w14:textId="56CBFE09"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B17857" w:rsidRPr="00AA476B">
              <w:rPr>
                <w:rFonts w:ascii="Times New Roman" w:eastAsia="Times New Roman" w:hAnsi="Times New Roman" w:cs="Times New Roman"/>
                <w:sz w:val="20"/>
                <w:szCs w:val="20"/>
                <w:lang w:eastAsia="es-CO"/>
              </w:rPr>
              <w:t>Jaime Sandoval</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DFE333C"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6C0031C0"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5E81925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2BD86D6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28EAA33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4C83A2A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7103092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1C82F10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6664E3D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4784C01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4AC8F84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1AEAC80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3C0808B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1B42FDF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416C4E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288BA9C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10FD206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9D17CA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4A77C4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8570AA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E3F98B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68D31A6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05A8743B"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2A7F9F4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7D0D2D58" w14:textId="0200C4A0"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7D9173A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500F33C6" w14:textId="7283D070"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24205DF" w14:textId="45E0603C"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69E83F22" w14:textId="4BD8BED4"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0DCAF6C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3E69508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69436C5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AA1086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6ECBF80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1F66575"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49EEF6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605226B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AA4297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16D6FAF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067B06C"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34E80A6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44E321B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890B08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1D14FC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5EFA27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r>
      <w:tr w:rsidR="004358FB" w:rsidRPr="00AA476B" w14:paraId="5C5ABCD6" w14:textId="77777777" w:rsidTr="004358FB">
        <w:trPr>
          <w:trHeight w:val="302"/>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6B722EC7" w14:textId="4D58BDC6"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CA1258" w:rsidRPr="00AA476B">
              <w:rPr>
                <w:rFonts w:ascii="Times New Roman" w:eastAsia="Times New Roman" w:hAnsi="Times New Roman" w:cs="Times New Roman"/>
                <w:sz w:val="20"/>
                <w:szCs w:val="20"/>
                <w:lang w:eastAsia="es-CO"/>
              </w:rPr>
              <w:t>Entrega informe final</w:t>
            </w:r>
          </w:p>
        </w:tc>
        <w:tc>
          <w:tcPr>
            <w:tcW w:w="1545" w:type="dxa"/>
            <w:tcBorders>
              <w:top w:val="nil"/>
              <w:left w:val="nil"/>
              <w:bottom w:val="single" w:sz="4" w:space="0" w:color="auto"/>
              <w:right w:val="single" w:sz="8" w:space="0" w:color="auto"/>
            </w:tcBorders>
            <w:shd w:val="clear" w:color="auto" w:fill="auto"/>
            <w:vAlign w:val="center"/>
            <w:hideMark/>
          </w:tcPr>
          <w:p w14:paraId="16798234" w14:textId="5D84EEB7" w:rsidR="001D6087" w:rsidRPr="00AA476B" w:rsidRDefault="001D6087" w:rsidP="001D6087">
            <w:pPr>
              <w:spacing w:after="0" w:line="240" w:lineRule="auto"/>
              <w:rPr>
                <w:rFonts w:ascii="Times New Roman" w:eastAsia="Times New Roman" w:hAnsi="Times New Roman" w:cs="Times New Roman"/>
                <w:sz w:val="20"/>
                <w:szCs w:val="20"/>
                <w:lang w:eastAsia="es-CO"/>
              </w:rPr>
            </w:pPr>
            <w:r w:rsidRPr="00AA476B">
              <w:rPr>
                <w:rFonts w:ascii="Times New Roman" w:eastAsia="Times New Roman" w:hAnsi="Times New Roman" w:cs="Times New Roman"/>
                <w:sz w:val="20"/>
                <w:szCs w:val="20"/>
                <w:lang w:eastAsia="es-CO"/>
              </w:rPr>
              <w:t> </w:t>
            </w:r>
            <w:r w:rsidR="00B17857" w:rsidRPr="00AA476B">
              <w:rPr>
                <w:rFonts w:ascii="Times New Roman" w:eastAsia="Times New Roman" w:hAnsi="Times New Roman" w:cs="Times New Roman"/>
                <w:sz w:val="20"/>
                <w:szCs w:val="20"/>
                <w:lang w:eastAsia="es-CO"/>
              </w:rPr>
              <w:t>Jaime Sandoval</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E84CCBF"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57AF9CA4" w14:textId="77777777" w:rsidR="001D6087" w:rsidRPr="00AA476B" w:rsidRDefault="001D6087" w:rsidP="001D6087">
            <w:pPr>
              <w:spacing w:after="0" w:line="240" w:lineRule="auto"/>
              <w:jc w:val="center"/>
              <w:rPr>
                <w:rFonts w:ascii="Times New Roman" w:eastAsia="Times New Roman" w:hAnsi="Times New Roman" w:cs="Times New Roman"/>
                <w:b/>
                <w:bCs/>
                <w:sz w:val="14"/>
                <w:szCs w:val="14"/>
                <w:lang w:eastAsia="es-CO"/>
              </w:rPr>
            </w:pPr>
            <w:r w:rsidRPr="00AA476B">
              <w:rPr>
                <w:rFonts w:ascii="Times New Roman" w:eastAsia="Times New Roman" w:hAnsi="Times New Roman" w:cs="Times New Roman"/>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071936F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6D5D7C96"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368179C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202AC2A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237A734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2BA6741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2BC080C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1318434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24D8F7F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32ADB96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4DADF21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252C4D9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FAA7F4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3AE1178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684FE53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C18522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C149BB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2DA613B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74E5C3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7433BD68"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FF6376A"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23B8C86F"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02EE059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005965B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009F307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61304B0"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52A7BE1E"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0835715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5492A4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62E70D2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4F06F94"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26F55583"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2CDE46C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664DFF02"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93CCAD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0C3E6F2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23AE4DD"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86AC6E1"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735C8259"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3F017DA7" w14:textId="77777777" w:rsidR="001D6087" w:rsidRPr="00AA476B" w:rsidRDefault="001D6087"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73E4A1B" w14:textId="607520FB"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6BADD0DD" w14:textId="087F250A"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06328D13" w14:textId="10BC9AAC" w:rsidR="001D6087" w:rsidRPr="00AA476B" w:rsidRDefault="00CA1258" w:rsidP="001D6087">
            <w:pPr>
              <w:spacing w:after="0" w:line="240" w:lineRule="auto"/>
              <w:jc w:val="center"/>
              <w:rPr>
                <w:rFonts w:ascii="Times New Roman" w:eastAsia="Times New Roman" w:hAnsi="Times New Roman" w:cs="Times New Roman"/>
                <w:sz w:val="16"/>
                <w:szCs w:val="16"/>
                <w:lang w:eastAsia="es-CO"/>
              </w:rPr>
            </w:pPr>
            <w:r w:rsidRPr="00AA476B">
              <w:rPr>
                <w:rFonts w:ascii="Times New Roman" w:eastAsia="Times New Roman" w:hAnsi="Times New Roman" w:cs="Times New Roman"/>
                <w:sz w:val="16"/>
                <w:szCs w:val="16"/>
                <w:lang w:eastAsia="es-CO"/>
              </w:rPr>
              <w:t>X</w:t>
            </w:r>
            <w:r w:rsidR="001D6087" w:rsidRPr="00AA476B">
              <w:rPr>
                <w:rFonts w:ascii="Times New Roman" w:eastAsia="Times New Roman" w:hAnsi="Times New Roman" w:cs="Times New Roman"/>
                <w:sz w:val="16"/>
                <w:szCs w:val="16"/>
                <w:lang w:eastAsia="es-CO"/>
              </w:rPr>
              <w:t> </w:t>
            </w:r>
          </w:p>
        </w:tc>
      </w:tr>
      <w:tr w:rsidR="004358FB" w:rsidRPr="001D6087" w14:paraId="14140514" w14:textId="77777777" w:rsidTr="004358FB">
        <w:trPr>
          <w:trHeight w:val="302"/>
        </w:trPr>
        <w:tc>
          <w:tcPr>
            <w:tcW w:w="1461" w:type="dxa"/>
            <w:tcBorders>
              <w:top w:val="nil"/>
              <w:left w:val="single" w:sz="8" w:space="0" w:color="auto"/>
              <w:bottom w:val="single" w:sz="4" w:space="0" w:color="auto"/>
              <w:right w:val="single" w:sz="8" w:space="0" w:color="auto"/>
            </w:tcBorders>
            <w:shd w:val="clear" w:color="auto" w:fill="auto"/>
            <w:vAlign w:val="center"/>
            <w:hideMark/>
          </w:tcPr>
          <w:p w14:paraId="200B3AA8"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45" w:type="dxa"/>
            <w:tcBorders>
              <w:top w:val="nil"/>
              <w:left w:val="nil"/>
              <w:bottom w:val="single" w:sz="4" w:space="0" w:color="auto"/>
              <w:right w:val="single" w:sz="8" w:space="0" w:color="auto"/>
            </w:tcBorders>
            <w:shd w:val="clear" w:color="auto" w:fill="auto"/>
            <w:vAlign w:val="center"/>
            <w:hideMark/>
          </w:tcPr>
          <w:p w14:paraId="69D5FB7F"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2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511E2761"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03" w:type="dxa"/>
            <w:tcBorders>
              <w:top w:val="single" w:sz="4" w:space="0" w:color="auto"/>
              <w:left w:val="nil"/>
              <w:bottom w:val="single" w:sz="4" w:space="0" w:color="auto"/>
              <w:right w:val="single" w:sz="4" w:space="0" w:color="auto"/>
            </w:tcBorders>
            <w:shd w:val="clear" w:color="000000" w:fill="FF8080"/>
            <w:vAlign w:val="center"/>
            <w:hideMark/>
          </w:tcPr>
          <w:p w14:paraId="0CD991D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4" w:type="dxa"/>
            <w:tcBorders>
              <w:top w:val="nil"/>
              <w:left w:val="single" w:sz="4" w:space="0" w:color="auto"/>
              <w:bottom w:val="nil"/>
              <w:right w:val="single" w:sz="4" w:space="0" w:color="auto"/>
            </w:tcBorders>
            <w:shd w:val="diagCross" w:color="000000" w:fill="C0C0C0"/>
            <w:vAlign w:val="center"/>
            <w:hideMark/>
          </w:tcPr>
          <w:p w14:paraId="11BC2079"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31" w:type="dxa"/>
            <w:tcBorders>
              <w:top w:val="nil"/>
              <w:left w:val="single" w:sz="8" w:space="0" w:color="auto"/>
              <w:bottom w:val="single" w:sz="4" w:space="0" w:color="auto"/>
              <w:right w:val="nil"/>
            </w:tcBorders>
            <w:shd w:val="clear" w:color="auto" w:fill="auto"/>
            <w:vAlign w:val="center"/>
            <w:hideMark/>
          </w:tcPr>
          <w:p w14:paraId="79368D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1" w:type="dxa"/>
            <w:tcBorders>
              <w:top w:val="nil"/>
              <w:left w:val="single" w:sz="4" w:space="0" w:color="auto"/>
              <w:bottom w:val="single" w:sz="4" w:space="0" w:color="auto"/>
              <w:right w:val="nil"/>
            </w:tcBorders>
            <w:shd w:val="clear" w:color="auto" w:fill="auto"/>
            <w:vAlign w:val="center"/>
            <w:hideMark/>
          </w:tcPr>
          <w:p w14:paraId="3CD04C2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1" w:type="dxa"/>
            <w:tcBorders>
              <w:top w:val="nil"/>
              <w:left w:val="single" w:sz="4" w:space="0" w:color="auto"/>
              <w:bottom w:val="single" w:sz="4" w:space="0" w:color="auto"/>
              <w:right w:val="single" w:sz="4" w:space="0" w:color="auto"/>
            </w:tcBorders>
            <w:shd w:val="clear" w:color="auto" w:fill="auto"/>
            <w:vAlign w:val="center"/>
            <w:hideMark/>
          </w:tcPr>
          <w:p w14:paraId="1E0569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50B1FE9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578083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4" w:type="dxa"/>
            <w:tcBorders>
              <w:top w:val="nil"/>
              <w:left w:val="single" w:sz="4" w:space="0" w:color="auto"/>
              <w:bottom w:val="single" w:sz="4" w:space="0" w:color="auto"/>
              <w:right w:val="single" w:sz="4" w:space="0" w:color="auto"/>
            </w:tcBorders>
            <w:shd w:val="clear" w:color="auto" w:fill="auto"/>
            <w:vAlign w:val="center"/>
            <w:hideMark/>
          </w:tcPr>
          <w:p w14:paraId="7849679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4" w:type="dxa"/>
            <w:tcBorders>
              <w:top w:val="nil"/>
              <w:left w:val="nil"/>
              <w:bottom w:val="single" w:sz="4" w:space="0" w:color="auto"/>
              <w:right w:val="single" w:sz="4" w:space="0" w:color="auto"/>
            </w:tcBorders>
            <w:shd w:val="clear" w:color="auto" w:fill="auto"/>
            <w:vAlign w:val="center"/>
            <w:hideMark/>
          </w:tcPr>
          <w:p w14:paraId="33188FA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14:paraId="504B0A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0" w:type="dxa"/>
            <w:tcBorders>
              <w:top w:val="nil"/>
              <w:left w:val="nil"/>
              <w:bottom w:val="single" w:sz="4" w:space="0" w:color="auto"/>
              <w:right w:val="nil"/>
            </w:tcBorders>
            <w:shd w:val="clear" w:color="auto" w:fill="auto"/>
            <w:vAlign w:val="center"/>
            <w:hideMark/>
          </w:tcPr>
          <w:p w14:paraId="69CF4F8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2" w:type="dxa"/>
            <w:tcBorders>
              <w:top w:val="nil"/>
              <w:left w:val="nil"/>
              <w:bottom w:val="single" w:sz="4" w:space="0" w:color="auto"/>
              <w:right w:val="nil"/>
            </w:tcBorders>
            <w:shd w:val="clear" w:color="auto" w:fill="auto"/>
            <w:vAlign w:val="center"/>
            <w:hideMark/>
          </w:tcPr>
          <w:p w14:paraId="512ABD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6FC1CC1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78BFE9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757FB7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3FBF90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331F3D9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508B329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07205E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7FDE4B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0DF4F0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08C4E5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04AF7F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2" w:type="dxa"/>
            <w:gridSpan w:val="2"/>
            <w:tcBorders>
              <w:top w:val="nil"/>
              <w:left w:val="nil"/>
              <w:bottom w:val="single" w:sz="4" w:space="0" w:color="auto"/>
              <w:right w:val="nil"/>
            </w:tcBorders>
            <w:shd w:val="clear" w:color="auto" w:fill="auto"/>
            <w:vAlign w:val="center"/>
            <w:hideMark/>
          </w:tcPr>
          <w:p w14:paraId="5BB175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1" w:type="dxa"/>
            <w:tcBorders>
              <w:top w:val="nil"/>
              <w:left w:val="nil"/>
              <w:bottom w:val="single" w:sz="4" w:space="0" w:color="auto"/>
              <w:right w:val="nil"/>
            </w:tcBorders>
            <w:shd w:val="clear" w:color="auto" w:fill="auto"/>
            <w:vAlign w:val="center"/>
            <w:hideMark/>
          </w:tcPr>
          <w:p w14:paraId="41E4FD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4" w:space="0" w:color="auto"/>
            </w:tcBorders>
            <w:shd w:val="clear" w:color="auto" w:fill="auto"/>
            <w:vAlign w:val="center"/>
            <w:hideMark/>
          </w:tcPr>
          <w:p w14:paraId="08E08F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4" w:space="0" w:color="auto"/>
            </w:tcBorders>
            <w:shd w:val="clear" w:color="auto" w:fill="auto"/>
            <w:vAlign w:val="center"/>
            <w:hideMark/>
          </w:tcPr>
          <w:p w14:paraId="29E264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single" w:sz="8" w:space="0" w:color="auto"/>
            </w:tcBorders>
            <w:shd w:val="clear" w:color="auto" w:fill="auto"/>
            <w:vAlign w:val="center"/>
            <w:hideMark/>
          </w:tcPr>
          <w:p w14:paraId="6D272B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12C4BF0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20E16E8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35AC6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4C6FAE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4" w:type="dxa"/>
            <w:tcBorders>
              <w:top w:val="nil"/>
              <w:left w:val="nil"/>
              <w:bottom w:val="single" w:sz="4" w:space="0" w:color="auto"/>
              <w:right w:val="nil"/>
            </w:tcBorders>
            <w:shd w:val="clear" w:color="auto" w:fill="auto"/>
            <w:vAlign w:val="center"/>
            <w:hideMark/>
          </w:tcPr>
          <w:p w14:paraId="73899F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01A8EC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488E7E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1D93FF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nil"/>
              <w:bottom w:val="single" w:sz="4" w:space="0" w:color="auto"/>
              <w:right w:val="nil"/>
            </w:tcBorders>
            <w:shd w:val="clear" w:color="auto" w:fill="auto"/>
            <w:vAlign w:val="center"/>
            <w:hideMark/>
          </w:tcPr>
          <w:p w14:paraId="51B5EF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4BB7F33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6AF9A5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06610F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548999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DD521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nil"/>
            </w:tcBorders>
            <w:shd w:val="clear" w:color="auto" w:fill="auto"/>
            <w:vAlign w:val="center"/>
            <w:hideMark/>
          </w:tcPr>
          <w:p w14:paraId="346D2C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tcBorders>
              <w:top w:val="nil"/>
              <w:left w:val="single" w:sz="4" w:space="0" w:color="auto"/>
              <w:bottom w:val="single" w:sz="4" w:space="0" w:color="auto"/>
              <w:right w:val="single" w:sz="8" w:space="0" w:color="auto"/>
            </w:tcBorders>
            <w:shd w:val="clear" w:color="auto" w:fill="auto"/>
            <w:vAlign w:val="center"/>
            <w:hideMark/>
          </w:tcPr>
          <w:p w14:paraId="5B5983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14:paraId="73098F60" w14:textId="77777777"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5368B539" w14:textId="7D9526C1" w:rsidR="00B17857" w:rsidRPr="00AA476B" w:rsidRDefault="00B17857"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2FD1B34"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Presupuesto</w:t>
            </w:r>
          </w:p>
        </w:tc>
      </w:tr>
      <w:tr w:rsidR="00FF231C" w14:paraId="5FEA10F1" w14:textId="77777777"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50CE4EE2"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5B51B6E"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Horas nómina</w:t>
            </w:r>
          </w:p>
        </w:tc>
      </w:tr>
      <w:tr w:rsidR="00FF231C" w14:paraId="01C9547A" w14:textId="77777777"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198E06B"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0E62DCE"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97815DF"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EEBE446"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3AA15095"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99D4768" w14:textId="77777777" w:rsidR="00FF231C" w:rsidRPr="00AA476B"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AA476B">
              <w:rPr>
                <w:rFonts w:ascii="Times New Roman" w:eastAsia="Times New Roman" w:hAnsi="Times New Roman" w:cs="Times New Roman"/>
                <w:b/>
                <w:bCs/>
                <w:color w:val="222222"/>
                <w:sz w:val="24"/>
                <w:szCs w:val="24"/>
                <w:lang w:eastAsia="es-CO"/>
              </w:rPr>
              <w:t>Total ($)</w:t>
            </w:r>
          </w:p>
        </w:tc>
      </w:tr>
      <w:tr w:rsidR="00FF231C" w14:paraId="7A0B5E33" w14:textId="77777777"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3BA6AD1" w14:textId="77777777" w:rsidR="00FF231C" w:rsidRPr="00AA476B" w:rsidRDefault="00FF231C"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A0AAFF" w14:textId="2D444AA5" w:rsidR="00FF231C" w:rsidRPr="00AA476B" w:rsidRDefault="004A58BE"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Jaime Alberto Sandoval Mesa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CCC5AA" w14:textId="2FF05A22" w:rsidR="00FF231C" w:rsidRPr="00AA476B" w:rsidRDefault="004A58BE"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C7DA1C" w14:textId="554F0D40" w:rsidR="00FF231C" w:rsidRPr="00AA476B" w:rsidRDefault="004A58BE"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2317FD2" w14:textId="77777777" w:rsidR="00FF231C" w:rsidRPr="00AA476B" w:rsidRDefault="00FF231C" w:rsidP="00FF231C">
            <w:pPr>
              <w:spacing w:after="0" w:line="240" w:lineRule="auto"/>
              <w:jc w:val="center"/>
              <w:rPr>
                <w:rFonts w:ascii="Times New Roman" w:eastAsia="Times New Roman" w:hAnsi="Times New Roman" w:cs="Times New Roman"/>
                <w:color w:val="222222"/>
                <w:sz w:val="24"/>
                <w:szCs w:val="24"/>
                <w:lang w:eastAsia="es-CO"/>
              </w:rPr>
            </w:pPr>
          </w:p>
          <w:p w14:paraId="5307255C" w14:textId="020D13B8" w:rsidR="004A58BE" w:rsidRPr="00AA476B" w:rsidRDefault="004A58BE"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31154F" w14:textId="38F3F095" w:rsidR="00FF231C"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12.880.000/10 meses</w:t>
            </w:r>
          </w:p>
        </w:tc>
      </w:tr>
      <w:tr w:rsidR="00FF231C" w14:paraId="54C781D7" w14:textId="77777777" w:rsidTr="00FF231C">
        <w:trPr>
          <w:trHeight w:val="275"/>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B5AD012" w14:textId="77777777" w:rsidR="00FF231C" w:rsidRPr="00AA476B" w:rsidRDefault="00FF231C" w:rsidP="00FF231C">
            <w:pPr>
              <w:spacing w:after="0"/>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ED2837" w14:textId="28A7A058" w:rsidR="00FF231C"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Juán Guillermo Durán Mantilla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2CB27A" w14:textId="41BF10EF" w:rsidR="00FF231C"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C7CCC2" w14:textId="4FE9DFB3" w:rsidR="00FF231C"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8006B30" w14:textId="77777777" w:rsidR="00FF231C" w:rsidRPr="00AA476B" w:rsidRDefault="00FF231C" w:rsidP="00FF231C">
            <w:pPr>
              <w:spacing w:after="0" w:line="240" w:lineRule="auto"/>
              <w:jc w:val="center"/>
              <w:rPr>
                <w:rFonts w:ascii="Times New Roman" w:eastAsia="Times New Roman" w:hAnsi="Times New Roman" w:cs="Times New Roman"/>
                <w:color w:val="222222"/>
                <w:sz w:val="24"/>
                <w:szCs w:val="24"/>
                <w:lang w:eastAsia="es-CO"/>
              </w:rPr>
            </w:pPr>
          </w:p>
          <w:p w14:paraId="6B071188" w14:textId="64E739FB" w:rsidR="000A2960"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386D58" w14:textId="4E4E2427" w:rsidR="00FF231C" w:rsidRPr="00AA476B" w:rsidRDefault="000A2960" w:rsidP="00FF231C">
            <w:pPr>
              <w:spacing w:after="0" w:line="240" w:lineRule="auto"/>
              <w:jc w:val="center"/>
              <w:rPr>
                <w:rFonts w:ascii="Times New Roman" w:eastAsia="Times New Roman" w:hAnsi="Times New Roman" w:cs="Times New Roman"/>
                <w:color w:val="222222"/>
                <w:sz w:val="24"/>
                <w:szCs w:val="24"/>
                <w:lang w:eastAsia="es-CO"/>
              </w:rPr>
            </w:pPr>
            <w:r w:rsidRPr="00AA476B">
              <w:rPr>
                <w:rFonts w:ascii="Times New Roman" w:eastAsia="Times New Roman" w:hAnsi="Times New Roman" w:cs="Times New Roman"/>
                <w:color w:val="222222"/>
                <w:sz w:val="24"/>
                <w:szCs w:val="24"/>
                <w:lang w:eastAsia="es-CO"/>
              </w:rPr>
              <w:t>3.000.000</w:t>
            </w:r>
          </w:p>
        </w:tc>
      </w:tr>
    </w:tbl>
    <w:p w14:paraId="4B843FBA" w14:textId="77777777"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14:paraId="515E8D67"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8DAE2B" w14:textId="77777777" w:rsidR="00FF231C" w:rsidRPr="00266174" w:rsidRDefault="00FF231C" w:rsidP="00ED1717">
            <w:pPr>
              <w:ind w:left="-108" w:right="-108"/>
              <w:jc w:val="center"/>
              <w:rPr>
                <w:rFonts w:ascii="Times New Roman" w:hAnsi="Times New Roman" w:cs="Times New Roman"/>
                <w:b/>
                <w:sz w:val="20"/>
                <w:szCs w:val="16"/>
              </w:rPr>
            </w:pPr>
            <w:r w:rsidRPr="00266174">
              <w:rPr>
                <w:rFonts w:ascii="Times New Roman" w:hAnsi="Times New Roman" w:cs="Times New Roman"/>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5F7B2A" w14:textId="77777777" w:rsidR="00FF231C" w:rsidRPr="00266174" w:rsidRDefault="00FF231C" w:rsidP="00ED1717">
            <w:pPr>
              <w:jc w:val="center"/>
              <w:rPr>
                <w:rFonts w:ascii="Times New Roman" w:hAnsi="Times New Roman" w:cs="Times New Roman"/>
                <w:b/>
                <w:sz w:val="20"/>
                <w:szCs w:val="16"/>
              </w:rPr>
            </w:pPr>
            <w:r w:rsidRPr="00266174">
              <w:rPr>
                <w:rFonts w:ascii="Times New Roman" w:hAnsi="Times New Roman" w:cs="Times New Roman"/>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04E866" w14:textId="77777777" w:rsidR="00FF231C" w:rsidRPr="00266174" w:rsidRDefault="00FF231C" w:rsidP="00ED1717">
            <w:pPr>
              <w:jc w:val="center"/>
              <w:rPr>
                <w:rFonts w:ascii="Times New Roman" w:hAnsi="Times New Roman" w:cs="Times New Roman"/>
                <w:b/>
                <w:sz w:val="20"/>
                <w:szCs w:val="16"/>
              </w:rPr>
            </w:pPr>
            <w:r w:rsidRPr="00266174">
              <w:rPr>
                <w:rFonts w:ascii="Times New Roman" w:hAnsi="Times New Roman" w:cs="Times New Roman"/>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491DB" w14:textId="77777777" w:rsidR="00FF231C" w:rsidRPr="00266174" w:rsidRDefault="00FF231C" w:rsidP="00ED1717">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66174">
              <w:rPr>
                <w:rFonts w:ascii="Times New Roman" w:eastAsia="Times New Roman" w:hAnsi="Times New Roman" w:cs="Times New Roman"/>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C61B0" w14:textId="77777777" w:rsidR="00FF231C" w:rsidRPr="00266174" w:rsidRDefault="00FF231C" w:rsidP="00ED1717">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66174">
              <w:rPr>
                <w:rFonts w:ascii="Times New Roman" w:eastAsia="Times New Roman" w:hAnsi="Times New Roman" w:cs="Times New Roman"/>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EC82B2" w14:textId="77777777" w:rsidR="00FF231C" w:rsidRPr="00266174" w:rsidRDefault="00FF231C" w:rsidP="00ED1717">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66174">
              <w:rPr>
                <w:rFonts w:ascii="Times New Roman" w:eastAsia="Times New Roman" w:hAnsi="Times New Roman" w:cs="Times New Roman"/>
                <w:b/>
                <w:bCs/>
                <w:color w:val="222222"/>
                <w:sz w:val="24"/>
                <w:szCs w:val="24"/>
                <w:lang w:eastAsia="es-CO"/>
              </w:rPr>
              <w:t>Total ($)</w:t>
            </w:r>
          </w:p>
        </w:tc>
      </w:tr>
      <w:tr w:rsidR="00FF231C" w14:paraId="35DB1982"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33637EBD" w14:textId="77777777" w:rsidR="00FF231C" w:rsidRPr="00266174" w:rsidRDefault="00FF231C" w:rsidP="00ED1717">
            <w:pPr>
              <w:jc w:val="center"/>
              <w:rPr>
                <w:rFonts w:ascii="Times New Roman" w:hAnsi="Times New Roman" w:cs="Times New Roman"/>
                <w:b/>
                <w:sz w:val="20"/>
                <w:szCs w:val="16"/>
              </w:rPr>
            </w:pPr>
            <w:r w:rsidRPr="00266174">
              <w:rPr>
                <w:rFonts w:ascii="Times New Roman" w:hAnsi="Times New Roman" w:cs="Times New Roman"/>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0B01D5BB"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60711BD5" w14:textId="77777777" w:rsidR="00FF231C" w:rsidRPr="00266174" w:rsidRDefault="00FF231C" w:rsidP="00ED1717">
            <w:pPr>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E459D5B" w14:textId="77777777" w:rsidR="00FF231C" w:rsidRPr="00266174" w:rsidRDefault="00FF231C" w:rsidP="00ED1717">
            <w:pPr>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7FB2AA3C" w14:textId="77777777" w:rsidR="00FF231C" w:rsidRPr="00266174" w:rsidRDefault="00FF231C" w:rsidP="00ED1717">
            <w:pPr>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439BB82" w14:textId="77777777" w:rsidR="00FF231C" w:rsidRPr="00266174" w:rsidRDefault="00FF231C" w:rsidP="00ED1717">
            <w:pPr>
              <w:jc w:val="both"/>
              <w:rPr>
                <w:rFonts w:ascii="Times New Roman" w:hAnsi="Times New Roman" w:cs="Times New Roman"/>
                <w:sz w:val="20"/>
                <w:szCs w:val="16"/>
              </w:rPr>
            </w:pPr>
            <w:r w:rsidRPr="00266174">
              <w:rPr>
                <w:rFonts w:ascii="Times New Roman" w:hAnsi="Times New Roman" w:cs="Times New Roman"/>
                <w:sz w:val="20"/>
                <w:szCs w:val="16"/>
              </w:rPr>
              <w:t>$ 0</w:t>
            </w:r>
          </w:p>
        </w:tc>
      </w:tr>
      <w:tr w:rsidR="00FF231C" w14:paraId="25A6557B"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16E5B4E"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1B19952"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4553E4C3" w14:textId="77777777" w:rsidR="00FF231C" w:rsidRPr="00266174" w:rsidRDefault="00FF231C" w:rsidP="00ED1717">
            <w:pPr>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E7BDDFD" w14:textId="77777777" w:rsidR="00FF231C" w:rsidRPr="00266174" w:rsidRDefault="00FF231C" w:rsidP="00ED1717">
            <w:pPr>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310001E3" w14:textId="77777777" w:rsidR="00FF231C" w:rsidRPr="00266174" w:rsidRDefault="00FF231C" w:rsidP="00ED1717">
            <w:pPr>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855262C" w14:textId="77777777" w:rsidR="00FF231C" w:rsidRPr="00266174" w:rsidRDefault="00FF231C" w:rsidP="00ED1717">
            <w:pPr>
              <w:jc w:val="both"/>
              <w:rPr>
                <w:rFonts w:ascii="Times New Roman" w:hAnsi="Times New Roman" w:cs="Times New Roman"/>
                <w:sz w:val="20"/>
                <w:szCs w:val="16"/>
              </w:rPr>
            </w:pPr>
            <w:r w:rsidRPr="00266174">
              <w:rPr>
                <w:rFonts w:ascii="Times New Roman" w:hAnsi="Times New Roman" w:cs="Times New Roman"/>
                <w:sz w:val="20"/>
                <w:szCs w:val="16"/>
              </w:rPr>
              <w:t>$ 0</w:t>
            </w:r>
          </w:p>
        </w:tc>
      </w:tr>
      <w:tr w:rsidR="00FF231C" w14:paraId="3CB96C3B"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92A0DF2"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D65FAF1"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2C58DD79" w14:textId="77777777" w:rsidR="00FF231C" w:rsidRPr="00266174" w:rsidRDefault="00FF231C" w:rsidP="00ED1717">
            <w:pPr>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8353057" w14:textId="77777777" w:rsidR="00FF231C" w:rsidRPr="00266174" w:rsidRDefault="00FF231C" w:rsidP="00ED1717">
            <w:pPr>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B8C5B16" w14:textId="77777777" w:rsidR="00FF231C" w:rsidRPr="00266174" w:rsidRDefault="00FF231C" w:rsidP="00ED1717">
            <w:pPr>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28F40E5" w14:textId="77777777" w:rsidR="00FF231C" w:rsidRPr="00266174" w:rsidRDefault="00FF231C" w:rsidP="00ED1717">
            <w:pPr>
              <w:jc w:val="both"/>
              <w:rPr>
                <w:rFonts w:ascii="Times New Roman" w:hAnsi="Times New Roman" w:cs="Times New Roman"/>
                <w:sz w:val="20"/>
                <w:szCs w:val="16"/>
              </w:rPr>
            </w:pPr>
            <w:r w:rsidRPr="00266174">
              <w:rPr>
                <w:rFonts w:ascii="Times New Roman" w:hAnsi="Times New Roman" w:cs="Times New Roman"/>
                <w:sz w:val="20"/>
                <w:szCs w:val="16"/>
              </w:rPr>
              <w:t>$ 0</w:t>
            </w:r>
          </w:p>
        </w:tc>
      </w:tr>
      <w:tr w:rsidR="00FF231C" w14:paraId="0A283BD6"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079E183"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ECD1C68"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2DC79601" w14:textId="77777777" w:rsidR="00FF231C" w:rsidRPr="00266174" w:rsidRDefault="00FF231C" w:rsidP="00ED1717">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CD25E22" w14:textId="77777777" w:rsidR="00FF231C" w:rsidRPr="00266174" w:rsidRDefault="00FF231C" w:rsidP="00ED1717">
            <w:pPr>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0D7219EB" w14:textId="77777777" w:rsidR="00FF231C" w:rsidRPr="00266174" w:rsidRDefault="00FF231C" w:rsidP="00ED1717">
            <w:pPr>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D58FE7F" w14:textId="77777777" w:rsidR="00FF231C" w:rsidRPr="00266174" w:rsidRDefault="00FF231C" w:rsidP="00ED1717">
            <w:pPr>
              <w:jc w:val="both"/>
              <w:rPr>
                <w:rFonts w:ascii="Times New Roman" w:hAnsi="Times New Roman" w:cs="Times New Roman"/>
                <w:sz w:val="20"/>
                <w:szCs w:val="16"/>
              </w:rPr>
            </w:pPr>
            <w:r w:rsidRPr="00266174">
              <w:rPr>
                <w:rFonts w:ascii="Times New Roman" w:hAnsi="Times New Roman" w:cs="Times New Roman"/>
                <w:sz w:val="20"/>
                <w:szCs w:val="16"/>
              </w:rPr>
              <w:t>$ 0</w:t>
            </w:r>
          </w:p>
        </w:tc>
      </w:tr>
      <w:tr w:rsidR="00FF231C" w14:paraId="4DCB9B89"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448C3139" w14:textId="77777777" w:rsidR="00FF231C" w:rsidRPr="00266174" w:rsidRDefault="00FF231C" w:rsidP="00ED1717">
            <w:pPr>
              <w:jc w:val="center"/>
              <w:rPr>
                <w:rFonts w:ascii="Times New Roman" w:hAnsi="Times New Roman" w:cs="Times New Roman"/>
                <w:b/>
                <w:sz w:val="20"/>
                <w:szCs w:val="16"/>
              </w:rPr>
            </w:pPr>
            <w:r w:rsidRPr="00266174">
              <w:rPr>
                <w:rFonts w:ascii="Times New Roman" w:hAnsi="Times New Roman" w:cs="Times New Roman"/>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51491F30" w14:textId="77777777" w:rsidR="00FF231C" w:rsidRPr="00266174" w:rsidRDefault="00FF231C" w:rsidP="00ED1717">
            <w:pPr>
              <w:jc w:val="both"/>
              <w:rPr>
                <w:rFonts w:ascii="Times New Roman" w:hAnsi="Times New Roman" w:cs="Times New Roman"/>
                <w:b/>
                <w:sz w:val="20"/>
                <w:szCs w:val="16"/>
              </w:rPr>
            </w:pPr>
            <w:r w:rsidRPr="00266174">
              <w:rPr>
                <w:rFonts w:ascii="Times New Roman" w:hAnsi="Times New Roman" w:cs="Times New Roman"/>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7D3E5936" w14:textId="77777777" w:rsidR="00FF231C" w:rsidRPr="00266174" w:rsidRDefault="00FF231C" w:rsidP="00ED1717">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BF17895" w14:textId="77777777" w:rsidR="00FF231C" w:rsidRPr="00266174" w:rsidRDefault="00FF231C" w:rsidP="00ED1717">
            <w:pPr>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9ABD1A8"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F96F898" w14:textId="77777777" w:rsidR="00FF231C" w:rsidRPr="00266174" w:rsidRDefault="00FF231C" w:rsidP="00ED1717">
            <w:pPr>
              <w:jc w:val="both"/>
              <w:rPr>
                <w:rFonts w:ascii="Times New Roman" w:hAnsi="Times New Roman" w:cs="Times New Roman"/>
                <w:sz w:val="20"/>
                <w:szCs w:val="16"/>
              </w:rPr>
            </w:pPr>
            <w:proofErr w:type="gramStart"/>
            <w:r w:rsidRPr="00266174">
              <w:rPr>
                <w:rFonts w:ascii="Times New Roman" w:hAnsi="Times New Roman" w:cs="Times New Roman"/>
                <w:sz w:val="20"/>
                <w:szCs w:val="20"/>
              </w:rPr>
              <w:t>$  0</w:t>
            </w:r>
            <w:proofErr w:type="gramEnd"/>
          </w:p>
        </w:tc>
      </w:tr>
      <w:tr w:rsidR="00FF231C" w14:paraId="08C03916"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171AB914" w14:textId="77777777" w:rsidR="00FF231C" w:rsidRPr="00266174" w:rsidRDefault="00FF231C" w:rsidP="00ED1717">
            <w:pPr>
              <w:jc w:val="cente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773AF3BA"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2BA52101" w14:textId="77777777" w:rsidR="00FF231C" w:rsidRPr="00266174" w:rsidRDefault="00FF231C" w:rsidP="00ED1717">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8EFF5B5" w14:textId="77777777" w:rsidR="00FF231C" w:rsidRPr="00266174" w:rsidRDefault="00FF231C" w:rsidP="00ED1717">
            <w:pPr>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8B2127F"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527C61C9" w14:textId="77777777" w:rsidR="00FF231C" w:rsidRPr="00266174" w:rsidRDefault="00FF231C" w:rsidP="00ED1717">
            <w:pPr>
              <w:jc w:val="both"/>
              <w:rPr>
                <w:rFonts w:ascii="Times New Roman" w:hAnsi="Times New Roman" w:cs="Times New Roman"/>
                <w:sz w:val="20"/>
                <w:szCs w:val="20"/>
              </w:rPr>
            </w:pPr>
            <w:proofErr w:type="gramStart"/>
            <w:r w:rsidRPr="00266174">
              <w:rPr>
                <w:rFonts w:ascii="Times New Roman" w:hAnsi="Times New Roman" w:cs="Times New Roman"/>
                <w:sz w:val="20"/>
                <w:szCs w:val="20"/>
              </w:rPr>
              <w:t>$  0</w:t>
            </w:r>
            <w:proofErr w:type="gramEnd"/>
          </w:p>
        </w:tc>
      </w:tr>
      <w:tr w:rsidR="00FF231C" w14:paraId="0482676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515AA508" w14:textId="77777777" w:rsidR="00FF231C" w:rsidRPr="00266174" w:rsidRDefault="00FF231C" w:rsidP="00ED1717">
            <w:pPr>
              <w:jc w:val="cente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1D7A0BE9"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6E27A19D" w14:textId="77777777" w:rsidR="00FF231C" w:rsidRPr="00266174" w:rsidRDefault="00FF231C" w:rsidP="00ED1717">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EEA2FA2" w14:textId="77777777" w:rsidR="00FF231C" w:rsidRPr="00266174" w:rsidRDefault="00FF231C" w:rsidP="00ED1717">
            <w:pPr>
              <w:jc w:val="both"/>
              <w:rPr>
                <w:rFonts w:ascii="Times New Roman" w:hAnsi="Times New Roman" w:cs="Times New Roman"/>
                <w:sz w:val="20"/>
                <w:szCs w:val="20"/>
              </w:rPr>
            </w:pPr>
          </w:p>
          <w:p w14:paraId="016FF82E" w14:textId="4529B681" w:rsidR="000A2960" w:rsidRPr="00266174" w:rsidRDefault="000A2960" w:rsidP="00ED1717">
            <w:pPr>
              <w:jc w:val="both"/>
              <w:rPr>
                <w:rFonts w:ascii="Times New Roman" w:hAnsi="Times New Roman" w:cs="Times New Roman"/>
                <w:sz w:val="20"/>
                <w:szCs w:val="20"/>
              </w:rPr>
            </w:pPr>
            <w:r w:rsidRPr="00266174">
              <w:rPr>
                <w:rFonts w:ascii="Times New Roman" w:hAnsi="Times New Roman" w:cs="Times New Roman"/>
                <w:sz w:val="20"/>
                <w:szCs w:val="20"/>
              </w:rPr>
              <w:t>5.000.000</w:t>
            </w:r>
          </w:p>
        </w:tc>
        <w:tc>
          <w:tcPr>
            <w:tcW w:w="1843" w:type="dxa"/>
            <w:tcBorders>
              <w:top w:val="single" w:sz="4" w:space="0" w:color="auto"/>
              <w:left w:val="single" w:sz="4" w:space="0" w:color="auto"/>
              <w:bottom w:val="single" w:sz="4" w:space="0" w:color="auto"/>
              <w:right w:val="single" w:sz="4" w:space="0" w:color="auto"/>
            </w:tcBorders>
          </w:tcPr>
          <w:p w14:paraId="3F909ECE"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2A29111E" w14:textId="60D8CD31" w:rsidR="00FF231C" w:rsidRPr="00266174" w:rsidRDefault="000A2960" w:rsidP="00ED1717">
            <w:pPr>
              <w:jc w:val="both"/>
              <w:rPr>
                <w:rFonts w:ascii="Times New Roman" w:hAnsi="Times New Roman" w:cs="Times New Roman"/>
                <w:sz w:val="20"/>
                <w:szCs w:val="20"/>
              </w:rPr>
            </w:pPr>
            <w:r w:rsidRPr="00266174">
              <w:rPr>
                <w:rFonts w:ascii="Times New Roman" w:hAnsi="Times New Roman" w:cs="Times New Roman"/>
                <w:sz w:val="20"/>
                <w:szCs w:val="20"/>
              </w:rPr>
              <w:t>$ 5.000.000</w:t>
            </w:r>
          </w:p>
        </w:tc>
      </w:tr>
      <w:tr w:rsidR="00FF231C" w14:paraId="639DE70D"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9C549B6"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0A9918D"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44419E2C" w14:textId="77777777" w:rsidR="00FF231C" w:rsidRPr="00266174" w:rsidRDefault="00FF231C" w:rsidP="00ED1717">
            <w:pPr>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45DD08F" w14:textId="77777777" w:rsidR="00FF231C" w:rsidRPr="00266174" w:rsidRDefault="00FF231C" w:rsidP="00ED1717">
            <w:pPr>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E16B7DF"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898A927" w14:textId="77777777" w:rsidR="00FF231C" w:rsidRPr="00266174" w:rsidRDefault="00FF231C" w:rsidP="00ED1717">
            <w:pPr>
              <w:jc w:val="both"/>
              <w:rPr>
                <w:rFonts w:ascii="Times New Roman" w:hAnsi="Times New Roman" w:cs="Times New Roman"/>
                <w:sz w:val="20"/>
                <w:szCs w:val="20"/>
              </w:rPr>
            </w:pPr>
            <w:r w:rsidRPr="00266174">
              <w:rPr>
                <w:rFonts w:ascii="Times New Roman" w:hAnsi="Times New Roman" w:cs="Times New Roman"/>
                <w:sz w:val="20"/>
                <w:szCs w:val="20"/>
              </w:rPr>
              <w:t>$ 0</w:t>
            </w:r>
          </w:p>
        </w:tc>
      </w:tr>
      <w:tr w:rsidR="00FF231C" w14:paraId="7AD15FC8"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BB5CC2B"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8665D6B"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1A1ABCDF" w14:textId="77777777" w:rsidR="00FF231C" w:rsidRPr="00266174" w:rsidRDefault="00FF231C" w:rsidP="00ED1717">
            <w:pPr>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ECC792D" w14:textId="7ABCC07F" w:rsidR="00FF231C" w:rsidRPr="00266174" w:rsidRDefault="000A2960" w:rsidP="00ED1717">
            <w:pPr>
              <w:jc w:val="both"/>
              <w:rPr>
                <w:rFonts w:ascii="Times New Roman" w:hAnsi="Times New Roman" w:cs="Times New Roman"/>
                <w:sz w:val="20"/>
                <w:szCs w:val="20"/>
              </w:rPr>
            </w:pPr>
            <w:r w:rsidRPr="00266174">
              <w:rPr>
                <w:rFonts w:ascii="Times New Roman" w:hAnsi="Times New Roman" w:cs="Times New Roman"/>
                <w:sz w:val="20"/>
                <w:szCs w:val="20"/>
              </w:rPr>
              <w:t>10.000.000</w:t>
            </w:r>
          </w:p>
        </w:tc>
        <w:tc>
          <w:tcPr>
            <w:tcW w:w="1843" w:type="dxa"/>
            <w:tcBorders>
              <w:top w:val="single" w:sz="4" w:space="0" w:color="auto"/>
              <w:left w:val="single" w:sz="4" w:space="0" w:color="auto"/>
              <w:bottom w:val="single" w:sz="4" w:space="0" w:color="auto"/>
              <w:right w:val="single" w:sz="4" w:space="0" w:color="auto"/>
            </w:tcBorders>
          </w:tcPr>
          <w:p w14:paraId="555175BC"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11E8497" w14:textId="64442FD9" w:rsidR="00FF231C" w:rsidRPr="00266174" w:rsidRDefault="00FF231C" w:rsidP="00ED1717">
            <w:pPr>
              <w:jc w:val="both"/>
              <w:rPr>
                <w:rFonts w:ascii="Times New Roman" w:hAnsi="Times New Roman" w:cs="Times New Roman"/>
                <w:sz w:val="20"/>
                <w:szCs w:val="20"/>
              </w:rPr>
            </w:pPr>
            <w:r w:rsidRPr="00266174">
              <w:rPr>
                <w:rFonts w:ascii="Times New Roman" w:hAnsi="Times New Roman" w:cs="Times New Roman"/>
                <w:sz w:val="20"/>
                <w:szCs w:val="20"/>
              </w:rPr>
              <w:t xml:space="preserve">$ </w:t>
            </w:r>
            <w:r w:rsidR="00B17857" w:rsidRPr="00266174">
              <w:rPr>
                <w:rFonts w:ascii="Times New Roman" w:hAnsi="Times New Roman" w:cs="Times New Roman"/>
                <w:sz w:val="20"/>
                <w:szCs w:val="20"/>
              </w:rPr>
              <w:t>5</w:t>
            </w:r>
            <w:r w:rsidR="000A2960" w:rsidRPr="00266174">
              <w:rPr>
                <w:rFonts w:ascii="Times New Roman" w:hAnsi="Times New Roman" w:cs="Times New Roman"/>
                <w:sz w:val="20"/>
                <w:szCs w:val="20"/>
              </w:rPr>
              <w:t>.000.000</w:t>
            </w:r>
          </w:p>
        </w:tc>
      </w:tr>
      <w:tr w:rsidR="00FF231C" w14:paraId="587E0737"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4D546E12" w14:textId="77777777" w:rsidR="00FF231C" w:rsidRPr="00266174" w:rsidRDefault="00FF231C" w:rsidP="00ED1717">
            <w:pP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B0F9077" w14:textId="77777777" w:rsidR="00FF231C" w:rsidRPr="00266174" w:rsidRDefault="00FF231C" w:rsidP="00ED1717">
            <w:pPr>
              <w:jc w:val="both"/>
              <w:rPr>
                <w:rFonts w:ascii="Times New Roman" w:hAnsi="Times New Roman" w:cs="Times New Roman"/>
                <w:b/>
                <w:sz w:val="20"/>
                <w:szCs w:val="20"/>
              </w:rPr>
            </w:pPr>
            <w:r w:rsidRPr="00266174">
              <w:rPr>
                <w:rFonts w:ascii="Times New Roman" w:hAnsi="Times New Roman" w:cs="Times New Roman"/>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5F25FC98" w14:textId="77777777" w:rsidR="00FF231C" w:rsidRPr="00266174" w:rsidRDefault="00FF231C" w:rsidP="00ED1717">
            <w:pPr>
              <w:jc w:val="both"/>
              <w:rPr>
                <w:rFonts w:ascii="Times New Roman" w:hAnsi="Times New Roman" w:cs="Times New Roman"/>
                <w:sz w:val="20"/>
                <w:szCs w:val="16"/>
              </w:rPr>
            </w:pPr>
          </w:p>
        </w:tc>
        <w:tc>
          <w:tcPr>
            <w:tcW w:w="1275" w:type="dxa"/>
            <w:tcBorders>
              <w:top w:val="single" w:sz="4" w:space="0" w:color="auto"/>
              <w:left w:val="single" w:sz="4" w:space="0" w:color="auto"/>
              <w:bottom w:val="single" w:sz="4" w:space="0" w:color="auto"/>
              <w:right w:val="single" w:sz="4" w:space="0" w:color="auto"/>
            </w:tcBorders>
          </w:tcPr>
          <w:p w14:paraId="1EE47169" w14:textId="77777777" w:rsidR="00FF231C" w:rsidRPr="00266174" w:rsidRDefault="00FF231C" w:rsidP="00ED1717">
            <w:pPr>
              <w:jc w:val="both"/>
              <w:rPr>
                <w:rFonts w:ascii="Times New Roman" w:hAnsi="Times New Roman" w:cs="Times New Roman"/>
                <w:sz w:val="20"/>
                <w:szCs w:val="20"/>
              </w:rPr>
            </w:pPr>
          </w:p>
          <w:p w14:paraId="4F584B7A" w14:textId="68E297C4" w:rsidR="000A2960" w:rsidRPr="00266174" w:rsidRDefault="000A2960" w:rsidP="00ED1717">
            <w:pPr>
              <w:jc w:val="both"/>
              <w:rPr>
                <w:rFonts w:ascii="Times New Roman" w:hAnsi="Times New Roman" w:cs="Times New Roman"/>
                <w:sz w:val="20"/>
                <w:szCs w:val="20"/>
              </w:rPr>
            </w:pPr>
            <w:r w:rsidRPr="00266174">
              <w:rPr>
                <w:rFonts w:ascii="Times New Roman" w:hAnsi="Times New Roman" w:cs="Times New Roman"/>
                <w:sz w:val="20"/>
                <w:szCs w:val="20"/>
              </w:rPr>
              <w:t>5.000.000</w:t>
            </w:r>
          </w:p>
        </w:tc>
        <w:tc>
          <w:tcPr>
            <w:tcW w:w="1843" w:type="dxa"/>
            <w:tcBorders>
              <w:top w:val="single" w:sz="4" w:space="0" w:color="auto"/>
              <w:left w:val="single" w:sz="4" w:space="0" w:color="auto"/>
              <w:bottom w:val="single" w:sz="4" w:space="0" w:color="auto"/>
              <w:right w:val="single" w:sz="4" w:space="0" w:color="auto"/>
            </w:tcBorders>
          </w:tcPr>
          <w:p w14:paraId="0954759E" w14:textId="77777777" w:rsidR="00FF231C" w:rsidRPr="002661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830F044" w14:textId="1885472C" w:rsidR="00FF231C" w:rsidRPr="00266174" w:rsidRDefault="00FF231C" w:rsidP="00ED1717">
            <w:pPr>
              <w:jc w:val="both"/>
              <w:rPr>
                <w:rFonts w:ascii="Times New Roman" w:hAnsi="Times New Roman" w:cs="Times New Roman"/>
                <w:sz w:val="20"/>
                <w:szCs w:val="20"/>
              </w:rPr>
            </w:pPr>
            <w:r w:rsidRPr="00266174">
              <w:rPr>
                <w:rFonts w:ascii="Times New Roman" w:hAnsi="Times New Roman" w:cs="Times New Roman"/>
                <w:sz w:val="20"/>
                <w:szCs w:val="20"/>
              </w:rPr>
              <w:t xml:space="preserve">$ </w:t>
            </w:r>
            <w:r w:rsidR="000A2960" w:rsidRPr="00266174">
              <w:rPr>
                <w:rFonts w:ascii="Times New Roman" w:hAnsi="Times New Roman" w:cs="Times New Roman"/>
                <w:sz w:val="20"/>
                <w:szCs w:val="20"/>
              </w:rPr>
              <w:t>5.000.000</w:t>
            </w:r>
          </w:p>
        </w:tc>
      </w:tr>
      <w:tr w:rsidR="00FF231C" w14:paraId="1FBF5D6C" w14:textId="77777777" w:rsidTr="00194953">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75E7B0C1" w14:textId="77777777" w:rsidR="00FF231C" w:rsidRPr="00266174" w:rsidRDefault="00FF231C" w:rsidP="00FF231C">
            <w:pPr>
              <w:jc w:val="right"/>
              <w:rPr>
                <w:rFonts w:ascii="Times New Roman" w:hAnsi="Times New Roman" w:cs="Times New Roman"/>
                <w:sz w:val="20"/>
                <w:szCs w:val="20"/>
              </w:rPr>
            </w:pPr>
            <w:proofErr w:type="gramStart"/>
            <w:r w:rsidRPr="00266174">
              <w:rPr>
                <w:rFonts w:ascii="Times New Roman" w:hAnsi="Times New Roman" w:cs="Times New Roman"/>
                <w:b/>
                <w:sz w:val="20"/>
                <w:szCs w:val="16"/>
              </w:rPr>
              <w:t>TOTAL</w:t>
            </w:r>
            <w:proofErr w:type="gramEnd"/>
            <w:r w:rsidRPr="00266174">
              <w:rPr>
                <w:rFonts w:ascii="Times New Roman" w:hAnsi="Times New Roman" w:cs="Times New Roman"/>
                <w:b/>
                <w:sz w:val="20"/>
                <w:szCs w:val="16"/>
              </w:rPr>
              <w:t xml:space="preserve">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5474CBE8" w14:textId="7D9D4981" w:rsidR="00FF231C" w:rsidRPr="00266174" w:rsidRDefault="000A2960" w:rsidP="00ED1717">
            <w:pPr>
              <w:jc w:val="both"/>
              <w:rPr>
                <w:rFonts w:ascii="Times New Roman" w:hAnsi="Times New Roman" w:cs="Times New Roman"/>
                <w:sz w:val="20"/>
                <w:szCs w:val="20"/>
              </w:rPr>
            </w:pPr>
            <w:r w:rsidRPr="00266174">
              <w:rPr>
                <w:rFonts w:ascii="Times New Roman" w:hAnsi="Times New Roman" w:cs="Times New Roman"/>
                <w:sz w:val="20"/>
                <w:szCs w:val="20"/>
              </w:rPr>
              <w:t xml:space="preserve">$ </w:t>
            </w:r>
            <w:r w:rsidR="00B17857" w:rsidRPr="00266174">
              <w:rPr>
                <w:rFonts w:ascii="Times New Roman" w:hAnsi="Times New Roman" w:cs="Times New Roman"/>
                <w:sz w:val="20"/>
                <w:szCs w:val="20"/>
              </w:rPr>
              <w:t>15</w:t>
            </w:r>
            <w:r w:rsidRPr="00266174">
              <w:rPr>
                <w:rFonts w:ascii="Times New Roman" w:hAnsi="Times New Roman" w:cs="Times New Roman"/>
                <w:sz w:val="20"/>
                <w:szCs w:val="20"/>
              </w:rPr>
              <w:t>.000.000</w:t>
            </w:r>
          </w:p>
        </w:tc>
      </w:tr>
    </w:tbl>
    <w:p w14:paraId="0B6FBF6B" w14:textId="77777777" w:rsidR="00ED1717" w:rsidRDefault="00ED1717" w:rsidP="001D6087">
      <w:pPr>
        <w:spacing w:after="0" w:line="240" w:lineRule="auto"/>
        <w:rPr>
          <w:rFonts w:ascii="Times New Roman" w:eastAsia="Times New Roman" w:hAnsi="Times New Roman" w:cs="Times New Roman"/>
          <w:sz w:val="24"/>
          <w:szCs w:val="24"/>
          <w:lang w:eastAsia="es-CO"/>
        </w:rPr>
      </w:pPr>
    </w:p>
    <w:p w14:paraId="590F34C6" w14:textId="2EBD81DF" w:rsidR="00ED1717" w:rsidRDefault="00ED1717" w:rsidP="001D6087">
      <w:pPr>
        <w:spacing w:after="0" w:line="240" w:lineRule="auto"/>
        <w:rPr>
          <w:rFonts w:ascii="Times New Roman" w:eastAsia="Times New Roman" w:hAnsi="Times New Roman" w:cs="Times New Roman"/>
          <w:sz w:val="24"/>
          <w:szCs w:val="24"/>
          <w:lang w:eastAsia="es-CO"/>
        </w:rPr>
      </w:pPr>
    </w:p>
    <w:p w14:paraId="372C2107" w14:textId="32FBDB4A" w:rsidR="00266174" w:rsidRDefault="00266174" w:rsidP="001D6087">
      <w:pPr>
        <w:spacing w:after="0" w:line="240" w:lineRule="auto"/>
        <w:rPr>
          <w:rFonts w:ascii="Times New Roman" w:eastAsia="Times New Roman" w:hAnsi="Times New Roman" w:cs="Times New Roman"/>
          <w:sz w:val="24"/>
          <w:szCs w:val="24"/>
          <w:lang w:eastAsia="es-CO"/>
        </w:rPr>
      </w:pPr>
    </w:p>
    <w:p w14:paraId="0318863F" w14:textId="77777777" w:rsidR="00266174" w:rsidRDefault="00266174"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266174" w14:paraId="3FEA2B7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7688604" w14:textId="77777777" w:rsidR="002A18AF" w:rsidRPr="00266174" w:rsidRDefault="002A18AF" w:rsidP="00ED1717">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proofErr w:type="gramStart"/>
            <w:r w:rsidRPr="00266174">
              <w:rPr>
                <w:rFonts w:ascii="Times New Roman" w:eastAsia="Times New Roman" w:hAnsi="Times New Roman" w:cs="Times New Roman"/>
                <w:b/>
                <w:bCs/>
                <w:color w:val="222222"/>
                <w:sz w:val="20"/>
                <w:szCs w:val="20"/>
                <w:lang w:eastAsia="es-CO"/>
              </w:rPr>
              <w:lastRenderedPageBreak/>
              <w:t>Referencia</w:t>
            </w:r>
            <w:r w:rsidR="00ED1717" w:rsidRPr="00266174">
              <w:rPr>
                <w:rFonts w:ascii="Times New Roman" w:eastAsia="Times New Roman" w:hAnsi="Times New Roman" w:cs="Times New Roman"/>
                <w:b/>
                <w:bCs/>
                <w:color w:val="222222"/>
                <w:sz w:val="20"/>
                <w:szCs w:val="20"/>
                <w:lang w:eastAsia="es-CO"/>
              </w:rPr>
              <w:t xml:space="preserve"> bibliográficas</w:t>
            </w:r>
            <w:proofErr w:type="gramEnd"/>
          </w:p>
        </w:tc>
      </w:tr>
      <w:tr w:rsidR="002A18AF" w:rsidRPr="00266174" w14:paraId="06146C7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AF8BC12" w14:textId="77777777" w:rsidR="00266174" w:rsidRPr="00266174" w:rsidRDefault="00266174" w:rsidP="00266174">
            <w:pPr>
              <w:pStyle w:val="Prrafodelista"/>
              <w:rPr>
                <w:rFonts w:ascii="Times New Roman" w:hAnsi="Times New Roman" w:cs="Times New Roman"/>
                <w:sz w:val="20"/>
                <w:szCs w:val="20"/>
              </w:rPr>
            </w:pPr>
          </w:p>
          <w:p w14:paraId="6353EA6F"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ACTO LEGISLATIVO 01 DEL 7 DE JULIO DE 2016. LEY 1820 DEL 30 DE DICIEMBRE DE 2016. Acuerdo de Paz de 24 de agosto de 2016 - Punto 5 Acuerdo sobre las víctimas del conflicto, sistema integral de verdad, justicia, reparación y no repetición. Numeral 3o Jurisdicción especial para la paz. Nuevo Acuerdo del 24 de noviembre de 2016. Acto legislativo 01 de 4 de abril de 2017 - Se crea la jurisdicción especial para la paz. documentación disponible en http://www.altocomisionadoparalapaz.gov.co/Paginas/inicio.aspx. Consultada el 16.04.2017.</w:t>
            </w:r>
          </w:p>
          <w:p w14:paraId="255593BF"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ACTO LEGISLATIVO N° 01 DE 4 DE ABRIL DE 2017. </w:t>
            </w:r>
          </w:p>
          <w:p w14:paraId="5F11BDAF" w14:textId="77777777" w:rsidR="00266174" w:rsidRPr="00266174" w:rsidRDefault="00266174" w:rsidP="00AB0284">
            <w:pPr>
              <w:pStyle w:val="Prrafodelista"/>
              <w:numPr>
                <w:ilvl w:val="0"/>
                <w:numId w:val="4"/>
              </w:numPr>
              <w:rPr>
                <w:rFonts w:ascii="Times New Roman" w:hAnsi="Times New Roman" w:cs="Times New Roman"/>
                <w:sz w:val="20"/>
                <w:szCs w:val="20"/>
                <w:lang w:val="en-CA"/>
              </w:rPr>
            </w:pPr>
            <w:r w:rsidRPr="00266174">
              <w:rPr>
                <w:rFonts w:ascii="Times New Roman" w:hAnsi="Times New Roman" w:cs="Times New Roman"/>
                <w:sz w:val="20"/>
                <w:szCs w:val="20"/>
              </w:rPr>
              <w:t xml:space="preserve">AMBOS Kai. El Marco Jurídico de la Justicia de Transición. </w:t>
            </w:r>
            <w:r w:rsidRPr="00266174">
              <w:rPr>
                <w:rFonts w:ascii="Times New Roman" w:hAnsi="Times New Roman" w:cs="Times New Roman"/>
                <w:sz w:val="20"/>
                <w:szCs w:val="20"/>
                <w:lang w:val="en-CA"/>
              </w:rPr>
              <w:t>Edit. Temis S.A. Bogotá D.C. 2007</w:t>
            </w:r>
          </w:p>
          <w:p w14:paraId="46A6BE5C"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Benal Pulido, C., Barbosa Castillo, G., &amp; Ciro Gómez, A. R. (2016). Justicia Transicional (Vol. 2). Bogotá D.C.: Universidad Externado de Colombia.</w:t>
            </w:r>
          </w:p>
          <w:p w14:paraId="05E1BCD2"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Colombia, CORTE CONSTITUCIONAL, Sentencia C-70 de 1996. M.P. Eduardo Cifuentes Muñoz.</w:t>
            </w:r>
          </w:p>
          <w:p w14:paraId="40157F42"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COMISIONAR LA JUSTICIA, LAS COMISIONES DE LA VERDAD Y LA JUSTICIA PENAL. Amnistía Internacional. Editorial -EDAI. Madrid España. 2010. P. 2. Disponible en http://www.amnesty.org/es/library/asset/POL30/004/2010/en/46206892-791e-45c5-a31f-ff069b369c0b/pol300042010spa.pdf. Consultada el 27.11.2014.</w:t>
            </w:r>
          </w:p>
          <w:p w14:paraId="13BFDEF2"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Consulta de Normas y Sentencias en Justicia Transicional: Ley 975 de 2005. Ley 1448 de 2011. LEY 1592 de 2012. 2017. Implementación del Acuerdo Final (Acto Legislativo 04 de 2015 Senado, 157 de 2015 Cámara) </w:t>
            </w:r>
          </w:p>
          <w:p w14:paraId="42D8A6D5"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Corte Constitucional. Sentencia C-370 de 18 de mayo de 2006, Magistrados Ponentes. Manuel José Cepeda Espinosa, Jaime Córdoba Triviño, Rodrigo Escobar Gil, Marco Gerardo Monroy Cabra, Álvaro Tafur Galvis y Clara Inés Vargas Hernández.</w:t>
            </w:r>
          </w:p>
          <w:p w14:paraId="0C8506B5"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Corte IDH. Caso Masacres de El Mozote y lugares aledaños Vs. El Salvador. Fondo, Reparaciones y Costas. Sentencia de 25 de octubre de 2012. Serie C No. 252. Voto Concurrente del Juez Diego García-Sayán. </w:t>
            </w:r>
          </w:p>
          <w:p w14:paraId="665F129C"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Corte Suprema de Justicia, Sala de Casación Penal, Radicado N. 34547. M P: María Del Rosario</w:t>
            </w:r>
          </w:p>
          <w:p w14:paraId="6859E81A"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Corte Suprema de Justicia. Sala de Casación Penal Proceso No 29560 Segunda Instancia de Justicia y Paz. Decisión de 28 de mayo de 2008. Postulado. Wilson Salazar Carrascal. M.P. Augusto Ibáñez Guzmán. </w:t>
            </w:r>
          </w:p>
          <w:p w14:paraId="5C2A09D5"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CORTE SUPREMA DE JUSTICIA. Sala de Casación Penal. Sentencia de Segunda Instancia. Postulado: Jorge Iván Laverde. Proceso 35637. M.P. Luis Guillermo Salazar Otero. </w:t>
            </w:r>
          </w:p>
          <w:p w14:paraId="53C808CB" w14:textId="77777777" w:rsidR="00266174" w:rsidRPr="00266174" w:rsidRDefault="00266174" w:rsidP="00FB3956">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CORTE SUPREMA DE JUSTICIA. Sala de Casación Penal. Sentencia de Segunda Instancia. Postulado: Jorge Iván Laverde. Proceso 35637. M.P. Luis Guillermo Salazar.</w:t>
            </w:r>
          </w:p>
          <w:p w14:paraId="7B696F83" w14:textId="77777777" w:rsidR="00266174" w:rsidRPr="00266174" w:rsidRDefault="00266174" w:rsidP="0026617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Cortés Rodas, Francisco. (2017). El lugar político de la justicia y la verdad en la justicia transicional en Colombia. Estudios Políticos (Universidad de Antioquia), </w:t>
            </w:r>
          </w:p>
          <w:p w14:paraId="16E7EE80" w14:textId="77777777" w:rsidR="00266174" w:rsidRPr="00266174" w:rsidRDefault="00266174" w:rsidP="00266174">
            <w:pPr>
              <w:pStyle w:val="Prrafodelista"/>
              <w:rPr>
                <w:rFonts w:ascii="Times New Roman" w:hAnsi="Times New Roman" w:cs="Times New Roman"/>
                <w:sz w:val="20"/>
                <w:szCs w:val="20"/>
                <w:lang w:val="en-CA"/>
              </w:rPr>
            </w:pPr>
            <w:r w:rsidRPr="00266174">
              <w:rPr>
                <w:rFonts w:ascii="Times New Roman" w:hAnsi="Times New Roman" w:cs="Times New Roman"/>
                <w:sz w:val="20"/>
                <w:szCs w:val="20"/>
                <w:lang w:val="en-CA"/>
              </w:rPr>
              <w:t>50, pp. 216-235. DOI: 10.17533/udea.espo.n50a12.</w:t>
            </w:r>
          </w:p>
          <w:p w14:paraId="55FE0EEB"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Dorado Porras, J. (2015), "Justicia Transicional</w:t>
            </w:r>
            <w:proofErr w:type="gramStart"/>
            <w:r w:rsidRPr="00266174">
              <w:rPr>
                <w:rFonts w:ascii="Times New Roman" w:hAnsi="Times New Roman" w:cs="Times New Roman"/>
                <w:sz w:val="20"/>
                <w:szCs w:val="20"/>
              </w:rPr>
              <w:t>",Eunomía</w:t>
            </w:r>
            <w:proofErr w:type="gramEnd"/>
            <w:r w:rsidRPr="00266174">
              <w:rPr>
                <w:rFonts w:ascii="Times New Roman" w:hAnsi="Times New Roman" w:cs="Times New Roman"/>
                <w:sz w:val="20"/>
                <w:szCs w:val="20"/>
              </w:rPr>
              <w:t>: Revista en Cultura de la Legalidad, Nº. 8, págs. 192-204</w:t>
            </w:r>
          </w:p>
          <w:p w14:paraId="0E8F3AD8"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El Estado de Derecho y la justicia de Transición en las sociedades que sufren o han sufrido conflictos. Informe del Secretario General al Consejo de Seguridad de Naciones Unidas. 3 de agosto de 2004. UN.Doc. S-2004-616. </w:t>
            </w:r>
          </w:p>
          <w:p w14:paraId="27D13268"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Instituto de Derechos Humanos de la International Bar Association (IBAHRI). La Cooperación Internacional y la Lucha Contra la Impunidad en Colombia. Informe de la International Bar Association (IBAHRI) elaborado en la visita a la República de Colombia realizada del 20 al 24 de Marzo de 2007. Proyecto realizado con el apoyo de la Embajada Británica en Bogotá, Colombia. Disponible en www.ibanet.org. </w:t>
            </w:r>
          </w:p>
          <w:p w14:paraId="1F8793A1"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ITURRALDE Manuel. Castigo, Liberalismo autoritario y justicia penal de excepción. Ed. Siglo del Hombre Editores. Universidad de los Andes. Pontificia Universidad Javeriana-Instituto Pensar. Primera Edición. Bogotá D.C. Colombia, 2010.</w:t>
            </w:r>
          </w:p>
          <w:p w14:paraId="2F3744C8"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JUSTICIA. Sandel Michael J. (noviembre 2013) editorial debolsillo. Cuarta edición.</w:t>
            </w:r>
          </w:p>
          <w:p w14:paraId="76567675" w14:textId="77777777" w:rsidR="00266174" w:rsidRPr="00266174" w:rsidRDefault="00266174" w:rsidP="00FB3956">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Otero. Dorado Porras, J. (2015), "Justicia Transicional</w:t>
            </w:r>
            <w:proofErr w:type="gramStart"/>
            <w:r w:rsidRPr="00266174">
              <w:rPr>
                <w:rFonts w:ascii="Times New Roman" w:hAnsi="Times New Roman" w:cs="Times New Roman"/>
                <w:sz w:val="20"/>
                <w:szCs w:val="20"/>
              </w:rPr>
              <w:t>",Eunomía</w:t>
            </w:r>
            <w:proofErr w:type="gramEnd"/>
            <w:r w:rsidRPr="00266174">
              <w:rPr>
                <w:rFonts w:ascii="Times New Roman" w:hAnsi="Times New Roman" w:cs="Times New Roman"/>
                <w:sz w:val="20"/>
                <w:szCs w:val="20"/>
              </w:rPr>
              <w:t>: Revista en Cultura de la Legalidad, Nº. 8, págs. 192-204</w:t>
            </w:r>
          </w:p>
          <w:p w14:paraId="6E0B637B"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PRIETO SANJUAN Rafael (2010) Crímenes de guerra. Infracciones y violaciones graves al Derecho Internacional Humanitario.</w:t>
            </w:r>
          </w:p>
          <w:p w14:paraId="45F464FD"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Pronunciamiento de la CIDH sobre la aplicación y el alcance de la ley de Justicia y Paz en la República de Colombia. OEA/Ser/L/V/II.125 Doc. 15 1 agosto 2006 Original: Español.  Disponible en: www.cidh.org/pdf%20files/Pronunciamiento%20Ley%20de%20Justicia%20y%20Paz.pdf.  Consultada el 27.112014</w:t>
            </w:r>
          </w:p>
          <w:p w14:paraId="4BD308C3"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lastRenderedPageBreak/>
              <w:t>SANDOVAL MESA Jaime A. (2015). El problema de los límites de la pena de las FARC frente a las propuestas presentadas en las negociaciones de paz en Colombia. Hors-série (mars 2015) Revue québécoise de droit international. Edit. Université du Québec á Montréal, Canadá.</w:t>
            </w:r>
          </w:p>
          <w:p w14:paraId="7A040C49" w14:textId="77777777" w:rsidR="00266174" w:rsidRPr="00266174" w:rsidRDefault="00266174" w:rsidP="00266174">
            <w:pPr>
              <w:pStyle w:val="Prrafodelista"/>
              <w:numPr>
                <w:ilvl w:val="0"/>
                <w:numId w:val="4"/>
              </w:numPr>
              <w:jc w:val="both"/>
              <w:rPr>
                <w:rFonts w:ascii="Times New Roman" w:hAnsi="Times New Roman" w:cs="Times New Roman"/>
                <w:noProof/>
                <w:color w:val="000000" w:themeColor="text1"/>
                <w:sz w:val="20"/>
                <w:szCs w:val="20"/>
                <w:lang w:val="es-ES"/>
              </w:rPr>
            </w:pPr>
            <w:r w:rsidRPr="00266174">
              <w:rPr>
                <w:rFonts w:ascii="Times New Roman" w:hAnsi="Times New Roman" w:cs="Times New Roman"/>
                <w:sz w:val="20"/>
                <w:szCs w:val="20"/>
              </w:rPr>
              <w:t xml:space="preserve">Sandoval Mesa Jaime Alberto, Interpretación Constitucional y legalidad penal de Crímenes Internacionales. Capítulos 1 Editorial DIKE, Bogotá Colombia 2019. </w:t>
            </w:r>
          </w:p>
          <w:p w14:paraId="0858387F" w14:textId="77777777" w:rsidR="00266174" w:rsidRPr="00266174" w:rsidRDefault="00266174" w:rsidP="00FB3956">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Sandoval Mesa Jaime Alberto, La Garantía Criminal en materia penal y Penal Internacional. Editorial Tirant Lo Blanche. Valencia España 2018. </w:t>
            </w:r>
          </w:p>
          <w:p w14:paraId="3B7C09DF" w14:textId="77777777" w:rsidR="00266174" w:rsidRPr="00266174" w:rsidRDefault="00266174" w:rsidP="00266174">
            <w:pPr>
              <w:pStyle w:val="Prrafodelista"/>
              <w:numPr>
                <w:ilvl w:val="0"/>
                <w:numId w:val="4"/>
              </w:numPr>
              <w:jc w:val="both"/>
              <w:rPr>
                <w:rFonts w:ascii="Times New Roman" w:hAnsi="Times New Roman" w:cs="Times New Roman"/>
                <w:noProof/>
                <w:color w:val="000000" w:themeColor="text1"/>
                <w:sz w:val="20"/>
                <w:szCs w:val="20"/>
                <w:lang w:val="es-ES"/>
              </w:rPr>
            </w:pPr>
            <w:r w:rsidRPr="00266174">
              <w:rPr>
                <w:rFonts w:ascii="Times New Roman" w:hAnsi="Times New Roman" w:cs="Times New Roman"/>
                <w:noProof/>
                <w:color w:val="000000" w:themeColor="text1"/>
                <w:sz w:val="20"/>
                <w:szCs w:val="20"/>
                <w:lang w:val="es-ES"/>
              </w:rPr>
              <w:t xml:space="preserve">Sandoval Mesa, J. A., &amp; Moreno Durán, Á. H. (2018). Aspectos sociojurídicos de la justicia transicional en el proceso de paz en Colombia con las FARC. En D. Carreño Dueñas, </w:t>
            </w:r>
            <w:r w:rsidRPr="00266174">
              <w:rPr>
                <w:rFonts w:ascii="Times New Roman" w:hAnsi="Times New Roman" w:cs="Times New Roman"/>
                <w:i/>
                <w:iCs/>
                <w:noProof/>
                <w:color w:val="000000" w:themeColor="text1"/>
                <w:sz w:val="20"/>
                <w:szCs w:val="20"/>
                <w:lang w:val="es-ES"/>
              </w:rPr>
              <w:t xml:space="preserve">Justicia constitucional para el posconflicto </w:t>
            </w:r>
            <w:r w:rsidRPr="00266174">
              <w:rPr>
                <w:rFonts w:ascii="Times New Roman" w:hAnsi="Times New Roman" w:cs="Times New Roman"/>
                <w:noProof/>
                <w:color w:val="000000" w:themeColor="text1"/>
                <w:sz w:val="20"/>
                <w:szCs w:val="20"/>
                <w:lang w:val="es-ES"/>
              </w:rPr>
              <w:t>(págs. 123-152). Villavicencio: Ediciones USTA.</w:t>
            </w:r>
          </w:p>
          <w:p w14:paraId="20939086"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Sentencia C- 180 de 2014. Corte Constitucional. M.P. Alberto Rojas.</w:t>
            </w:r>
          </w:p>
          <w:p w14:paraId="581C165B"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 xml:space="preserve">TEITEL Ruti G. Genealogía de la Justicia Transicional. Artículo traducido al castellano por el Centro de Derechos Humanos, Facultad de Derecho, Universidad de Chile. </w:t>
            </w:r>
            <w:r w:rsidRPr="00266174">
              <w:rPr>
                <w:rFonts w:ascii="Times New Roman" w:hAnsi="Times New Roman" w:cs="Times New Roman"/>
                <w:sz w:val="20"/>
                <w:szCs w:val="20"/>
                <w:lang w:val="en-CA"/>
              </w:rPr>
              <w:t xml:space="preserve">Santiago 2003.Título original: “Transitional Justice Genealogy”. Publicado en Harvard Human Rights Journal, Vol. 16, Spring 2003. </w:t>
            </w:r>
            <w:r w:rsidRPr="00266174">
              <w:rPr>
                <w:rFonts w:ascii="Times New Roman" w:hAnsi="Times New Roman" w:cs="Times New Roman"/>
                <w:sz w:val="20"/>
                <w:szCs w:val="20"/>
              </w:rPr>
              <w:t>Cambridge, MA,</w:t>
            </w:r>
          </w:p>
          <w:p w14:paraId="48928B4F" w14:textId="77777777" w:rsidR="00266174" w:rsidRPr="00266174" w:rsidRDefault="00266174" w:rsidP="00AB0284">
            <w:pPr>
              <w:pStyle w:val="Prrafodelista"/>
              <w:numPr>
                <w:ilvl w:val="0"/>
                <w:numId w:val="4"/>
              </w:numPr>
              <w:rPr>
                <w:rFonts w:ascii="Times New Roman" w:hAnsi="Times New Roman" w:cs="Times New Roman"/>
                <w:sz w:val="20"/>
                <w:szCs w:val="20"/>
              </w:rPr>
            </w:pPr>
            <w:r w:rsidRPr="00266174">
              <w:rPr>
                <w:rFonts w:ascii="Times New Roman" w:hAnsi="Times New Roman" w:cs="Times New Roman"/>
                <w:sz w:val="20"/>
                <w:szCs w:val="20"/>
              </w:rPr>
              <w:t>Torregrosa Jiménez, N., &amp; Torregrosa Jiménez, R. (2012). Justicia Transicional. Paz VS Justicia: El dilema en Colombia. Bogotá D.C.: Universidad Libre. 2</w:t>
            </w:r>
          </w:p>
          <w:p w14:paraId="0D72BEF5" w14:textId="77777777" w:rsidR="00ED1717" w:rsidRPr="00266174" w:rsidRDefault="00ED1717">
            <w:pPr>
              <w:rPr>
                <w:rFonts w:ascii="Times New Roman" w:eastAsia="Times New Roman" w:hAnsi="Times New Roman" w:cs="Times New Roman"/>
                <w:b/>
                <w:bCs/>
                <w:color w:val="222222"/>
                <w:sz w:val="20"/>
                <w:szCs w:val="20"/>
                <w:lang w:eastAsia="es-CO"/>
              </w:rPr>
            </w:pPr>
          </w:p>
        </w:tc>
      </w:tr>
    </w:tbl>
    <w:p w14:paraId="5890B756"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14:paraId="33BB9B0E" w14:textId="77777777" w:rsidTr="00ED1717">
        <w:tc>
          <w:tcPr>
            <w:tcW w:w="0" w:type="auto"/>
            <w:shd w:val="clear" w:color="auto" w:fill="FFFFFF"/>
            <w:tcMar>
              <w:top w:w="15" w:type="dxa"/>
              <w:left w:w="15" w:type="dxa"/>
              <w:bottom w:w="15" w:type="dxa"/>
              <w:right w:w="15" w:type="dxa"/>
            </w:tcMar>
            <w:vAlign w:val="center"/>
            <w:hideMark/>
          </w:tcPr>
          <w:p w14:paraId="42D6565A" w14:textId="77777777" w:rsidR="00ED1717" w:rsidRDefault="00ED1717">
            <w:pPr>
              <w:spacing w:after="0"/>
              <w:rPr>
                <w:sz w:val="20"/>
                <w:szCs w:val="20"/>
                <w:lang w:eastAsia="es-CO"/>
              </w:rPr>
            </w:pPr>
          </w:p>
        </w:tc>
      </w:tr>
    </w:tbl>
    <w:p w14:paraId="3F383231" w14:textId="77777777" w:rsidR="002A18AF" w:rsidRDefault="002A18AF" w:rsidP="002A18AF"/>
    <w:p w14:paraId="69EA4DED" w14:textId="77777777" w:rsidR="00642463" w:rsidRDefault="00642463" w:rsidP="00642463">
      <w:pPr>
        <w:jc w:val="center"/>
        <w:rPr>
          <w:b/>
          <w:lang w:val="es-ES"/>
        </w:rPr>
      </w:pPr>
    </w:p>
    <w:p w14:paraId="5CBC6BEA" w14:textId="77777777" w:rsidR="00642463" w:rsidRPr="00642463" w:rsidRDefault="00642463" w:rsidP="00642463">
      <w:pPr>
        <w:jc w:val="center"/>
        <w:rPr>
          <w:b/>
          <w:lang w:val="es-ES"/>
        </w:rPr>
      </w:pPr>
    </w:p>
    <w:sectPr w:rsidR="00642463" w:rsidRPr="00642463" w:rsidSect="00265B89">
      <w:headerReference w:type="even" r:id="rId14"/>
      <w:headerReference w:type="default" r:id="rId15"/>
      <w:footerReference w:type="default" r:id="rId16"/>
      <w:headerReference w:type="first" r:id="rId17"/>
      <w:footerReference w:type="first" r:id="rId18"/>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DE362" w14:textId="77777777" w:rsidR="004A6B06" w:rsidRDefault="004A6B06" w:rsidP="00F14D0D">
      <w:pPr>
        <w:spacing w:after="0" w:line="240" w:lineRule="auto"/>
      </w:pPr>
      <w:r>
        <w:separator/>
      </w:r>
    </w:p>
  </w:endnote>
  <w:endnote w:type="continuationSeparator" w:id="0">
    <w:p w14:paraId="1B66B44F" w14:textId="77777777" w:rsidR="004A6B06" w:rsidRDefault="004A6B06"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odoni MT Condensed">
    <w:altName w:val="Cambria"/>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0C310" w14:textId="77777777" w:rsidR="00AA476B" w:rsidRDefault="00AA476B">
    <w:pPr>
      <w:pStyle w:val="Piedepgina"/>
    </w:pPr>
    <w:r w:rsidRPr="00ED1717">
      <w:rPr>
        <w:noProof/>
        <w:lang w:eastAsia="es-CO"/>
      </w:rPr>
      <w:drawing>
        <wp:anchor distT="0" distB="0" distL="114300" distR="114300" simplePos="0" relativeHeight="251688960" behindDoc="0" locked="0" layoutInCell="1" allowOverlap="1" wp14:anchorId="6C50A289" wp14:editId="6C7859CD">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0192D" w14:textId="77777777" w:rsidR="00AA476B" w:rsidRDefault="00AA476B">
    <w:pPr>
      <w:pStyle w:val="Piedepgina"/>
    </w:pPr>
    <w:r>
      <w:rPr>
        <w:noProof/>
        <w:lang w:eastAsia="es-CO"/>
      </w:rPr>
      <w:drawing>
        <wp:anchor distT="0" distB="0" distL="114300" distR="114300" simplePos="0" relativeHeight="251679744" behindDoc="0" locked="0" layoutInCell="1" allowOverlap="1" wp14:anchorId="3E0306AA" wp14:editId="152375E9">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C268F" w14:textId="77777777" w:rsidR="004A6B06" w:rsidRDefault="004A6B06" w:rsidP="00F14D0D">
      <w:pPr>
        <w:spacing w:after="0" w:line="240" w:lineRule="auto"/>
      </w:pPr>
      <w:r>
        <w:separator/>
      </w:r>
    </w:p>
  </w:footnote>
  <w:footnote w:type="continuationSeparator" w:id="0">
    <w:p w14:paraId="3B096E5F" w14:textId="77777777" w:rsidR="004A6B06" w:rsidRDefault="004A6B06"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AECFA" w14:textId="77777777" w:rsidR="00AA476B" w:rsidRDefault="004A6B06">
    <w:pPr>
      <w:pStyle w:val="Encabezado"/>
    </w:pPr>
    <w:r>
      <w:rPr>
        <w:noProof/>
      </w:rPr>
      <w:pict w14:anchorId="272CE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F24E0" w14:textId="77777777" w:rsidR="00AA476B" w:rsidRDefault="00AA476B"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0115C864" wp14:editId="3BB561C5">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66EBB" w14:textId="77777777" w:rsidR="00AA476B" w:rsidRDefault="00AA476B" w:rsidP="004F1944">
    <w:pPr>
      <w:pStyle w:val="Encabezado"/>
      <w:jc w:val="right"/>
      <w:rPr>
        <w:sz w:val="14"/>
        <w:szCs w:val="16"/>
        <w:lang w:val="es-ES"/>
      </w:rPr>
    </w:pPr>
  </w:p>
  <w:p w14:paraId="41B2CF1B" w14:textId="77777777" w:rsidR="00AA476B" w:rsidRPr="004F1944" w:rsidRDefault="00AA476B"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14</w:t>
    </w:r>
    <w:r w:rsidRPr="006930C8">
      <w:rPr>
        <w:b/>
        <w:bCs/>
        <w:sz w:val="14"/>
        <w:szCs w:val="16"/>
      </w:rPr>
      <w:fldChar w:fldCharType="end"/>
    </w:r>
    <w:r w:rsidR="004A6B06">
      <w:rPr>
        <w:noProof/>
        <w:lang w:eastAsia="es-CO"/>
      </w:rPr>
      <w:pict w14:anchorId="38749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152C9F95" w14:textId="77777777" w:rsidR="00AA476B" w:rsidRDefault="00AA476B"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601A0D60" wp14:editId="627FF81C">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2E281" w14:textId="77777777" w:rsidR="00AA476B" w:rsidRDefault="00AA476B"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w:t>
        </w:r>
        <w:r w:rsidRPr="006930C8">
          <w:rPr>
            <w:b/>
            <w:bCs/>
            <w:sz w:val="14"/>
            <w:szCs w:val="16"/>
          </w:rPr>
          <w:fldChar w:fldCharType="end"/>
        </w:r>
        <w:r w:rsidR="004A6B06">
          <w:rPr>
            <w:noProof/>
            <w:lang w:eastAsia="es-CO"/>
          </w:rPr>
          <w:pict w14:anchorId="625E3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5FE864B9" w14:textId="77777777" w:rsidR="00AA476B" w:rsidRPr="00A34F4E" w:rsidRDefault="004A6B06" w:rsidP="00A34F4E">
    <w:pPr>
      <w:pStyle w:val="Encabezado"/>
      <w:jc w:val="right"/>
      <w:rPr>
        <w:sz w:val="14"/>
        <w:szCs w:val="16"/>
      </w:rPr>
    </w:pPr>
    <w:r>
      <w:rPr>
        <w:noProof/>
      </w:rPr>
      <w:pict w14:anchorId="540AD10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50417"/>
    <w:multiLevelType w:val="hybridMultilevel"/>
    <w:tmpl w:val="D1E84D82"/>
    <w:lvl w:ilvl="0" w:tplc="D78C996C">
      <w:start w:val="1"/>
      <w:numFmt w:val="decimal"/>
      <w:lvlText w:val="%1."/>
      <w:lvlJc w:val="left"/>
      <w:pPr>
        <w:ind w:left="720" w:hanging="360"/>
      </w:pPr>
      <w:rPr>
        <w:sz w:val="18"/>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0117AB5"/>
    <w:multiLevelType w:val="hybridMultilevel"/>
    <w:tmpl w:val="6792B1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0"/>
  <w:activeWritingStyle w:appName="MSWord" w:lang="es-MX" w:vendorID="64" w:dllVersion="6" w:nlCheck="1" w:checkStyle="0"/>
  <w:activeWritingStyle w:appName="MSWord" w:lang="es-ES" w:vendorID="64" w:dllVersion="0" w:nlCheck="1" w:checkStyle="0"/>
  <w:activeWritingStyle w:appName="MSWord" w:lang="es-CO" w:vendorID="64" w:dllVersion="0" w:nlCheck="1" w:checkStyle="0"/>
  <w:activeWritingStyle w:appName="MSWord" w:lang="en-CA" w:vendorID="64" w:dllVersion="0" w:nlCheck="1" w:checkStyle="0"/>
  <w:proofState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42491"/>
    <w:rsid w:val="0005758E"/>
    <w:rsid w:val="00061113"/>
    <w:rsid w:val="00065B7A"/>
    <w:rsid w:val="000718C6"/>
    <w:rsid w:val="000720B3"/>
    <w:rsid w:val="0009117E"/>
    <w:rsid w:val="000A1F3D"/>
    <w:rsid w:val="000A2960"/>
    <w:rsid w:val="000D4132"/>
    <w:rsid w:val="00141983"/>
    <w:rsid w:val="00194953"/>
    <w:rsid w:val="00194D98"/>
    <w:rsid w:val="001C6852"/>
    <w:rsid w:val="001C71E1"/>
    <w:rsid w:val="001D6087"/>
    <w:rsid w:val="001F6D20"/>
    <w:rsid w:val="002265DC"/>
    <w:rsid w:val="0024624B"/>
    <w:rsid w:val="00251442"/>
    <w:rsid w:val="00251825"/>
    <w:rsid w:val="002652B5"/>
    <w:rsid w:val="00265B89"/>
    <w:rsid w:val="00266174"/>
    <w:rsid w:val="00280851"/>
    <w:rsid w:val="002A18AF"/>
    <w:rsid w:val="002B1A55"/>
    <w:rsid w:val="002C3E46"/>
    <w:rsid w:val="002F01CC"/>
    <w:rsid w:val="00311E44"/>
    <w:rsid w:val="00343306"/>
    <w:rsid w:val="0036247F"/>
    <w:rsid w:val="0037190C"/>
    <w:rsid w:val="00387219"/>
    <w:rsid w:val="003A22B3"/>
    <w:rsid w:val="003D2DF8"/>
    <w:rsid w:val="003D7E6F"/>
    <w:rsid w:val="00403605"/>
    <w:rsid w:val="0042419F"/>
    <w:rsid w:val="004358FB"/>
    <w:rsid w:val="00450B25"/>
    <w:rsid w:val="004A0718"/>
    <w:rsid w:val="004A1717"/>
    <w:rsid w:val="004A58BE"/>
    <w:rsid w:val="004A6B06"/>
    <w:rsid w:val="004D6E9B"/>
    <w:rsid w:val="004F1944"/>
    <w:rsid w:val="00515B61"/>
    <w:rsid w:val="00535D0F"/>
    <w:rsid w:val="0058167B"/>
    <w:rsid w:val="00582B5F"/>
    <w:rsid w:val="00583222"/>
    <w:rsid w:val="005C6AF4"/>
    <w:rsid w:val="005D00EF"/>
    <w:rsid w:val="005D3A79"/>
    <w:rsid w:val="005D7AC3"/>
    <w:rsid w:val="006021B7"/>
    <w:rsid w:val="006112ED"/>
    <w:rsid w:val="0061319F"/>
    <w:rsid w:val="00617F7C"/>
    <w:rsid w:val="00642463"/>
    <w:rsid w:val="0067092C"/>
    <w:rsid w:val="00676308"/>
    <w:rsid w:val="00681C41"/>
    <w:rsid w:val="0068275C"/>
    <w:rsid w:val="006930C8"/>
    <w:rsid w:val="00694B49"/>
    <w:rsid w:val="006A25B9"/>
    <w:rsid w:val="006E3336"/>
    <w:rsid w:val="006F4699"/>
    <w:rsid w:val="007002B4"/>
    <w:rsid w:val="00712F55"/>
    <w:rsid w:val="00715ADD"/>
    <w:rsid w:val="00737531"/>
    <w:rsid w:val="0076408E"/>
    <w:rsid w:val="00767012"/>
    <w:rsid w:val="00794EE7"/>
    <w:rsid w:val="007D08D8"/>
    <w:rsid w:val="007E1E78"/>
    <w:rsid w:val="008974AE"/>
    <w:rsid w:val="008C1647"/>
    <w:rsid w:val="008D2ED2"/>
    <w:rsid w:val="008D47D0"/>
    <w:rsid w:val="008D6920"/>
    <w:rsid w:val="009038BA"/>
    <w:rsid w:val="009049E3"/>
    <w:rsid w:val="00922517"/>
    <w:rsid w:val="00924CCC"/>
    <w:rsid w:val="00930E63"/>
    <w:rsid w:val="00944309"/>
    <w:rsid w:val="00944753"/>
    <w:rsid w:val="0099314B"/>
    <w:rsid w:val="009974C6"/>
    <w:rsid w:val="009C1711"/>
    <w:rsid w:val="009D2CE3"/>
    <w:rsid w:val="009E79E2"/>
    <w:rsid w:val="009F368A"/>
    <w:rsid w:val="00A04BC7"/>
    <w:rsid w:val="00A2354D"/>
    <w:rsid w:val="00A34F4E"/>
    <w:rsid w:val="00A512B6"/>
    <w:rsid w:val="00A916F3"/>
    <w:rsid w:val="00AA476B"/>
    <w:rsid w:val="00AB0284"/>
    <w:rsid w:val="00AC47BF"/>
    <w:rsid w:val="00AD249C"/>
    <w:rsid w:val="00AE1F45"/>
    <w:rsid w:val="00B00682"/>
    <w:rsid w:val="00B17857"/>
    <w:rsid w:val="00B2385F"/>
    <w:rsid w:val="00B35FB6"/>
    <w:rsid w:val="00B44879"/>
    <w:rsid w:val="00B6632E"/>
    <w:rsid w:val="00B66D74"/>
    <w:rsid w:val="00B705C7"/>
    <w:rsid w:val="00B804C3"/>
    <w:rsid w:val="00B90DC6"/>
    <w:rsid w:val="00BA2F99"/>
    <w:rsid w:val="00BB19D9"/>
    <w:rsid w:val="00BB1DE8"/>
    <w:rsid w:val="00C03B71"/>
    <w:rsid w:val="00C15915"/>
    <w:rsid w:val="00C17434"/>
    <w:rsid w:val="00C4364A"/>
    <w:rsid w:val="00C46EE5"/>
    <w:rsid w:val="00C5405E"/>
    <w:rsid w:val="00C57E95"/>
    <w:rsid w:val="00C65B97"/>
    <w:rsid w:val="00C7499F"/>
    <w:rsid w:val="00CA1258"/>
    <w:rsid w:val="00CB03E7"/>
    <w:rsid w:val="00CB1DDB"/>
    <w:rsid w:val="00CC77C3"/>
    <w:rsid w:val="00D05F45"/>
    <w:rsid w:val="00D11105"/>
    <w:rsid w:val="00D2386B"/>
    <w:rsid w:val="00D23C26"/>
    <w:rsid w:val="00D34553"/>
    <w:rsid w:val="00D37EE5"/>
    <w:rsid w:val="00D540AA"/>
    <w:rsid w:val="00DC124D"/>
    <w:rsid w:val="00DC6ADF"/>
    <w:rsid w:val="00DE419F"/>
    <w:rsid w:val="00E034DF"/>
    <w:rsid w:val="00E146A1"/>
    <w:rsid w:val="00E4070D"/>
    <w:rsid w:val="00E41954"/>
    <w:rsid w:val="00E55B73"/>
    <w:rsid w:val="00E6008D"/>
    <w:rsid w:val="00E65262"/>
    <w:rsid w:val="00E75BAD"/>
    <w:rsid w:val="00E762C6"/>
    <w:rsid w:val="00E86BDE"/>
    <w:rsid w:val="00EA042A"/>
    <w:rsid w:val="00EA5619"/>
    <w:rsid w:val="00EC5323"/>
    <w:rsid w:val="00EC7B33"/>
    <w:rsid w:val="00ED1717"/>
    <w:rsid w:val="00EE1596"/>
    <w:rsid w:val="00F14D0D"/>
    <w:rsid w:val="00F243E8"/>
    <w:rsid w:val="00F34710"/>
    <w:rsid w:val="00F55938"/>
    <w:rsid w:val="00FA5249"/>
    <w:rsid w:val="00FB33BC"/>
    <w:rsid w:val="00FB3956"/>
    <w:rsid w:val="00FC2DA2"/>
    <w:rsid w:val="00FC5F31"/>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0A1BC10"/>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Mencinsinresolver1">
    <w:name w:val="Mención sin resolver1"/>
    <w:basedOn w:val="Fuentedeprrafopredeter"/>
    <w:uiPriority w:val="99"/>
    <w:semiHidden/>
    <w:unhideWhenUsed/>
    <w:rsid w:val="0042419F"/>
    <w:rPr>
      <w:color w:val="605E5C"/>
      <w:shd w:val="clear" w:color="auto" w:fill="E1DFDD"/>
    </w:rPr>
  </w:style>
  <w:style w:type="paragraph" w:styleId="Bibliografa">
    <w:name w:val="Bibliography"/>
    <w:basedOn w:val="Normal"/>
    <w:next w:val="Normal"/>
    <w:uiPriority w:val="37"/>
    <w:semiHidden/>
    <w:unhideWhenUsed/>
    <w:rsid w:val="00266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165246087">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357050" TargetMode="External"/><Relationship Id="rId13" Type="http://schemas.openxmlformats.org/officeDocument/2006/relationships/hyperlink" Target="https://scholar.google.es/citations?user=k5ELKDAAAAAJ&amp;hl=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4512-655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35905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google.es/citations?user=OfUMoPEAAAAJ&amp;h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8897-4157"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EFB23-5213-4D98-BCFD-83B115BFE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4619</Words>
  <Characters>25407</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JAIME ALBERTO SANDOVAL MESA</cp:lastModifiedBy>
  <cp:revision>5</cp:revision>
  <cp:lastPrinted>2019-05-21T14:57:00Z</cp:lastPrinted>
  <dcterms:created xsi:type="dcterms:W3CDTF">2019-08-08T13:27:00Z</dcterms:created>
  <dcterms:modified xsi:type="dcterms:W3CDTF">2019-08-08T19:28:00Z</dcterms:modified>
</cp:coreProperties>
</file>