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5E0" w:rsidRDefault="007B35E0">
      <w:pPr>
        <w:widowControl w:val="0"/>
        <w:pBdr>
          <w:top w:val="nil"/>
          <w:left w:val="nil"/>
          <w:bottom w:val="nil"/>
          <w:right w:val="nil"/>
          <w:between w:val="nil"/>
        </w:pBdr>
        <w:spacing w:after="0" w:line="276" w:lineRule="auto"/>
        <w:rPr>
          <w:rFonts w:ascii="Arial" w:eastAsia="Arial" w:hAnsi="Arial" w:cs="Arial"/>
        </w:rPr>
      </w:pPr>
    </w:p>
    <w:tbl>
      <w:tblPr>
        <w:tblStyle w:val="ad"/>
        <w:tblW w:w="14983" w:type="dxa"/>
        <w:tblInd w:w="0" w:type="dxa"/>
        <w:tblLayout w:type="fixed"/>
        <w:tblLook w:val="0400" w:firstRow="0" w:lastRow="0" w:firstColumn="0" w:lastColumn="0" w:noHBand="0" w:noVBand="1"/>
      </w:tblPr>
      <w:tblGrid>
        <w:gridCol w:w="1126"/>
        <w:gridCol w:w="13857"/>
      </w:tblGrid>
      <w:tr w:rsidR="007B35E0" w:rsidRPr="005D5379">
        <w:tc>
          <w:tcPr>
            <w:tcW w:w="14983" w:type="dxa"/>
            <w:gridSpan w:val="2"/>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Título del proyecto</w:t>
            </w:r>
          </w:p>
          <w:p w:rsidR="007B35E0" w:rsidRPr="005D5379" w:rsidRDefault="007B35E0">
            <w:pPr>
              <w:jc w:val="center"/>
              <w:rPr>
                <w:rFonts w:ascii="Arial" w:eastAsia="Arial" w:hAnsi="Arial" w:cs="Arial"/>
                <w:b/>
                <w:sz w:val="20"/>
                <w:szCs w:val="20"/>
              </w:rPr>
            </w:pPr>
            <w:bookmarkStart w:id="0" w:name="_heading=h.gjdgxs" w:colFirst="0" w:colLast="0"/>
            <w:bookmarkEnd w:id="0"/>
          </w:p>
          <w:p w:rsidR="007B35E0" w:rsidRPr="005D5379" w:rsidRDefault="0014507E">
            <w:pPr>
              <w:jc w:val="center"/>
              <w:rPr>
                <w:rFonts w:ascii="Arial" w:eastAsia="Arial" w:hAnsi="Arial" w:cs="Arial"/>
                <w:b/>
                <w:sz w:val="20"/>
                <w:szCs w:val="20"/>
              </w:rPr>
            </w:pPr>
            <w:r w:rsidRPr="005D5379">
              <w:rPr>
                <w:rFonts w:ascii="Arial" w:eastAsia="Arial" w:hAnsi="Arial" w:cs="Arial"/>
                <w:b/>
                <w:sz w:val="20"/>
                <w:szCs w:val="20"/>
              </w:rPr>
              <w:t xml:space="preserve">Esclarecer la Verdad en sociedades de transición. Aportes ético-políticos y pedagógicos para la agencia cultural de paz. </w:t>
            </w:r>
          </w:p>
        </w:tc>
      </w:tr>
      <w:tr w:rsidR="007B35E0" w:rsidRPr="005D5379">
        <w:tc>
          <w:tcPr>
            <w:tcW w:w="14983" w:type="dxa"/>
            <w:gridSpan w:val="2"/>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rPr>
                <w:rFonts w:ascii="Arial" w:eastAsia="Arial" w:hAnsi="Arial" w:cs="Arial"/>
                <w:color w:val="222222"/>
                <w:sz w:val="20"/>
                <w:szCs w:val="20"/>
              </w:rPr>
            </w:pPr>
          </w:p>
        </w:tc>
      </w:tr>
      <w:tr w:rsidR="007B35E0" w:rsidRPr="005D5379">
        <w:tc>
          <w:tcPr>
            <w:tcW w:w="1126"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sz w:val="20"/>
                <w:szCs w:val="20"/>
              </w:rPr>
              <w:t>Campo de acción</w:t>
            </w:r>
          </w:p>
        </w:tc>
        <w:tc>
          <w:tcPr>
            <w:tcW w:w="13857" w:type="dxa"/>
            <w:tcBorders>
              <w:top w:val="single" w:sz="6" w:space="0" w:color="DDDDDD"/>
              <w:left w:val="single" w:sz="6" w:space="0" w:color="DDDDDD"/>
              <w:bottom w:val="single" w:sz="6" w:space="0" w:color="DDDDDD"/>
              <w:right w:val="single" w:sz="6" w:space="0" w:color="DDDDDD"/>
            </w:tcBorders>
            <w:shd w:val="clear" w:color="auto" w:fill="F2F2F2"/>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Transdisciplinariedad - Aporte al PIM</w:t>
            </w:r>
          </w:p>
        </w:tc>
      </w:tr>
      <w:tr w:rsidR="007B35E0" w:rsidRPr="005D5379">
        <w:tc>
          <w:tcPr>
            <w:tcW w:w="1126"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r w:rsidRPr="005D5379">
              <w:rPr>
                <w:rFonts w:ascii="Arial" w:eastAsia="Arial" w:hAnsi="Arial" w:cs="Arial"/>
                <w:color w:val="222222"/>
                <w:sz w:val="20"/>
                <w:szCs w:val="20"/>
              </w:rPr>
              <w:t>Sociedad</w:t>
            </w:r>
          </w:p>
        </w:tc>
        <w:tc>
          <w:tcPr>
            <w:tcW w:w="13857" w:type="dxa"/>
            <w:tcBorders>
              <w:top w:val="single" w:sz="6" w:space="0" w:color="DDDDDD"/>
              <w:left w:val="single" w:sz="6" w:space="0" w:color="DDDDDD"/>
              <w:bottom w:val="single" w:sz="6" w:space="0" w:color="DDDDDD"/>
              <w:right w:val="single" w:sz="6" w:space="0" w:color="DDDDDD"/>
            </w:tcBorders>
            <w:vAlign w:val="center"/>
          </w:tcPr>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 xml:space="preserve">En este ejercicio investigativo la </w:t>
            </w:r>
            <w:proofErr w:type="spellStart"/>
            <w:r w:rsidRPr="005D5379">
              <w:rPr>
                <w:rFonts w:ascii="Arial" w:eastAsia="Arial" w:hAnsi="Arial" w:cs="Arial"/>
                <w:sz w:val="20"/>
                <w:szCs w:val="20"/>
              </w:rPr>
              <w:t>transdisciplinariedad</w:t>
            </w:r>
            <w:proofErr w:type="spellEnd"/>
            <w:r w:rsidRPr="005D5379">
              <w:rPr>
                <w:rFonts w:ascii="Arial" w:eastAsia="Arial" w:hAnsi="Arial" w:cs="Arial"/>
                <w:sz w:val="20"/>
                <w:szCs w:val="20"/>
              </w:rPr>
              <w:t xml:space="preserve"> se percibe desde diferentes escenarios que se conectan y desatan diferentes formas de horizontes de sentido y producción de conocimiento. En un primer escenario pretende apoyar los Objetivos de Desarrollo Sostenible (objetivo 16) particularmente, “promover sociedades pacíficas e inclusivas para el desarrollo sostenible, facilitar el acceso a la justicia para todos y construir a todos los niveles instituciones eficaces e inclusivas (...)”. Para la implementación y ejecución de estos procesos de desarrollo humano es clave la relación entre educación y desarrollo humano, pues en Colombia es prioritario dentro de los planes territoriales de desarrollo, interrelacionar los ODS, los acuerdos de paz y las políticas públicas (Colciencias 2016). Como segundo escenario, esta investigación es un proyecto multicampus (Tunja-Bogotá) y en ese contexto apoya al Plan Integral Multicampus 2016-2019 en varias de sus líneas. Respecto a la línea  dos (Compromiso con el Proyecto Educativo) la presente propuesta investigativa no se deslinda del espíritu que rige esta institución y por el contrario, va en consonancia con la intencionalidad del Proyecto Educativo, ser y naturaleza de nuestra universidad; en este sentido, puede potenciar la unidad de procesos en el horizonte de pluralidad, diálogo interdisciplinar “para contribuir a la búsqueda de soluciones a los problemas y necesidades de las comunidades en distintas regiones del país y contribuir a su transformación social”(PIM p. 21-23) Así mismo la pedagogía dominicana en el ámbito del “realismo pedagógico tomista”, aporta a las experiencias didácticas de paz y la reconciliación. Frente a la línea tres (Proyección social e investigación pertinente), es el referente esencial que enmarca y busca responder desde el deber ser de la investigación en la USTA, particularmente en el horizonte de la cátedra de paz que se debe potenciar a nivel nacional y como estrategia de proyecto para la construcción de pedagogías para la paz  y acciones para la reconciliación en Colombia. Estos ejercicios permiten dinamizar la línea cinco “personas que transforman sociedad”, pues se refiere al </w:t>
            </w:r>
            <w:proofErr w:type="spellStart"/>
            <w:r w:rsidRPr="005D5379">
              <w:rPr>
                <w:rFonts w:ascii="Arial" w:eastAsia="Arial" w:hAnsi="Arial" w:cs="Arial"/>
                <w:i/>
                <w:sz w:val="20"/>
                <w:szCs w:val="20"/>
              </w:rPr>
              <w:t>thelos</w:t>
            </w:r>
            <w:proofErr w:type="spellEnd"/>
            <w:r w:rsidRPr="005D5379">
              <w:rPr>
                <w:rFonts w:ascii="Arial" w:eastAsia="Arial" w:hAnsi="Arial" w:cs="Arial"/>
                <w:sz w:val="20"/>
                <w:szCs w:val="20"/>
              </w:rPr>
              <w:t xml:space="preserve"> educativo, fundamento de la praxis incluso axiológica de la USTA; este quehacer docente  en la línea de la cultura de paz, permitirá al equipo de investigadores (docentes y estudiantes de semillero) explorar las dinámicas de la Verdad, la convivencia y la no repetición en escenarios que pueden presentar procesos de agencia cultural. Así pues, este proyecto busca iluminar las cuestiones más profundas del hombre con énfasis en la dignidad humana y el valor de la persona que puede desarrollar el pensamiento crítico, la imaginación creativa y la sensibilidad moral para la búsqueda de la verdad, el bien común y afirmar el valor supremo de la vida. En su conjunto, por tanto, desde la riqueza del Departamento de Humanidades y Formación integral en el campo de las ciencias humanas y sociales,  permite “dinamizar la promoción humana y la transformación social responsable, en un ambiente sustentable de justicia y paz, en procura del bien común” (PIM, p. 43)</w:t>
            </w:r>
          </w:p>
        </w:tc>
      </w:tr>
      <w:tr w:rsidR="007B35E0" w:rsidRPr="005D5379">
        <w:tc>
          <w:tcPr>
            <w:tcW w:w="14983" w:type="dxa"/>
            <w:gridSpan w:val="2"/>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Articulación con funciones sustantivas y el sector social y productivo</w:t>
            </w:r>
          </w:p>
        </w:tc>
      </w:tr>
      <w:tr w:rsidR="007B35E0" w:rsidRPr="005D5379">
        <w:trPr>
          <w:trHeight w:val="5980"/>
        </w:trPr>
        <w:tc>
          <w:tcPr>
            <w:tcW w:w="14983" w:type="dxa"/>
            <w:gridSpan w:val="2"/>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spacing w:after="280"/>
              <w:jc w:val="both"/>
              <w:rPr>
                <w:rFonts w:ascii="Arial" w:eastAsia="Arial" w:hAnsi="Arial" w:cs="Arial"/>
                <w:color w:val="222222"/>
                <w:sz w:val="20"/>
                <w:szCs w:val="20"/>
              </w:rPr>
            </w:pPr>
            <w:r w:rsidRPr="005D5379">
              <w:rPr>
                <w:rFonts w:ascii="Arial" w:eastAsia="Arial" w:hAnsi="Arial" w:cs="Arial"/>
                <w:color w:val="222222"/>
                <w:sz w:val="20"/>
                <w:szCs w:val="20"/>
              </w:rPr>
              <w:lastRenderedPageBreak/>
              <w:t xml:space="preserve">El enfoque presente en el Proyecto Educativo Institucional que emana de esa identidad y que se vuelve transversal tanto en las funciones sustantivas como las adjetivas, siempre es dialógico y no fragmentario. La docencia, la investigación, la responsabilidad social y la administración deben alimentarse mutuamente, sin olvidar a la persona como centro de su acción y la unidad como expresión de ese proceso de formación integral, culmen y manifestación de su Misión Institucional. Por ello, en cuanto  la función docente, este proyecto se enmarca dentro del modelo del Realismo Pedagógico Tomista, condición que exige dos elementos fundamentales y primarios: en primera instancia, partir de la realidad, por ello, el contexto y los contextos, son y deben ser el huerto de la reflexión educativa, lo cual conduce inexorablemente a la segunda condición; problematizar la realidad. Entonces la realidad no solo es el insumo sino también el fin del mismo proceso de enseñanza aprendizaje, o como lo enuncia la misión institucional: </w:t>
            </w:r>
            <w:r w:rsidRPr="005D5379">
              <w:rPr>
                <w:rFonts w:ascii="Arial" w:eastAsia="Arial" w:hAnsi="Arial" w:cs="Arial"/>
                <w:i/>
                <w:color w:val="222222"/>
                <w:sz w:val="20"/>
                <w:szCs w:val="20"/>
              </w:rPr>
              <w:t xml:space="preserve">“... para que respondan de manera ética, creativa y crítica a las exigencias de la vida humana  y estén en condiciones de aportar soluciones a la problemática y necesidades de la sociedad y del país.” (USTA,  2004) </w:t>
            </w:r>
            <w:r w:rsidRPr="005D5379">
              <w:rPr>
                <w:rFonts w:ascii="Arial" w:eastAsia="Arial" w:hAnsi="Arial" w:cs="Arial"/>
                <w:color w:val="222222"/>
                <w:sz w:val="20"/>
                <w:szCs w:val="20"/>
              </w:rPr>
              <w:t xml:space="preserve"> En este sentido, el contexto actual del país es el pos-acuerdo y aunque discutido en la academia, pos-conflicto; un momento de este y parte es lo referido a la Comisión de la Verdad, su actuar y su naturaleza. Este tema no debe ser ajeno a la reflexión y debate en el aula, pero para ello, debe ser la investigación, quien nutra estos ejercicios, logre direccionar el debate y por sobretodo, lleve al estudiante al campo de esas historias de vida y por sobre todo, a ese momento que ya de por sí es un debate público y académico hoy, el conflicto armado interno en nuestra historia nacional. El desarrollo de este ejercicio crítico e investigativo se articulará en las cátedras que los docentes investigadores asumirán durante el proceso como parte de su relación con el plan docente anual. Por ello, la articulación se realizará en el plano de la docencia con las cátedras de ética, cultura teológica, filosofía institucional, cátedra de paz Dominique Piré O.P., y la epistemología en las sedes de Tunja y Bogotá. En cuanto a la Investigación propende por una visión desde la complejidad,  lo que implica compromiso con la realidad; al primer espacio que debe impactar es la misma universidad, lo cual será posible, gracias al ejercicio de acercar ese campo de la realidad a la vida universitaria, de tal modo, que aunando esfuerzos, se  contribuya al trabajo que tendrá que desempeñar la Comisión para el esclarecimiento de la Verdad, la convivencia pacífica y la no repetición en el marco del pos-acuerdo o sociedades en procesos de transición. Respecto a la Responsabilidad social universitaria: Dos conceptos aparecen en el Proyecto Educativo Institucional; responsabilidad y </w:t>
            </w:r>
            <w:proofErr w:type="spellStart"/>
            <w:r w:rsidRPr="005D5379">
              <w:rPr>
                <w:rFonts w:ascii="Arial" w:eastAsia="Arial" w:hAnsi="Arial" w:cs="Arial"/>
                <w:color w:val="222222"/>
                <w:sz w:val="20"/>
                <w:szCs w:val="20"/>
              </w:rPr>
              <w:t>responsividad</w:t>
            </w:r>
            <w:proofErr w:type="spellEnd"/>
            <w:r w:rsidRPr="005D5379">
              <w:rPr>
                <w:rFonts w:ascii="Arial" w:eastAsia="Arial" w:hAnsi="Arial" w:cs="Arial"/>
                <w:color w:val="222222"/>
                <w:sz w:val="20"/>
                <w:szCs w:val="20"/>
              </w:rPr>
              <w:t xml:space="preserve">. Ambos entendidos como derivado de respuesta, el primero en una perspectiva ética, superando la misma </w:t>
            </w:r>
            <w:proofErr w:type="spellStart"/>
            <w:r w:rsidRPr="005D5379">
              <w:rPr>
                <w:rFonts w:ascii="Arial" w:eastAsia="Arial" w:hAnsi="Arial" w:cs="Arial"/>
                <w:color w:val="222222"/>
                <w:sz w:val="20"/>
                <w:szCs w:val="20"/>
              </w:rPr>
              <w:t>responsividad</w:t>
            </w:r>
            <w:proofErr w:type="spellEnd"/>
            <w:r w:rsidRPr="005D5379">
              <w:rPr>
                <w:rFonts w:ascii="Arial" w:eastAsia="Arial" w:hAnsi="Arial" w:cs="Arial"/>
                <w:color w:val="222222"/>
                <w:sz w:val="20"/>
                <w:szCs w:val="20"/>
              </w:rPr>
              <w:t>, es decir, la simple respuesta adaptativa. La responsabilidad emerge de la condición política o alter, pero no se agota allí, se desprende de la condición moral y del deber ser moral, de la condición y única y diferenciante que es el acto humano. Finalmente, aunque el concepto de Responsabilidad Social es oriundo de la teoría económica, la universidad Santo Tomás la entiende en el marco de nuestra Filosofía Institucional, que es el Humanismo Cristiano Tomista, y que plante al ser humano como un ser que no solo vive en el mundo sino que es con el mundo, es decir cohabita y coexiste, y ello implica todos los seres, por lo tanto con un principio de compromiso y responsabilidad con los otros y ello implica lo circundante. Así por tanto, los productos de esta investigación tienen un carácter de apropiación social del conocimiento en los escenarios de reconciliación y paz.</w:t>
            </w:r>
          </w:p>
        </w:tc>
      </w:tr>
      <w:tr w:rsidR="007B35E0" w:rsidRPr="005D5379">
        <w:tc>
          <w:tcPr>
            <w:tcW w:w="1126"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Grupo de investigación</w:t>
            </w:r>
          </w:p>
        </w:tc>
        <w:tc>
          <w:tcPr>
            <w:tcW w:w="13857" w:type="dxa"/>
            <w:tcBorders>
              <w:top w:val="single" w:sz="6" w:space="0" w:color="DDDDDD"/>
              <w:left w:val="single" w:sz="6" w:space="0" w:color="DDDDDD"/>
              <w:bottom w:val="single" w:sz="6" w:space="0" w:color="DDDDDD"/>
              <w:right w:val="single" w:sz="6" w:space="0" w:color="DDDDDD"/>
            </w:tcBorders>
            <w:shd w:val="clear" w:color="auto" w:fill="F2F2F2"/>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Línea de investigación en la que se inscribe el proyecto</w:t>
            </w:r>
          </w:p>
        </w:tc>
      </w:tr>
      <w:tr w:rsidR="007B35E0" w:rsidRPr="005D5379">
        <w:tc>
          <w:tcPr>
            <w:tcW w:w="14983" w:type="dxa"/>
            <w:gridSpan w:val="2"/>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proofErr w:type="spellStart"/>
            <w:r w:rsidRPr="005D5379">
              <w:rPr>
                <w:rFonts w:ascii="Arial" w:eastAsia="Arial" w:hAnsi="Arial" w:cs="Arial"/>
                <w:color w:val="222222"/>
                <w:sz w:val="20"/>
                <w:szCs w:val="20"/>
              </w:rPr>
              <w:t>Aletheia</w:t>
            </w:r>
            <w:proofErr w:type="spellEnd"/>
            <w:r w:rsidRPr="005D5379">
              <w:rPr>
                <w:rFonts w:ascii="Arial" w:eastAsia="Arial" w:hAnsi="Arial" w:cs="Arial"/>
                <w:color w:val="222222"/>
                <w:sz w:val="20"/>
                <w:szCs w:val="20"/>
              </w:rPr>
              <w:t xml:space="preserve"> (Bogotá) -    Expedicionarios Humanistas (Tunja)                                                              Memoria, historia e identidades</w:t>
            </w:r>
          </w:p>
        </w:tc>
      </w:tr>
    </w:tbl>
    <w:p w:rsidR="007B35E0" w:rsidRPr="005D5379" w:rsidRDefault="007B35E0">
      <w:pPr>
        <w:spacing w:after="0" w:line="240" w:lineRule="auto"/>
        <w:rPr>
          <w:rFonts w:ascii="Arial" w:eastAsia="Arial" w:hAnsi="Arial" w:cs="Arial"/>
          <w:sz w:val="20"/>
          <w:szCs w:val="20"/>
        </w:rPr>
      </w:pPr>
    </w:p>
    <w:tbl>
      <w:tblPr>
        <w:tblStyle w:val="ae"/>
        <w:tblW w:w="14734" w:type="dxa"/>
        <w:tblInd w:w="0" w:type="dxa"/>
        <w:tblLayout w:type="fixed"/>
        <w:tblLook w:val="0400" w:firstRow="0" w:lastRow="0" w:firstColumn="0" w:lastColumn="0" w:noHBand="0" w:noVBand="1"/>
      </w:tblPr>
      <w:tblGrid>
        <w:gridCol w:w="2454"/>
        <w:gridCol w:w="4341"/>
        <w:gridCol w:w="3828"/>
        <w:gridCol w:w="4111"/>
      </w:tblGrid>
      <w:tr w:rsidR="007B35E0" w:rsidRPr="005D5379">
        <w:trPr>
          <w:trHeight w:val="500"/>
        </w:trPr>
        <w:tc>
          <w:tcPr>
            <w:tcW w:w="245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Nombre del Investigador principal</w:t>
            </w:r>
          </w:p>
        </w:tc>
        <w:tc>
          <w:tcPr>
            <w:tcW w:w="4341"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 xml:space="preserve">Enlace </w:t>
            </w:r>
            <w:proofErr w:type="spellStart"/>
            <w:r w:rsidRPr="005D5379">
              <w:rPr>
                <w:rFonts w:ascii="Arial" w:eastAsia="Arial" w:hAnsi="Arial" w:cs="Arial"/>
                <w:b/>
                <w:color w:val="222222"/>
                <w:sz w:val="20"/>
                <w:szCs w:val="20"/>
              </w:rPr>
              <w:t>CvLAC</w:t>
            </w:r>
            <w:proofErr w:type="spellEnd"/>
          </w:p>
        </w:tc>
        <w:tc>
          <w:tcPr>
            <w:tcW w:w="3828"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Enlace ORCID</w:t>
            </w:r>
          </w:p>
        </w:tc>
        <w:tc>
          <w:tcPr>
            <w:tcW w:w="4111"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Enlace Google Académico</w:t>
            </w:r>
          </w:p>
        </w:tc>
      </w:tr>
      <w:tr w:rsidR="007B35E0" w:rsidRPr="005D5379">
        <w:trPr>
          <w:trHeight w:val="520"/>
        </w:trPr>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r w:rsidRPr="005D5379">
              <w:rPr>
                <w:rFonts w:ascii="Arial" w:eastAsia="Arial" w:hAnsi="Arial" w:cs="Arial"/>
                <w:color w:val="222222"/>
                <w:sz w:val="20"/>
                <w:szCs w:val="20"/>
              </w:rPr>
              <w:t>Andrés Ricardo Inampués Borda</w:t>
            </w:r>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C21EAE">
            <w:pPr>
              <w:rPr>
                <w:rFonts w:ascii="Arial" w:eastAsia="Arial" w:hAnsi="Arial" w:cs="Arial"/>
                <w:color w:val="222222"/>
                <w:sz w:val="20"/>
                <w:szCs w:val="20"/>
              </w:rPr>
            </w:pPr>
            <w:hyperlink r:id="rId8">
              <w:r w:rsidR="0014507E" w:rsidRPr="005D5379">
                <w:rPr>
                  <w:rFonts w:ascii="Arial" w:eastAsia="Arial" w:hAnsi="Arial" w:cs="Arial"/>
                  <w:color w:val="0563C1"/>
                  <w:sz w:val="20"/>
                  <w:szCs w:val="20"/>
                  <w:u w:val="single"/>
                </w:rPr>
                <w:t>http://scienti.colciencias.gov.co:8081/cvlac/visualizador/generarCurriculoCv.do</w:t>
              </w:r>
            </w:hyperlink>
            <w:r w:rsidR="0014507E" w:rsidRPr="005D5379">
              <w:rPr>
                <w:rFonts w:ascii="Arial" w:eastAsia="Arial" w:hAnsi="Arial" w:cs="Arial"/>
                <w:color w:val="222222"/>
                <w:sz w:val="20"/>
                <w:szCs w:val="20"/>
              </w:rPr>
              <w:t>?cod_rh=0000013619</w:t>
            </w:r>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rPr>
                <w:rFonts w:ascii="Arial" w:eastAsia="Arial" w:hAnsi="Arial" w:cs="Arial"/>
                <w:color w:val="222222"/>
                <w:sz w:val="20"/>
                <w:szCs w:val="20"/>
              </w:rPr>
            </w:pPr>
            <w:r w:rsidRPr="005D5379">
              <w:rPr>
                <w:rFonts w:ascii="Arial" w:eastAsia="Arial" w:hAnsi="Arial" w:cs="Arial"/>
                <w:color w:val="222222"/>
                <w:sz w:val="20"/>
                <w:szCs w:val="20"/>
              </w:rPr>
              <w:t>https://orcid.org/0000-0001-5503-672X</w:t>
            </w:r>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rPr>
                <w:rFonts w:ascii="Arial" w:eastAsia="Arial" w:hAnsi="Arial" w:cs="Arial"/>
                <w:color w:val="222222"/>
                <w:sz w:val="20"/>
                <w:szCs w:val="20"/>
              </w:rPr>
            </w:pPr>
            <w:r w:rsidRPr="005D5379">
              <w:rPr>
                <w:rFonts w:ascii="Arial" w:eastAsia="Arial" w:hAnsi="Arial" w:cs="Arial"/>
                <w:color w:val="222222"/>
                <w:sz w:val="20"/>
                <w:szCs w:val="20"/>
              </w:rPr>
              <w:t>https://scholar.google.com/citations?user=lJnRfNgAAAAJ&amp;hl=es</w:t>
            </w:r>
          </w:p>
        </w:tc>
      </w:tr>
      <w:tr w:rsidR="007B35E0" w:rsidRPr="005D5379">
        <w:tc>
          <w:tcPr>
            <w:tcW w:w="2454"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División</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Facultad</w:t>
            </w:r>
          </w:p>
        </w:tc>
        <w:tc>
          <w:tcPr>
            <w:tcW w:w="382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Programa</w:t>
            </w:r>
          </w:p>
        </w:tc>
        <w:tc>
          <w:tcPr>
            <w:tcW w:w="411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Grupo de investigación</w:t>
            </w:r>
          </w:p>
        </w:tc>
      </w:tr>
      <w:tr w:rsidR="007B35E0" w:rsidRPr="005D5379">
        <w:trPr>
          <w:trHeight w:val="580"/>
        </w:trPr>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jc w:val="center"/>
              <w:rPr>
                <w:rFonts w:ascii="Arial" w:eastAsia="Arial" w:hAnsi="Arial" w:cs="Arial"/>
                <w:b/>
                <w:color w:val="222222"/>
                <w:sz w:val="20"/>
                <w:szCs w:val="20"/>
              </w:rPr>
            </w:pPr>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r w:rsidRPr="005D5379">
              <w:rPr>
                <w:rFonts w:ascii="Arial" w:eastAsia="Arial" w:hAnsi="Arial" w:cs="Arial"/>
                <w:color w:val="222222"/>
                <w:sz w:val="20"/>
                <w:szCs w:val="20"/>
              </w:rPr>
              <w:t>Departamento de Humanidades y Formación Integral</w:t>
            </w:r>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jc w:val="center"/>
              <w:rPr>
                <w:rFonts w:ascii="Arial" w:eastAsia="Arial" w:hAnsi="Arial" w:cs="Arial"/>
                <w:b/>
                <w:color w:val="222222"/>
                <w:sz w:val="20"/>
                <w:szCs w:val="20"/>
              </w:rPr>
            </w:pPr>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proofErr w:type="spellStart"/>
            <w:r w:rsidRPr="005D5379">
              <w:rPr>
                <w:rFonts w:ascii="Arial" w:eastAsia="Arial" w:hAnsi="Arial" w:cs="Arial"/>
                <w:color w:val="222222"/>
                <w:sz w:val="20"/>
                <w:szCs w:val="20"/>
              </w:rPr>
              <w:t>Aletheia</w:t>
            </w:r>
            <w:proofErr w:type="spellEnd"/>
            <w:r w:rsidRPr="005D5379">
              <w:rPr>
                <w:rFonts w:ascii="Arial" w:eastAsia="Arial" w:hAnsi="Arial" w:cs="Arial"/>
                <w:color w:val="222222"/>
                <w:sz w:val="20"/>
                <w:szCs w:val="20"/>
              </w:rPr>
              <w:t xml:space="preserve"> (USTA-Bogotá)</w:t>
            </w:r>
          </w:p>
        </w:tc>
      </w:tr>
      <w:tr w:rsidR="007B35E0" w:rsidRPr="005D5379">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 xml:space="preserve">Nombre del Co-investigador </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 xml:space="preserve">Enlace </w:t>
            </w:r>
            <w:proofErr w:type="spellStart"/>
            <w:r w:rsidRPr="005D5379">
              <w:rPr>
                <w:rFonts w:ascii="Arial" w:eastAsia="Arial" w:hAnsi="Arial" w:cs="Arial"/>
                <w:b/>
                <w:color w:val="222222"/>
                <w:sz w:val="20"/>
                <w:szCs w:val="20"/>
              </w:rPr>
              <w:t>CvLAC</w:t>
            </w:r>
            <w:proofErr w:type="spellEnd"/>
          </w:p>
        </w:tc>
        <w:tc>
          <w:tcPr>
            <w:tcW w:w="382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Enlace ORCID</w:t>
            </w:r>
          </w:p>
        </w:tc>
        <w:tc>
          <w:tcPr>
            <w:tcW w:w="411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Enlace Google Académico</w:t>
            </w:r>
          </w:p>
        </w:tc>
      </w:tr>
      <w:tr w:rsidR="007B35E0" w:rsidRPr="005D5379">
        <w:trPr>
          <w:trHeight w:val="1000"/>
        </w:trPr>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r w:rsidRPr="005D5379">
              <w:rPr>
                <w:rFonts w:ascii="Arial" w:eastAsia="Arial" w:hAnsi="Arial" w:cs="Arial"/>
                <w:color w:val="222222"/>
                <w:sz w:val="20"/>
                <w:szCs w:val="20"/>
              </w:rPr>
              <w:lastRenderedPageBreak/>
              <w:t xml:space="preserve">Daniel Mauricio Moya </w:t>
            </w:r>
            <w:proofErr w:type="spellStart"/>
            <w:r w:rsidRPr="005D5379">
              <w:rPr>
                <w:rFonts w:ascii="Arial" w:eastAsia="Arial" w:hAnsi="Arial" w:cs="Arial"/>
                <w:color w:val="222222"/>
                <w:sz w:val="20"/>
                <w:szCs w:val="20"/>
              </w:rPr>
              <w:t>Urueña</w:t>
            </w:r>
            <w:proofErr w:type="spellEnd"/>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C21EAE">
            <w:pPr>
              <w:rPr>
                <w:rFonts w:ascii="Arial" w:eastAsia="Arial" w:hAnsi="Arial" w:cs="Arial"/>
                <w:color w:val="222222"/>
                <w:sz w:val="20"/>
                <w:szCs w:val="20"/>
              </w:rPr>
            </w:pPr>
            <w:hyperlink r:id="rId9">
              <w:r w:rsidR="0014507E" w:rsidRPr="005D5379">
                <w:rPr>
                  <w:rFonts w:ascii="Arial" w:eastAsia="Arial" w:hAnsi="Arial" w:cs="Arial"/>
                  <w:color w:val="1155CC"/>
                  <w:sz w:val="20"/>
                  <w:szCs w:val="20"/>
                  <w:u w:val="single"/>
                </w:rPr>
                <w:t>https://scienti.colciencias.gov.co/cvlac/visualizador/generarCurriculoCv.do?cod_rh=0001684818</w:t>
              </w:r>
            </w:hyperlink>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494A4C"/>
                <w:sz w:val="20"/>
                <w:szCs w:val="20"/>
              </w:rPr>
            </w:pPr>
            <w:r w:rsidRPr="005D5379">
              <w:rPr>
                <w:rFonts w:ascii="Arial" w:eastAsia="Arial" w:hAnsi="Arial" w:cs="Arial"/>
                <w:color w:val="494A4C"/>
                <w:sz w:val="20"/>
                <w:szCs w:val="20"/>
              </w:rPr>
              <w:t>https://orcid.org/0000-0002-2994-2224</w:t>
            </w:r>
          </w:p>
          <w:p w:rsidR="007B35E0" w:rsidRPr="005D5379" w:rsidRDefault="007B35E0">
            <w:pPr>
              <w:jc w:val="center"/>
              <w:rPr>
                <w:rFonts w:ascii="Arial" w:eastAsia="Arial" w:hAnsi="Arial" w:cs="Arial"/>
                <w:b/>
                <w:color w:val="222222"/>
                <w:sz w:val="20"/>
                <w:szCs w:val="20"/>
              </w:rPr>
            </w:pPr>
          </w:p>
          <w:p w:rsidR="007B35E0" w:rsidRPr="005D5379" w:rsidRDefault="007B35E0">
            <w:pPr>
              <w:jc w:val="center"/>
              <w:rPr>
                <w:rFonts w:ascii="Arial" w:eastAsia="Arial" w:hAnsi="Arial" w:cs="Arial"/>
                <w:b/>
                <w:color w:val="222222"/>
                <w:sz w:val="20"/>
                <w:szCs w:val="20"/>
              </w:rPr>
            </w:pPr>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C21EAE">
            <w:pPr>
              <w:jc w:val="center"/>
              <w:rPr>
                <w:rFonts w:ascii="Arial" w:eastAsia="Arial" w:hAnsi="Arial" w:cs="Arial"/>
                <w:color w:val="222222"/>
                <w:sz w:val="20"/>
                <w:szCs w:val="20"/>
              </w:rPr>
            </w:pPr>
            <w:hyperlink r:id="rId10">
              <w:r w:rsidR="0014507E" w:rsidRPr="005D5379">
                <w:rPr>
                  <w:rFonts w:ascii="Arial" w:eastAsia="Arial" w:hAnsi="Arial" w:cs="Arial"/>
                  <w:color w:val="1155CC"/>
                  <w:sz w:val="20"/>
                  <w:szCs w:val="20"/>
                  <w:u w:val="single"/>
                </w:rPr>
                <w:t>https://scholar.google.com/citations?user=pxY-IcUAAAAJ&amp;hl=es</w:t>
              </w:r>
            </w:hyperlink>
          </w:p>
          <w:p w:rsidR="007B35E0" w:rsidRPr="005D5379" w:rsidRDefault="007B35E0">
            <w:pPr>
              <w:jc w:val="center"/>
              <w:rPr>
                <w:rFonts w:ascii="Arial" w:eastAsia="Arial" w:hAnsi="Arial" w:cs="Arial"/>
                <w:color w:val="222222"/>
                <w:sz w:val="20"/>
                <w:szCs w:val="20"/>
              </w:rPr>
            </w:pPr>
          </w:p>
        </w:tc>
      </w:tr>
      <w:tr w:rsidR="007B35E0" w:rsidRPr="005D5379">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División</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Facultad</w:t>
            </w:r>
          </w:p>
        </w:tc>
        <w:tc>
          <w:tcPr>
            <w:tcW w:w="382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Programa</w:t>
            </w:r>
          </w:p>
        </w:tc>
        <w:tc>
          <w:tcPr>
            <w:tcW w:w="411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Grupo de investigación</w:t>
            </w:r>
          </w:p>
        </w:tc>
      </w:tr>
      <w:tr w:rsidR="007B35E0" w:rsidRPr="005D5379">
        <w:trPr>
          <w:trHeight w:val="520"/>
        </w:trPr>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rPr>
                <w:rFonts w:ascii="Arial" w:eastAsia="Arial" w:hAnsi="Arial" w:cs="Arial"/>
                <w:color w:val="222222"/>
                <w:sz w:val="20"/>
                <w:szCs w:val="20"/>
              </w:rPr>
            </w:pPr>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color w:val="222222"/>
                <w:sz w:val="20"/>
                <w:szCs w:val="20"/>
              </w:rPr>
              <w:t>Departamento de Humanidades y Formación Integral</w:t>
            </w:r>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jc w:val="center"/>
              <w:rPr>
                <w:rFonts w:ascii="Arial" w:eastAsia="Arial" w:hAnsi="Arial" w:cs="Arial"/>
                <w:b/>
                <w:color w:val="222222"/>
                <w:sz w:val="20"/>
                <w:szCs w:val="20"/>
              </w:rPr>
            </w:pPr>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color w:val="222222"/>
                <w:sz w:val="20"/>
                <w:szCs w:val="20"/>
              </w:rPr>
              <w:t>Expedicionarios Humanistas (USTA Tunja)</w:t>
            </w:r>
          </w:p>
        </w:tc>
      </w:tr>
      <w:tr w:rsidR="007B35E0" w:rsidRPr="005D5379">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 xml:space="preserve">Nombre del Co-investigador </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 xml:space="preserve">Enlace </w:t>
            </w:r>
            <w:proofErr w:type="spellStart"/>
            <w:r w:rsidRPr="005D5379">
              <w:rPr>
                <w:rFonts w:ascii="Arial" w:eastAsia="Arial" w:hAnsi="Arial" w:cs="Arial"/>
                <w:b/>
                <w:color w:val="222222"/>
                <w:sz w:val="20"/>
                <w:szCs w:val="20"/>
              </w:rPr>
              <w:t>CvLAC</w:t>
            </w:r>
            <w:proofErr w:type="spellEnd"/>
          </w:p>
        </w:tc>
        <w:tc>
          <w:tcPr>
            <w:tcW w:w="382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Enlace ORCID</w:t>
            </w:r>
          </w:p>
        </w:tc>
        <w:tc>
          <w:tcPr>
            <w:tcW w:w="411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Enlace Google Académico</w:t>
            </w:r>
          </w:p>
        </w:tc>
      </w:tr>
      <w:tr w:rsidR="007B35E0" w:rsidRPr="005D5379">
        <w:trPr>
          <w:trHeight w:val="1380"/>
        </w:trPr>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r w:rsidRPr="005D5379">
              <w:rPr>
                <w:rFonts w:ascii="Arial" w:eastAsia="Arial" w:hAnsi="Arial" w:cs="Arial"/>
                <w:color w:val="222222"/>
                <w:sz w:val="20"/>
                <w:szCs w:val="20"/>
              </w:rPr>
              <w:t>Francisco Javier Yate</w:t>
            </w:r>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C21EAE">
            <w:pPr>
              <w:jc w:val="both"/>
              <w:rPr>
                <w:rFonts w:ascii="Arial" w:eastAsia="Arial" w:hAnsi="Arial" w:cs="Arial"/>
                <w:color w:val="222222"/>
                <w:sz w:val="20"/>
                <w:szCs w:val="20"/>
              </w:rPr>
            </w:pPr>
            <w:hyperlink r:id="rId11">
              <w:r w:rsidR="0014507E" w:rsidRPr="005D5379">
                <w:rPr>
                  <w:rFonts w:ascii="Arial" w:eastAsia="Arial" w:hAnsi="Arial" w:cs="Arial"/>
                  <w:color w:val="1155CC"/>
                  <w:sz w:val="20"/>
                  <w:szCs w:val="20"/>
                  <w:u w:val="single"/>
                </w:rPr>
                <w:t>http://scienti.colciencias.gov.co:8081/cvlac/visualizador/generarCurriculoCv.do?cod_rh=0001091913</w:t>
              </w:r>
            </w:hyperlink>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C21EAE">
            <w:pPr>
              <w:jc w:val="center"/>
              <w:rPr>
                <w:rFonts w:ascii="Arial" w:eastAsia="Arial" w:hAnsi="Arial" w:cs="Arial"/>
                <w:b/>
                <w:color w:val="222222"/>
                <w:sz w:val="20"/>
                <w:szCs w:val="20"/>
              </w:rPr>
            </w:pPr>
            <w:hyperlink r:id="rId12">
              <w:r w:rsidR="0014507E" w:rsidRPr="005D5379">
                <w:rPr>
                  <w:rFonts w:ascii="Arial" w:eastAsia="Arial" w:hAnsi="Arial" w:cs="Arial"/>
                  <w:b/>
                  <w:color w:val="1155CC"/>
                  <w:sz w:val="20"/>
                  <w:szCs w:val="20"/>
                  <w:u w:val="single"/>
                </w:rPr>
                <w:t>https://orcid.org/0000-0002-6277-2458</w:t>
              </w:r>
            </w:hyperlink>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both"/>
              <w:rPr>
                <w:rFonts w:ascii="Arial" w:eastAsia="Arial" w:hAnsi="Arial" w:cs="Arial"/>
                <w:color w:val="1155CC"/>
                <w:sz w:val="20"/>
                <w:szCs w:val="20"/>
                <w:u w:val="single"/>
              </w:rPr>
            </w:pPr>
            <w:r w:rsidRPr="005D5379">
              <w:rPr>
                <w:sz w:val="20"/>
                <w:szCs w:val="20"/>
              </w:rPr>
              <w:fldChar w:fldCharType="begin"/>
            </w:r>
            <w:r w:rsidRPr="005D5379">
              <w:rPr>
                <w:sz w:val="20"/>
                <w:szCs w:val="20"/>
              </w:rPr>
              <w:instrText xml:space="preserve"> HYPERLINK "https://scholar.google.es/citations?user=HhjkWs8AAAAJ&amp;hl=es" </w:instrText>
            </w:r>
            <w:r w:rsidRPr="005D5379">
              <w:rPr>
                <w:sz w:val="20"/>
                <w:szCs w:val="20"/>
              </w:rPr>
              <w:fldChar w:fldCharType="separate"/>
            </w:r>
            <w:r w:rsidRPr="005D5379">
              <w:rPr>
                <w:rFonts w:ascii="Arial" w:eastAsia="Arial" w:hAnsi="Arial" w:cs="Arial"/>
                <w:color w:val="1155CC"/>
                <w:sz w:val="20"/>
                <w:szCs w:val="20"/>
                <w:u w:val="single"/>
              </w:rPr>
              <w:t>https://scholar.google.es/citations?user=HhjkWs8AAAAJ&amp;hl=es</w:t>
            </w:r>
          </w:p>
          <w:p w:rsidR="007B35E0" w:rsidRPr="005D5379" w:rsidRDefault="0014507E">
            <w:pPr>
              <w:jc w:val="center"/>
              <w:rPr>
                <w:rFonts w:ascii="Arial" w:eastAsia="Arial" w:hAnsi="Arial" w:cs="Arial"/>
                <w:color w:val="222222"/>
                <w:sz w:val="20"/>
                <w:szCs w:val="20"/>
              </w:rPr>
            </w:pPr>
            <w:r w:rsidRPr="005D5379">
              <w:rPr>
                <w:sz w:val="20"/>
                <w:szCs w:val="20"/>
              </w:rPr>
              <w:fldChar w:fldCharType="end"/>
            </w:r>
          </w:p>
        </w:tc>
      </w:tr>
      <w:tr w:rsidR="007B35E0" w:rsidRPr="005D5379">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División</w:t>
            </w:r>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Facultad</w:t>
            </w:r>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Programa</w:t>
            </w:r>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Grupo de investigación</w:t>
            </w:r>
          </w:p>
        </w:tc>
      </w:tr>
      <w:tr w:rsidR="007B35E0" w:rsidRPr="005D5379">
        <w:trPr>
          <w:trHeight w:val="520"/>
        </w:trPr>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jc w:val="center"/>
              <w:rPr>
                <w:rFonts w:ascii="Arial" w:eastAsia="Arial" w:hAnsi="Arial" w:cs="Arial"/>
                <w:b/>
                <w:color w:val="222222"/>
                <w:sz w:val="20"/>
                <w:szCs w:val="20"/>
              </w:rPr>
            </w:pPr>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r w:rsidRPr="005D5379">
              <w:rPr>
                <w:rFonts w:ascii="Arial" w:eastAsia="Arial" w:hAnsi="Arial" w:cs="Arial"/>
                <w:color w:val="222222"/>
                <w:sz w:val="20"/>
                <w:szCs w:val="20"/>
              </w:rPr>
              <w:t>Departamento de Humanidades y Formación Integral</w:t>
            </w:r>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jc w:val="center"/>
              <w:rPr>
                <w:rFonts w:ascii="Arial" w:eastAsia="Arial" w:hAnsi="Arial" w:cs="Arial"/>
                <w:b/>
                <w:color w:val="222222"/>
                <w:sz w:val="20"/>
                <w:szCs w:val="20"/>
              </w:rPr>
            </w:pPr>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proofErr w:type="spellStart"/>
            <w:r w:rsidRPr="005D5379">
              <w:rPr>
                <w:rFonts w:ascii="Arial" w:eastAsia="Arial" w:hAnsi="Arial" w:cs="Arial"/>
                <w:color w:val="222222"/>
                <w:sz w:val="20"/>
                <w:szCs w:val="20"/>
              </w:rPr>
              <w:t>Aletheia</w:t>
            </w:r>
            <w:proofErr w:type="spellEnd"/>
            <w:r w:rsidRPr="005D5379">
              <w:rPr>
                <w:rFonts w:ascii="Arial" w:eastAsia="Arial" w:hAnsi="Arial" w:cs="Arial"/>
                <w:color w:val="222222"/>
                <w:sz w:val="20"/>
                <w:szCs w:val="20"/>
              </w:rPr>
              <w:t xml:space="preserve"> (USTA-Bogotá)</w:t>
            </w:r>
          </w:p>
        </w:tc>
      </w:tr>
      <w:tr w:rsidR="007B35E0" w:rsidRPr="005D5379">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 xml:space="preserve">Nombre del Co-investigador </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 xml:space="preserve">Enlace </w:t>
            </w:r>
            <w:proofErr w:type="spellStart"/>
            <w:r w:rsidRPr="005D5379">
              <w:rPr>
                <w:rFonts w:ascii="Arial" w:eastAsia="Arial" w:hAnsi="Arial" w:cs="Arial"/>
                <w:b/>
                <w:color w:val="222222"/>
                <w:sz w:val="20"/>
                <w:szCs w:val="20"/>
              </w:rPr>
              <w:t>CvLAC</w:t>
            </w:r>
            <w:proofErr w:type="spellEnd"/>
          </w:p>
        </w:tc>
        <w:tc>
          <w:tcPr>
            <w:tcW w:w="382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Enlace ORCID</w:t>
            </w:r>
          </w:p>
        </w:tc>
        <w:tc>
          <w:tcPr>
            <w:tcW w:w="411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Enlace Google Académico</w:t>
            </w:r>
          </w:p>
        </w:tc>
      </w:tr>
      <w:tr w:rsidR="007B35E0" w:rsidRPr="005D5379">
        <w:trPr>
          <w:trHeight w:val="1000"/>
        </w:trPr>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r w:rsidRPr="005D5379">
              <w:rPr>
                <w:rFonts w:ascii="Arial" w:eastAsia="Arial" w:hAnsi="Arial" w:cs="Arial"/>
                <w:color w:val="222222"/>
                <w:sz w:val="20"/>
                <w:szCs w:val="20"/>
              </w:rPr>
              <w:t>Nelly Patricia Rodríguez</w:t>
            </w:r>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C21EAE">
            <w:pPr>
              <w:rPr>
                <w:rFonts w:ascii="Arial" w:eastAsia="Arial" w:hAnsi="Arial" w:cs="Arial"/>
                <w:color w:val="222222"/>
                <w:sz w:val="20"/>
                <w:szCs w:val="20"/>
              </w:rPr>
            </w:pPr>
            <w:hyperlink r:id="rId13">
              <w:r w:rsidR="0014507E" w:rsidRPr="005D5379">
                <w:rPr>
                  <w:rFonts w:ascii="Arial" w:eastAsia="Arial" w:hAnsi="Arial" w:cs="Arial"/>
                  <w:color w:val="0563C1"/>
                  <w:sz w:val="20"/>
                  <w:szCs w:val="20"/>
                  <w:u w:val="single"/>
                </w:rPr>
                <w:t>https://scienti.colciencias.gov.co/cvlac/visualizador/generarCurriculoCv.do?cod_rh=0000151229#</w:t>
              </w:r>
            </w:hyperlink>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C21EAE">
            <w:pPr>
              <w:jc w:val="center"/>
              <w:rPr>
                <w:rFonts w:ascii="Arial" w:eastAsia="Arial" w:hAnsi="Arial" w:cs="Arial"/>
                <w:color w:val="222222"/>
                <w:sz w:val="20"/>
                <w:szCs w:val="20"/>
              </w:rPr>
            </w:pPr>
            <w:hyperlink r:id="rId14">
              <w:r w:rsidR="0014507E" w:rsidRPr="005D5379">
                <w:rPr>
                  <w:rFonts w:ascii="Arial" w:eastAsia="Arial" w:hAnsi="Arial" w:cs="Arial"/>
                  <w:color w:val="0563C1"/>
                  <w:sz w:val="20"/>
                  <w:szCs w:val="20"/>
                  <w:u w:val="single"/>
                </w:rPr>
                <w:t>https://orcid.org/0000-0001-7786-6804</w:t>
              </w:r>
            </w:hyperlink>
          </w:p>
          <w:p w:rsidR="007B35E0" w:rsidRPr="005D5379" w:rsidRDefault="007B35E0">
            <w:pPr>
              <w:jc w:val="center"/>
              <w:rPr>
                <w:rFonts w:ascii="Arial" w:eastAsia="Arial" w:hAnsi="Arial" w:cs="Arial"/>
                <w:color w:val="222222"/>
                <w:sz w:val="20"/>
                <w:szCs w:val="20"/>
              </w:rPr>
            </w:pPr>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C21EAE">
            <w:pPr>
              <w:rPr>
                <w:rFonts w:ascii="Arial" w:eastAsia="Arial" w:hAnsi="Arial" w:cs="Arial"/>
                <w:color w:val="222222"/>
                <w:sz w:val="20"/>
                <w:szCs w:val="20"/>
              </w:rPr>
            </w:pPr>
            <w:hyperlink r:id="rId15">
              <w:r w:rsidR="0014507E" w:rsidRPr="005D5379">
                <w:rPr>
                  <w:rFonts w:ascii="Arial" w:eastAsia="Arial" w:hAnsi="Arial" w:cs="Arial"/>
                  <w:color w:val="0563C1"/>
                  <w:sz w:val="20"/>
                  <w:szCs w:val="20"/>
                  <w:u w:val="single"/>
                </w:rPr>
                <w:t>https://scholar.google.es/citations?user=lJnRfNgAAAAJ&amp;hl=es</w:t>
              </w:r>
            </w:hyperlink>
          </w:p>
          <w:p w:rsidR="007B35E0" w:rsidRPr="005D5379" w:rsidRDefault="007B35E0">
            <w:pPr>
              <w:rPr>
                <w:rFonts w:ascii="Arial" w:eastAsia="Arial" w:hAnsi="Arial" w:cs="Arial"/>
                <w:color w:val="222222"/>
                <w:sz w:val="20"/>
                <w:szCs w:val="20"/>
              </w:rPr>
            </w:pPr>
          </w:p>
        </w:tc>
      </w:tr>
      <w:tr w:rsidR="007B35E0" w:rsidRPr="005D5379">
        <w:trPr>
          <w:trHeight w:val="520"/>
        </w:trPr>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División</w:t>
            </w:r>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Facultad</w:t>
            </w:r>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Programa</w:t>
            </w:r>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Grupo de investigación</w:t>
            </w:r>
          </w:p>
        </w:tc>
      </w:tr>
      <w:tr w:rsidR="007B35E0" w:rsidRPr="005D5379">
        <w:trPr>
          <w:trHeight w:val="520"/>
        </w:trPr>
        <w:tc>
          <w:tcPr>
            <w:tcW w:w="2454"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jc w:val="center"/>
              <w:rPr>
                <w:rFonts w:ascii="Arial" w:eastAsia="Arial" w:hAnsi="Arial" w:cs="Arial"/>
                <w:b/>
                <w:color w:val="222222"/>
                <w:sz w:val="20"/>
                <w:szCs w:val="20"/>
              </w:rPr>
            </w:pPr>
          </w:p>
        </w:tc>
        <w:tc>
          <w:tcPr>
            <w:tcW w:w="434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r w:rsidRPr="005D5379">
              <w:rPr>
                <w:rFonts w:ascii="Arial" w:eastAsia="Arial" w:hAnsi="Arial" w:cs="Arial"/>
                <w:color w:val="222222"/>
                <w:sz w:val="20"/>
                <w:szCs w:val="20"/>
              </w:rPr>
              <w:t>Departamento de Humanidades y Formación Integral</w:t>
            </w:r>
          </w:p>
        </w:tc>
        <w:tc>
          <w:tcPr>
            <w:tcW w:w="3828"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jc w:val="center"/>
              <w:rPr>
                <w:rFonts w:ascii="Arial" w:eastAsia="Arial" w:hAnsi="Arial" w:cs="Arial"/>
                <w:b/>
                <w:color w:val="222222"/>
                <w:sz w:val="20"/>
                <w:szCs w:val="20"/>
              </w:rPr>
            </w:pPr>
          </w:p>
        </w:tc>
        <w:tc>
          <w:tcPr>
            <w:tcW w:w="411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center"/>
              <w:rPr>
                <w:rFonts w:ascii="Arial" w:eastAsia="Arial" w:hAnsi="Arial" w:cs="Arial"/>
                <w:color w:val="222222"/>
                <w:sz w:val="20"/>
                <w:szCs w:val="20"/>
              </w:rPr>
            </w:pPr>
            <w:proofErr w:type="spellStart"/>
            <w:r w:rsidRPr="005D5379">
              <w:rPr>
                <w:rFonts w:ascii="Arial" w:eastAsia="Arial" w:hAnsi="Arial" w:cs="Arial"/>
                <w:color w:val="222222"/>
                <w:sz w:val="20"/>
                <w:szCs w:val="20"/>
              </w:rPr>
              <w:t>Aletheia</w:t>
            </w:r>
            <w:proofErr w:type="spellEnd"/>
            <w:r w:rsidRPr="005D5379">
              <w:rPr>
                <w:rFonts w:ascii="Arial" w:eastAsia="Arial" w:hAnsi="Arial" w:cs="Arial"/>
                <w:color w:val="222222"/>
                <w:sz w:val="20"/>
                <w:szCs w:val="20"/>
              </w:rPr>
              <w:t xml:space="preserve"> (USTA-Bogotá)</w:t>
            </w:r>
          </w:p>
        </w:tc>
      </w:tr>
    </w:tbl>
    <w:p w:rsidR="007B35E0" w:rsidRPr="005D5379" w:rsidRDefault="007B35E0">
      <w:pPr>
        <w:spacing w:after="0" w:line="240" w:lineRule="auto"/>
        <w:rPr>
          <w:rFonts w:ascii="Arial" w:eastAsia="Arial" w:hAnsi="Arial" w:cs="Arial"/>
          <w:sz w:val="20"/>
          <w:szCs w:val="20"/>
        </w:rPr>
      </w:pPr>
    </w:p>
    <w:tbl>
      <w:tblPr>
        <w:tblStyle w:val="af"/>
        <w:tblW w:w="14983" w:type="dxa"/>
        <w:tblInd w:w="0" w:type="dxa"/>
        <w:tblLayout w:type="fixed"/>
        <w:tblLook w:val="0400" w:firstRow="0" w:lastRow="0" w:firstColumn="0" w:lastColumn="0" w:noHBand="0" w:noVBand="1"/>
      </w:tblPr>
      <w:tblGrid>
        <w:gridCol w:w="12892"/>
        <w:gridCol w:w="2091"/>
      </w:tblGrid>
      <w:tr w:rsidR="007B35E0" w:rsidRPr="005D5379">
        <w:tc>
          <w:tcPr>
            <w:tcW w:w="12892"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Resumen de la propuesta</w:t>
            </w:r>
          </w:p>
        </w:tc>
        <w:tc>
          <w:tcPr>
            <w:tcW w:w="2091"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Palabras clave</w:t>
            </w:r>
          </w:p>
        </w:tc>
      </w:tr>
      <w:tr w:rsidR="007B35E0" w:rsidRPr="005D5379">
        <w:tc>
          <w:tcPr>
            <w:tcW w:w="12892"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 xml:space="preserve">Este proyecto hace parte de la integración de dos sedes (Bogotá y Tunja) desde sus Departamentos de Humanidades y Formación integral, para apoyar desde la academia </w:t>
            </w:r>
            <w:r w:rsidR="00F45FC7" w:rsidRPr="005D5379">
              <w:rPr>
                <w:rFonts w:ascii="Arial" w:eastAsia="Arial" w:hAnsi="Arial" w:cs="Arial"/>
                <w:sz w:val="20"/>
                <w:szCs w:val="20"/>
              </w:rPr>
              <w:t>los diferentes procesos gubernamentales y de la sociedad civil</w:t>
            </w:r>
            <w:r w:rsidRPr="005D5379">
              <w:rPr>
                <w:rFonts w:ascii="Arial" w:eastAsia="Arial" w:hAnsi="Arial" w:cs="Arial"/>
                <w:sz w:val="20"/>
                <w:szCs w:val="20"/>
              </w:rPr>
              <w:t xml:space="preserve"> que buscan  la construcción de paz en los territorios. En este sentido, busca determinar los fundamentos ético-políticos que dan soporte al esclarecimiento de la verdad en diferentes escenarios y comunidades afectadas por el conflicto armado y en procesos de transición, así como l</w:t>
            </w:r>
            <w:r w:rsidR="00F45FC7" w:rsidRPr="005D5379">
              <w:rPr>
                <w:rFonts w:ascii="Arial" w:eastAsia="Arial" w:hAnsi="Arial" w:cs="Arial"/>
                <w:sz w:val="20"/>
                <w:szCs w:val="20"/>
              </w:rPr>
              <w:t>a capacidad de agencia cultural; Por ello, pretende ser un apoyo a la misión de la Comisión para el esclarecimiento de la</w:t>
            </w:r>
            <w:r w:rsidRPr="005D5379">
              <w:rPr>
                <w:rFonts w:ascii="Arial" w:eastAsia="Arial" w:hAnsi="Arial" w:cs="Arial"/>
                <w:sz w:val="20"/>
                <w:szCs w:val="20"/>
              </w:rPr>
              <w:t xml:space="preserve"> Verdad, la convivencia pacífica y la no repetición en Colombia entre el 2019 y 2021. </w:t>
            </w:r>
            <w:r w:rsidRPr="005D5379">
              <w:rPr>
                <w:rFonts w:ascii="Arial" w:eastAsia="Arial" w:hAnsi="Arial" w:cs="Arial"/>
                <w:color w:val="222222"/>
                <w:sz w:val="20"/>
                <w:szCs w:val="20"/>
                <w:highlight w:val="white"/>
              </w:rPr>
              <w:t>Se tomarán muestras</w:t>
            </w:r>
            <w:r w:rsidR="00F45FC7" w:rsidRPr="005D5379">
              <w:rPr>
                <w:rFonts w:ascii="Arial" w:eastAsia="Arial" w:hAnsi="Arial" w:cs="Arial"/>
                <w:color w:val="222222"/>
                <w:sz w:val="20"/>
                <w:szCs w:val="20"/>
                <w:highlight w:val="white"/>
              </w:rPr>
              <w:t xml:space="preserve"> (experiencias, narrativas, testimonios y conceptos)</w:t>
            </w:r>
            <w:r w:rsidRPr="005D5379">
              <w:rPr>
                <w:rFonts w:ascii="Arial" w:eastAsia="Arial" w:hAnsi="Arial" w:cs="Arial"/>
                <w:color w:val="222222"/>
                <w:sz w:val="20"/>
                <w:szCs w:val="20"/>
                <w:highlight w:val="white"/>
              </w:rPr>
              <w:t xml:space="preserve"> multifacéticas de grupos diversos como comités de </w:t>
            </w:r>
            <w:r w:rsidR="00F45FC7" w:rsidRPr="005D5379">
              <w:rPr>
                <w:rFonts w:ascii="Arial" w:eastAsia="Arial" w:hAnsi="Arial" w:cs="Arial"/>
                <w:color w:val="222222"/>
                <w:sz w:val="20"/>
                <w:szCs w:val="20"/>
                <w:highlight w:val="white"/>
              </w:rPr>
              <w:t>víctimas, jóvenes estudiantes</w:t>
            </w:r>
            <w:r w:rsidRPr="005D5379">
              <w:rPr>
                <w:rFonts w:ascii="Arial" w:eastAsia="Arial" w:hAnsi="Arial" w:cs="Arial"/>
                <w:color w:val="222222"/>
                <w:sz w:val="20"/>
                <w:szCs w:val="20"/>
                <w:highlight w:val="white"/>
              </w:rPr>
              <w:t xml:space="preserve"> con afinidad política, </w:t>
            </w:r>
            <w:r w:rsidR="00F45FC7" w:rsidRPr="005D5379">
              <w:rPr>
                <w:rFonts w:ascii="Arial" w:eastAsia="Arial" w:hAnsi="Arial" w:cs="Arial"/>
                <w:color w:val="222222"/>
                <w:sz w:val="20"/>
                <w:szCs w:val="20"/>
                <w:highlight w:val="white"/>
              </w:rPr>
              <w:t xml:space="preserve">ex </w:t>
            </w:r>
            <w:r w:rsidRPr="005D5379">
              <w:rPr>
                <w:rFonts w:ascii="Arial" w:eastAsia="Arial" w:hAnsi="Arial" w:cs="Arial"/>
                <w:color w:val="222222"/>
                <w:sz w:val="20"/>
                <w:szCs w:val="20"/>
                <w:highlight w:val="white"/>
              </w:rPr>
              <w:t xml:space="preserve">miembros de grupos al margen de la ley, académicos, y otros grupos que desde el estado documental, puedan </w:t>
            </w:r>
            <w:r w:rsidRPr="005D5379">
              <w:rPr>
                <w:rFonts w:ascii="Arial" w:eastAsia="Arial" w:hAnsi="Arial" w:cs="Arial"/>
                <w:color w:val="222222"/>
                <w:sz w:val="20"/>
                <w:szCs w:val="20"/>
                <w:highlight w:val="white"/>
              </w:rPr>
              <w:lastRenderedPageBreak/>
              <w:t xml:space="preserve">ayudarnos a comprender las nociones </w:t>
            </w:r>
            <w:r w:rsidR="00F45FC7" w:rsidRPr="005D5379">
              <w:rPr>
                <w:rFonts w:ascii="Arial" w:eastAsia="Arial" w:hAnsi="Arial" w:cs="Arial"/>
                <w:color w:val="222222"/>
                <w:sz w:val="20"/>
                <w:szCs w:val="20"/>
                <w:highlight w:val="white"/>
              </w:rPr>
              <w:t xml:space="preserve">para esclarecer </w:t>
            </w:r>
            <w:r w:rsidRPr="005D5379">
              <w:rPr>
                <w:rFonts w:ascii="Arial" w:eastAsia="Arial" w:hAnsi="Arial" w:cs="Arial"/>
                <w:color w:val="222222"/>
                <w:sz w:val="20"/>
                <w:szCs w:val="20"/>
                <w:highlight w:val="white"/>
              </w:rPr>
              <w:t>lo ocurrido</w:t>
            </w:r>
            <w:r w:rsidR="00F45FC7" w:rsidRPr="005D5379">
              <w:rPr>
                <w:rFonts w:ascii="Arial" w:eastAsia="Arial" w:hAnsi="Arial" w:cs="Arial"/>
                <w:color w:val="222222"/>
                <w:sz w:val="20"/>
                <w:szCs w:val="20"/>
                <w:highlight w:val="white"/>
              </w:rPr>
              <w:t xml:space="preserve"> en el conflicto, las experiencias de convivencia pacífica</w:t>
            </w:r>
            <w:r w:rsidRPr="005D5379">
              <w:rPr>
                <w:rFonts w:ascii="Arial" w:eastAsia="Arial" w:hAnsi="Arial" w:cs="Arial"/>
                <w:color w:val="222222"/>
                <w:sz w:val="20"/>
                <w:szCs w:val="20"/>
                <w:highlight w:val="white"/>
              </w:rPr>
              <w:t xml:space="preserve"> y las apuestas para no repetir estos a</w:t>
            </w:r>
            <w:r w:rsidR="00F45FC7" w:rsidRPr="005D5379">
              <w:rPr>
                <w:rFonts w:ascii="Arial" w:eastAsia="Arial" w:hAnsi="Arial" w:cs="Arial"/>
                <w:color w:val="222222"/>
                <w:sz w:val="20"/>
                <w:szCs w:val="20"/>
                <w:highlight w:val="white"/>
              </w:rPr>
              <w:t>contecimientos que marcan aún el</w:t>
            </w:r>
            <w:r w:rsidRPr="005D5379">
              <w:rPr>
                <w:rFonts w:ascii="Arial" w:eastAsia="Arial" w:hAnsi="Arial" w:cs="Arial"/>
                <w:color w:val="222222"/>
                <w:sz w:val="20"/>
                <w:szCs w:val="20"/>
                <w:highlight w:val="white"/>
              </w:rPr>
              <w:t xml:space="preserve"> horizonte de violencia en Colombia. </w:t>
            </w:r>
            <w:r w:rsidRPr="005D5379">
              <w:rPr>
                <w:rFonts w:ascii="Arial" w:eastAsia="Arial" w:hAnsi="Arial" w:cs="Arial"/>
                <w:color w:val="222222"/>
                <w:sz w:val="20"/>
                <w:szCs w:val="20"/>
              </w:rPr>
              <w:t>Por eso, a través de procesos de escucha colectiva, la voz de las víctimas, de las organizaciones, de la sociedad, de las instituciones, y del sector académico, se podrá promover la agencia cultural entendida en el marco del Sistema Integral de Verdad, Justicia y reparación y N</w:t>
            </w:r>
            <w:r w:rsidR="00F45FC7" w:rsidRPr="005D5379">
              <w:rPr>
                <w:rFonts w:ascii="Arial" w:eastAsia="Arial" w:hAnsi="Arial" w:cs="Arial"/>
                <w:color w:val="222222"/>
                <w:sz w:val="20"/>
                <w:szCs w:val="20"/>
              </w:rPr>
              <w:t xml:space="preserve">o repetición (SIVJRNR) acordado en el proceso de paz entre el gobierno colombiano y las </w:t>
            </w:r>
            <w:proofErr w:type="spellStart"/>
            <w:r w:rsidR="00F45FC7" w:rsidRPr="005D5379">
              <w:rPr>
                <w:rFonts w:ascii="Arial" w:eastAsia="Arial" w:hAnsi="Arial" w:cs="Arial"/>
                <w:color w:val="222222"/>
                <w:sz w:val="20"/>
                <w:szCs w:val="20"/>
              </w:rPr>
              <w:t>Farc</w:t>
            </w:r>
            <w:proofErr w:type="spellEnd"/>
            <w:r w:rsidR="00F45FC7" w:rsidRPr="005D5379">
              <w:rPr>
                <w:rFonts w:ascii="Arial" w:eastAsia="Arial" w:hAnsi="Arial" w:cs="Arial"/>
                <w:color w:val="222222"/>
                <w:sz w:val="20"/>
                <w:szCs w:val="20"/>
              </w:rPr>
              <w:t>.</w:t>
            </w:r>
          </w:p>
          <w:p w:rsidR="007B35E0" w:rsidRPr="005D5379" w:rsidRDefault="007B35E0">
            <w:pPr>
              <w:jc w:val="both"/>
              <w:rPr>
                <w:rFonts w:ascii="Arial" w:eastAsia="Arial" w:hAnsi="Arial" w:cs="Arial"/>
                <w:sz w:val="20"/>
                <w:szCs w:val="20"/>
              </w:rPr>
            </w:pPr>
          </w:p>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 xml:space="preserve">La metodología se establece desde el enfoque cualitativo, fenomenológico, con un diseño crítico-emancipatorio. En un primer momento se pretende una revisión y análisis crítico de </w:t>
            </w:r>
            <w:r w:rsidRPr="005D5379">
              <w:rPr>
                <w:rFonts w:ascii="Arial" w:eastAsia="Arial" w:hAnsi="Arial" w:cs="Arial"/>
                <w:i/>
                <w:sz w:val="20"/>
                <w:szCs w:val="20"/>
              </w:rPr>
              <w:t xml:space="preserve">la verdad </w:t>
            </w:r>
            <w:r w:rsidRPr="005D5379">
              <w:rPr>
                <w:rFonts w:ascii="Arial" w:eastAsia="Arial" w:hAnsi="Arial" w:cs="Arial"/>
                <w:sz w:val="20"/>
                <w:szCs w:val="20"/>
              </w:rPr>
              <w:t xml:space="preserve">en cuanto a su aspecto teórico, esto es una revisión de escuelas, modelos, tendencias y enfoques epistemológicos que dan soporte a ideologías y horizontes desde </w:t>
            </w:r>
            <w:r w:rsidR="00F45FC7" w:rsidRPr="005D5379">
              <w:rPr>
                <w:rFonts w:ascii="Arial" w:eastAsia="Arial" w:hAnsi="Arial" w:cs="Arial"/>
                <w:sz w:val="20"/>
                <w:szCs w:val="20"/>
              </w:rPr>
              <w:t>la reflexión ética y</w:t>
            </w:r>
            <w:r w:rsidRPr="005D5379">
              <w:rPr>
                <w:rFonts w:ascii="Arial" w:eastAsia="Arial" w:hAnsi="Arial" w:cs="Arial"/>
                <w:sz w:val="20"/>
                <w:szCs w:val="20"/>
              </w:rPr>
              <w:t xml:space="preserve"> política. Seguidamente, se busca realizar un trabajo de campo, desde diferentes instrumentos (entrevistas, grupos focales, observación densa, historias de vida) que permita mostrar la relación teórica con los procesos de avasallamiento, y de agencia cultural en las comunidades y sujetos seleccionados. En este último aspecto las unidades de análisis se establecerán en Tunja, Bogotá y Chibolo, Magdalena, como </w:t>
            </w:r>
            <w:r w:rsidRPr="005D5379">
              <w:rPr>
                <w:rFonts w:ascii="Arial" w:eastAsia="Arial" w:hAnsi="Arial" w:cs="Arial"/>
                <w:i/>
                <w:sz w:val="20"/>
                <w:szCs w:val="20"/>
              </w:rPr>
              <w:t>lugares con</w:t>
            </w:r>
            <w:r w:rsidRPr="005D5379">
              <w:rPr>
                <w:rFonts w:ascii="Arial" w:eastAsia="Arial" w:hAnsi="Arial" w:cs="Arial"/>
                <w:sz w:val="20"/>
                <w:szCs w:val="20"/>
              </w:rPr>
              <w:t xml:space="preserve"> comunidades que fueron afectados y que pueden aportar horizontes de Verdad de lo acontecido</w:t>
            </w:r>
            <w:r w:rsidR="00F45FC7" w:rsidRPr="005D5379">
              <w:rPr>
                <w:rFonts w:ascii="Arial" w:eastAsia="Arial" w:hAnsi="Arial" w:cs="Arial"/>
                <w:sz w:val="20"/>
                <w:szCs w:val="20"/>
              </w:rPr>
              <w:t>, así como sujetos con capacidad de agencia</w:t>
            </w:r>
            <w:r w:rsidRPr="005D5379">
              <w:rPr>
                <w:rFonts w:ascii="Arial" w:eastAsia="Arial" w:hAnsi="Arial" w:cs="Arial"/>
                <w:sz w:val="20"/>
                <w:szCs w:val="20"/>
              </w:rPr>
              <w:t xml:space="preserve">. En la triangulación de la información y el análisis respectivo se utilizará la teoría fundamentada.  Los resultados de esta investigación se socializarán con las comunidades y se emitirá un documento como aporte a la comisión de Verdad para la redacción de su informe final (2021), así como la producción de </w:t>
            </w:r>
            <w:proofErr w:type="spellStart"/>
            <w:r w:rsidRPr="005D5379">
              <w:rPr>
                <w:rFonts w:ascii="Arial" w:eastAsia="Arial" w:hAnsi="Arial" w:cs="Arial"/>
                <w:sz w:val="20"/>
                <w:szCs w:val="20"/>
              </w:rPr>
              <w:t>working</w:t>
            </w:r>
            <w:proofErr w:type="spellEnd"/>
            <w:r w:rsidRPr="005D5379">
              <w:rPr>
                <w:rFonts w:ascii="Arial" w:eastAsia="Arial" w:hAnsi="Arial" w:cs="Arial"/>
                <w:sz w:val="20"/>
                <w:szCs w:val="20"/>
              </w:rPr>
              <w:t xml:space="preserve"> </w:t>
            </w:r>
            <w:proofErr w:type="spellStart"/>
            <w:r w:rsidRPr="005D5379">
              <w:rPr>
                <w:rFonts w:ascii="Arial" w:eastAsia="Arial" w:hAnsi="Arial" w:cs="Arial"/>
                <w:sz w:val="20"/>
                <w:szCs w:val="20"/>
              </w:rPr>
              <w:t>papers</w:t>
            </w:r>
            <w:proofErr w:type="spellEnd"/>
            <w:r w:rsidRPr="005D5379">
              <w:rPr>
                <w:rFonts w:ascii="Arial" w:eastAsia="Arial" w:hAnsi="Arial" w:cs="Arial"/>
                <w:sz w:val="20"/>
                <w:szCs w:val="20"/>
              </w:rPr>
              <w:t xml:space="preserve"> como insumo para un libro resultado de investigación y otras actividades de apropiación social del conocimiento descritas al final de este texto.</w:t>
            </w:r>
          </w:p>
          <w:p w:rsidR="007B35E0" w:rsidRPr="005D5379" w:rsidRDefault="007B35E0">
            <w:pPr>
              <w:rPr>
                <w:rFonts w:ascii="Arial" w:eastAsia="Arial" w:hAnsi="Arial" w:cs="Arial"/>
                <w:sz w:val="20"/>
                <w:szCs w:val="20"/>
              </w:rPr>
            </w:pPr>
          </w:p>
        </w:tc>
        <w:tc>
          <w:tcPr>
            <w:tcW w:w="2091"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rsidP="00F45FC7">
            <w:pPr>
              <w:jc w:val="both"/>
              <w:rPr>
                <w:rFonts w:ascii="Arial" w:eastAsia="Arial" w:hAnsi="Arial" w:cs="Arial"/>
                <w:color w:val="222222"/>
                <w:sz w:val="20"/>
                <w:szCs w:val="20"/>
              </w:rPr>
            </w:pPr>
            <w:r w:rsidRPr="005D5379">
              <w:rPr>
                <w:rFonts w:ascii="Arial" w:eastAsia="Arial" w:hAnsi="Arial" w:cs="Arial"/>
                <w:color w:val="222222"/>
                <w:sz w:val="20"/>
                <w:szCs w:val="20"/>
              </w:rPr>
              <w:lastRenderedPageBreak/>
              <w:t xml:space="preserve">Verdad, </w:t>
            </w:r>
            <w:r w:rsidR="00F45FC7" w:rsidRPr="005D5379">
              <w:rPr>
                <w:rFonts w:ascii="Arial" w:eastAsia="Arial" w:hAnsi="Arial" w:cs="Arial"/>
                <w:color w:val="222222"/>
                <w:sz w:val="20"/>
                <w:szCs w:val="20"/>
              </w:rPr>
              <w:t>Conflicto armado, Convivencia pacífica</w:t>
            </w:r>
            <w:r w:rsidRPr="005D5379">
              <w:rPr>
                <w:rFonts w:ascii="Arial" w:eastAsia="Arial" w:hAnsi="Arial" w:cs="Arial"/>
                <w:color w:val="222222"/>
                <w:sz w:val="20"/>
                <w:szCs w:val="20"/>
              </w:rPr>
              <w:t>,</w:t>
            </w:r>
            <w:r w:rsidR="00F45FC7" w:rsidRPr="005D5379">
              <w:rPr>
                <w:rFonts w:ascii="Arial" w:eastAsia="Arial" w:hAnsi="Arial" w:cs="Arial"/>
                <w:color w:val="222222"/>
                <w:sz w:val="20"/>
                <w:szCs w:val="20"/>
              </w:rPr>
              <w:t xml:space="preserve"> no repetición,</w:t>
            </w:r>
            <w:r w:rsidRPr="005D5379">
              <w:rPr>
                <w:rFonts w:ascii="Arial" w:eastAsia="Arial" w:hAnsi="Arial" w:cs="Arial"/>
                <w:color w:val="222222"/>
                <w:sz w:val="20"/>
                <w:szCs w:val="20"/>
              </w:rPr>
              <w:t xml:space="preserve"> comisión de Verdad, </w:t>
            </w:r>
          </w:p>
        </w:tc>
      </w:tr>
    </w:tbl>
    <w:p w:rsidR="007B35E0" w:rsidRPr="005D5379" w:rsidRDefault="007B35E0">
      <w:pPr>
        <w:spacing w:after="0" w:line="240" w:lineRule="auto"/>
        <w:rPr>
          <w:rFonts w:ascii="Arial" w:eastAsia="Arial" w:hAnsi="Arial" w:cs="Arial"/>
          <w:sz w:val="20"/>
          <w:szCs w:val="20"/>
        </w:rPr>
      </w:pPr>
    </w:p>
    <w:tbl>
      <w:tblPr>
        <w:tblStyle w:val="af0"/>
        <w:tblW w:w="14983" w:type="dxa"/>
        <w:tblInd w:w="0" w:type="dxa"/>
        <w:tblLayout w:type="fixed"/>
        <w:tblLook w:val="0400" w:firstRow="0" w:lastRow="0" w:firstColumn="0" w:lastColumn="0" w:noHBand="0" w:noVBand="1"/>
      </w:tblPr>
      <w:tblGrid>
        <w:gridCol w:w="14983"/>
      </w:tblGrid>
      <w:tr w:rsidR="007B35E0" w:rsidRPr="005D5379">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Problema de investigación</w:t>
            </w:r>
          </w:p>
        </w:tc>
      </w:tr>
      <w:tr w:rsidR="007B35E0" w:rsidRPr="005D5379">
        <w:tc>
          <w:tcPr>
            <w:tcW w:w="14983"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jc w:val="both"/>
              <w:rPr>
                <w:rFonts w:ascii="Arial" w:eastAsia="Arial" w:hAnsi="Arial" w:cs="Arial"/>
                <w:color w:val="222222"/>
                <w:sz w:val="20"/>
                <w:szCs w:val="20"/>
              </w:rPr>
            </w:pPr>
          </w:p>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 xml:space="preserve">La Verdad como categoría cultural, ha tenido enfoques y tendencias, que según el contexto, muestran diferentes modos de decir. La riqueza de los modos y formas de expresión de sentido, han generado tensiones y conflictos pues, los esquemas de representación de la realidad, pueden estar sujetos a intereses de sujetos o comunidades y otros aspectos cognitivos. Desde la modernidad las diferentes epistemologías, han dado pie para que en el  actual modelo cultural se viva, en cierto sentido, entre las tensiones y paradojas del relativismo y la búsqueda objetiva de los hechos o mirada a la realidad. Así por ejemplo, en las prácticas sociopolíticas es común percibir que “todos mienten”, o que el ocaso de la Verdad objetiva en la filosofía aún no ingresa en la mentalidad común. En este sentido, Gianni </w:t>
            </w:r>
            <w:proofErr w:type="spellStart"/>
            <w:r w:rsidRPr="005D5379">
              <w:rPr>
                <w:rFonts w:ascii="Arial" w:eastAsia="Arial" w:hAnsi="Arial" w:cs="Arial"/>
                <w:sz w:val="20"/>
                <w:szCs w:val="20"/>
              </w:rPr>
              <w:t>Vattimo</w:t>
            </w:r>
            <w:proofErr w:type="spellEnd"/>
            <w:r w:rsidRPr="005D5379">
              <w:rPr>
                <w:rFonts w:ascii="Arial" w:eastAsia="Arial" w:hAnsi="Arial" w:cs="Arial"/>
                <w:sz w:val="20"/>
                <w:szCs w:val="20"/>
              </w:rPr>
              <w:t xml:space="preserve"> dice que “es un síntoma del final de la metafísica pero que no se puede la puede “superar</w:t>
            </w:r>
            <w:proofErr w:type="gramStart"/>
            <w:r w:rsidRPr="005D5379">
              <w:rPr>
                <w:rFonts w:ascii="Arial" w:eastAsia="Arial" w:hAnsi="Arial" w:cs="Arial"/>
                <w:sz w:val="20"/>
                <w:szCs w:val="20"/>
              </w:rPr>
              <w:t>”(</w:t>
            </w:r>
            <w:proofErr w:type="gramEnd"/>
            <w:r w:rsidRPr="005D5379">
              <w:rPr>
                <w:rFonts w:ascii="Arial" w:eastAsia="Arial" w:hAnsi="Arial" w:cs="Arial"/>
                <w:sz w:val="20"/>
                <w:szCs w:val="20"/>
              </w:rPr>
              <w:t xml:space="preserve">2011, p. 5) No vemos lo verdadero porque no vemos el todo, señala Theodor Adorno y esto puede facilitar que la verdad podría llegar a tener algo que ver tan sólo en la medida en que ésta resulta inofensiva o funcional. La lucha por la Verdad de los acontecimientos violentos en Colombia, se ve diezmada por los relatos que </w:t>
            </w:r>
            <w:proofErr w:type="spellStart"/>
            <w:r w:rsidRPr="005D5379">
              <w:rPr>
                <w:rFonts w:ascii="Arial" w:eastAsia="Arial" w:hAnsi="Arial" w:cs="Arial"/>
                <w:sz w:val="20"/>
                <w:szCs w:val="20"/>
              </w:rPr>
              <w:t>desvian</w:t>
            </w:r>
            <w:proofErr w:type="spellEnd"/>
            <w:r w:rsidRPr="005D5379">
              <w:rPr>
                <w:rFonts w:ascii="Arial" w:eastAsia="Arial" w:hAnsi="Arial" w:cs="Arial"/>
                <w:sz w:val="20"/>
                <w:szCs w:val="20"/>
              </w:rPr>
              <w:t xml:space="preserve"> la realidad por intereses propios de individuos o comunidades. Los hechos alternativos o</w:t>
            </w:r>
            <w:r w:rsidRPr="005D5379">
              <w:rPr>
                <w:rFonts w:ascii="Arial" w:eastAsia="Arial" w:hAnsi="Arial" w:cs="Arial"/>
                <w:i/>
                <w:sz w:val="20"/>
                <w:szCs w:val="20"/>
              </w:rPr>
              <w:t xml:space="preserve"> </w:t>
            </w:r>
            <w:proofErr w:type="spellStart"/>
            <w:r w:rsidRPr="005D5379">
              <w:rPr>
                <w:rFonts w:ascii="Arial" w:eastAsia="Arial" w:hAnsi="Arial" w:cs="Arial"/>
                <w:i/>
                <w:sz w:val="20"/>
                <w:szCs w:val="20"/>
              </w:rPr>
              <w:t>fake</w:t>
            </w:r>
            <w:proofErr w:type="spellEnd"/>
            <w:r w:rsidRPr="005D5379">
              <w:rPr>
                <w:rFonts w:ascii="Arial" w:eastAsia="Arial" w:hAnsi="Arial" w:cs="Arial"/>
                <w:i/>
                <w:sz w:val="20"/>
                <w:szCs w:val="20"/>
              </w:rPr>
              <w:t xml:space="preserve"> </w:t>
            </w:r>
            <w:proofErr w:type="spellStart"/>
            <w:r w:rsidRPr="005D5379">
              <w:rPr>
                <w:rFonts w:ascii="Arial" w:eastAsia="Arial" w:hAnsi="Arial" w:cs="Arial"/>
                <w:i/>
                <w:sz w:val="20"/>
                <w:szCs w:val="20"/>
              </w:rPr>
              <w:t>news</w:t>
            </w:r>
            <w:proofErr w:type="spellEnd"/>
            <w:r w:rsidRPr="005D5379">
              <w:rPr>
                <w:rFonts w:ascii="Arial" w:eastAsia="Arial" w:hAnsi="Arial" w:cs="Arial"/>
                <w:sz w:val="20"/>
                <w:szCs w:val="20"/>
              </w:rPr>
              <w:t xml:space="preserve">, logran mantener los discursos de imaginarios sociales, lo que alimenta ciertas lógicas favorables a los determinantes de  los conflictos armados. </w:t>
            </w:r>
          </w:p>
          <w:p w:rsidR="007B35E0" w:rsidRPr="005D5379" w:rsidRDefault="007B35E0">
            <w:pPr>
              <w:jc w:val="both"/>
              <w:rPr>
                <w:rFonts w:ascii="Arial" w:eastAsia="Arial" w:hAnsi="Arial" w:cs="Arial"/>
                <w:sz w:val="20"/>
                <w:szCs w:val="20"/>
              </w:rPr>
            </w:pPr>
          </w:p>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El debate público sobre la Verdad se intensifica, toma especial relevancia en contextos de guerra no declarada y especialmente en fases post-acuerdo o de transición; La paz, o el fin de una guerra, trae consigo posibilidades, como la esperanza de cambio, pero también peligros, como lo es la continuación de la violencia. En el marco de un conflicto armado, el término “transición” se refiere al periodo de tiempo en que una sociedad transita de la guerra a la paz,  o como expresan otros autores, el paso de “(</w:t>
            </w:r>
            <w:proofErr w:type="gramStart"/>
            <w:r w:rsidRPr="005D5379">
              <w:rPr>
                <w:rFonts w:ascii="Arial" w:eastAsia="Arial" w:hAnsi="Arial" w:cs="Arial"/>
                <w:sz w:val="20"/>
                <w:szCs w:val="20"/>
              </w:rPr>
              <w:t>… )</w:t>
            </w:r>
            <w:proofErr w:type="gramEnd"/>
            <w:r w:rsidR="00595F9F" w:rsidRPr="005D5379">
              <w:rPr>
                <w:rFonts w:ascii="Arial" w:eastAsia="Arial" w:hAnsi="Arial" w:cs="Arial"/>
                <w:sz w:val="20"/>
                <w:szCs w:val="20"/>
              </w:rPr>
              <w:t xml:space="preserve"> </w:t>
            </w:r>
            <w:proofErr w:type="gramStart"/>
            <w:r w:rsidRPr="005D5379">
              <w:rPr>
                <w:rFonts w:ascii="Arial" w:eastAsia="Arial" w:hAnsi="Arial" w:cs="Arial"/>
                <w:sz w:val="20"/>
                <w:szCs w:val="20"/>
              </w:rPr>
              <w:t>sociedades</w:t>
            </w:r>
            <w:proofErr w:type="gramEnd"/>
            <w:r w:rsidRPr="005D5379">
              <w:rPr>
                <w:rFonts w:ascii="Arial" w:eastAsia="Arial" w:hAnsi="Arial" w:cs="Arial"/>
                <w:sz w:val="20"/>
                <w:szCs w:val="20"/>
              </w:rPr>
              <w:t xml:space="preserve"> en conflicto armado a sociedades en situación de </w:t>
            </w:r>
            <w:proofErr w:type="spellStart"/>
            <w:r w:rsidRPr="005D5379">
              <w:rPr>
                <w:rFonts w:ascii="Arial" w:eastAsia="Arial" w:hAnsi="Arial" w:cs="Arial"/>
                <w:sz w:val="20"/>
                <w:szCs w:val="20"/>
              </w:rPr>
              <w:t>posacuerdo</w:t>
            </w:r>
            <w:proofErr w:type="spellEnd"/>
            <w:r w:rsidRPr="005D5379">
              <w:rPr>
                <w:rFonts w:ascii="Arial" w:eastAsia="Arial" w:hAnsi="Arial" w:cs="Arial"/>
                <w:sz w:val="20"/>
                <w:szCs w:val="20"/>
              </w:rPr>
              <w:t xml:space="preserve"> (</w:t>
            </w:r>
            <w:proofErr w:type="spellStart"/>
            <w:r w:rsidRPr="005D5379">
              <w:rPr>
                <w:rFonts w:ascii="Arial" w:eastAsia="Arial" w:hAnsi="Arial" w:cs="Arial"/>
                <w:sz w:val="20"/>
                <w:szCs w:val="20"/>
              </w:rPr>
              <w:t>Várgaz</w:t>
            </w:r>
            <w:proofErr w:type="spellEnd"/>
            <w:r w:rsidRPr="005D5379">
              <w:rPr>
                <w:rFonts w:ascii="Arial" w:eastAsia="Arial" w:hAnsi="Arial" w:cs="Arial"/>
                <w:sz w:val="20"/>
                <w:szCs w:val="20"/>
              </w:rPr>
              <w:t xml:space="preserve"> </w:t>
            </w:r>
            <w:proofErr w:type="spellStart"/>
            <w:r w:rsidRPr="005D5379">
              <w:rPr>
                <w:rFonts w:ascii="Arial" w:eastAsia="Arial" w:hAnsi="Arial" w:cs="Arial"/>
                <w:sz w:val="20"/>
                <w:szCs w:val="20"/>
              </w:rPr>
              <w:t>Velazquez</w:t>
            </w:r>
            <w:proofErr w:type="spellEnd"/>
            <w:r w:rsidRPr="005D5379">
              <w:rPr>
                <w:rFonts w:ascii="Arial" w:eastAsia="Arial" w:hAnsi="Arial" w:cs="Arial"/>
                <w:sz w:val="20"/>
                <w:szCs w:val="20"/>
              </w:rPr>
              <w:t xml:space="preserve">, p. 12) La sociedad colombiana en este contexto, experimenta grandes tensiones para el esclarecimiento de la Verdad de los sucesos, en el marco del conflicto armado, pues existen diferentes narrativas que se extrapolan o divergen en las causas particularmente. Las interpretaciones de lo acontecido generan pasiones políticas que se reflejan en los escenarios institucionales, redes sociales y vida cotidiana, lo cual, es un desafío para que se creen los escenarios propios para el diálogo social. Por ejemplo, como lo indica el informe del Instituto </w:t>
            </w:r>
            <w:proofErr w:type="spellStart"/>
            <w:r w:rsidRPr="005D5379">
              <w:rPr>
                <w:rFonts w:ascii="Arial" w:eastAsia="Arial" w:hAnsi="Arial" w:cs="Arial"/>
                <w:sz w:val="20"/>
                <w:szCs w:val="20"/>
              </w:rPr>
              <w:t>Kroc</w:t>
            </w:r>
            <w:proofErr w:type="spellEnd"/>
            <w:r w:rsidRPr="005D5379">
              <w:rPr>
                <w:rFonts w:ascii="Arial" w:eastAsia="Arial" w:hAnsi="Arial" w:cs="Arial"/>
                <w:sz w:val="20"/>
                <w:szCs w:val="20"/>
              </w:rPr>
              <w:t xml:space="preserve"> de la Universidad de </w:t>
            </w:r>
            <w:proofErr w:type="spellStart"/>
            <w:r w:rsidRPr="005D5379">
              <w:rPr>
                <w:rFonts w:ascii="Arial" w:eastAsia="Arial" w:hAnsi="Arial" w:cs="Arial"/>
                <w:sz w:val="20"/>
                <w:szCs w:val="20"/>
              </w:rPr>
              <w:t>Notre</w:t>
            </w:r>
            <w:proofErr w:type="spellEnd"/>
            <w:r w:rsidRPr="005D5379">
              <w:rPr>
                <w:rFonts w:ascii="Arial" w:eastAsia="Arial" w:hAnsi="Arial" w:cs="Arial"/>
                <w:sz w:val="20"/>
                <w:szCs w:val="20"/>
              </w:rPr>
              <w:t xml:space="preserve"> Dame (2018) “el nombramiento del grupo de comisionados para participar en la Comisión de Verdad, en algunos sectores críticos han lanzado acusaciones sobre supuesto sesgo político y actividades ideologizadas que pueden parcializar el papel de la comisión y el aumento de las tensiones sociopolíticas”.   Los imaginarios y narrativas de los vencedores, así como desde los vencidos,  en torno a la verdad, la justicia y la reconciliación merecen permanente reflexión y análisis para una mejor comprensión sobre sus supuestos e implicaciones, mucho más cuando se trata de superar los modelos culturales que llevan a la violencia en todas sus expresiones y la reproducción de ciclos de conflictos armados. En este sentido, </w:t>
            </w:r>
            <w:proofErr w:type="spellStart"/>
            <w:r w:rsidRPr="005D5379">
              <w:rPr>
                <w:rFonts w:ascii="Arial" w:eastAsia="Arial" w:hAnsi="Arial" w:cs="Arial"/>
                <w:sz w:val="20"/>
                <w:szCs w:val="20"/>
              </w:rPr>
              <w:t>Lederach</w:t>
            </w:r>
            <w:proofErr w:type="spellEnd"/>
            <w:r w:rsidRPr="005D5379">
              <w:rPr>
                <w:rFonts w:ascii="Arial" w:eastAsia="Arial" w:hAnsi="Arial" w:cs="Arial"/>
                <w:sz w:val="20"/>
                <w:szCs w:val="20"/>
              </w:rPr>
              <w:t xml:space="preserve"> (2007) emplea el término “sociedades divididas” al describir a aquellas marcadas por conflicto </w:t>
            </w:r>
            <w:r w:rsidRPr="005D5379">
              <w:rPr>
                <w:rFonts w:ascii="Arial" w:eastAsia="Arial" w:hAnsi="Arial" w:cs="Arial"/>
                <w:sz w:val="20"/>
                <w:szCs w:val="20"/>
              </w:rPr>
              <w:lastRenderedPageBreak/>
              <w:t xml:space="preserve">armado, cuyo principal rasgo es la polarización causada por las desconfianzas, miedos y paranoias; es una dinámica de identidades forjadas en ambientes de inseguridad. Así mismo, el conflicto armado crece en un ambiente de fraccionamiento y difusión del poder y se originan en la naturaleza de viejas relaciones, como en los conflictos prolongados como el caso de Colombia Lo anterior conlleva a afirmar que el conflicto armado afecta el tejido social, porque hay “desencuentro” y “desintegración” dentro de la misma sociedad, por lo que </w:t>
            </w:r>
            <w:proofErr w:type="spellStart"/>
            <w:r w:rsidRPr="005D5379">
              <w:rPr>
                <w:rFonts w:ascii="Arial" w:eastAsia="Arial" w:hAnsi="Arial" w:cs="Arial"/>
                <w:sz w:val="20"/>
                <w:szCs w:val="20"/>
              </w:rPr>
              <w:t>Lederach</w:t>
            </w:r>
            <w:proofErr w:type="spellEnd"/>
            <w:r w:rsidRPr="005D5379">
              <w:rPr>
                <w:rFonts w:ascii="Arial" w:eastAsia="Arial" w:hAnsi="Arial" w:cs="Arial"/>
                <w:sz w:val="20"/>
                <w:szCs w:val="20"/>
              </w:rPr>
              <w:t xml:space="preserve"> propone un marco para la construcción de paz fundada en las relaciones como base del conflicto y su solución a largo plazo, insistiendo en la reconciliación como construcción de las relaciones.</w:t>
            </w:r>
          </w:p>
          <w:p w:rsidR="007B35E0" w:rsidRPr="005D5379" w:rsidRDefault="007B35E0">
            <w:pPr>
              <w:jc w:val="both"/>
              <w:rPr>
                <w:rFonts w:ascii="Arial" w:eastAsia="Arial" w:hAnsi="Arial" w:cs="Arial"/>
                <w:sz w:val="20"/>
                <w:szCs w:val="20"/>
              </w:rPr>
            </w:pPr>
          </w:p>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 xml:space="preserve">A partir de la anterior observación surge una inquietud frente a las nociones de «democracia»  «política»  “Verdad en el horizonte de la convivencia pacífica y la no repetición”, que parecen “iluminar” los análisis actuales. Preocupa el hecho de que una comprensión ambigua o vaga de estas nociones le reste significado, al entrar en la escena política, al carácter </w:t>
            </w:r>
            <w:proofErr w:type="spellStart"/>
            <w:r w:rsidRPr="005D5379">
              <w:rPr>
                <w:rFonts w:ascii="Arial" w:eastAsia="Arial" w:hAnsi="Arial" w:cs="Arial"/>
                <w:sz w:val="20"/>
                <w:szCs w:val="20"/>
              </w:rPr>
              <w:t>injustificatorio</w:t>
            </w:r>
            <w:proofErr w:type="spellEnd"/>
            <w:r w:rsidRPr="005D5379">
              <w:rPr>
                <w:rFonts w:ascii="Arial" w:eastAsia="Arial" w:hAnsi="Arial" w:cs="Arial"/>
                <w:sz w:val="20"/>
                <w:szCs w:val="20"/>
              </w:rPr>
              <w:t xml:space="preserve"> de la narración de los hechos </w:t>
            </w:r>
            <w:proofErr w:type="spellStart"/>
            <w:r w:rsidRPr="005D5379">
              <w:rPr>
                <w:rFonts w:ascii="Arial" w:eastAsia="Arial" w:hAnsi="Arial" w:cs="Arial"/>
                <w:sz w:val="20"/>
                <w:szCs w:val="20"/>
              </w:rPr>
              <w:t>victimizantes</w:t>
            </w:r>
            <w:proofErr w:type="spellEnd"/>
            <w:r w:rsidRPr="005D5379">
              <w:rPr>
                <w:rFonts w:ascii="Arial" w:eastAsia="Arial" w:hAnsi="Arial" w:cs="Arial"/>
                <w:sz w:val="20"/>
                <w:szCs w:val="20"/>
              </w:rPr>
              <w:t xml:space="preserve"> que han sido recogidos en los informes del CNMH, y que la poca profundidad en la reflexión política de categorías asociadas a las noción de democracia (libertad, igualdad, poder, autoridad, acción y discurso, etc.) no sólo oscurezca la comprensión del fenómeno de la violencia y del significado del sufrimiento de las víctimas, sino que tal insuficiencia redunde en perjuicio de la promesa de no-repetición del Estado colombiano, y por ende, de un bajo aporte al esclarecimiento de la verdad, la convivencia pacífica y a la no repetición. En consecuencia, entre los diferentes temas de relevancia en la agenda política se encuentra la justicia transicional, la política de drogas, la atención a las víctimas, la reforma rural integral, la participación política, entre otros. En la literatura especializada y en las discusiones académicas estos temas han sido ampliamente analizados, pero uno de los desafíos que se puede considerar fundamental para establecer una paz efectiva, es el esclarecimiento de la Verdad, la convivencia y la no repetición. Según el Acuerdo de paz, esto lo asume la comisión que inició su trabajo a finales de noviembre de 2018 y es un mecanismo clave que está orientando a nivel nacional, para la construcción de una narrativa nacional de la Verdad en relación a los hechos y las interpretaciones del conflicto.  Según los propios lineamientos de la Comisión, la búsqueda de la verdad debe ser un proceso plural y participativo, por lo que este proyecto de investigación asume el reto en este gran debate nacional desde la investigación académica multidisciplinaria.</w:t>
            </w:r>
          </w:p>
          <w:p w:rsidR="007B35E0" w:rsidRPr="005D5379" w:rsidRDefault="007B35E0">
            <w:pPr>
              <w:jc w:val="both"/>
              <w:rPr>
                <w:rFonts w:ascii="Arial" w:eastAsia="Arial" w:hAnsi="Arial" w:cs="Arial"/>
                <w:sz w:val="20"/>
                <w:szCs w:val="20"/>
                <w:highlight w:val="green"/>
              </w:rPr>
            </w:pPr>
          </w:p>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A nivel mundial, las CV han sido clave para esclarecer la magnitud de los crímenes cometidos durante un conflicto. Algunos autores sostienen que el impacto generado por una CV se evidencia de acuerdo a cómo se crearon e implementaron; si se dieron participativa o exclusivamente, por ejemplo, encontrando que entre más participativas las comisiones, mayor posibilidad de oposición por parte del gobierno, y entre más exclusivas, mayor resistencia por parte de la sociedad civil (</w:t>
            </w:r>
            <w:proofErr w:type="spellStart"/>
            <w:r w:rsidRPr="005D5379">
              <w:rPr>
                <w:rFonts w:ascii="Arial" w:eastAsia="Arial" w:hAnsi="Arial" w:cs="Arial"/>
                <w:sz w:val="20"/>
                <w:szCs w:val="20"/>
              </w:rPr>
              <w:t>Bakiner</w:t>
            </w:r>
            <w:proofErr w:type="spellEnd"/>
            <w:r w:rsidRPr="005D5379">
              <w:rPr>
                <w:rFonts w:ascii="Arial" w:eastAsia="Arial" w:hAnsi="Arial" w:cs="Arial"/>
                <w:sz w:val="20"/>
                <w:szCs w:val="20"/>
              </w:rPr>
              <w:t xml:space="preserve">, 2016). A su vez, </w:t>
            </w:r>
            <w:proofErr w:type="spellStart"/>
            <w:r w:rsidRPr="005D5379">
              <w:rPr>
                <w:rFonts w:ascii="Arial" w:eastAsia="Arial" w:hAnsi="Arial" w:cs="Arial"/>
                <w:sz w:val="20"/>
                <w:szCs w:val="20"/>
              </w:rPr>
              <w:t>Mazzei</w:t>
            </w:r>
            <w:proofErr w:type="spellEnd"/>
            <w:r w:rsidRPr="005D5379">
              <w:rPr>
                <w:rFonts w:ascii="Arial" w:eastAsia="Arial" w:hAnsi="Arial" w:cs="Arial"/>
                <w:sz w:val="20"/>
                <w:szCs w:val="20"/>
              </w:rPr>
              <w:t xml:space="preserve"> (2011) revela que cuando una comisión no se involucra directamente con el discurso público, no puede retar los relatos dominantes que marcaron un conflicto armado y, aunque puedan revelar hechos a través de sus informes, no facilitan la transición hacia un nuevo discurso. También se señala que la efectividad de una CV depende de dos factores importantes: (1) si la comisión logra atraer la atención de sus constituyentes y si (2) la comisión es percibida como legítima por el público (Gibson, 2009). Otras lecciones para el funcionamiento de las CV señalan que la importancia de una dirección teórica que guíe el trabajo de una CV, la necesidad de que la recolección de datos se haga de manera  interdisciplinaria a partir no solo el testimonio de víctimas sino de otros actores claves en el contexto local que puedan proveer contexto. Así mismo, revelan que las declaraciones que surjan de una CV deben complementarse con información por expertos, reportes forenses y documentos oficiales, entre otros, así como la importancia del apoyo por parte de investigadores a las CV y la necesidad de tener en cuenta el rol central de los medios de comunicación para la diseminación de la información (</w:t>
            </w:r>
            <w:proofErr w:type="spellStart"/>
            <w:r w:rsidRPr="005D5379">
              <w:rPr>
                <w:rFonts w:ascii="Arial" w:eastAsia="Arial" w:hAnsi="Arial" w:cs="Arial"/>
                <w:sz w:val="20"/>
                <w:szCs w:val="20"/>
              </w:rPr>
              <w:t>Quinn</w:t>
            </w:r>
            <w:proofErr w:type="spellEnd"/>
            <w:r w:rsidRPr="005D5379">
              <w:rPr>
                <w:rFonts w:ascii="Arial" w:eastAsia="Arial" w:hAnsi="Arial" w:cs="Arial"/>
                <w:sz w:val="20"/>
                <w:szCs w:val="20"/>
              </w:rPr>
              <w:t xml:space="preserve"> y </w:t>
            </w:r>
            <w:proofErr w:type="spellStart"/>
            <w:r w:rsidRPr="005D5379">
              <w:rPr>
                <w:rFonts w:ascii="Arial" w:eastAsia="Arial" w:hAnsi="Arial" w:cs="Arial"/>
                <w:sz w:val="20"/>
                <w:szCs w:val="20"/>
              </w:rPr>
              <w:t>Freeman</w:t>
            </w:r>
            <w:proofErr w:type="spellEnd"/>
            <w:r w:rsidRPr="005D5379">
              <w:rPr>
                <w:rFonts w:ascii="Arial" w:eastAsia="Arial" w:hAnsi="Arial" w:cs="Arial"/>
                <w:sz w:val="20"/>
                <w:szCs w:val="20"/>
              </w:rPr>
              <w:t>, 2003).En Colombia este debate es urgente y la sociedad colombiana debe estar preparada para asumir los retos en los nuevos escenarios políticos de transición, ya que los problemas en la implementación del Acuerdo de paz (2016) han generado polarizaciones, divisiones y la muerte exponencial de líderes sociales o defensores de DDHH</w:t>
            </w:r>
            <w:r w:rsidR="00F45FC7" w:rsidRPr="005D5379">
              <w:rPr>
                <w:rFonts w:ascii="Arial" w:eastAsia="Arial" w:hAnsi="Arial" w:cs="Arial"/>
                <w:sz w:val="20"/>
                <w:szCs w:val="20"/>
              </w:rPr>
              <w:t xml:space="preserve">, así como las tensiones presentes en las comunidades y el territorio para resolver los conflictos originados por la violencia horizontal y las </w:t>
            </w:r>
            <w:r w:rsidR="00B158DB" w:rsidRPr="005D5379">
              <w:rPr>
                <w:rFonts w:ascii="Arial" w:eastAsia="Arial" w:hAnsi="Arial" w:cs="Arial"/>
                <w:sz w:val="20"/>
                <w:szCs w:val="20"/>
              </w:rPr>
              <w:t>escaladas a los extremos en cuanto a la reproducción de nuevos ciclos de violencia; Si bien</w:t>
            </w:r>
            <w:r w:rsidRPr="005D5379">
              <w:rPr>
                <w:rFonts w:ascii="Arial" w:eastAsia="Arial" w:hAnsi="Arial" w:cs="Arial"/>
                <w:sz w:val="20"/>
                <w:szCs w:val="20"/>
              </w:rPr>
              <w:t>, el acompañamiento de organizaciones e instituciones internacionales y la capacidad de agencia en la sociedad civil, la creación de un sistema integral de Verdad, Justicia, reparación y no repetición, son excelentes esfuerzos políticos  y sociales, no obstante, se percibe una desesperanza porque hay procesos truncados, se “politiza” la acción del bien común y los procesos burocráticos o de tensiones a nivel del ejecutivo, llevan a que en las regiones haya nuevos ciclos de violencias que se alimentan por la presencia de intereses de grupos ilegales en todos los renglones de la economía y en la baja presencia institucional;  de allí que desde la academia</w:t>
            </w:r>
            <w:r w:rsidR="00B158DB" w:rsidRPr="005D5379">
              <w:rPr>
                <w:rFonts w:ascii="Arial" w:eastAsia="Arial" w:hAnsi="Arial" w:cs="Arial"/>
                <w:sz w:val="20"/>
                <w:szCs w:val="20"/>
              </w:rPr>
              <w:t>, como imperativo,  se potencie</w:t>
            </w:r>
            <w:r w:rsidRPr="005D5379">
              <w:rPr>
                <w:rFonts w:ascii="Arial" w:eastAsia="Arial" w:hAnsi="Arial" w:cs="Arial"/>
                <w:sz w:val="20"/>
                <w:szCs w:val="20"/>
              </w:rPr>
              <w:t xml:space="preserve"> las reflexiones e investigaciones que permita articular</w:t>
            </w:r>
            <w:r w:rsidR="00B158DB" w:rsidRPr="005D5379">
              <w:rPr>
                <w:rFonts w:ascii="Arial" w:eastAsia="Arial" w:hAnsi="Arial" w:cs="Arial"/>
                <w:sz w:val="20"/>
                <w:szCs w:val="20"/>
              </w:rPr>
              <w:t xml:space="preserve"> y transformar</w:t>
            </w:r>
            <w:r w:rsidRPr="005D5379">
              <w:rPr>
                <w:rFonts w:ascii="Arial" w:eastAsia="Arial" w:hAnsi="Arial" w:cs="Arial"/>
                <w:sz w:val="20"/>
                <w:szCs w:val="20"/>
              </w:rPr>
              <w:t xml:space="preserve"> estos desafíos</w:t>
            </w:r>
            <w:r w:rsidR="00B158DB" w:rsidRPr="005D5379">
              <w:rPr>
                <w:rFonts w:ascii="Arial" w:eastAsia="Arial" w:hAnsi="Arial" w:cs="Arial"/>
                <w:sz w:val="20"/>
                <w:szCs w:val="20"/>
              </w:rPr>
              <w:t xml:space="preserve"> en   lugares comunes y trabajo en redes para dinamizar la</w:t>
            </w:r>
            <w:r w:rsidRPr="005D5379">
              <w:rPr>
                <w:rFonts w:ascii="Arial" w:eastAsia="Arial" w:hAnsi="Arial" w:cs="Arial"/>
                <w:sz w:val="20"/>
                <w:szCs w:val="20"/>
              </w:rPr>
              <w:t xml:space="preserve"> capacidad de agencia, entendida como las acciones de sujetos o comunidades para superar y transformar los conflictos por escenarios de reconciliación y convivencia . En el 2021,  la Comisión de Verdad entregará un informe final que pretende ser “relato de relatos” sobre lo ocurrido durante el conflicto armado en Colombia. Esto generará un impacto político y social, que por la experiencia local (de la Violencia (1958) Comisión de Trujillo 1995, hechos del Palacio de Nariño (2009) y la internacional (Chile, Argentina, Sudáfrica, Guatemala)  puede generar procesos de polarización, debates y tensiones y nuevos ciclos de violencia. La Verdad entra en disputa en escenarios de transición y está la tendencia a que esto genere nuevos ciclos de violencia o estigmatización, como se ha descrito en otras sociedades que han recibido informes de estas comisiones. De allí que esta investigación  pretenda </w:t>
            </w:r>
            <w:r w:rsidRPr="005D5379">
              <w:rPr>
                <w:rFonts w:ascii="Arial" w:eastAsia="Arial" w:hAnsi="Arial" w:cs="Arial"/>
                <w:sz w:val="20"/>
                <w:szCs w:val="20"/>
              </w:rPr>
              <w:lastRenderedPageBreak/>
              <w:t>generar escenarios ético-políticos y pedagógicos que permita promover generación de nuevo conocimiento como ventaja competitiva a futuro al establecer y dinamizar la reflexión, el diálogo social y la discusión académica sobre las prácticas y repercusiones sobre la Verdad, la convivencia pacífica y la no repetición de los hechos violentos en la sociedad colombiana.</w:t>
            </w:r>
          </w:p>
          <w:p w:rsidR="007B35E0" w:rsidRPr="005D5379" w:rsidRDefault="007B35E0">
            <w:pPr>
              <w:jc w:val="both"/>
              <w:rPr>
                <w:rFonts w:ascii="Arial" w:eastAsia="Arial" w:hAnsi="Arial" w:cs="Arial"/>
                <w:sz w:val="20"/>
                <w:szCs w:val="20"/>
              </w:rPr>
            </w:pPr>
          </w:p>
          <w:p w:rsidR="007B35E0" w:rsidRPr="005D5379" w:rsidRDefault="0014507E">
            <w:pPr>
              <w:jc w:val="both"/>
              <w:rPr>
                <w:rFonts w:ascii="Arial" w:eastAsia="Arial" w:hAnsi="Arial" w:cs="Arial"/>
                <w:color w:val="FF0000"/>
                <w:sz w:val="20"/>
                <w:szCs w:val="20"/>
              </w:rPr>
            </w:pPr>
            <w:r w:rsidRPr="005D5379">
              <w:rPr>
                <w:rFonts w:ascii="Arial" w:eastAsia="Arial" w:hAnsi="Arial" w:cs="Arial"/>
                <w:sz w:val="20"/>
                <w:szCs w:val="20"/>
              </w:rPr>
              <w:t>Para el caso colombiano, la Comisión para el Esclarecimiento de la Verdad, la Convivencia y la No Repetición ha publicado el documento “Lineamientos Metodológicos. Escuchar, reconocer, y comprender para transformar” (2019), elaborado después de un año de diálogo con diferentes sectores de la sociedad. En este documento la CV parte del principio de la verdad como derecho para todas las personas y como condición para la democracia y el buen vivir. Se señalan los objetivos de la CV: esclarecer la verdad, promover el reconocimiento de la dignidad de las víctimas, la convivencia en los territorios, y las condiciones para la no repetición. Adicionalmente, se revelan las tres estrategias fundamentales: participación, pedagogía y comunicación para generar procesos de movilización y apropiación social de la verdad. Señalan también su enfoque diferencial y de género, la dimensión cultural, artística y socio-histórica, el enfoque territorial. Así mismo, señalamos la importancia de esta propuesta de investigación ya que la CV considera que para el cumplimiento de su misión  desarrollará “una ruta de gestión de la información y el conocimiento de carácter participativo, dinámico y plural” (p. 35), a través de la recolección de fuentes propias y fuentes externas, entre esas investigaciones académicas. Por último, la categoría de “contextos explicativos”, responde como estrategia epistemológica de la comisión para dar respuesta o interpretación a los sucesos en el marco del conflicto. Para la comisión, esta categoría se define como “ el conjunto de condiciones-históricas, políticas, económicas, culturales y ambientales- en las cuales se ha hecho socialmente posible y racionalmente comprensible el conflicto armado interno(…) busca no solo describir, sino de responder al por qué y para qué” (Lineamientos metodológicos, p. 14)</w:t>
            </w:r>
          </w:p>
          <w:p w:rsidR="007B35E0" w:rsidRPr="005D5379" w:rsidRDefault="007B35E0">
            <w:pPr>
              <w:jc w:val="both"/>
              <w:rPr>
                <w:rFonts w:ascii="Arial" w:eastAsia="Arial" w:hAnsi="Arial" w:cs="Arial"/>
                <w:color w:val="FF0000"/>
                <w:sz w:val="20"/>
                <w:szCs w:val="20"/>
              </w:rPr>
            </w:pPr>
          </w:p>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Siendo la verdad un componente fundamental para los procesos en comunidades de transición surgen las siguientes preguntas de investigación: ¿cuáles son las nociones de verdad que aparecen en el debate público para el esclarecimiento de lo ocurrido en Colombia? ¿De qué manera se generan debates y disputas de la  Verdad en escenarios de  agencia cultural y transición socio-política que permita la promoción de la convivencia en los territorios y la no repetición? ¿Qué aportes se pueden hacer desde la academia para el esclarecimiento de la verdad de lo ocurrido? ¿Cómo asumir la difícil tarea de construir una narrativa colectiva en medio de diversas verdades</w:t>
            </w:r>
            <w:r w:rsidR="00595F9F" w:rsidRPr="005D5379">
              <w:rPr>
                <w:rFonts w:ascii="Arial" w:eastAsia="Arial" w:hAnsi="Arial" w:cs="Arial"/>
                <w:sz w:val="20"/>
                <w:szCs w:val="20"/>
              </w:rPr>
              <w:t xml:space="preserve"> desde el enfoque territorial y de género</w:t>
            </w:r>
            <w:r w:rsidRPr="005D5379">
              <w:rPr>
                <w:rFonts w:ascii="Arial" w:eastAsia="Arial" w:hAnsi="Arial" w:cs="Arial"/>
                <w:sz w:val="20"/>
                <w:szCs w:val="20"/>
              </w:rPr>
              <w:t>? ¿Cuáles son los fundamentos éticos, políticos, filosóficos que sustentan la “búsqueda de la verdad” en contextos de transición?</w:t>
            </w:r>
            <w:r w:rsidR="00B158DB" w:rsidRPr="005D5379">
              <w:rPr>
                <w:rFonts w:ascii="Arial" w:eastAsia="Arial" w:hAnsi="Arial" w:cs="Arial"/>
                <w:sz w:val="20"/>
                <w:szCs w:val="20"/>
              </w:rPr>
              <w:t xml:space="preserve"> ¿Cuáles son las estrategias más efectivas para promover la convivencia pacífica en los territorios? ¿De qué manera la academia y la sociedad civil pueden contribuir para la no repetición del conflicto armado en Colombia? </w:t>
            </w:r>
            <w:r w:rsidRPr="005D5379">
              <w:rPr>
                <w:rFonts w:ascii="Arial" w:eastAsia="Arial" w:hAnsi="Arial" w:cs="Arial"/>
                <w:sz w:val="20"/>
                <w:szCs w:val="20"/>
              </w:rPr>
              <w:t xml:space="preserve"> Por tanto, la pregunta de investigación es ¿ Cuáles son los fundamentos ético-políticos que dan sustento al esclarecimiento de la verdad de lo acontecido en el marco del conflicto armado en Colombia desde las experiencias de sujetos políticos, grupos afectados y sociedad civil en proceso de transición y en capacidad de agencia cultural para apoyar la misión de la Comisión de Verdad, la convivencia pacífica y la no repetición en Colombia entre el año 2019 y 2021 desde el enfoque territorial y de género?</w:t>
            </w:r>
          </w:p>
        </w:tc>
      </w:tr>
    </w:tbl>
    <w:p w:rsidR="007B35E0" w:rsidRPr="005D5379" w:rsidRDefault="007B35E0">
      <w:pPr>
        <w:spacing w:after="0" w:line="240" w:lineRule="auto"/>
        <w:rPr>
          <w:rFonts w:ascii="Arial" w:eastAsia="Arial" w:hAnsi="Arial" w:cs="Arial"/>
          <w:sz w:val="20"/>
          <w:szCs w:val="20"/>
        </w:rPr>
      </w:pPr>
    </w:p>
    <w:tbl>
      <w:tblPr>
        <w:tblStyle w:val="af1"/>
        <w:tblW w:w="14970" w:type="dxa"/>
        <w:tblInd w:w="0" w:type="dxa"/>
        <w:tblLayout w:type="fixed"/>
        <w:tblLook w:val="0400" w:firstRow="0" w:lastRow="0" w:firstColumn="0" w:lastColumn="0" w:noHBand="0" w:noVBand="1"/>
      </w:tblPr>
      <w:tblGrid>
        <w:gridCol w:w="14970"/>
      </w:tblGrid>
      <w:tr w:rsidR="007B35E0" w:rsidRPr="005D5379">
        <w:tc>
          <w:tcPr>
            <w:tcW w:w="14970"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Justificación</w:t>
            </w:r>
          </w:p>
        </w:tc>
      </w:tr>
      <w:tr w:rsidR="007B35E0" w:rsidRPr="005D5379">
        <w:tc>
          <w:tcPr>
            <w:tcW w:w="14970"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 xml:space="preserve">Como lo señala el informe ¡Basta Ya! (2013) desde una lectura del esclarecimiento de la verdad,  la memoria de las víctimas en Colombia es diversa en sus expresiones, contenidos y usos. Hay memorias que han sido confinadas forzosamente o por elección al ámbito privado, y hay otras que se han convertido en una suerte de resistencia militante. De acuerdo con Gonzalo Sánchez G, en todas subyace una conciencia del agravio, pero sus sentidos responden a dos tipos muy diferentes de apuestas a futuro. El primero busca la supresión o transformación de las condiciones que condujeron a los hechos traumáticos; es una “memoria transformadora” cuyo significado político permite pensar en un renovado “nosotros” a partir de una reflexión crítica de la fractura en el orden político y social que propició la barbarie. El segundo, en contraste, alimenta un ciclo de agravio-venganza que se materializa en programas que buscan exterminar a los reales o supuestos agresores: “la venganza parte de la negación de la controversia y de la posibilidad de coexistir con el adversario”, y en este sentido, la “memoria vengativa” es la negación radical de la democracia.  Por ello, esta investigación es pertinente porque pretende desde la academia en diálogo con la sociedad civil apoyar la misión de la comisión de Verdad, de tal manera que permita espacios de diálogo social, confianza y legitimidad. Desde el territorio, se han escogido la ciudades de Tunja y Bogotá, pues, en estas ciudades y municipios circundantes existen diferentes colectivos que han llegado desplazados de otras zonas del país o del mismo departamento, afectados por el conflicto armado, así como excombatientes y delegados de movimientos sociales; también porque esta zona del país, relativamente no fue afectada directamente por el conflicto armado y se puede tener en cuenta para analizar los imaginarios de personas de la sociedad civil en cuanto su comprensión del conflicto desde otro horizonte de comprensión. La comunidad de los Habitantes </w:t>
            </w:r>
            <w:r w:rsidR="00B158DB" w:rsidRPr="005D5379">
              <w:rPr>
                <w:rFonts w:ascii="Arial" w:eastAsia="Arial" w:hAnsi="Arial" w:cs="Arial"/>
                <w:sz w:val="20"/>
                <w:szCs w:val="20"/>
              </w:rPr>
              <w:t>de La Pola del municipio de Chib</w:t>
            </w:r>
            <w:r w:rsidRPr="005D5379">
              <w:rPr>
                <w:rFonts w:ascii="Arial" w:eastAsia="Arial" w:hAnsi="Arial" w:cs="Arial"/>
                <w:sz w:val="20"/>
                <w:szCs w:val="20"/>
              </w:rPr>
              <w:t xml:space="preserve">olo (Ver carta de intención) se ha elegido porque han sido afectadas directamente por el conflicto armado y pueden contar su experiencia </w:t>
            </w:r>
            <w:r w:rsidRPr="005D5379">
              <w:rPr>
                <w:rFonts w:ascii="Arial" w:eastAsia="Arial" w:hAnsi="Arial" w:cs="Arial"/>
                <w:sz w:val="20"/>
                <w:szCs w:val="20"/>
              </w:rPr>
              <w:lastRenderedPageBreak/>
              <w:t xml:space="preserve">de lo acontecido, pero sobre todo, dar pistas para la reconciliación y la no repetición. La experiencia de trabajo social de algunos de los </w:t>
            </w:r>
            <w:proofErr w:type="spellStart"/>
            <w:r w:rsidRPr="005D5379">
              <w:rPr>
                <w:rFonts w:ascii="Arial" w:eastAsia="Arial" w:hAnsi="Arial" w:cs="Arial"/>
                <w:sz w:val="20"/>
                <w:szCs w:val="20"/>
              </w:rPr>
              <w:t>co</w:t>
            </w:r>
            <w:proofErr w:type="spellEnd"/>
            <w:r w:rsidR="00B158DB" w:rsidRPr="005D5379">
              <w:rPr>
                <w:rFonts w:ascii="Arial" w:eastAsia="Arial" w:hAnsi="Arial" w:cs="Arial"/>
                <w:sz w:val="20"/>
                <w:szCs w:val="20"/>
              </w:rPr>
              <w:t>-</w:t>
            </w:r>
            <w:r w:rsidRPr="005D5379">
              <w:rPr>
                <w:rFonts w:ascii="Arial" w:eastAsia="Arial" w:hAnsi="Arial" w:cs="Arial"/>
                <w:sz w:val="20"/>
                <w:szCs w:val="20"/>
              </w:rPr>
              <w:t xml:space="preserve">investigadores de este proyecto, establece ya un vínculo de confianza para acompañar y trabajar en esta comunidad.  </w:t>
            </w:r>
          </w:p>
          <w:p w:rsidR="00B158DB" w:rsidRPr="005D5379" w:rsidRDefault="00B158DB">
            <w:pPr>
              <w:jc w:val="both"/>
              <w:rPr>
                <w:rFonts w:ascii="Arial" w:eastAsia="Arial" w:hAnsi="Arial" w:cs="Arial"/>
                <w:sz w:val="20"/>
                <w:szCs w:val="20"/>
              </w:rPr>
            </w:pPr>
          </w:p>
          <w:p w:rsidR="007B35E0" w:rsidRPr="005D5379" w:rsidRDefault="00B158DB" w:rsidP="00B158DB">
            <w:pPr>
              <w:jc w:val="both"/>
              <w:rPr>
                <w:rFonts w:ascii="Arial" w:eastAsia="Arial" w:hAnsi="Arial" w:cs="Arial"/>
                <w:sz w:val="20"/>
                <w:szCs w:val="20"/>
              </w:rPr>
            </w:pPr>
            <w:r w:rsidRPr="005D5379">
              <w:rPr>
                <w:rFonts w:ascii="Arial" w:eastAsia="Arial" w:hAnsi="Arial" w:cs="Arial"/>
                <w:sz w:val="20"/>
                <w:szCs w:val="20"/>
              </w:rPr>
              <w:t xml:space="preserve">Hoy en día hablar de Verdad es hablar en relación a, es decir, se habla de la memoria del conflicto armado, de las situaciones de barbarie, de las realidades de las víctimas, pero no hay en si un ejercicio riguroso para analizar en un primer momento qué comporta investigar sobre la Verdad como idea originaria. Es decir, las condiciones necesarias para mostrar lo que está oculto o lo que permite develar aquello que se esconde. Mostrar la realidad tal cual es, en medio de las crisis de la modernidad y las paradojas del contexto actual, puede ser un punto fecundo de partida para pensar la Verdad en sus adjetivos y las relaciones que se pueden establecer con la convivencia y los horizontes culturales de no repetición. En este aspecto es importante desarrollar una investigación documental y de análisis crítico sobre el estado de la cuestión en el contexto colombiano. Así mismo como un ejercicio fenomenológico, se necesita un ejercicio que amplíe el sentido de las experiencias. El proyecto es pertinente y relevante ya que se presenta un tiempo de oportunidades sociopolíticas para superar la violencia política y presentar en la agenda académica la discusión sobre los principios de verdad y justicia que entran en disputa abierta en contextos de transición. Como ejercicio de la Verdad, las Comisiones de Verdad  (CV) siguen siendo una especie de experimento social en contextos post-acuerdo que asumen el reto de distribuir colectivamente ese sentido ético de la verdad como eje para superar la violencia y lograr la paz y la reconciliación. Es especialmente relevante para el caso colombiano, cuya sociedad se encuentra en fase post-acuerdo, instaurándose una CV cuyo reporte final será publicado en el 2021. Su originalidad radica en la mirada crítica a los mecanismos de las CV desde la investigación académica multidisciplinaria, que permita comprender su impacto (o no) en los procesos sociales de superación de la violencia, construcción de paz y reconciliación social. Este análisis permitirá re-pensarse y proponer pautas para el ejercicio de búsqueda de la verdad por parte de las CV y la sociedad en general. Así mismo el aporte desde sujetos y comunidades en los territorios, caracterizados desde el enfoque de víctimas, sobrevivientes y de experiencias de agencia cultural, permitirá enriquecer las lógicas e imaginarios que constituyen modos de acción y de participación social.  Por ello, esta investigación busca generar, en un primer momento, una discusión sobre el reto para superar la violencia política e intergeneracional, desde las representaciones sociales que diversos autores han planteado. Específicamente se hará una discusión sobre La verdad, ya que esta permite tejer redes para el diálogo y desatar el pensamiento crítico, la imaginación creativa y la </w:t>
            </w:r>
            <w:proofErr w:type="spellStart"/>
            <w:r w:rsidRPr="005D5379">
              <w:rPr>
                <w:rFonts w:ascii="Arial" w:eastAsia="Arial" w:hAnsi="Arial" w:cs="Arial"/>
                <w:sz w:val="20"/>
                <w:szCs w:val="20"/>
              </w:rPr>
              <w:t>sensiblidad</w:t>
            </w:r>
            <w:proofErr w:type="spellEnd"/>
            <w:r w:rsidRPr="005D5379">
              <w:rPr>
                <w:rFonts w:ascii="Arial" w:eastAsia="Arial" w:hAnsi="Arial" w:cs="Arial"/>
                <w:sz w:val="20"/>
                <w:szCs w:val="20"/>
              </w:rPr>
              <w:t xml:space="preserve"> hacia el otro. En ese ejercicio de análisis desde lo complejo, permitirá que las comunidades y los sujetos puedan discernir sus opiniones y experiencias de lo subjetivo, para dar paso al valor y la esencia de las cosas o particularmente de lo que viven y experimentan los sujetos en el contexto de la violencia y las formas de construcción de convivencia y resistencia. De acuerdo a diversas tradiciones, la búsqueda de la verdad puede potenciar las nociones de justicia y bien común, así como los aportes a un desarrollo humano integral.  En una segunda fase, se pretende promover una agenda y establecimiento de una política pública que empieza en la academia y potenciará espacios de diálogo social  con actores sociales y determinadores de agenda política durante los años 2020 y 2021, en el escenario de la misión de la comisión de Verdad en Colombia. Los productos finales de esta investigación descritos en esta presentación,  puede apoyar “los procesos de fortalecimiento del tejido social en las comunidades y las experiencias de resiliencia individual o colectiva”, así como “los procesos de transformación positiva de las organizaciones e instituciones a lo largo del conflicto”.</w:t>
            </w:r>
          </w:p>
        </w:tc>
      </w:tr>
    </w:tbl>
    <w:p w:rsidR="007B35E0" w:rsidRPr="005D5379" w:rsidRDefault="007B35E0">
      <w:pPr>
        <w:spacing w:after="0" w:line="240" w:lineRule="auto"/>
        <w:rPr>
          <w:rFonts w:ascii="Arial" w:eastAsia="Arial" w:hAnsi="Arial" w:cs="Arial"/>
          <w:sz w:val="20"/>
          <w:szCs w:val="20"/>
        </w:rPr>
      </w:pPr>
    </w:p>
    <w:tbl>
      <w:tblPr>
        <w:tblStyle w:val="af2"/>
        <w:tblW w:w="14983" w:type="dxa"/>
        <w:tblInd w:w="0" w:type="dxa"/>
        <w:tblLayout w:type="fixed"/>
        <w:tblLook w:val="0400" w:firstRow="0" w:lastRow="0" w:firstColumn="0" w:lastColumn="0" w:noHBand="0" w:noVBand="1"/>
      </w:tblPr>
      <w:tblGrid>
        <w:gridCol w:w="14983"/>
      </w:tblGrid>
      <w:tr w:rsidR="007B35E0" w:rsidRPr="005D5379">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Objetivo general</w:t>
            </w:r>
          </w:p>
        </w:tc>
      </w:tr>
      <w:tr w:rsidR="007B35E0" w:rsidRPr="005D5379">
        <w:tc>
          <w:tcPr>
            <w:tcW w:w="14983"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rsidP="00595F9F">
            <w:pPr>
              <w:jc w:val="both"/>
              <w:rPr>
                <w:rFonts w:ascii="Arial" w:eastAsia="Arial" w:hAnsi="Arial" w:cs="Arial"/>
                <w:sz w:val="20"/>
                <w:szCs w:val="20"/>
              </w:rPr>
            </w:pPr>
            <w:r w:rsidRPr="005D5379">
              <w:rPr>
                <w:rFonts w:ascii="Arial" w:eastAsia="Arial" w:hAnsi="Arial" w:cs="Arial"/>
                <w:sz w:val="20"/>
                <w:szCs w:val="20"/>
              </w:rPr>
              <w:t>Determinar los fundamentos ético-políticos que dan sustento al esclarecimiento de la verdad de lo acontecido en el marco del conflicto armado en Colombia desde las experiencias de sujetos políticos, grupos afectados y sociedad civil en proceso de transición y en capacidad de agencia cultural para apoyar la misión de la Comisión de Verdad, la convivencia pacífica y la no repetición en Colombia entre el año 2019 y 2021 desde el enfoque territorial y de género.</w:t>
            </w:r>
          </w:p>
        </w:tc>
      </w:tr>
    </w:tbl>
    <w:p w:rsidR="007B35E0" w:rsidRPr="005D5379" w:rsidRDefault="007B35E0">
      <w:pPr>
        <w:spacing w:after="0" w:line="240" w:lineRule="auto"/>
        <w:rPr>
          <w:rFonts w:ascii="Arial" w:eastAsia="Arial" w:hAnsi="Arial" w:cs="Arial"/>
          <w:sz w:val="20"/>
          <w:szCs w:val="20"/>
        </w:rPr>
      </w:pPr>
    </w:p>
    <w:tbl>
      <w:tblPr>
        <w:tblStyle w:val="af3"/>
        <w:tblW w:w="14983" w:type="dxa"/>
        <w:tblInd w:w="0" w:type="dxa"/>
        <w:tblLayout w:type="fixed"/>
        <w:tblLook w:val="0400" w:firstRow="0" w:lastRow="0" w:firstColumn="0" w:lastColumn="0" w:noHBand="0" w:noVBand="1"/>
      </w:tblPr>
      <w:tblGrid>
        <w:gridCol w:w="14983"/>
      </w:tblGrid>
      <w:tr w:rsidR="007B35E0" w:rsidRPr="005D5379">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Objetivos específicos</w:t>
            </w:r>
          </w:p>
        </w:tc>
      </w:tr>
      <w:tr w:rsidR="007B35E0" w:rsidRPr="005D5379">
        <w:tc>
          <w:tcPr>
            <w:tcW w:w="14983"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numPr>
                <w:ilvl w:val="0"/>
                <w:numId w:val="1"/>
              </w:numPr>
              <w:rPr>
                <w:rFonts w:ascii="Arial" w:eastAsia="Arial" w:hAnsi="Arial" w:cs="Arial"/>
                <w:sz w:val="20"/>
                <w:szCs w:val="20"/>
              </w:rPr>
            </w:pPr>
            <w:r w:rsidRPr="005D5379">
              <w:rPr>
                <w:rFonts w:ascii="Arial" w:eastAsia="Arial" w:hAnsi="Arial" w:cs="Arial"/>
                <w:sz w:val="20"/>
                <w:szCs w:val="20"/>
              </w:rPr>
              <w:t xml:space="preserve">Analizar desde diferentes escuelas de pensamiento de las ciencias humanas y sociales las nociones ético-políticas de la “Verdad”, en el contexto de sociedades en transición o post-acuerdo de paz. </w:t>
            </w:r>
          </w:p>
          <w:p w:rsidR="007B35E0" w:rsidRPr="005D5379" w:rsidRDefault="0014507E">
            <w:pPr>
              <w:numPr>
                <w:ilvl w:val="0"/>
                <w:numId w:val="1"/>
              </w:numPr>
              <w:rPr>
                <w:rFonts w:ascii="Arial" w:eastAsia="Arial" w:hAnsi="Arial" w:cs="Arial"/>
                <w:sz w:val="20"/>
                <w:szCs w:val="20"/>
              </w:rPr>
            </w:pPr>
            <w:r w:rsidRPr="005D5379">
              <w:rPr>
                <w:rFonts w:ascii="Arial" w:eastAsia="Arial" w:hAnsi="Arial" w:cs="Arial"/>
                <w:sz w:val="20"/>
                <w:szCs w:val="20"/>
              </w:rPr>
              <w:t>Identificar los imaginarios sociales de la verdad en comunidades y sujetos en el marco de lo acontecido en el conflicto armado en Colombia y su capacidad de agencia cultural</w:t>
            </w:r>
            <w:r w:rsidR="00595F9F" w:rsidRPr="005D5379">
              <w:rPr>
                <w:rFonts w:ascii="Arial" w:eastAsia="Arial" w:hAnsi="Arial" w:cs="Arial"/>
                <w:sz w:val="20"/>
                <w:szCs w:val="20"/>
              </w:rPr>
              <w:t xml:space="preserve"> desde el enfoque territorial y de género</w:t>
            </w:r>
            <w:r w:rsidRPr="005D5379">
              <w:rPr>
                <w:rFonts w:ascii="Arial" w:eastAsia="Arial" w:hAnsi="Arial" w:cs="Arial"/>
                <w:sz w:val="20"/>
                <w:szCs w:val="20"/>
              </w:rPr>
              <w:t xml:space="preserve">.  </w:t>
            </w:r>
          </w:p>
          <w:p w:rsidR="007B35E0" w:rsidRPr="005D5379" w:rsidRDefault="0014507E">
            <w:pPr>
              <w:numPr>
                <w:ilvl w:val="0"/>
                <w:numId w:val="1"/>
              </w:numPr>
              <w:rPr>
                <w:rFonts w:ascii="Arial" w:eastAsia="Arial" w:hAnsi="Arial" w:cs="Arial"/>
                <w:sz w:val="20"/>
                <w:szCs w:val="20"/>
              </w:rPr>
            </w:pPr>
            <w:r w:rsidRPr="005D5379">
              <w:rPr>
                <w:rFonts w:ascii="Arial" w:eastAsia="Arial" w:hAnsi="Arial" w:cs="Arial"/>
                <w:sz w:val="20"/>
                <w:szCs w:val="20"/>
              </w:rPr>
              <w:t>Aportar a la Comisión para el esclarecimiento de la Verdad la convivencia pacífica y la no repetición, algunos lineamientos y estrategias para el diálogo social desde el horizonte de la categoría “contextos explicativos”.</w:t>
            </w:r>
          </w:p>
        </w:tc>
      </w:tr>
    </w:tbl>
    <w:p w:rsidR="007B35E0" w:rsidRDefault="007B35E0">
      <w:pPr>
        <w:spacing w:after="0" w:line="240" w:lineRule="auto"/>
        <w:rPr>
          <w:rFonts w:ascii="Arial" w:eastAsia="Arial" w:hAnsi="Arial" w:cs="Arial"/>
        </w:rPr>
      </w:pPr>
    </w:p>
    <w:tbl>
      <w:tblPr>
        <w:tblStyle w:val="af4"/>
        <w:tblW w:w="14983" w:type="dxa"/>
        <w:tblInd w:w="0" w:type="dxa"/>
        <w:tblLayout w:type="fixed"/>
        <w:tblLook w:val="0400" w:firstRow="0" w:lastRow="0" w:firstColumn="0" w:lastColumn="0" w:noHBand="0" w:noVBand="1"/>
      </w:tblPr>
      <w:tblGrid>
        <w:gridCol w:w="14983"/>
      </w:tblGrid>
      <w:tr w:rsidR="007B35E0">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Default="0014507E">
            <w:pPr>
              <w:jc w:val="center"/>
              <w:rPr>
                <w:rFonts w:ascii="Arial" w:eastAsia="Arial" w:hAnsi="Arial" w:cs="Arial"/>
                <w:b/>
                <w:color w:val="222222"/>
              </w:rPr>
            </w:pPr>
            <w:r>
              <w:rPr>
                <w:rFonts w:ascii="Arial" w:eastAsia="Arial" w:hAnsi="Arial" w:cs="Arial"/>
                <w:b/>
                <w:color w:val="222222"/>
              </w:rPr>
              <w:t>Estado del arte y marco conceptual</w:t>
            </w:r>
          </w:p>
        </w:tc>
      </w:tr>
      <w:tr w:rsidR="007B35E0" w:rsidRPr="005D5379">
        <w:tc>
          <w:tcPr>
            <w:tcW w:w="14983"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jc w:val="both"/>
              <w:rPr>
                <w:rFonts w:ascii="Arial" w:eastAsia="Arial" w:hAnsi="Arial" w:cs="Arial"/>
                <w:b/>
                <w:sz w:val="20"/>
                <w:szCs w:val="20"/>
              </w:rPr>
            </w:pPr>
            <w:r w:rsidRPr="005D5379">
              <w:rPr>
                <w:rFonts w:ascii="Arial" w:eastAsia="Arial" w:hAnsi="Arial" w:cs="Arial"/>
                <w:b/>
                <w:sz w:val="20"/>
                <w:szCs w:val="20"/>
              </w:rPr>
              <w:lastRenderedPageBreak/>
              <w:t xml:space="preserve">Las nociones de la Verdad: </w:t>
            </w:r>
            <w:r w:rsidRPr="005D5379">
              <w:rPr>
                <w:rFonts w:ascii="Arial" w:eastAsia="Arial" w:hAnsi="Arial" w:cs="Arial"/>
                <w:sz w:val="20"/>
                <w:szCs w:val="20"/>
              </w:rPr>
              <w:t>La noción de Verdad en el campo del pensamiento humano ha tenido diferentes matices de interpretación y expresión cultural. En su sentido etimológico expresa “develar lo que no está oculto” (</w:t>
            </w:r>
            <w:proofErr w:type="spellStart"/>
            <w:r w:rsidRPr="005D5379">
              <w:rPr>
                <w:rFonts w:ascii="Arial" w:eastAsia="Arial" w:hAnsi="Arial" w:cs="Arial"/>
                <w:sz w:val="20"/>
                <w:szCs w:val="20"/>
              </w:rPr>
              <w:t>Aletheia</w:t>
            </w:r>
            <w:proofErr w:type="spellEnd"/>
            <w:r w:rsidRPr="005D5379">
              <w:rPr>
                <w:rFonts w:ascii="Arial" w:eastAsia="Arial" w:hAnsi="Arial" w:cs="Arial"/>
                <w:sz w:val="20"/>
                <w:szCs w:val="20"/>
              </w:rPr>
              <w:t xml:space="preserve">) En su sentido fenomenológico es dejar aparecer tal cual como es. Es decir referidas a las cosas.  Para el campo del pensamiento semita o pensamiento desde la tradición judeocristiana, implica no solo a las cosas, sino que se puede hacer referencia a las personas. De hecho en el pensamiento judeocristiano, la connotación “Yo soy la Verdad”, implica una mirada integral a la realidad misma que en su complejidad extiende diferentes niveles de sentido y de inferencias, pero partiendo de una realidad concreta, un ser humano concreto. De esto deriva la capacidad de ser sustentada o de ser argumentaba de manera firme.  En el campo de la filosofía y la cultura religiosa, ha sido asumida desde la epistemología que corresponde a las formas de ver y entender el mundo, el contexto vital, la identidad y las fuentes del yo. Qué es la realidad, las interpretaciones, las ideas, han sido concomitantes al tratar las diferentes nociones de verdad. </w:t>
            </w:r>
            <w:r w:rsidRPr="005D5379">
              <w:rPr>
                <w:rFonts w:ascii="Arial" w:eastAsia="Arial" w:hAnsi="Arial" w:cs="Arial"/>
                <w:b/>
                <w:sz w:val="20"/>
                <w:szCs w:val="20"/>
              </w:rPr>
              <w:t xml:space="preserve"> </w:t>
            </w:r>
            <w:r w:rsidRPr="005D5379">
              <w:rPr>
                <w:rFonts w:ascii="Arial" w:eastAsia="Arial" w:hAnsi="Arial" w:cs="Arial"/>
                <w:sz w:val="20"/>
                <w:szCs w:val="20"/>
              </w:rPr>
              <w:t xml:space="preserve">En el ámbito de la filosofía política, Hannah Arendt es un referente clave para estudiar las dinámicas de los asuntos públicos, particularmente en contextos de violencia. Gran parte de su obra se enfoca en intentar comprender el lugar del ser en el ámbito político, y es de interés para esta investigación estudiar las categorías de análisis implementadas por la autora como lo son política, violencia, verdad, mentira, historia y sociedad. Verdad y mentira son temas de enfoque tratados principalmente en su gran obra </w:t>
            </w:r>
            <w:r w:rsidRPr="005D5379">
              <w:rPr>
                <w:rFonts w:ascii="Arial" w:eastAsia="Arial" w:hAnsi="Arial" w:cs="Arial"/>
                <w:i/>
                <w:sz w:val="20"/>
                <w:szCs w:val="20"/>
              </w:rPr>
              <w:t xml:space="preserve">Los Orígenes del Totalitarismo </w:t>
            </w:r>
            <w:r w:rsidRPr="005D5379">
              <w:rPr>
                <w:rFonts w:ascii="Arial" w:eastAsia="Arial" w:hAnsi="Arial" w:cs="Arial"/>
                <w:sz w:val="20"/>
                <w:szCs w:val="20"/>
              </w:rPr>
              <w:t xml:space="preserve">(Arendt, 1966), </w:t>
            </w:r>
            <w:r w:rsidRPr="005D5379">
              <w:rPr>
                <w:rFonts w:ascii="Arial" w:eastAsia="Arial" w:hAnsi="Arial" w:cs="Arial"/>
                <w:i/>
                <w:sz w:val="20"/>
                <w:szCs w:val="20"/>
              </w:rPr>
              <w:t xml:space="preserve">Crisis de la República </w:t>
            </w:r>
            <w:r w:rsidRPr="005D5379">
              <w:rPr>
                <w:rFonts w:ascii="Arial" w:eastAsia="Arial" w:hAnsi="Arial" w:cs="Arial"/>
                <w:sz w:val="20"/>
                <w:szCs w:val="20"/>
              </w:rPr>
              <w:t>(</w:t>
            </w:r>
            <w:proofErr w:type="spellStart"/>
            <w:r w:rsidRPr="005D5379">
              <w:rPr>
                <w:rFonts w:ascii="Arial" w:eastAsia="Arial" w:hAnsi="Arial" w:cs="Arial"/>
                <w:sz w:val="20"/>
                <w:szCs w:val="20"/>
              </w:rPr>
              <w:t>Arendt</w:t>
            </w:r>
            <w:proofErr w:type="spellEnd"/>
            <w:r w:rsidRPr="005D5379">
              <w:rPr>
                <w:rFonts w:ascii="Arial" w:eastAsia="Arial" w:hAnsi="Arial" w:cs="Arial"/>
                <w:sz w:val="20"/>
                <w:szCs w:val="20"/>
              </w:rPr>
              <w:t xml:space="preserve">, 1969),  </w:t>
            </w:r>
            <w:proofErr w:type="spellStart"/>
            <w:r w:rsidRPr="005D5379">
              <w:rPr>
                <w:rFonts w:ascii="Arial" w:eastAsia="Arial" w:hAnsi="Arial" w:cs="Arial"/>
                <w:i/>
                <w:sz w:val="20"/>
                <w:szCs w:val="20"/>
              </w:rPr>
              <w:t>Between</w:t>
            </w:r>
            <w:proofErr w:type="spellEnd"/>
            <w:r w:rsidRPr="005D5379">
              <w:rPr>
                <w:rFonts w:ascii="Arial" w:eastAsia="Arial" w:hAnsi="Arial" w:cs="Arial"/>
                <w:i/>
                <w:sz w:val="20"/>
                <w:szCs w:val="20"/>
              </w:rPr>
              <w:t xml:space="preserve"> </w:t>
            </w:r>
            <w:proofErr w:type="spellStart"/>
            <w:r w:rsidRPr="005D5379">
              <w:rPr>
                <w:rFonts w:ascii="Arial" w:eastAsia="Arial" w:hAnsi="Arial" w:cs="Arial"/>
                <w:i/>
                <w:sz w:val="20"/>
                <w:szCs w:val="20"/>
              </w:rPr>
              <w:t>Past</w:t>
            </w:r>
            <w:proofErr w:type="spellEnd"/>
            <w:r w:rsidRPr="005D5379">
              <w:rPr>
                <w:rFonts w:ascii="Arial" w:eastAsia="Arial" w:hAnsi="Arial" w:cs="Arial"/>
                <w:i/>
                <w:sz w:val="20"/>
                <w:szCs w:val="20"/>
              </w:rPr>
              <w:t xml:space="preserve"> and </w:t>
            </w:r>
            <w:proofErr w:type="spellStart"/>
            <w:r w:rsidRPr="005D5379">
              <w:rPr>
                <w:rFonts w:ascii="Arial" w:eastAsia="Arial" w:hAnsi="Arial" w:cs="Arial"/>
                <w:i/>
                <w:sz w:val="20"/>
                <w:szCs w:val="20"/>
              </w:rPr>
              <w:t>Future</w:t>
            </w:r>
            <w:proofErr w:type="spellEnd"/>
            <w:r w:rsidRPr="005D5379">
              <w:rPr>
                <w:rFonts w:ascii="Arial" w:eastAsia="Arial" w:hAnsi="Arial" w:cs="Arial"/>
                <w:i/>
                <w:sz w:val="20"/>
                <w:szCs w:val="20"/>
              </w:rPr>
              <w:t xml:space="preserve"> </w:t>
            </w:r>
            <w:r w:rsidRPr="005D5379">
              <w:rPr>
                <w:rFonts w:ascii="Arial" w:eastAsia="Arial" w:hAnsi="Arial" w:cs="Arial"/>
                <w:sz w:val="20"/>
                <w:szCs w:val="20"/>
              </w:rPr>
              <w:t>(</w:t>
            </w:r>
            <w:proofErr w:type="spellStart"/>
            <w:r w:rsidRPr="005D5379">
              <w:rPr>
                <w:rFonts w:ascii="Arial" w:eastAsia="Arial" w:hAnsi="Arial" w:cs="Arial"/>
                <w:sz w:val="20"/>
                <w:szCs w:val="20"/>
              </w:rPr>
              <w:t>Arendt</w:t>
            </w:r>
            <w:proofErr w:type="spellEnd"/>
            <w:r w:rsidRPr="005D5379">
              <w:rPr>
                <w:rFonts w:ascii="Arial" w:eastAsia="Arial" w:hAnsi="Arial" w:cs="Arial"/>
                <w:sz w:val="20"/>
                <w:szCs w:val="20"/>
              </w:rPr>
              <w:t xml:space="preserve">, 1968), entre otros  Arendt analiza la posibilidad de que el ámbito político necesite de la “mentira deliberada” para funcionar, especialmente en tiempos de guerra (Arendt, 1969, p. 13). Siguiendo esta línea de pensamiento, en su ensayo </w:t>
            </w:r>
            <w:r w:rsidRPr="005D5379">
              <w:rPr>
                <w:rFonts w:ascii="Arial" w:eastAsia="Arial" w:hAnsi="Arial" w:cs="Arial"/>
                <w:i/>
                <w:sz w:val="20"/>
                <w:szCs w:val="20"/>
              </w:rPr>
              <w:t>Verdad y Política</w:t>
            </w:r>
            <w:r w:rsidRPr="005D5379">
              <w:rPr>
                <w:rFonts w:ascii="Arial" w:eastAsia="Arial" w:hAnsi="Arial" w:cs="Arial"/>
                <w:sz w:val="20"/>
                <w:szCs w:val="20"/>
              </w:rPr>
              <w:t xml:space="preserve"> (Arendt, 1967), Arendt se plantea si la esencia de la verdad es ser impotente y si la esencia del poder es la mentira, llegando a refutar este supuesto para demostrar que el ejercicio de la Verdad, cuando está sustentada por testimonios y hechos, conlleva un gran poder </w:t>
            </w:r>
            <w:proofErr w:type="spellStart"/>
            <w:r w:rsidRPr="005D5379">
              <w:rPr>
                <w:rFonts w:ascii="Arial" w:eastAsia="Arial" w:hAnsi="Arial" w:cs="Arial"/>
                <w:sz w:val="20"/>
                <w:szCs w:val="20"/>
              </w:rPr>
              <w:t>antihegemónico</w:t>
            </w:r>
            <w:proofErr w:type="spellEnd"/>
            <w:r w:rsidRPr="005D5379">
              <w:rPr>
                <w:rFonts w:ascii="Arial" w:eastAsia="Arial" w:hAnsi="Arial" w:cs="Arial"/>
                <w:sz w:val="20"/>
                <w:szCs w:val="20"/>
              </w:rPr>
              <w:t xml:space="preserve">, </w:t>
            </w:r>
            <w:r w:rsidRPr="005D5379">
              <w:rPr>
                <w:rFonts w:ascii="Arial" w:eastAsia="Arial" w:hAnsi="Arial" w:cs="Arial"/>
                <w:b/>
                <w:sz w:val="20"/>
                <w:szCs w:val="20"/>
              </w:rPr>
              <w:t xml:space="preserve"> </w:t>
            </w:r>
            <w:r w:rsidRPr="005D5379">
              <w:rPr>
                <w:rFonts w:ascii="Arial" w:eastAsia="Arial" w:hAnsi="Arial" w:cs="Arial"/>
                <w:sz w:val="20"/>
                <w:szCs w:val="20"/>
              </w:rPr>
              <w:t xml:space="preserve">En </w:t>
            </w:r>
            <w:r w:rsidRPr="005D5379">
              <w:rPr>
                <w:rFonts w:ascii="Arial" w:eastAsia="Arial" w:hAnsi="Arial" w:cs="Arial"/>
                <w:i/>
                <w:sz w:val="20"/>
                <w:szCs w:val="20"/>
              </w:rPr>
              <w:t xml:space="preserve">Hannah </w:t>
            </w:r>
            <w:proofErr w:type="spellStart"/>
            <w:r w:rsidRPr="005D5379">
              <w:rPr>
                <w:rFonts w:ascii="Arial" w:eastAsia="Arial" w:hAnsi="Arial" w:cs="Arial"/>
                <w:i/>
                <w:sz w:val="20"/>
                <w:szCs w:val="20"/>
              </w:rPr>
              <w:t>Arendt</w:t>
            </w:r>
            <w:proofErr w:type="spellEnd"/>
            <w:r w:rsidRPr="005D5379">
              <w:rPr>
                <w:rFonts w:ascii="Arial" w:eastAsia="Arial" w:hAnsi="Arial" w:cs="Arial"/>
                <w:i/>
                <w:sz w:val="20"/>
                <w:szCs w:val="20"/>
              </w:rPr>
              <w:t xml:space="preserve">: lo filosófico y lo político </w:t>
            </w:r>
            <w:r w:rsidRPr="005D5379">
              <w:rPr>
                <w:rFonts w:ascii="Arial" w:eastAsia="Arial" w:hAnsi="Arial" w:cs="Arial"/>
                <w:sz w:val="20"/>
                <w:szCs w:val="20"/>
              </w:rPr>
              <w:t xml:space="preserve">(Campillo, 2013), Campillo analiza, entre otras,  las categorías de “espacio público” y “pluralidad” en la obra de Arendt, revelando que, para la pensadora, la pluralidad de los seres humanos es parte esencial para comprender el espacio público. Este análisis abrirá una puerta para entender cómo entra a jugar la pluralidad de la sociedad en la búsqueda de la verdad y en el sentido de la historia, especialmente en contextos post-acuerdo y la dinámica de construcción colectiva de la verdad como sugiere el ejercicio de las Comisiones de la Verdad. </w:t>
            </w:r>
            <w:r w:rsidRPr="005D5379">
              <w:rPr>
                <w:rFonts w:ascii="Arial" w:eastAsia="Arial" w:hAnsi="Arial" w:cs="Arial"/>
                <w:b/>
                <w:sz w:val="20"/>
                <w:szCs w:val="20"/>
              </w:rPr>
              <w:t xml:space="preserve"> </w:t>
            </w:r>
            <w:r w:rsidRPr="005D5379">
              <w:rPr>
                <w:rFonts w:ascii="Arial" w:eastAsia="Arial" w:hAnsi="Arial" w:cs="Arial"/>
                <w:sz w:val="20"/>
                <w:szCs w:val="20"/>
              </w:rPr>
              <w:t xml:space="preserve">Por su parte, Paul </w:t>
            </w:r>
            <w:proofErr w:type="spellStart"/>
            <w:r w:rsidRPr="005D5379">
              <w:rPr>
                <w:rFonts w:ascii="Arial" w:eastAsia="Arial" w:hAnsi="Arial" w:cs="Arial"/>
                <w:sz w:val="20"/>
                <w:szCs w:val="20"/>
              </w:rPr>
              <w:t>Ricoeur</w:t>
            </w:r>
            <w:proofErr w:type="spellEnd"/>
            <w:r w:rsidRPr="005D5379">
              <w:rPr>
                <w:rFonts w:ascii="Arial" w:eastAsia="Arial" w:hAnsi="Arial" w:cs="Arial"/>
                <w:sz w:val="20"/>
                <w:szCs w:val="20"/>
              </w:rPr>
              <w:t xml:space="preserve"> (1995, 1964, 1967) examina la “pluralización” de los órdenes de verdad en nuestra historia cultural, como la verdad científica y la verdad ética, y describe cómo la política, o el poder, irrumpen en la esfera de la verdad, buscándose desde el Estado unificar las verdades, lo cual </w:t>
            </w:r>
            <w:proofErr w:type="spellStart"/>
            <w:r w:rsidRPr="005D5379">
              <w:rPr>
                <w:rFonts w:ascii="Arial" w:eastAsia="Arial" w:hAnsi="Arial" w:cs="Arial"/>
                <w:sz w:val="20"/>
                <w:szCs w:val="20"/>
              </w:rPr>
              <w:t>Ricaur</w:t>
            </w:r>
            <w:proofErr w:type="spellEnd"/>
            <w:r w:rsidRPr="005D5379">
              <w:rPr>
                <w:rFonts w:ascii="Arial" w:eastAsia="Arial" w:hAnsi="Arial" w:cs="Arial"/>
                <w:sz w:val="20"/>
                <w:szCs w:val="20"/>
              </w:rPr>
              <w:t xml:space="preserve"> describe como “unificación violenta de la verdad”- revisando dinámicas del poder clerical de los siglos pasados a la política moderna. Por otro lado, sugiere que tanto la razón como el sentimiento buscan unificar las verdades, para dar sentido. Lo expuesto por </w:t>
            </w:r>
            <w:proofErr w:type="spellStart"/>
            <w:r w:rsidRPr="005D5379">
              <w:rPr>
                <w:rFonts w:ascii="Arial" w:eastAsia="Arial" w:hAnsi="Arial" w:cs="Arial"/>
                <w:sz w:val="20"/>
                <w:szCs w:val="20"/>
              </w:rPr>
              <w:t>Ricoeur</w:t>
            </w:r>
            <w:proofErr w:type="spellEnd"/>
            <w:r w:rsidRPr="005D5379">
              <w:rPr>
                <w:rFonts w:ascii="Arial" w:eastAsia="Arial" w:hAnsi="Arial" w:cs="Arial"/>
                <w:sz w:val="20"/>
                <w:szCs w:val="20"/>
              </w:rPr>
              <w:t xml:space="preserve"> invita a reflexionar sobre la tensión que puede haber entre pluralidad y unificación de verdades desde un proyecto nacional político como una Comisión de la Verdad, porque así como se le confiere independencia y autonomía, las comisiones responden a pactos políticos y al público en general.  </w:t>
            </w:r>
            <w:r w:rsidRPr="005D5379">
              <w:rPr>
                <w:rFonts w:ascii="Arial" w:eastAsia="Arial" w:hAnsi="Arial" w:cs="Arial"/>
                <w:b/>
                <w:sz w:val="20"/>
                <w:szCs w:val="20"/>
              </w:rPr>
              <w:t xml:space="preserve"> </w:t>
            </w:r>
            <w:r w:rsidRPr="005D5379">
              <w:rPr>
                <w:rFonts w:ascii="Arial" w:eastAsia="Arial" w:hAnsi="Arial" w:cs="Arial"/>
                <w:sz w:val="20"/>
                <w:szCs w:val="20"/>
              </w:rPr>
              <w:t xml:space="preserve">En el campo de la literatura de las ciencias humanas y sociales, se encuentra que la Verdad sale de su enfoque filosófico para adjetivarse en relación con los ejercicios de memoria, convivencia, no repetición, justicia, interpretación y descripción de los hechos mismos. En el caso de la memoria en la esfera pública hace énfasis justamente en el primer sentido en que la memoria de las víctimas constituye una apuesta a futuro. Como se deja ver en los informes del CNMH (2013), si se pudiera sacar lecciones de las experiencias traumáticas de la guerra, la primera de ellas debería ser que el mejor antídoto contra la violencia a largo plazo es la profundización de la democracia. Según se entiende, el presupuesto básico de esta afirmación estriba en que uno de los factores que ha desatado la violencia en Colombia, si no el más relevante, concierne a la precariedad de la democracia que se traduce en el odio a la diferencia que impide el reconocimiento de los opositores, y de sus ideales o proyectos-nación, como agentes activos en el juego político. Este es un factor histórico que se ha manifestado en muchos de los episodios más oscuros de la política colombiana y que persiste hoy en día en el asedio a líderes comunales, opositores, líderes estudiantiles y maestros. Debido a que este factor </w:t>
            </w:r>
            <w:proofErr w:type="gramStart"/>
            <w:r w:rsidRPr="005D5379">
              <w:rPr>
                <w:rFonts w:ascii="Arial" w:eastAsia="Arial" w:hAnsi="Arial" w:cs="Arial"/>
                <w:sz w:val="20"/>
                <w:szCs w:val="20"/>
              </w:rPr>
              <w:t>atenta</w:t>
            </w:r>
            <w:proofErr w:type="gramEnd"/>
            <w:r w:rsidRPr="005D5379">
              <w:rPr>
                <w:rFonts w:ascii="Arial" w:eastAsia="Arial" w:hAnsi="Arial" w:cs="Arial"/>
                <w:sz w:val="20"/>
                <w:szCs w:val="20"/>
              </w:rPr>
              <w:t xml:space="preserve"> directamente contra la legitimación del Estado colombiano como cuerpo político democrático, las reclamaciones de justicia que se recogen en los testimonios y memorias de las víctimas deberían recibir una atención central en la esfera pública. No obstante, esta pretensión sugiere una inquietud frente al modo en que a partir de los informes del CNMH se está dando una comprensión de la «democracia» y, más precisamente, de la «política».</w:t>
            </w:r>
          </w:p>
          <w:p w:rsidR="007B35E0" w:rsidRPr="005D5379" w:rsidRDefault="007B35E0">
            <w:pPr>
              <w:jc w:val="both"/>
              <w:rPr>
                <w:rFonts w:ascii="Arial" w:eastAsia="Arial" w:hAnsi="Arial" w:cs="Arial"/>
                <w:sz w:val="20"/>
                <w:szCs w:val="20"/>
              </w:rPr>
            </w:pPr>
          </w:p>
          <w:p w:rsidR="007B35E0" w:rsidRPr="005D5379" w:rsidRDefault="0014507E">
            <w:pPr>
              <w:jc w:val="both"/>
              <w:rPr>
                <w:rFonts w:ascii="Arial" w:eastAsia="Arial" w:hAnsi="Arial" w:cs="Arial"/>
                <w:sz w:val="20"/>
                <w:szCs w:val="20"/>
              </w:rPr>
            </w:pPr>
            <w:r w:rsidRPr="005D5379">
              <w:rPr>
                <w:rFonts w:ascii="Arial" w:eastAsia="Arial" w:hAnsi="Arial" w:cs="Arial"/>
                <w:b/>
                <w:sz w:val="20"/>
                <w:szCs w:val="20"/>
              </w:rPr>
              <w:t xml:space="preserve">Imaginarios sociales, agencia cultural en contextos de transición:  </w:t>
            </w:r>
            <w:r w:rsidRPr="005D5379">
              <w:rPr>
                <w:rFonts w:ascii="Arial" w:eastAsia="Arial" w:hAnsi="Arial" w:cs="Arial"/>
                <w:sz w:val="20"/>
                <w:szCs w:val="20"/>
              </w:rPr>
              <w:t xml:space="preserve"> El análisis de lo que comporta la versión teórica de la verdad, puede tomar mejor representación cuando se relaciona con las figuras simbólicas, las estructuras de pensamiento, las memorias colectivas y las formas arquetípicas de los seres humanos que viven en determinadas comunidades. En los procesos de producción de sentido compartido y  el estudio de estas relaciones es lo que en la literatura especializada (</w:t>
            </w:r>
            <w:proofErr w:type="spellStart"/>
            <w:r w:rsidRPr="005D5379">
              <w:rPr>
                <w:rFonts w:ascii="Arial" w:eastAsia="Arial" w:hAnsi="Arial" w:cs="Arial"/>
                <w:sz w:val="20"/>
                <w:szCs w:val="20"/>
              </w:rPr>
              <w:t>Castoriadis</w:t>
            </w:r>
            <w:proofErr w:type="spellEnd"/>
            <w:r w:rsidRPr="005D5379">
              <w:rPr>
                <w:rFonts w:ascii="Arial" w:eastAsia="Arial" w:hAnsi="Arial" w:cs="Arial"/>
                <w:sz w:val="20"/>
                <w:szCs w:val="20"/>
              </w:rPr>
              <w:t xml:space="preserve"> (1998), J.L. Pintos (1995, 2003, 2012) C. Taylor (2006), Baeza (2000), </w:t>
            </w:r>
            <w:proofErr w:type="spellStart"/>
            <w:r w:rsidRPr="005D5379">
              <w:rPr>
                <w:rFonts w:ascii="Arial" w:eastAsia="Arial" w:hAnsi="Arial" w:cs="Arial"/>
                <w:sz w:val="20"/>
                <w:szCs w:val="20"/>
              </w:rPr>
              <w:t>Moscovici</w:t>
            </w:r>
            <w:proofErr w:type="spellEnd"/>
            <w:r w:rsidRPr="005D5379">
              <w:rPr>
                <w:rFonts w:ascii="Arial" w:eastAsia="Arial" w:hAnsi="Arial" w:cs="Arial"/>
                <w:sz w:val="20"/>
                <w:szCs w:val="20"/>
              </w:rPr>
              <w:t xml:space="preserve"> (1979), Silva (2006)  Aliaga (2012, 2018) se define como imaginarios sociales.  Hoy en día, siguiendo a Aliaga, </w:t>
            </w:r>
            <w:proofErr w:type="spellStart"/>
            <w:r w:rsidRPr="005D5379">
              <w:rPr>
                <w:rFonts w:ascii="Arial" w:eastAsia="Arial" w:hAnsi="Arial" w:cs="Arial"/>
                <w:sz w:val="20"/>
                <w:szCs w:val="20"/>
              </w:rPr>
              <w:t>Maric</w:t>
            </w:r>
            <w:proofErr w:type="spellEnd"/>
            <w:r w:rsidRPr="005D5379">
              <w:rPr>
                <w:rFonts w:ascii="Arial" w:eastAsia="Arial" w:hAnsi="Arial" w:cs="Arial"/>
                <w:sz w:val="20"/>
                <w:szCs w:val="20"/>
              </w:rPr>
              <w:t xml:space="preserve"> y Uribe (2018) los enfoques teóricos y metodológicos desde esta perspectiva, “permiten provocar significaciones o materializar sentidos con una dirección social-subjetiva, pero también desde lo subjetivo hacia lo social” (p. 196) Particularmente para el caso de Colombia, los aportes de Cornelius </w:t>
            </w:r>
            <w:proofErr w:type="spellStart"/>
            <w:r w:rsidRPr="005D5379">
              <w:rPr>
                <w:rFonts w:ascii="Arial" w:eastAsia="Arial" w:hAnsi="Arial" w:cs="Arial"/>
                <w:sz w:val="20"/>
                <w:szCs w:val="20"/>
              </w:rPr>
              <w:t>Castoriadis</w:t>
            </w:r>
            <w:proofErr w:type="spellEnd"/>
            <w:r w:rsidRPr="005D5379">
              <w:rPr>
                <w:rFonts w:ascii="Arial" w:eastAsia="Arial" w:hAnsi="Arial" w:cs="Arial"/>
                <w:sz w:val="20"/>
                <w:szCs w:val="20"/>
              </w:rPr>
              <w:t xml:space="preserve">, han permitido realizar diferentes investigaciones sobre la realidad nacional. Como unidad de análisis “el imaginario social es el residuo de significaciones imaginarias sociales encarnadas en las instituciones. Esa institución imaginaria de la sociedad regula el decir y orienta la acción de sus miembros” (p. 197) En consecuencia “ una </w:t>
            </w:r>
            <w:r w:rsidRPr="005D5379">
              <w:rPr>
                <w:rFonts w:ascii="Arial" w:eastAsia="Arial" w:hAnsi="Arial" w:cs="Arial"/>
                <w:sz w:val="20"/>
                <w:szCs w:val="20"/>
              </w:rPr>
              <w:lastRenderedPageBreak/>
              <w:t>investigación sobre imaginarios es una comprensión sobre los entramados, los juegos, las figuraciones y las relaciones de las significaciones imaginarias, resaltando que ellas permitirán ver el movimiento entre lo instituido y lo instituyente(…) (p. 2013) Por otra parte, la noción de agencia, tiene sus sentidos semánticos desde la sociología (</w:t>
            </w:r>
            <w:proofErr w:type="spellStart"/>
            <w:r w:rsidRPr="005D5379">
              <w:rPr>
                <w:rFonts w:ascii="Arial" w:eastAsia="Arial" w:hAnsi="Arial" w:cs="Arial"/>
                <w:sz w:val="20"/>
                <w:szCs w:val="20"/>
              </w:rPr>
              <w:t>Giddens</w:t>
            </w:r>
            <w:proofErr w:type="spellEnd"/>
            <w:r w:rsidRPr="005D5379">
              <w:rPr>
                <w:rFonts w:ascii="Arial" w:eastAsia="Arial" w:hAnsi="Arial" w:cs="Arial"/>
                <w:sz w:val="20"/>
                <w:szCs w:val="20"/>
              </w:rPr>
              <w:t xml:space="preserve"> (2007)  </w:t>
            </w:r>
            <w:proofErr w:type="spellStart"/>
            <w:r w:rsidRPr="005D5379">
              <w:rPr>
                <w:rFonts w:ascii="Arial" w:eastAsia="Arial" w:hAnsi="Arial" w:cs="Arial"/>
                <w:sz w:val="20"/>
                <w:szCs w:val="20"/>
              </w:rPr>
              <w:t>Bajoit</w:t>
            </w:r>
            <w:proofErr w:type="spellEnd"/>
            <w:r w:rsidRPr="005D5379">
              <w:rPr>
                <w:rFonts w:ascii="Arial" w:eastAsia="Arial" w:hAnsi="Arial" w:cs="Arial"/>
                <w:sz w:val="20"/>
                <w:szCs w:val="20"/>
              </w:rPr>
              <w:t xml:space="preserve"> (2013), </w:t>
            </w:r>
            <w:proofErr w:type="spellStart"/>
            <w:r w:rsidRPr="005D5379">
              <w:rPr>
                <w:rFonts w:ascii="Arial" w:eastAsia="Arial" w:hAnsi="Arial" w:cs="Arial"/>
                <w:sz w:val="20"/>
                <w:szCs w:val="20"/>
              </w:rPr>
              <w:t>Narayan</w:t>
            </w:r>
            <w:proofErr w:type="spellEnd"/>
            <w:r w:rsidRPr="005D5379">
              <w:rPr>
                <w:rFonts w:ascii="Arial" w:eastAsia="Arial" w:hAnsi="Arial" w:cs="Arial"/>
                <w:sz w:val="20"/>
                <w:szCs w:val="20"/>
              </w:rPr>
              <w:t xml:space="preserve"> (2002) como la capacidad de las instituciones, y el sujeto concreto de poder empoderarse de su acción en las sociedades, a una obligada transformación de “nuestra representación de lo social y a reconstruir sobre la base de un nuevo paradigma que se puede situar en </w:t>
            </w:r>
            <w:r w:rsidRPr="005D5379">
              <w:rPr>
                <w:rFonts w:ascii="Arial" w:eastAsia="Arial" w:hAnsi="Arial" w:cs="Arial"/>
                <w:i/>
                <w:sz w:val="20"/>
                <w:szCs w:val="20"/>
              </w:rPr>
              <w:t xml:space="preserve">lo </w:t>
            </w:r>
            <w:proofErr w:type="spellStart"/>
            <w:r w:rsidRPr="005D5379">
              <w:rPr>
                <w:rFonts w:ascii="Arial" w:eastAsia="Arial" w:hAnsi="Arial" w:cs="Arial"/>
                <w:i/>
                <w:sz w:val="20"/>
                <w:szCs w:val="20"/>
              </w:rPr>
              <w:t>identitario</w:t>
            </w:r>
            <w:proofErr w:type="spellEnd"/>
            <w:r w:rsidRPr="005D5379">
              <w:rPr>
                <w:rFonts w:ascii="Arial" w:eastAsia="Arial" w:hAnsi="Arial" w:cs="Arial"/>
                <w:sz w:val="20"/>
                <w:szCs w:val="20"/>
              </w:rPr>
              <w:t xml:space="preserve">  (</w:t>
            </w:r>
            <w:proofErr w:type="spellStart"/>
            <w:r w:rsidRPr="005D5379">
              <w:rPr>
                <w:rFonts w:ascii="Arial" w:eastAsia="Arial" w:hAnsi="Arial" w:cs="Arial"/>
                <w:sz w:val="20"/>
                <w:szCs w:val="20"/>
              </w:rPr>
              <w:t>Bajoit</w:t>
            </w:r>
            <w:proofErr w:type="spellEnd"/>
            <w:r w:rsidRPr="005D5379">
              <w:rPr>
                <w:rFonts w:ascii="Arial" w:eastAsia="Arial" w:hAnsi="Arial" w:cs="Arial"/>
                <w:sz w:val="20"/>
                <w:szCs w:val="20"/>
              </w:rPr>
              <w:t xml:space="preserve">, 2003, citado por Inampués, 2019) La capacidad de agencia cultural del sujeto, implica entonces, bajo este enfoque sociológico, la gestión relacional de sí, el ejercicio que permite la autorrealización personal, el reconocimiento social, la capacidad de saber articular e integrar las lógicas del contrato y del conflicto (Inampués, 2019) El estudio de esta categoría ha tomado relevancia en las ciencias humanas y sociales, pues, es un lugar propicio para visibilizar prácticas cotidianas, experiencias sociales de empoderamiento y de transformación de modelos culturales, en este caso violentos, en modelos </w:t>
            </w:r>
            <w:proofErr w:type="spellStart"/>
            <w:r w:rsidRPr="005D5379">
              <w:rPr>
                <w:rFonts w:ascii="Arial" w:eastAsia="Arial" w:hAnsi="Arial" w:cs="Arial"/>
                <w:sz w:val="20"/>
                <w:szCs w:val="20"/>
              </w:rPr>
              <w:t>identitarios</w:t>
            </w:r>
            <w:proofErr w:type="spellEnd"/>
            <w:r w:rsidRPr="005D5379">
              <w:rPr>
                <w:rFonts w:ascii="Arial" w:eastAsia="Arial" w:hAnsi="Arial" w:cs="Arial"/>
                <w:sz w:val="20"/>
                <w:szCs w:val="20"/>
              </w:rPr>
              <w:t xml:space="preserve"> para la convivencia pacífica y apuestas para resolver el conflicto de manera no violenta. </w:t>
            </w:r>
          </w:p>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 xml:space="preserve">En el marco de un conflicto armado, el término “transición” se refiere al periodo de tiempo en que una sociedad transita de la guerra a la paz,  o como expresan otros autores, el paso de “…sociedades en conflicto armado a sociedades en situación de </w:t>
            </w:r>
            <w:proofErr w:type="spellStart"/>
            <w:r w:rsidRPr="005D5379">
              <w:rPr>
                <w:rFonts w:ascii="Arial" w:eastAsia="Arial" w:hAnsi="Arial" w:cs="Arial"/>
                <w:sz w:val="20"/>
                <w:szCs w:val="20"/>
              </w:rPr>
              <w:t>posacuerdo</w:t>
            </w:r>
            <w:proofErr w:type="spellEnd"/>
            <w:r w:rsidRPr="005D5379">
              <w:rPr>
                <w:rFonts w:ascii="Arial" w:eastAsia="Arial" w:hAnsi="Arial" w:cs="Arial"/>
                <w:sz w:val="20"/>
                <w:szCs w:val="20"/>
              </w:rPr>
              <w:t xml:space="preserve"> (Vargas </w:t>
            </w:r>
            <w:proofErr w:type="spellStart"/>
            <w:r w:rsidRPr="005D5379">
              <w:rPr>
                <w:rFonts w:ascii="Arial" w:eastAsia="Arial" w:hAnsi="Arial" w:cs="Arial"/>
                <w:sz w:val="20"/>
                <w:szCs w:val="20"/>
              </w:rPr>
              <w:t>Velazquez</w:t>
            </w:r>
            <w:proofErr w:type="spellEnd"/>
            <w:r w:rsidRPr="005D5379">
              <w:rPr>
                <w:rFonts w:ascii="Arial" w:eastAsia="Arial" w:hAnsi="Arial" w:cs="Arial"/>
                <w:sz w:val="20"/>
                <w:szCs w:val="20"/>
              </w:rPr>
              <w:t>, 2015, p. 12). La historia contemporánea de conflictos armados y procesos de paz demuestran un panorama desolador: la mayoría de los 38 acuerdos de paz firmados los primeros diez años desde la Guerra Fría no duraron más de tres años; la violencia ha representado ser un obstáculo en sí mismo para que se consoliden los procesos de paz (</w:t>
            </w:r>
            <w:proofErr w:type="spellStart"/>
            <w:r w:rsidRPr="005D5379">
              <w:rPr>
                <w:rFonts w:ascii="Arial" w:eastAsia="Arial" w:hAnsi="Arial" w:cs="Arial"/>
                <w:sz w:val="20"/>
                <w:szCs w:val="20"/>
              </w:rPr>
              <w:t>Darby</w:t>
            </w:r>
            <w:proofErr w:type="spellEnd"/>
            <w:r w:rsidRPr="005D5379">
              <w:rPr>
                <w:rFonts w:ascii="Arial" w:eastAsia="Arial" w:hAnsi="Arial" w:cs="Arial"/>
                <w:sz w:val="20"/>
                <w:szCs w:val="20"/>
              </w:rPr>
              <w:t>, 2001).  Como parte de la transición y clave un proceso de paz está la “justicia transicional”, que puede ser definida como “el tipo de arreglos judiciales y extrajudiciales que facilitan y permiten la transición de un régimen autoritario a una democracia o de una situación de guerra a una de paz” (</w:t>
            </w:r>
            <w:proofErr w:type="spellStart"/>
            <w:r w:rsidRPr="005D5379">
              <w:rPr>
                <w:rFonts w:ascii="Arial" w:eastAsia="Arial" w:hAnsi="Arial" w:cs="Arial"/>
                <w:sz w:val="20"/>
                <w:szCs w:val="20"/>
              </w:rPr>
              <w:t>Rettberg</w:t>
            </w:r>
            <w:proofErr w:type="spellEnd"/>
            <w:r w:rsidRPr="005D5379">
              <w:rPr>
                <w:rFonts w:ascii="Arial" w:eastAsia="Arial" w:hAnsi="Arial" w:cs="Arial"/>
                <w:sz w:val="20"/>
                <w:szCs w:val="20"/>
              </w:rPr>
              <w:t xml:space="preserve"> </w:t>
            </w:r>
            <w:proofErr w:type="spellStart"/>
            <w:r w:rsidRPr="005D5379">
              <w:rPr>
                <w:rFonts w:ascii="Arial" w:eastAsia="Arial" w:hAnsi="Arial" w:cs="Arial"/>
                <w:sz w:val="20"/>
                <w:szCs w:val="20"/>
              </w:rPr>
              <w:t>Angelika</w:t>
            </w:r>
            <w:proofErr w:type="spellEnd"/>
            <w:r w:rsidRPr="005D5379">
              <w:rPr>
                <w:rFonts w:ascii="Arial" w:eastAsia="Arial" w:hAnsi="Arial" w:cs="Arial"/>
                <w:sz w:val="20"/>
                <w:szCs w:val="20"/>
              </w:rPr>
              <w:t>, p. 1), o ”como el esfuerzo por construir paz sostenible tras un periodo de conflicto”; una de sus implicaciones está en revelar la verdad acerca de crímenes pasados, brindar reparaciones y promover la reconciliación (</w:t>
            </w:r>
            <w:proofErr w:type="spellStart"/>
            <w:r w:rsidRPr="005D5379">
              <w:rPr>
                <w:rFonts w:ascii="Arial" w:eastAsia="Arial" w:hAnsi="Arial" w:cs="Arial"/>
                <w:sz w:val="20"/>
                <w:szCs w:val="20"/>
              </w:rPr>
              <w:t>Zyl</w:t>
            </w:r>
            <w:proofErr w:type="spellEnd"/>
            <w:r w:rsidRPr="005D5379">
              <w:rPr>
                <w:rFonts w:ascii="Arial" w:eastAsia="Arial" w:hAnsi="Arial" w:cs="Arial"/>
                <w:sz w:val="20"/>
                <w:szCs w:val="20"/>
              </w:rPr>
              <w:t xml:space="preserve"> Paul van, </w:t>
            </w:r>
            <w:r w:rsidRPr="005D5379">
              <w:rPr>
                <w:rFonts w:ascii="Arial" w:eastAsia="Arial" w:hAnsi="Arial" w:cs="Arial"/>
                <w:i/>
                <w:sz w:val="20"/>
                <w:szCs w:val="20"/>
              </w:rPr>
              <w:t xml:space="preserve">2011, p. 47). </w:t>
            </w:r>
            <w:r w:rsidRPr="005D5379">
              <w:rPr>
                <w:rFonts w:ascii="Arial" w:eastAsia="Arial" w:hAnsi="Arial" w:cs="Arial"/>
                <w:sz w:val="20"/>
                <w:szCs w:val="20"/>
              </w:rPr>
              <w:t>La Comisión de la Verdad en Colombia se establece como un mecanismo extrajudicial que aporta a la justicia transicional.</w:t>
            </w:r>
          </w:p>
          <w:p w:rsidR="007B35E0" w:rsidRPr="005D5379" w:rsidRDefault="007B35E0">
            <w:pPr>
              <w:jc w:val="both"/>
              <w:rPr>
                <w:rFonts w:ascii="Arial" w:eastAsia="Arial" w:hAnsi="Arial" w:cs="Arial"/>
                <w:b/>
                <w:color w:val="222222"/>
                <w:sz w:val="20"/>
                <w:szCs w:val="20"/>
              </w:rPr>
            </w:pPr>
          </w:p>
          <w:p w:rsidR="007B35E0" w:rsidRPr="005D5379" w:rsidRDefault="0014507E">
            <w:pPr>
              <w:jc w:val="both"/>
              <w:rPr>
                <w:rFonts w:ascii="Arial" w:eastAsia="Arial" w:hAnsi="Arial" w:cs="Arial"/>
                <w:b/>
                <w:color w:val="222222"/>
                <w:sz w:val="20"/>
                <w:szCs w:val="20"/>
              </w:rPr>
            </w:pPr>
            <w:r w:rsidRPr="005D5379">
              <w:rPr>
                <w:rFonts w:ascii="Arial" w:eastAsia="Arial" w:hAnsi="Arial" w:cs="Arial"/>
                <w:b/>
                <w:color w:val="222222"/>
                <w:sz w:val="20"/>
                <w:szCs w:val="20"/>
              </w:rPr>
              <w:t xml:space="preserve">La Comisión de Verdad y su papel en las sociedades en transición: </w:t>
            </w:r>
            <w:r w:rsidRPr="005D5379">
              <w:rPr>
                <w:rFonts w:ascii="Arial" w:eastAsia="Arial" w:hAnsi="Arial" w:cs="Arial"/>
                <w:sz w:val="20"/>
                <w:szCs w:val="20"/>
              </w:rPr>
              <w:t xml:space="preserve">Las Comisiones de la Verdad surgen en el marco del Derecho Internacional y los Derechos Humanos, como mecanismo de justicia transicional para hacer frente a las violaciones de los derechos humanos en contextos de guerra y conflicto armado. América Latina ha sido pionera en asuntos de justicia transicional a través de la implementación de </w:t>
            </w:r>
            <w:proofErr w:type="spellStart"/>
            <w:r w:rsidRPr="005D5379">
              <w:rPr>
                <w:rFonts w:ascii="Arial" w:eastAsia="Arial" w:hAnsi="Arial" w:cs="Arial"/>
                <w:sz w:val="20"/>
                <w:szCs w:val="20"/>
              </w:rPr>
              <w:t>CVs</w:t>
            </w:r>
            <w:proofErr w:type="spellEnd"/>
            <w:r w:rsidRPr="005D5379">
              <w:rPr>
                <w:rFonts w:ascii="Arial" w:eastAsia="Arial" w:hAnsi="Arial" w:cs="Arial"/>
                <w:sz w:val="20"/>
                <w:szCs w:val="20"/>
              </w:rPr>
              <w:t xml:space="preserve"> y le han seguido más de 30 países en el establecimiento de éstas (</w:t>
            </w:r>
            <w:proofErr w:type="spellStart"/>
            <w:r w:rsidRPr="005D5379">
              <w:rPr>
                <w:rFonts w:ascii="Arial" w:eastAsia="Arial" w:hAnsi="Arial" w:cs="Arial"/>
                <w:sz w:val="20"/>
                <w:szCs w:val="20"/>
              </w:rPr>
              <w:t>Bevernage</w:t>
            </w:r>
            <w:proofErr w:type="spellEnd"/>
            <w:r w:rsidRPr="005D5379">
              <w:rPr>
                <w:rFonts w:ascii="Arial" w:eastAsia="Arial" w:hAnsi="Arial" w:cs="Arial"/>
                <w:sz w:val="20"/>
                <w:szCs w:val="20"/>
              </w:rPr>
              <w:t>, 2010). El mandato de las  CV es claro y preciso en la búsqueda de la verdad y mantenimiento de la memoria, la reparación de las víctimas, pretendiendo abarcar mediante la investigación el contexto histórico, ético, jurídico y social de las violaciones a los derechos humanos en marcos de conflicto armado (Ibáñez, 2017), . Las CV en América Latina hicieron parte fundamental para la construcción de nuevos estados no dictatoriales y pro-democráticos, convirtiéndose en mecanismos preocupados por el sentido histórico de la represión política colectiva pero que, por haber revelado las prácticas de terror por los Estados, tuvieron a su vez gran oposición (</w:t>
            </w:r>
            <w:proofErr w:type="spellStart"/>
            <w:r w:rsidRPr="005D5379">
              <w:rPr>
                <w:rFonts w:ascii="Arial" w:eastAsia="Arial" w:hAnsi="Arial" w:cs="Arial"/>
                <w:sz w:val="20"/>
                <w:szCs w:val="20"/>
              </w:rPr>
              <w:t>Grandin</w:t>
            </w:r>
            <w:proofErr w:type="spellEnd"/>
            <w:r w:rsidRPr="005D5379">
              <w:rPr>
                <w:rFonts w:ascii="Arial" w:eastAsia="Arial" w:hAnsi="Arial" w:cs="Arial"/>
                <w:sz w:val="20"/>
                <w:szCs w:val="20"/>
              </w:rPr>
              <w:t xml:space="preserve">, 2005). Por su parte, </w:t>
            </w:r>
            <w:proofErr w:type="spellStart"/>
            <w:r w:rsidRPr="005D5379">
              <w:rPr>
                <w:rFonts w:ascii="Arial" w:eastAsia="Arial" w:hAnsi="Arial" w:cs="Arial"/>
                <w:sz w:val="20"/>
                <w:szCs w:val="20"/>
              </w:rPr>
              <w:t>Arnaud</w:t>
            </w:r>
            <w:proofErr w:type="spellEnd"/>
            <w:r w:rsidRPr="005D5379">
              <w:rPr>
                <w:rFonts w:ascii="Arial" w:eastAsia="Arial" w:hAnsi="Arial" w:cs="Arial"/>
                <w:sz w:val="20"/>
                <w:szCs w:val="20"/>
              </w:rPr>
              <w:t xml:space="preserve"> Martin y otros (Ed., 2017) señalan que para el caso colombiano, la actual CV es un espacio que permitirá a la sociedad colombiana imaginar el futuro y avanzar en esperanza de superar la violencia, e identifican cómo se ha dado el diálogo en torno a los conceptos de memoria, verdad y reconciliación a partir de las experiencias en Chile, Perú, Brasil y Colombia.</w:t>
            </w:r>
          </w:p>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 xml:space="preserve"> </w:t>
            </w:r>
            <w:r w:rsidRPr="005D5379">
              <w:rPr>
                <w:rFonts w:ascii="Arial" w:eastAsia="Arial" w:hAnsi="Arial" w:cs="Arial"/>
                <w:sz w:val="20"/>
                <w:szCs w:val="20"/>
              </w:rPr>
              <w:tab/>
              <w:t xml:space="preserve">A nivel mundial, las CV han sido clave para esclarecer la magnitud de los crímenes cometidos durante un conflicto. Priscilla </w:t>
            </w:r>
            <w:proofErr w:type="spellStart"/>
            <w:r w:rsidRPr="005D5379">
              <w:rPr>
                <w:rFonts w:ascii="Arial" w:eastAsia="Arial" w:hAnsi="Arial" w:cs="Arial"/>
                <w:sz w:val="20"/>
                <w:szCs w:val="20"/>
              </w:rPr>
              <w:t>Hyyner</w:t>
            </w:r>
            <w:proofErr w:type="spellEnd"/>
            <w:r w:rsidRPr="005D5379">
              <w:rPr>
                <w:rFonts w:ascii="Arial" w:eastAsia="Arial" w:hAnsi="Arial" w:cs="Arial"/>
                <w:sz w:val="20"/>
                <w:szCs w:val="20"/>
              </w:rPr>
              <w:t xml:space="preserve"> (1994; 1996; 2002) explora cómo las oportunidades y limitaciones del mandato y los informes finales que se presentan a la sociedad, como el hecho que estos informes no tengan peso jurídico, la dificultad de señalar con nombre propio a los victimarios e incluso la oposición de algunos gobiernos quienes han preferido la amnistía general y no la verdad. Otros autores como </w:t>
            </w:r>
            <w:proofErr w:type="spellStart"/>
            <w:r w:rsidRPr="005D5379">
              <w:rPr>
                <w:rFonts w:ascii="Arial" w:eastAsia="Arial" w:hAnsi="Arial" w:cs="Arial"/>
                <w:sz w:val="20"/>
                <w:szCs w:val="20"/>
              </w:rPr>
              <w:t>Onur</w:t>
            </w:r>
            <w:proofErr w:type="spellEnd"/>
            <w:r w:rsidRPr="005D5379">
              <w:rPr>
                <w:rFonts w:ascii="Arial" w:eastAsia="Arial" w:hAnsi="Arial" w:cs="Arial"/>
                <w:sz w:val="20"/>
                <w:szCs w:val="20"/>
              </w:rPr>
              <w:t xml:space="preserve"> </w:t>
            </w:r>
            <w:proofErr w:type="spellStart"/>
            <w:r w:rsidRPr="005D5379">
              <w:rPr>
                <w:rFonts w:ascii="Arial" w:eastAsia="Arial" w:hAnsi="Arial" w:cs="Arial"/>
                <w:sz w:val="20"/>
                <w:szCs w:val="20"/>
              </w:rPr>
              <w:t>Bakiner</w:t>
            </w:r>
            <w:proofErr w:type="spellEnd"/>
            <w:r w:rsidRPr="005D5379">
              <w:rPr>
                <w:rFonts w:ascii="Arial" w:eastAsia="Arial" w:hAnsi="Arial" w:cs="Arial"/>
                <w:sz w:val="20"/>
                <w:szCs w:val="20"/>
              </w:rPr>
              <w:t xml:space="preserve"> (2016) sostienen que el impacto generado por una CV se evidencia de acuerdo a cómo se crearon e implementaron; si se dieron participativa o exclusivamente, por ejemplo, encontrando que entre más participativas las comisiones, mayor posibilidad de oposición por parte del gobierno, y entre más exclusivas, mayor resistencia por parte de la sociedad civil. A su vez, </w:t>
            </w:r>
            <w:proofErr w:type="spellStart"/>
            <w:r w:rsidRPr="005D5379">
              <w:rPr>
                <w:rFonts w:ascii="Arial" w:eastAsia="Arial" w:hAnsi="Arial" w:cs="Arial"/>
                <w:sz w:val="20"/>
                <w:szCs w:val="20"/>
              </w:rPr>
              <w:t>Mazzei</w:t>
            </w:r>
            <w:proofErr w:type="spellEnd"/>
            <w:r w:rsidRPr="005D5379">
              <w:rPr>
                <w:rFonts w:ascii="Arial" w:eastAsia="Arial" w:hAnsi="Arial" w:cs="Arial"/>
                <w:sz w:val="20"/>
                <w:szCs w:val="20"/>
              </w:rPr>
              <w:t xml:space="preserve"> (2011), desde un estudio del caso salvadoreño, revela que cuando una comisión no se involucra directamente con el discurso público, no puede retar los relatos dominantes que marcaron un conflicto armado y, aunque puedan revelar hechos a través de sus informes, no facilitan la transición hacia un nuevo discurso. </w:t>
            </w:r>
          </w:p>
          <w:p w:rsidR="007B35E0" w:rsidRPr="005D5379" w:rsidRDefault="0014507E">
            <w:pPr>
              <w:ind w:firstLine="700"/>
              <w:jc w:val="both"/>
              <w:rPr>
                <w:rFonts w:ascii="Arial" w:eastAsia="Arial" w:hAnsi="Arial" w:cs="Arial"/>
                <w:sz w:val="20"/>
                <w:szCs w:val="20"/>
              </w:rPr>
            </w:pPr>
            <w:r w:rsidRPr="005D5379">
              <w:rPr>
                <w:rFonts w:ascii="Arial" w:eastAsia="Arial" w:hAnsi="Arial" w:cs="Arial"/>
                <w:sz w:val="20"/>
                <w:szCs w:val="20"/>
              </w:rPr>
              <w:t xml:space="preserve">Según Gibson (2009), a pesar de las grandes limitantes para crear sistemas políticos democráticos, las CV sí pueden, bajo ciertas condiciones y de manera limitada, contribuir a la transformación social. El autor señala que la efectividad de una CV depende de dos factores importantes: (1) si la comisión logra atraer la atención de sus constituyentes y si (2) la comisión es percibida como legítima por el público. El autor también estudia si las categorías de “verdad” y “reconciliación” se pueden medir rigurosamente y con fiabilidad, encontrando a partir de la experiencia sudafricana que la verdad sí puede llevar a la reconciliación, y concluye que los países en transición se podrían beneficiar si se implementaran barómetros de reconciliación para medir el avance o retroceso hacia la democracia (Gibson, 2007). En un proyecto investigativo a partir de los casos de Guatemala y Sudáfrica, </w:t>
            </w:r>
            <w:proofErr w:type="spellStart"/>
            <w:r w:rsidRPr="005D5379">
              <w:rPr>
                <w:rFonts w:ascii="Arial" w:eastAsia="Arial" w:hAnsi="Arial" w:cs="Arial"/>
                <w:sz w:val="20"/>
                <w:szCs w:val="20"/>
              </w:rPr>
              <w:t>Quinn</w:t>
            </w:r>
            <w:proofErr w:type="spellEnd"/>
            <w:r w:rsidRPr="005D5379">
              <w:rPr>
                <w:rFonts w:ascii="Arial" w:eastAsia="Arial" w:hAnsi="Arial" w:cs="Arial"/>
                <w:sz w:val="20"/>
                <w:szCs w:val="20"/>
              </w:rPr>
              <w:t xml:space="preserve"> y </w:t>
            </w:r>
            <w:proofErr w:type="spellStart"/>
            <w:r w:rsidRPr="005D5379">
              <w:rPr>
                <w:rFonts w:ascii="Arial" w:eastAsia="Arial" w:hAnsi="Arial" w:cs="Arial"/>
                <w:sz w:val="20"/>
                <w:szCs w:val="20"/>
              </w:rPr>
              <w:t>Freeman</w:t>
            </w:r>
            <w:proofErr w:type="spellEnd"/>
            <w:r w:rsidRPr="005D5379">
              <w:rPr>
                <w:rFonts w:ascii="Arial" w:eastAsia="Arial" w:hAnsi="Arial" w:cs="Arial"/>
                <w:sz w:val="20"/>
                <w:szCs w:val="20"/>
              </w:rPr>
              <w:t xml:space="preserve"> (2003) revelan una serie de lecciones para el funcionamiento de las CV. Entre ellas señalan que la importancia de una dirección teórica que guíe el trabajo de una CV, la necesidad de que la recolección de datos se haga de manera  interdisciplinaria a partir no </w:t>
            </w:r>
            <w:r w:rsidRPr="005D5379">
              <w:rPr>
                <w:rFonts w:ascii="Arial" w:eastAsia="Arial" w:hAnsi="Arial" w:cs="Arial"/>
                <w:sz w:val="20"/>
                <w:szCs w:val="20"/>
              </w:rPr>
              <w:lastRenderedPageBreak/>
              <w:t>solo el testimonio de víctimas sino de otros actores claves en el contexto local que puedan proveer contexto. Así mismo, revelan que las declaraciones que surjan de una CV deben complementarse con información por expertos, reportes forenses y documentos oficiales, entre otros, así como la importancia del apoyo por parte de investigadores a las CV y la necesidad de tener en cuenta el rol central de los medios de comunicación para la diseminación de la información.  Finalmente, para el caso colombiano, la Comisión para el Esclarecimiento de la Verdad, la Convivencia y la No Repetición ha publicado el documento “Lineamientos Metodológicos. Escuchar, reconocer, y comprender para transformar” (2019), elaborado después de un año de diálogo con diferentes sectores de la sociedad. En este documento la CV parte del principio de la verdad como derecho para todas las personas y como condición para la democracia y el buen vivir. Se señalan los objetivos de la CV: esclarecer la verdad, promover el reconocimiento de la dignidad de las víctimas, la convivencia en los territorios, y las condiciones para la no repetición. Adicionalmente, se revelan las tres estrategias fundamentales: participación, pedagogía y comunicación para generar procesos de movilización y apropiación social de la verdad. Señalan también su enfoque diferencial y de género, la dimensión cultural, artística y socio-histórica, el enfoque territorial. Así mismo, señalamos la importancia de esta propuesta de investigación ya que la CV considera que para el cumplimiento de su misión  desarrollará “una ruta de gestión de la información y el conocimiento de carácter participativo, dinámico y plural” (p. 35), a través de la recolección de fuentes propias y fuentes externas, entre esas investigaciones académicas. Por último, la categoría de “contextos explicativos”, responde como estrategia epistemológica de la comisión para dar respuesta o interpretación a los sucesos en el marco del conflicto. Para la comisión, esta categoría se define como “ el conjunto de condiciones-históricas, políticas, económicas, culturales y ambientales- en las cuales se ha hecho socialmente posible y racionalmente comprensible el conflicto armado interno(…) busca no solo describir, sino de responder al por qué y para qué” (Lineamientos metodológicos, p. 14)</w:t>
            </w:r>
          </w:p>
        </w:tc>
      </w:tr>
    </w:tbl>
    <w:p w:rsidR="007B35E0" w:rsidRPr="005D5379" w:rsidRDefault="007B35E0">
      <w:pPr>
        <w:spacing w:after="0" w:line="240" w:lineRule="auto"/>
        <w:rPr>
          <w:rFonts w:ascii="Arial" w:eastAsia="Arial" w:hAnsi="Arial" w:cs="Arial"/>
          <w:sz w:val="20"/>
          <w:szCs w:val="20"/>
        </w:rPr>
      </w:pPr>
    </w:p>
    <w:tbl>
      <w:tblPr>
        <w:tblStyle w:val="af5"/>
        <w:tblW w:w="14983" w:type="dxa"/>
        <w:tblInd w:w="0" w:type="dxa"/>
        <w:tblLayout w:type="fixed"/>
        <w:tblLook w:val="0400" w:firstRow="0" w:lastRow="0" w:firstColumn="0" w:lastColumn="0" w:noHBand="0" w:noVBand="1"/>
      </w:tblPr>
      <w:tblGrid>
        <w:gridCol w:w="14983"/>
      </w:tblGrid>
      <w:tr w:rsidR="007B35E0" w:rsidRPr="005D5379">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Metodología</w:t>
            </w:r>
          </w:p>
        </w:tc>
      </w:tr>
      <w:tr w:rsidR="007B35E0" w:rsidRPr="005D5379">
        <w:tc>
          <w:tcPr>
            <w:tcW w:w="14983"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7B35E0">
            <w:pPr>
              <w:jc w:val="both"/>
              <w:rPr>
                <w:rFonts w:ascii="Arial" w:eastAsia="Arial" w:hAnsi="Arial" w:cs="Arial"/>
                <w:b/>
                <w:color w:val="222222"/>
                <w:sz w:val="20"/>
                <w:szCs w:val="20"/>
              </w:rPr>
            </w:pPr>
          </w:p>
          <w:p w:rsidR="007B35E0" w:rsidRPr="005D5379" w:rsidRDefault="0014507E">
            <w:pPr>
              <w:jc w:val="both"/>
              <w:rPr>
                <w:rFonts w:ascii="Arial" w:eastAsia="Arial" w:hAnsi="Arial" w:cs="Arial"/>
                <w:color w:val="222222"/>
                <w:sz w:val="20"/>
                <w:szCs w:val="20"/>
              </w:rPr>
            </w:pPr>
            <w:r w:rsidRPr="005D5379">
              <w:rPr>
                <w:rFonts w:ascii="Arial" w:eastAsia="Arial" w:hAnsi="Arial" w:cs="Arial"/>
                <w:b/>
                <w:color w:val="222222"/>
                <w:sz w:val="20"/>
                <w:szCs w:val="20"/>
              </w:rPr>
              <w:t>Tipo de investigación:</w:t>
            </w:r>
            <w:r w:rsidRPr="005D5379">
              <w:rPr>
                <w:rFonts w:ascii="Arial" w:eastAsia="Arial" w:hAnsi="Arial" w:cs="Arial"/>
                <w:color w:val="222222"/>
                <w:sz w:val="20"/>
                <w:szCs w:val="20"/>
              </w:rPr>
              <w:t xml:space="preserve"> Cualitativa-Fenomenológica. También se inscribe en la investigación </w:t>
            </w:r>
            <w:r w:rsidRPr="005D5379">
              <w:rPr>
                <w:rFonts w:ascii="Arial" w:eastAsia="Arial" w:hAnsi="Arial" w:cs="Arial"/>
                <w:i/>
                <w:color w:val="222222"/>
                <w:sz w:val="20"/>
                <w:szCs w:val="20"/>
              </w:rPr>
              <w:t>descriptiva</w:t>
            </w:r>
            <w:r w:rsidRPr="005D5379">
              <w:rPr>
                <w:rFonts w:ascii="Arial" w:eastAsia="Arial" w:hAnsi="Arial" w:cs="Arial"/>
                <w:color w:val="222222"/>
                <w:sz w:val="20"/>
                <w:szCs w:val="20"/>
              </w:rPr>
              <w:t xml:space="preserve">, pues considera el fenómeno estudiado, se analizan conceptos y se definen variables. En un segundo momento, esta investigación es </w:t>
            </w:r>
            <w:r w:rsidRPr="005D5379">
              <w:rPr>
                <w:rFonts w:ascii="Arial" w:eastAsia="Arial" w:hAnsi="Arial" w:cs="Arial"/>
                <w:i/>
                <w:color w:val="222222"/>
                <w:sz w:val="20"/>
                <w:szCs w:val="20"/>
              </w:rPr>
              <w:t>explicativa</w:t>
            </w:r>
            <w:r w:rsidRPr="005D5379">
              <w:rPr>
                <w:rFonts w:ascii="Arial" w:eastAsia="Arial" w:hAnsi="Arial" w:cs="Arial"/>
                <w:color w:val="222222"/>
                <w:sz w:val="20"/>
                <w:szCs w:val="20"/>
              </w:rPr>
              <w:t xml:space="preserve">, en cuanto a que busca como producción de conocimiento, interpretar las relaciones, sentidos y experiencias de los sujetos y comunidades. Por ello, el diseño pertenece al modelo </w:t>
            </w:r>
            <w:r w:rsidRPr="005D5379">
              <w:rPr>
                <w:rFonts w:ascii="Arial" w:eastAsia="Arial" w:hAnsi="Arial" w:cs="Arial"/>
                <w:i/>
                <w:color w:val="222222"/>
                <w:sz w:val="20"/>
                <w:szCs w:val="20"/>
              </w:rPr>
              <w:t xml:space="preserve">crítico-emancipatorio. </w:t>
            </w:r>
          </w:p>
          <w:p w:rsidR="007B35E0" w:rsidRPr="005D5379" w:rsidRDefault="007B35E0">
            <w:pPr>
              <w:jc w:val="both"/>
              <w:rPr>
                <w:rFonts w:ascii="Arial" w:eastAsia="Arial" w:hAnsi="Arial" w:cs="Arial"/>
                <w:color w:val="222222"/>
                <w:sz w:val="20"/>
                <w:szCs w:val="20"/>
              </w:rPr>
            </w:pPr>
          </w:p>
          <w:p w:rsidR="007B35E0" w:rsidRPr="005D5379" w:rsidRDefault="0014507E">
            <w:pPr>
              <w:jc w:val="both"/>
              <w:rPr>
                <w:rFonts w:ascii="Arial" w:eastAsia="Arial" w:hAnsi="Arial" w:cs="Arial"/>
                <w:color w:val="222222"/>
                <w:sz w:val="20"/>
                <w:szCs w:val="20"/>
              </w:rPr>
            </w:pPr>
            <w:r w:rsidRPr="005D5379">
              <w:rPr>
                <w:rFonts w:ascii="Arial" w:eastAsia="Arial" w:hAnsi="Arial" w:cs="Arial"/>
                <w:color w:val="222222"/>
                <w:sz w:val="20"/>
                <w:szCs w:val="20"/>
              </w:rPr>
              <w:t>Este  proyecto “</w:t>
            </w:r>
            <w:r w:rsidRPr="005D5379">
              <w:rPr>
                <w:rFonts w:ascii="Arial" w:eastAsia="Arial" w:hAnsi="Arial" w:cs="Arial"/>
                <w:sz w:val="20"/>
                <w:szCs w:val="20"/>
              </w:rPr>
              <w:t xml:space="preserve">Esclarecer la Verdad en sociedades en transición. Aportes ético-políticos y pedagógicos </w:t>
            </w:r>
            <w:r w:rsidR="003D5582" w:rsidRPr="005D5379">
              <w:rPr>
                <w:rFonts w:ascii="Arial" w:eastAsia="Arial" w:hAnsi="Arial" w:cs="Arial"/>
                <w:sz w:val="20"/>
                <w:szCs w:val="20"/>
              </w:rPr>
              <w:t>para la agencia cultural de paz,</w:t>
            </w:r>
            <w:r w:rsidRPr="005D5379">
              <w:rPr>
                <w:rFonts w:ascii="Arial" w:eastAsia="Arial" w:hAnsi="Arial" w:cs="Arial"/>
                <w:color w:val="222222"/>
                <w:sz w:val="20"/>
                <w:szCs w:val="20"/>
              </w:rPr>
              <w:t xml:space="preserve"> se desarrollará en tres etapas que corresponden a los tres objetivos específicos. 1)  </w:t>
            </w:r>
            <w:r w:rsidRPr="005D5379">
              <w:rPr>
                <w:rFonts w:ascii="Arial" w:eastAsia="Arial" w:hAnsi="Arial" w:cs="Arial"/>
                <w:b/>
                <w:color w:val="222222"/>
                <w:sz w:val="20"/>
                <w:szCs w:val="20"/>
              </w:rPr>
              <w:t>El primer objetivo</w:t>
            </w:r>
            <w:r w:rsidRPr="005D5379">
              <w:rPr>
                <w:rFonts w:ascii="Arial" w:eastAsia="Arial" w:hAnsi="Arial" w:cs="Arial"/>
                <w:color w:val="222222"/>
                <w:sz w:val="20"/>
                <w:szCs w:val="20"/>
              </w:rPr>
              <w:t xml:space="preserve"> “Analizar desde diferentes escuelas de pensamiento de las ciencias humanas y sociales las nociones ético-políticas de la “Verdad”, en el contexto de sociedades en transición o post-acuerdo de paz”  </w:t>
            </w:r>
            <w:r w:rsidRPr="005D5379">
              <w:rPr>
                <w:rFonts w:ascii="Arial" w:eastAsia="Arial" w:hAnsi="Arial" w:cs="Arial"/>
                <w:sz w:val="20"/>
                <w:szCs w:val="20"/>
              </w:rPr>
              <w:t xml:space="preserve">se realizará mediante la lectura y análisis intertextual de teóricos como </w:t>
            </w:r>
            <w:proofErr w:type="spellStart"/>
            <w:r w:rsidRPr="005D5379">
              <w:rPr>
                <w:rFonts w:ascii="Arial" w:eastAsia="Arial" w:hAnsi="Arial" w:cs="Arial"/>
                <w:sz w:val="20"/>
                <w:szCs w:val="20"/>
              </w:rPr>
              <w:t>Arendt</w:t>
            </w:r>
            <w:proofErr w:type="spellEnd"/>
            <w:r w:rsidRPr="005D5379">
              <w:rPr>
                <w:rFonts w:ascii="Arial" w:eastAsia="Arial" w:hAnsi="Arial" w:cs="Arial"/>
                <w:sz w:val="20"/>
                <w:szCs w:val="20"/>
              </w:rPr>
              <w:t xml:space="preserve">, René </w:t>
            </w:r>
            <w:proofErr w:type="spellStart"/>
            <w:r w:rsidRPr="005D5379">
              <w:rPr>
                <w:rFonts w:ascii="Arial" w:eastAsia="Arial" w:hAnsi="Arial" w:cs="Arial"/>
                <w:sz w:val="20"/>
                <w:szCs w:val="20"/>
              </w:rPr>
              <w:t>Girard</w:t>
            </w:r>
            <w:proofErr w:type="spellEnd"/>
            <w:r w:rsidRPr="005D5379">
              <w:rPr>
                <w:rFonts w:ascii="Arial" w:eastAsia="Arial" w:hAnsi="Arial" w:cs="Arial"/>
                <w:sz w:val="20"/>
                <w:szCs w:val="20"/>
              </w:rPr>
              <w:t xml:space="preserve">, </w:t>
            </w:r>
            <w:proofErr w:type="spellStart"/>
            <w:r w:rsidRPr="005D5379">
              <w:rPr>
                <w:rFonts w:ascii="Arial" w:eastAsia="Arial" w:hAnsi="Arial" w:cs="Arial"/>
                <w:sz w:val="20"/>
                <w:szCs w:val="20"/>
              </w:rPr>
              <w:t>Alasdair</w:t>
            </w:r>
            <w:proofErr w:type="spellEnd"/>
            <w:r w:rsidRPr="005D5379">
              <w:rPr>
                <w:rFonts w:ascii="Arial" w:eastAsia="Arial" w:hAnsi="Arial" w:cs="Arial"/>
                <w:sz w:val="20"/>
                <w:szCs w:val="20"/>
              </w:rPr>
              <w:t xml:space="preserve"> </w:t>
            </w:r>
            <w:proofErr w:type="spellStart"/>
            <w:r w:rsidRPr="005D5379">
              <w:rPr>
                <w:rFonts w:ascii="Arial" w:eastAsia="Arial" w:hAnsi="Arial" w:cs="Arial"/>
                <w:sz w:val="20"/>
                <w:szCs w:val="20"/>
              </w:rPr>
              <w:t>MacIntyre</w:t>
            </w:r>
            <w:proofErr w:type="spellEnd"/>
            <w:r w:rsidRPr="005D5379">
              <w:rPr>
                <w:rFonts w:ascii="Arial" w:eastAsia="Arial" w:hAnsi="Arial" w:cs="Arial"/>
                <w:sz w:val="20"/>
                <w:szCs w:val="20"/>
              </w:rPr>
              <w:t xml:space="preserve">, Paul </w:t>
            </w:r>
            <w:proofErr w:type="spellStart"/>
            <w:r w:rsidRPr="005D5379">
              <w:rPr>
                <w:rFonts w:ascii="Arial" w:eastAsia="Arial" w:hAnsi="Arial" w:cs="Arial"/>
                <w:sz w:val="20"/>
                <w:szCs w:val="20"/>
              </w:rPr>
              <w:t>Ricoeur</w:t>
            </w:r>
            <w:proofErr w:type="spellEnd"/>
            <w:r w:rsidRPr="005D5379">
              <w:rPr>
                <w:rFonts w:ascii="Arial" w:eastAsia="Arial" w:hAnsi="Arial" w:cs="Arial"/>
                <w:sz w:val="20"/>
                <w:szCs w:val="20"/>
              </w:rPr>
              <w:t>, entre otros, explorando las nocion</w:t>
            </w:r>
            <w:r w:rsidR="003D5582" w:rsidRPr="005D5379">
              <w:rPr>
                <w:rFonts w:ascii="Arial" w:eastAsia="Arial" w:hAnsi="Arial" w:cs="Arial"/>
                <w:sz w:val="20"/>
                <w:szCs w:val="20"/>
              </w:rPr>
              <w:t>es de “verdad”</w:t>
            </w:r>
            <w:r w:rsidRPr="005D5379">
              <w:rPr>
                <w:rFonts w:ascii="Arial" w:eastAsia="Arial" w:hAnsi="Arial" w:cs="Arial"/>
                <w:sz w:val="20"/>
                <w:szCs w:val="20"/>
              </w:rPr>
              <w:t>. La investigación literaria busca explorar la diversidad de pensamientos sobre un concepto o conceptos, en este caso “la verdad”, “narrativas sociales”, “discursos”,  “sociedades en transición”,</w:t>
            </w:r>
            <w:r w:rsidR="003D5582" w:rsidRPr="005D5379">
              <w:rPr>
                <w:rFonts w:ascii="Arial" w:eastAsia="Arial" w:hAnsi="Arial" w:cs="Arial"/>
                <w:sz w:val="20"/>
                <w:szCs w:val="20"/>
              </w:rPr>
              <w:t xml:space="preserve"> </w:t>
            </w:r>
            <w:r w:rsidRPr="005D5379">
              <w:rPr>
                <w:rFonts w:ascii="Arial" w:eastAsia="Arial" w:hAnsi="Arial" w:cs="Arial"/>
                <w:sz w:val="20"/>
                <w:szCs w:val="20"/>
              </w:rPr>
              <w:t>“justicia”, “memoria”, “reconciliación, “paz”</w:t>
            </w:r>
            <w:r w:rsidR="003D5582" w:rsidRPr="005D5379">
              <w:rPr>
                <w:rFonts w:ascii="Arial" w:eastAsia="Arial" w:hAnsi="Arial" w:cs="Arial"/>
                <w:sz w:val="20"/>
                <w:szCs w:val="20"/>
              </w:rPr>
              <w:t xml:space="preserve"> “convivencia pacífica” y “no repetición”.</w:t>
            </w:r>
            <w:r w:rsidRPr="005D5379">
              <w:rPr>
                <w:rFonts w:ascii="Arial" w:eastAsia="Arial" w:hAnsi="Arial" w:cs="Arial"/>
                <w:sz w:val="20"/>
                <w:szCs w:val="20"/>
              </w:rPr>
              <w:t xml:space="preserve"> Se busca desde la teoría ubicar la praxis social en torno al esclarecimiento de la Verdad en contextos de transición, en preparación para el informe final que publicará la Comisión de la Verdad en Colombia en el 2021. Por tanto, la interpretación de textos que tratan nociones de “verdad” en el ámbito social, ético y político, es un proceso hermenéutico</w:t>
            </w:r>
            <w:r w:rsidR="003D5582" w:rsidRPr="005D5379">
              <w:rPr>
                <w:rFonts w:ascii="Arial" w:eastAsia="Arial" w:hAnsi="Arial" w:cs="Arial"/>
                <w:sz w:val="20"/>
                <w:szCs w:val="20"/>
              </w:rPr>
              <w:t xml:space="preserve"> y fenomenológico</w:t>
            </w:r>
            <w:r w:rsidRPr="005D5379">
              <w:rPr>
                <w:rFonts w:ascii="Arial" w:eastAsia="Arial" w:hAnsi="Arial" w:cs="Arial"/>
                <w:sz w:val="20"/>
                <w:szCs w:val="20"/>
              </w:rPr>
              <w:t xml:space="preserve">: la capacidad de leer </w:t>
            </w:r>
            <w:r w:rsidRPr="005D5379">
              <w:rPr>
                <w:rFonts w:ascii="Arial" w:eastAsia="Arial" w:hAnsi="Arial" w:cs="Arial"/>
                <w:i/>
                <w:sz w:val="20"/>
                <w:szCs w:val="20"/>
              </w:rPr>
              <w:t>entre líneas</w:t>
            </w:r>
            <w:r w:rsidRPr="005D5379">
              <w:rPr>
                <w:rFonts w:ascii="Arial" w:eastAsia="Arial" w:hAnsi="Arial" w:cs="Arial"/>
                <w:sz w:val="20"/>
                <w:szCs w:val="20"/>
              </w:rPr>
              <w:t xml:space="preserve"> textos seleccionados de las ciencias sociales, ciencias políticas y de la filosofía, así como informes de la sociedad civil, que puedan ayudar a comprender los imaginarios de la Verdad contextualizados a sociedades en transición.  La metodología</w:t>
            </w:r>
            <w:r w:rsidR="003D5582" w:rsidRPr="005D5379">
              <w:rPr>
                <w:rFonts w:ascii="Arial" w:eastAsia="Arial" w:hAnsi="Arial" w:cs="Arial"/>
                <w:sz w:val="20"/>
                <w:szCs w:val="20"/>
              </w:rPr>
              <w:t xml:space="preserve"> </w:t>
            </w:r>
            <w:r w:rsidRPr="005D5379">
              <w:rPr>
                <w:rFonts w:ascii="Arial" w:eastAsia="Arial" w:hAnsi="Arial" w:cs="Arial"/>
                <w:sz w:val="20"/>
                <w:szCs w:val="20"/>
              </w:rPr>
              <w:t xml:space="preserve"> vinculada </w:t>
            </w:r>
            <w:r w:rsidR="003D5582" w:rsidRPr="005D5379">
              <w:rPr>
                <w:rFonts w:ascii="Arial" w:eastAsia="Arial" w:hAnsi="Arial" w:cs="Arial"/>
                <w:sz w:val="20"/>
                <w:szCs w:val="20"/>
              </w:rPr>
              <w:t xml:space="preserve">en esta primera parte </w:t>
            </w:r>
            <w:r w:rsidRPr="005D5379">
              <w:rPr>
                <w:rFonts w:ascii="Arial" w:eastAsia="Arial" w:hAnsi="Arial" w:cs="Arial"/>
                <w:sz w:val="20"/>
                <w:szCs w:val="20"/>
              </w:rPr>
              <w:t xml:space="preserve">es </w:t>
            </w:r>
            <w:r w:rsidRPr="005D5379">
              <w:rPr>
                <w:rFonts w:ascii="Arial" w:eastAsia="Arial" w:hAnsi="Arial" w:cs="Arial"/>
                <w:i/>
                <w:sz w:val="20"/>
                <w:szCs w:val="20"/>
              </w:rPr>
              <w:t>documental</w:t>
            </w:r>
            <w:r w:rsidRPr="005D5379">
              <w:rPr>
                <w:rFonts w:ascii="Arial" w:eastAsia="Arial" w:hAnsi="Arial" w:cs="Arial"/>
                <w:sz w:val="20"/>
                <w:szCs w:val="20"/>
              </w:rPr>
              <w:t xml:space="preserve"> y las actividades específicas será la producción de un Estado del arte, según categorías, la socialización de avances dentro del equipo conformado para esta investigación, el diálogo con expertos y la redacción del marco teórico. En los productos esperados en este objetivo se proponen algunos </w:t>
            </w:r>
            <w:proofErr w:type="spellStart"/>
            <w:r w:rsidRPr="005D5379">
              <w:rPr>
                <w:rFonts w:ascii="Arial" w:eastAsia="Arial" w:hAnsi="Arial" w:cs="Arial"/>
                <w:i/>
                <w:sz w:val="20"/>
                <w:szCs w:val="20"/>
              </w:rPr>
              <w:t>Working</w:t>
            </w:r>
            <w:proofErr w:type="spellEnd"/>
            <w:r w:rsidRPr="005D5379">
              <w:rPr>
                <w:rFonts w:ascii="Arial" w:eastAsia="Arial" w:hAnsi="Arial" w:cs="Arial"/>
                <w:i/>
                <w:sz w:val="20"/>
                <w:szCs w:val="20"/>
              </w:rPr>
              <w:t xml:space="preserve"> </w:t>
            </w:r>
            <w:proofErr w:type="spellStart"/>
            <w:r w:rsidRPr="005D5379">
              <w:rPr>
                <w:rFonts w:ascii="Arial" w:eastAsia="Arial" w:hAnsi="Arial" w:cs="Arial"/>
                <w:i/>
                <w:sz w:val="20"/>
                <w:szCs w:val="20"/>
              </w:rPr>
              <w:t>paper</w:t>
            </w:r>
            <w:proofErr w:type="spellEnd"/>
            <w:r w:rsidRPr="005D5379">
              <w:rPr>
                <w:rFonts w:ascii="Arial" w:eastAsia="Arial" w:hAnsi="Arial" w:cs="Arial"/>
                <w:sz w:val="20"/>
                <w:szCs w:val="20"/>
              </w:rPr>
              <w:t xml:space="preserve"> de cada uno de los investigadores, ponencias en eventos académicos. Y el acompañamiento y asesoría de tesis de maestría (sobre educación para la paz, convivencia, reconciliación, resolución de conflictos y otras temáticas concomitantes)</w:t>
            </w:r>
          </w:p>
          <w:p w:rsidR="007B35E0" w:rsidRPr="005D5379" w:rsidRDefault="007B35E0">
            <w:pPr>
              <w:jc w:val="both"/>
              <w:rPr>
                <w:rFonts w:ascii="Arial" w:eastAsia="Arial" w:hAnsi="Arial" w:cs="Arial"/>
                <w:sz w:val="20"/>
                <w:szCs w:val="20"/>
              </w:rPr>
            </w:pPr>
          </w:p>
          <w:p w:rsidR="007B35E0" w:rsidRPr="005D5379" w:rsidRDefault="0014507E">
            <w:pPr>
              <w:jc w:val="both"/>
              <w:rPr>
                <w:rFonts w:ascii="Arial" w:eastAsia="Arial" w:hAnsi="Arial" w:cs="Arial"/>
                <w:sz w:val="20"/>
                <w:szCs w:val="20"/>
              </w:rPr>
            </w:pPr>
            <w:r w:rsidRPr="005D5379">
              <w:rPr>
                <w:rFonts w:ascii="Arial" w:eastAsia="Arial" w:hAnsi="Arial" w:cs="Arial"/>
                <w:sz w:val="20"/>
                <w:szCs w:val="20"/>
              </w:rPr>
              <w:t xml:space="preserve">2) En cuanto al </w:t>
            </w:r>
            <w:r w:rsidRPr="005D5379">
              <w:rPr>
                <w:rFonts w:ascii="Arial" w:eastAsia="Arial" w:hAnsi="Arial" w:cs="Arial"/>
                <w:b/>
                <w:sz w:val="20"/>
                <w:szCs w:val="20"/>
              </w:rPr>
              <w:t>segundo objetivo</w:t>
            </w:r>
            <w:r w:rsidRPr="005D5379">
              <w:rPr>
                <w:rFonts w:ascii="Arial" w:eastAsia="Arial" w:hAnsi="Arial" w:cs="Arial"/>
                <w:sz w:val="20"/>
                <w:szCs w:val="20"/>
              </w:rPr>
              <w:t xml:space="preserve"> “Identificar los imaginarios sociales de la verdad</w:t>
            </w:r>
            <w:r w:rsidR="003D5582" w:rsidRPr="005D5379">
              <w:rPr>
                <w:rFonts w:ascii="Arial" w:eastAsia="Arial" w:hAnsi="Arial" w:cs="Arial"/>
                <w:sz w:val="20"/>
                <w:szCs w:val="20"/>
              </w:rPr>
              <w:t>, la convivencia pacífica y la no repetición</w:t>
            </w:r>
            <w:r w:rsidRPr="005D5379">
              <w:rPr>
                <w:rFonts w:ascii="Arial" w:eastAsia="Arial" w:hAnsi="Arial" w:cs="Arial"/>
                <w:sz w:val="20"/>
                <w:szCs w:val="20"/>
              </w:rPr>
              <w:t xml:space="preserve"> en comunidades y sujetos afectados por el conflicto armado en Colombia y su capacidad de agencia cultural, se pretende proceder de la siguiente manera: </w:t>
            </w:r>
            <w:r w:rsidRPr="005D5379">
              <w:rPr>
                <w:rFonts w:ascii="Arial" w:eastAsia="Arial" w:hAnsi="Arial" w:cs="Arial"/>
                <w:b/>
                <w:sz w:val="20"/>
                <w:szCs w:val="20"/>
              </w:rPr>
              <w:t xml:space="preserve">Población,  </w:t>
            </w:r>
            <w:r w:rsidRPr="005D5379">
              <w:rPr>
                <w:rFonts w:ascii="Arial" w:eastAsia="Arial" w:hAnsi="Arial" w:cs="Arial"/>
                <w:sz w:val="20"/>
                <w:szCs w:val="20"/>
              </w:rPr>
              <w:t>se documentará los imaginarios o representaciones sociales en torno a la verdad</w:t>
            </w:r>
            <w:r w:rsidR="003D5582" w:rsidRPr="005D5379">
              <w:rPr>
                <w:rFonts w:ascii="Arial" w:eastAsia="Arial" w:hAnsi="Arial" w:cs="Arial"/>
                <w:sz w:val="20"/>
                <w:szCs w:val="20"/>
              </w:rPr>
              <w:t xml:space="preserve"> de lo acontecido, la convivencia pacífica y la no repetición,</w:t>
            </w:r>
            <w:r w:rsidRPr="005D5379">
              <w:rPr>
                <w:rFonts w:ascii="Arial" w:eastAsia="Arial" w:hAnsi="Arial" w:cs="Arial"/>
                <w:sz w:val="20"/>
                <w:szCs w:val="20"/>
              </w:rPr>
              <w:t xml:space="preserve"> mediante la facilitación de espacios para el diálog</w:t>
            </w:r>
            <w:r w:rsidR="003D5582" w:rsidRPr="005D5379">
              <w:rPr>
                <w:rFonts w:ascii="Arial" w:eastAsia="Arial" w:hAnsi="Arial" w:cs="Arial"/>
                <w:sz w:val="20"/>
                <w:szCs w:val="20"/>
              </w:rPr>
              <w:t>o de saberes, conformando tres (3</w:t>
            </w:r>
            <w:r w:rsidRPr="005D5379">
              <w:rPr>
                <w:rFonts w:ascii="Arial" w:eastAsia="Arial" w:hAnsi="Arial" w:cs="Arial"/>
                <w:sz w:val="20"/>
                <w:szCs w:val="20"/>
              </w:rPr>
              <w:t>) grupos focales en la ciudad Tunja, Boyacá que incluyen plataformas juveniles, de mujeres, estudiantes y/o excombatientes,   y dos (2) en Bogotá con personas que hayan participado en procesos de reconciliación y paz; así mismo se contará con la experiencia de agencia cultural de los habitantes de</w:t>
            </w:r>
            <w:r w:rsidR="008A5D24" w:rsidRPr="005D5379">
              <w:rPr>
                <w:rFonts w:ascii="Arial" w:eastAsia="Arial" w:hAnsi="Arial" w:cs="Arial"/>
                <w:sz w:val="20"/>
                <w:szCs w:val="20"/>
              </w:rPr>
              <w:t>l Sector de La Pola, Chib</w:t>
            </w:r>
            <w:r w:rsidRPr="005D5379">
              <w:rPr>
                <w:rFonts w:ascii="Arial" w:eastAsia="Arial" w:hAnsi="Arial" w:cs="Arial"/>
                <w:sz w:val="20"/>
                <w:szCs w:val="20"/>
              </w:rPr>
              <w:t xml:space="preserve">olo, Bolívar, donde se describirán los procesos de resistencia y transformación social de esta comunidad.  Para el desarrollo de este trabajo de campo se tiene en cuenta  que el </w:t>
            </w:r>
            <w:r w:rsidRPr="005D5379">
              <w:rPr>
                <w:rFonts w:ascii="Arial" w:eastAsia="Arial" w:hAnsi="Arial" w:cs="Arial"/>
                <w:b/>
                <w:sz w:val="20"/>
                <w:szCs w:val="20"/>
              </w:rPr>
              <w:t>tipo de muestra</w:t>
            </w:r>
            <w:r w:rsidRPr="005D5379">
              <w:rPr>
                <w:rFonts w:ascii="Arial" w:eastAsia="Arial" w:hAnsi="Arial" w:cs="Arial"/>
                <w:sz w:val="20"/>
                <w:szCs w:val="20"/>
              </w:rPr>
              <w:t xml:space="preserve"> es no probabilística o dirigida, las unidades de análisis serán los grupos concretos descritos arriba. Los instrumentos de recolección </w:t>
            </w:r>
            <w:r w:rsidRPr="005D5379">
              <w:rPr>
                <w:rFonts w:ascii="Arial" w:eastAsia="Arial" w:hAnsi="Arial" w:cs="Arial"/>
                <w:sz w:val="20"/>
                <w:szCs w:val="20"/>
              </w:rPr>
              <w:lastRenderedPageBreak/>
              <w:t>de información serán los grupos focales, las entrevistas, las historias de vida y los documentos propios que sean facilitados por la comunidad o colectivos.</w:t>
            </w:r>
            <w:r w:rsidR="008A5D24" w:rsidRPr="005D5379">
              <w:rPr>
                <w:rFonts w:ascii="Arial" w:eastAsia="Arial" w:hAnsi="Arial" w:cs="Arial"/>
                <w:sz w:val="20"/>
                <w:szCs w:val="20"/>
              </w:rPr>
              <w:t xml:space="preserve"> Los instrumentos tendrán como ejes temáticos, la Verdad de lo acontecido en el marco del conflicto, la convivencia pacífica y la no repetición.</w:t>
            </w:r>
            <w:r w:rsidRPr="005D5379">
              <w:rPr>
                <w:rFonts w:ascii="Arial" w:eastAsia="Arial" w:hAnsi="Arial" w:cs="Arial"/>
                <w:sz w:val="20"/>
                <w:szCs w:val="20"/>
              </w:rPr>
              <w:t xml:space="preserve"> Para el </w:t>
            </w:r>
            <w:r w:rsidRPr="005D5379">
              <w:rPr>
                <w:rFonts w:ascii="Arial" w:eastAsia="Arial" w:hAnsi="Arial" w:cs="Arial"/>
                <w:b/>
                <w:sz w:val="20"/>
                <w:szCs w:val="20"/>
              </w:rPr>
              <w:t>análisis de resultados</w:t>
            </w:r>
            <w:r w:rsidRPr="005D5379">
              <w:rPr>
                <w:rFonts w:ascii="Arial" w:eastAsia="Arial" w:hAnsi="Arial" w:cs="Arial"/>
                <w:sz w:val="20"/>
                <w:szCs w:val="20"/>
              </w:rPr>
              <w:t xml:space="preserve"> y discusión se tendrá en cuenta las pautas de la </w:t>
            </w:r>
            <w:r w:rsidRPr="005D5379">
              <w:rPr>
                <w:rFonts w:ascii="Arial" w:eastAsia="Arial" w:hAnsi="Arial" w:cs="Arial"/>
                <w:b/>
                <w:i/>
                <w:sz w:val="20"/>
                <w:szCs w:val="20"/>
              </w:rPr>
              <w:t>teoría fundamentada</w:t>
            </w:r>
            <w:r w:rsidRPr="005D5379">
              <w:rPr>
                <w:rFonts w:ascii="Arial" w:eastAsia="Arial" w:hAnsi="Arial" w:cs="Arial"/>
                <w:sz w:val="20"/>
                <w:szCs w:val="20"/>
              </w:rPr>
              <w:t xml:space="preserve">, que permite la codificación de las categorías y la organización del material recolectado en el trabajo de campo. Para la discusión y conclusiones de esta investigación, se llevará a cabo la </w:t>
            </w:r>
            <w:r w:rsidRPr="005D5379">
              <w:rPr>
                <w:rFonts w:ascii="Arial" w:eastAsia="Arial" w:hAnsi="Arial" w:cs="Arial"/>
                <w:b/>
                <w:sz w:val="20"/>
                <w:szCs w:val="20"/>
              </w:rPr>
              <w:t>triangulación de la información</w:t>
            </w:r>
            <w:r w:rsidRPr="005D5379">
              <w:rPr>
                <w:rFonts w:ascii="Arial" w:eastAsia="Arial" w:hAnsi="Arial" w:cs="Arial"/>
                <w:sz w:val="20"/>
                <w:szCs w:val="20"/>
              </w:rPr>
              <w:t xml:space="preserve">, la cual se entiende como la relación, analogías, paradojas y resultados de las discusiones preliminares sobre los datos del desarrollo del primer objetivo con lo encontrado en la fase del trabajo de campo.  3.  El desarrollo del </w:t>
            </w:r>
            <w:r w:rsidRPr="005D5379">
              <w:rPr>
                <w:rFonts w:ascii="Arial" w:eastAsia="Arial" w:hAnsi="Arial" w:cs="Arial"/>
                <w:b/>
                <w:sz w:val="20"/>
                <w:szCs w:val="20"/>
              </w:rPr>
              <w:t>tercer objetivo</w:t>
            </w:r>
            <w:r w:rsidRPr="005D5379">
              <w:rPr>
                <w:rFonts w:ascii="Arial" w:eastAsia="Arial" w:hAnsi="Arial" w:cs="Arial"/>
                <w:sz w:val="20"/>
                <w:szCs w:val="20"/>
              </w:rPr>
              <w:t xml:space="preserve"> “Aportar a la Comisión para el esclarecimiento de la Verdad la convivencia pacífica y la no repetición, algunos lineamientos y estrategias para el diálogo social desde el horizonte de la categoría “contextos explicativos”, tendrá a cabo las siguientes actividades: -Reuniones del grupo académico de discusión para la redacción de documento final y la preparación de un evento de apropiación social del conocimiento.  Como resultados de este objetivo se pretende planear el Foro: “Hacia la construcción de una paz estable y duradera” “Diálogo social Verdad, convivencia pacífica y no repetición”; redacción del Documento con propuestas para ser presentado a la Comisión para el esclarecimiento de la Verdad, la convivencia pacífica y la no repetición (Libro resultado de investigación)  y la continuación de Dirección de tesis de maestría (sobre educación para la paz, convivencia, reconciliación, resolución de conflictos)</w:t>
            </w:r>
          </w:p>
          <w:p w:rsidR="007B35E0" w:rsidRPr="005D5379" w:rsidRDefault="007B35E0">
            <w:pPr>
              <w:jc w:val="both"/>
              <w:rPr>
                <w:rFonts w:ascii="Arial" w:eastAsia="Arial" w:hAnsi="Arial" w:cs="Arial"/>
                <w:sz w:val="20"/>
                <w:szCs w:val="20"/>
              </w:rPr>
            </w:pPr>
          </w:p>
          <w:p w:rsidR="007B35E0" w:rsidRPr="005D5379" w:rsidRDefault="0014507E" w:rsidP="00F17D61">
            <w:pPr>
              <w:jc w:val="both"/>
              <w:rPr>
                <w:rFonts w:ascii="Arial" w:eastAsia="Arial" w:hAnsi="Arial" w:cs="Arial"/>
                <w:sz w:val="20"/>
                <w:szCs w:val="20"/>
              </w:rPr>
            </w:pPr>
            <w:r w:rsidRPr="005D5379">
              <w:rPr>
                <w:rFonts w:ascii="Arial" w:eastAsia="Arial" w:hAnsi="Arial" w:cs="Arial"/>
                <w:b/>
                <w:color w:val="222222"/>
                <w:sz w:val="20"/>
                <w:szCs w:val="20"/>
              </w:rPr>
              <w:t>Nota:</w:t>
            </w:r>
            <w:r w:rsidRPr="005D5379">
              <w:rPr>
                <w:rFonts w:ascii="Arial" w:eastAsia="Arial" w:hAnsi="Arial" w:cs="Arial"/>
                <w:color w:val="222222"/>
                <w:sz w:val="20"/>
                <w:szCs w:val="20"/>
              </w:rPr>
              <w:t xml:space="preserve"> </w:t>
            </w:r>
            <w:r w:rsidRPr="005D5379">
              <w:rPr>
                <w:rFonts w:ascii="Arial" w:eastAsia="Arial" w:hAnsi="Arial" w:cs="Arial"/>
                <w:sz w:val="20"/>
                <w:szCs w:val="20"/>
              </w:rPr>
              <w:t xml:space="preserve">En este momento </w:t>
            </w:r>
            <w:r w:rsidR="003D5582" w:rsidRPr="005D5379">
              <w:rPr>
                <w:rFonts w:ascii="Arial" w:eastAsia="Arial" w:hAnsi="Arial" w:cs="Arial"/>
                <w:sz w:val="20"/>
                <w:szCs w:val="20"/>
              </w:rPr>
              <w:t>se ha establecido un diálogo</w:t>
            </w:r>
            <w:r w:rsidRPr="005D5379">
              <w:rPr>
                <w:rFonts w:ascii="Arial" w:eastAsia="Arial" w:hAnsi="Arial" w:cs="Arial"/>
                <w:sz w:val="20"/>
                <w:szCs w:val="20"/>
              </w:rPr>
              <w:t xml:space="preserve"> con </w:t>
            </w:r>
            <w:r w:rsidR="003D5582" w:rsidRPr="005D5379">
              <w:rPr>
                <w:rFonts w:ascii="Arial" w:eastAsia="Arial" w:hAnsi="Arial" w:cs="Arial"/>
                <w:sz w:val="20"/>
                <w:szCs w:val="20"/>
              </w:rPr>
              <w:t xml:space="preserve">el Director del Centro </w:t>
            </w:r>
            <w:r w:rsidR="00F17D61" w:rsidRPr="005D5379">
              <w:rPr>
                <w:rFonts w:ascii="Arial" w:eastAsia="Arial" w:hAnsi="Arial" w:cs="Arial"/>
                <w:sz w:val="20"/>
                <w:szCs w:val="20"/>
              </w:rPr>
              <w:t xml:space="preserve">de </w:t>
            </w:r>
            <w:r w:rsidR="003D5582" w:rsidRPr="005D5379">
              <w:rPr>
                <w:rFonts w:ascii="Arial" w:eastAsia="Arial" w:hAnsi="Arial" w:cs="Arial"/>
                <w:sz w:val="20"/>
                <w:szCs w:val="20"/>
              </w:rPr>
              <w:t xml:space="preserve">Estudios de Religión, Paz y Justicia de </w:t>
            </w:r>
            <w:proofErr w:type="spellStart"/>
            <w:r w:rsidR="003D5582" w:rsidRPr="005D5379">
              <w:rPr>
                <w:rFonts w:ascii="Arial" w:eastAsia="Arial" w:hAnsi="Arial" w:cs="Arial"/>
                <w:sz w:val="20"/>
                <w:szCs w:val="20"/>
              </w:rPr>
              <w:t>Amsterdam</w:t>
            </w:r>
            <w:proofErr w:type="spellEnd"/>
            <w:r w:rsidR="003D5582" w:rsidRPr="005D5379">
              <w:rPr>
                <w:rFonts w:ascii="Arial" w:eastAsia="Arial" w:hAnsi="Arial" w:cs="Arial"/>
                <w:sz w:val="20"/>
                <w:szCs w:val="20"/>
              </w:rPr>
              <w:t>, Holanda, con quien se ha realizado una carta de intención para el trabajo cooperativo de este proyecto (ver carta de intención en anexo), así mismo se tienen las cartas de intención del Instituto de Justicia y paz Pablo VI, de la sede de Tunja, organizaciones sociales</w:t>
            </w:r>
            <w:r w:rsidR="00F17D61" w:rsidRPr="005D5379">
              <w:rPr>
                <w:rFonts w:ascii="Arial" w:eastAsia="Arial" w:hAnsi="Arial" w:cs="Arial"/>
                <w:sz w:val="20"/>
                <w:szCs w:val="20"/>
              </w:rPr>
              <w:t xml:space="preserve">, </w:t>
            </w:r>
            <w:r w:rsidRPr="005D5379">
              <w:rPr>
                <w:rFonts w:ascii="Arial" w:eastAsia="Arial" w:hAnsi="Arial" w:cs="Arial"/>
                <w:sz w:val="20"/>
                <w:szCs w:val="20"/>
              </w:rPr>
              <w:t xml:space="preserve">así </w:t>
            </w:r>
            <w:r w:rsidR="00F17D61" w:rsidRPr="005D5379">
              <w:rPr>
                <w:rFonts w:ascii="Arial" w:eastAsia="Arial" w:hAnsi="Arial" w:cs="Arial"/>
                <w:sz w:val="20"/>
                <w:szCs w:val="20"/>
              </w:rPr>
              <w:t>como el proceso jurídico para el</w:t>
            </w:r>
            <w:r w:rsidRPr="005D5379">
              <w:rPr>
                <w:rFonts w:ascii="Arial" w:eastAsia="Arial" w:hAnsi="Arial" w:cs="Arial"/>
                <w:sz w:val="20"/>
                <w:szCs w:val="20"/>
              </w:rPr>
              <w:t xml:space="preserve"> convenio marco entre la USTA y la Comisión de Verdad. De acuerdo con lo dialogado con las autoridades de la universidad, este proceso puede darse en el</w:t>
            </w:r>
            <w:r w:rsidR="00F17D61" w:rsidRPr="005D5379">
              <w:rPr>
                <w:rFonts w:ascii="Arial" w:eastAsia="Arial" w:hAnsi="Arial" w:cs="Arial"/>
                <w:sz w:val="20"/>
                <w:szCs w:val="20"/>
              </w:rPr>
              <w:t xml:space="preserve"> transcurso del </w:t>
            </w:r>
            <w:r w:rsidRPr="005D5379">
              <w:rPr>
                <w:rFonts w:ascii="Arial" w:eastAsia="Arial" w:hAnsi="Arial" w:cs="Arial"/>
                <w:sz w:val="20"/>
                <w:szCs w:val="20"/>
              </w:rPr>
              <w:t xml:space="preserve"> segundo semestre del 2019. Igualmente, se tiene preparado el proceso para presentar ante el comité de ética de la universidad los diferentes modelos de consentimientos informados para la fase de trabajo de campo. </w:t>
            </w:r>
          </w:p>
        </w:tc>
      </w:tr>
      <w:tr w:rsidR="007B35E0" w:rsidRPr="005D5379">
        <w:tc>
          <w:tcPr>
            <w:tcW w:w="14983"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7B35E0" w:rsidRPr="005D5379" w:rsidRDefault="0014507E">
            <w:pPr>
              <w:jc w:val="center"/>
              <w:rPr>
                <w:rFonts w:ascii="Arial" w:eastAsia="Arial" w:hAnsi="Arial" w:cs="Arial"/>
                <w:b/>
                <w:color w:val="222222"/>
                <w:sz w:val="20"/>
                <w:szCs w:val="20"/>
              </w:rPr>
            </w:pPr>
            <w:r w:rsidRPr="005D5379">
              <w:rPr>
                <w:rFonts w:ascii="Arial" w:eastAsia="Arial" w:hAnsi="Arial" w:cs="Arial"/>
                <w:b/>
                <w:color w:val="222222"/>
                <w:sz w:val="20"/>
                <w:szCs w:val="20"/>
              </w:rPr>
              <w:t>Resultados esperados</w:t>
            </w:r>
          </w:p>
        </w:tc>
      </w:tr>
      <w:tr w:rsidR="007B35E0" w:rsidRPr="005D5379">
        <w:tc>
          <w:tcPr>
            <w:tcW w:w="14983"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Pr="005D5379" w:rsidRDefault="0014507E">
            <w:pPr>
              <w:numPr>
                <w:ilvl w:val="0"/>
                <w:numId w:val="2"/>
              </w:numPr>
              <w:pBdr>
                <w:top w:val="nil"/>
                <w:left w:val="nil"/>
                <w:bottom w:val="nil"/>
                <w:right w:val="nil"/>
                <w:between w:val="nil"/>
              </w:pBdr>
              <w:jc w:val="both"/>
              <w:rPr>
                <w:rFonts w:ascii="Arial" w:eastAsia="Arial" w:hAnsi="Arial" w:cs="Arial"/>
                <w:color w:val="222222"/>
                <w:sz w:val="20"/>
                <w:szCs w:val="20"/>
              </w:rPr>
            </w:pPr>
            <w:r w:rsidRPr="005D5379">
              <w:rPr>
                <w:rFonts w:ascii="Arial" w:eastAsia="Arial" w:hAnsi="Arial" w:cs="Arial"/>
                <w:color w:val="222222"/>
                <w:sz w:val="20"/>
                <w:szCs w:val="20"/>
              </w:rPr>
              <w:t>Libro resultado de investigación sobre “La Verdad en sociedades en transición” Aportes para el diálogo social y la convivencia pacífica”. Se espera que los documentos de trabajo, los análisis de resultados y las discusiones del grupo de investigación, así como la invitación a expertos</w:t>
            </w:r>
            <w:r w:rsidR="00F17D61" w:rsidRPr="005D5379">
              <w:rPr>
                <w:rFonts w:ascii="Arial" w:eastAsia="Arial" w:hAnsi="Arial" w:cs="Arial"/>
                <w:color w:val="222222"/>
                <w:sz w:val="20"/>
                <w:szCs w:val="20"/>
              </w:rPr>
              <w:t xml:space="preserve"> del Centro de estudios de religión, paz y </w:t>
            </w:r>
            <w:proofErr w:type="spellStart"/>
            <w:r w:rsidR="00F17D61" w:rsidRPr="005D5379">
              <w:rPr>
                <w:rFonts w:ascii="Arial" w:eastAsia="Arial" w:hAnsi="Arial" w:cs="Arial"/>
                <w:color w:val="222222"/>
                <w:sz w:val="20"/>
                <w:szCs w:val="20"/>
              </w:rPr>
              <w:t>justivia</w:t>
            </w:r>
            <w:proofErr w:type="spellEnd"/>
            <w:r w:rsidR="00F17D61" w:rsidRPr="005D5379">
              <w:rPr>
                <w:rFonts w:ascii="Arial" w:eastAsia="Arial" w:hAnsi="Arial" w:cs="Arial"/>
                <w:color w:val="222222"/>
                <w:sz w:val="20"/>
                <w:szCs w:val="20"/>
              </w:rPr>
              <w:t xml:space="preserve">, </w:t>
            </w:r>
            <w:r w:rsidRPr="005D5379">
              <w:rPr>
                <w:rFonts w:ascii="Arial" w:eastAsia="Arial" w:hAnsi="Arial" w:cs="Arial"/>
                <w:color w:val="222222"/>
                <w:sz w:val="20"/>
                <w:szCs w:val="20"/>
              </w:rPr>
              <w:t xml:space="preserve"> para parti</w:t>
            </w:r>
            <w:r w:rsidR="00F17D61" w:rsidRPr="005D5379">
              <w:rPr>
                <w:rFonts w:ascii="Arial" w:eastAsia="Arial" w:hAnsi="Arial" w:cs="Arial"/>
                <w:color w:val="222222"/>
                <w:sz w:val="20"/>
                <w:szCs w:val="20"/>
              </w:rPr>
              <w:t>cipar en la propuesta editorial.</w:t>
            </w:r>
            <w:r w:rsidRPr="005D5379">
              <w:rPr>
                <w:rFonts w:ascii="Arial" w:eastAsia="Arial" w:hAnsi="Arial" w:cs="Arial"/>
                <w:color w:val="222222"/>
                <w:sz w:val="20"/>
                <w:szCs w:val="20"/>
              </w:rPr>
              <w:t xml:space="preserve"> </w:t>
            </w:r>
          </w:p>
          <w:p w:rsidR="007B35E0" w:rsidRPr="005D5379" w:rsidRDefault="0014507E">
            <w:pPr>
              <w:numPr>
                <w:ilvl w:val="0"/>
                <w:numId w:val="2"/>
              </w:numPr>
              <w:pBdr>
                <w:top w:val="nil"/>
                <w:left w:val="nil"/>
                <w:bottom w:val="nil"/>
                <w:right w:val="nil"/>
                <w:between w:val="nil"/>
              </w:pBdr>
              <w:jc w:val="both"/>
              <w:rPr>
                <w:rFonts w:ascii="Arial" w:eastAsia="Arial" w:hAnsi="Arial" w:cs="Arial"/>
                <w:color w:val="222222"/>
                <w:sz w:val="20"/>
                <w:szCs w:val="20"/>
              </w:rPr>
            </w:pPr>
            <w:r w:rsidRPr="005D5379">
              <w:rPr>
                <w:rFonts w:ascii="Arial" w:eastAsia="Arial" w:hAnsi="Arial" w:cs="Arial"/>
                <w:color w:val="000000"/>
                <w:sz w:val="20"/>
                <w:szCs w:val="20"/>
              </w:rPr>
              <w:t xml:space="preserve">Dirección de </w:t>
            </w:r>
            <w:r w:rsidRPr="005D5379">
              <w:rPr>
                <w:rFonts w:ascii="Arial" w:eastAsia="Arial" w:hAnsi="Arial" w:cs="Arial"/>
                <w:sz w:val="20"/>
                <w:szCs w:val="20"/>
              </w:rPr>
              <w:t>dos</w:t>
            </w:r>
            <w:r w:rsidRPr="005D5379">
              <w:rPr>
                <w:rFonts w:ascii="Arial" w:eastAsia="Arial" w:hAnsi="Arial" w:cs="Arial"/>
                <w:color w:val="000000"/>
                <w:sz w:val="20"/>
                <w:szCs w:val="20"/>
              </w:rPr>
              <w:t xml:space="preserve"> tesis de maestría. Se pretende </w:t>
            </w:r>
            <w:r w:rsidRPr="005D5379">
              <w:rPr>
                <w:rFonts w:ascii="Arial" w:eastAsia="Arial" w:hAnsi="Arial" w:cs="Arial"/>
                <w:sz w:val="20"/>
                <w:szCs w:val="20"/>
              </w:rPr>
              <w:t xml:space="preserve">dirigir trabajos de grado con estudiantes de programas de posgrado de la USTA sobre esta temática o afines. </w:t>
            </w:r>
          </w:p>
          <w:p w:rsidR="007B35E0" w:rsidRPr="005D5379" w:rsidRDefault="0014507E">
            <w:pPr>
              <w:numPr>
                <w:ilvl w:val="0"/>
                <w:numId w:val="2"/>
              </w:numPr>
              <w:pBdr>
                <w:top w:val="nil"/>
                <w:left w:val="nil"/>
                <w:bottom w:val="nil"/>
                <w:right w:val="nil"/>
                <w:between w:val="nil"/>
              </w:pBdr>
              <w:jc w:val="both"/>
              <w:rPr>
                <w:rFonts w:ascii="Arial" w:eastAsia="Arial" w:hAnsi="Arial" w:cs="Arial"/>
                <w:sz w:val="20"/>
                <w:szCs w:val="20"/>
              </w:rPr>
            </w:pPr>
            <w:r w:rsidRPr="005D5379">
              <w:rPr>
                <w:rFonts w:ascii="Arial" w:eastAsia="Arial" w:hAnsi="Arial" w:cs="Arial"/>
                <w:sz w:val="20"/>
                <w:szCs w:val="20"/>
              </w:rPr>
              <w:t xml:space="preserve">Foro nacional: Verdad y reconciliación en sociedades de transición. Se tiene pensando ya realizar este foro durante el año 2020 (Tunja) 2021 (Bogotá) con invitados y con algunos de los que participaron en los grupos focales o entrevistas, que permita consolidar la apropiación social del conocimiento y la dimensión ética de la investigación. </w:t>
            </w:r>
          </w:p>
          <w:p w:rsidR="007B35E0" w:rsidRPr="005D5379" w:rsidRDefault="0014507E">
            <w:pPr>
              <w:numPr>
                <w:ilvl w:val="0"/>
                <w:numId w:val="2"/>
              </w:numPr>
              <w:pBdr>
                <w:top w:val="nil"/>
                <w:left w:val="nil"/>
                <w:bottom w:val="nil"/>
                <w:right w:val="nil"/>
                <w:between w:val="nil"/>
              </w:pBdr>
              <w:jc w:val="both"/>
              <w:rPr>
                <w:rFonts w:ascii="Arial" w:eastAsia="Arial" w:hAnsi="Arial" w:cs="Arial"/>
                <w:sz w:val="20"/>
                <w:szCs w:val="20"/>
              </w:rPr>
            </w:pPr>
            <w:r w:rsidRPr="005D5379">
              <w:rPr>
                <w:rFonts w:ascii="Arial" w:eastAsia="Arial" w:hAnsi="Arial" w:cs="Arial"/>
                <w:sz w:val="20"/>
                <w:szCs w:val="20"/>
              </w:rPr>
              <w:t xml:space="preserve">Ponencias en eventos nacionales o internacionales. Los investigadores durante el año 2020 participarán en eventos nacionales o internacionales socializando los avances parciales o finales de esta investigación. </w:t>
            </w:r>
          </w:p>
          <w:p w:rsidR="007B35E0" w:rsidRPr="005D5379" w:rsidRDefault="0014507E">
            <w:pPr>
              <w:numPr>
                <w:ilvl w:val="0"/>
                <w:numId w:val="2"/>
              </w:numPr>
              <w:pBdr>
                <w:top w:val="nil"/>
                <w:left w:val="nil"/>
                <w:bottom w:val="nil"/>
                <w:right w:val="nil"/>
                <w:between w:val="nil"/>
              </w:pBdr>
              <w:jc w:val="both"/>
              <w:rPr>
                <w:rFonts w:ascii="Arial" w:eastAsia="Arial" w:hAnsi="Arial" w:cs="Arial"/>
                <w:sz w:val="20"/>
                <w:szCs w:val="20"/>
              </w:rPr>
            </w:pPr>
            <w:r w:rsidRPr="005D5379">
              <w:rPr>
                <w:rFonts w:ascii="Arial" w:eastAsia="Arial" w:hAnsi="Arial" w:cs="Arial"/>
                <w:sz w:val="20"/>
                <w:szCs w:val="20"/>
              </w:rPr>
              <w:t xml:space="preserve">Programas radiales en cada una de las sedes sobre avances o conclusiones del proyecto (Bogotá y Tunja). Para ello se preparará el </w:t>
            </w:r>
            <w:proofErr w:type="spellStart"/>
            <w:r w:rsidRPr="005D5379">
              <w:rPr>
                <w:rFonts w:ascii="Arial" w:eastAsia="Arial" w:hAnsi="Arial" w:cs="Arial"/>
                <w:sz w:val="20"/>
                <w:szCs w:val="20"/>
              </w:rPr>
              <w:t>guión</w:t>
            </w:r>
            <w:proofErr w:type="spellEnd"/>
            <w:r w:rsidRPr="005D5379">
              <w:rPr>
                <w:rFonts w:ascii="Arial" w:eastAsia="Arial" w:hAnsi="Arial" w:cs="Arial"/>
                <w:sz w:val="20"/>
                <w:szCs w:val="20"/>
              </w:rPr>
              <w:t xml:space="preserve"> y se programará las fechas de participación en las emisoras de la USTA. </w:t>
            </w:r>
          </w:p>
        </w:tc>
      </w:tr>
    </w:tbl>
    <w:p w:rsidR="007B35E0" w:rsidRDefault="007B35E0">
      <w:pPr>
        <w:spacing w:after="0" w:line="240" w:lineRule="auto"/>
        <w:rPr>
          <w:rFonts w:ascii="Arial" w:eastAsia="Arial" w:hAnsi="Arial" w:cs="Arial"/>
        </w:rPr>
      </w:pPr>
    </w:p>
    <w:p w:rsidR="007B35E0" w:rsidRDefault="0014507E">
      <w:pPr>
        <w:spacing w:after="0" w:line="240" w:lineRule="auto"/>
        <w:rPr>
          <w:rFonts w:ascii="Arial" w:eastAsia="Arial" w:hAnsi="Arial" w:cs="Arial"/>
          <w:b/>
        </w:rPr>
      </w:pPr>
      <w:r>
        <w:rPr>
          <w:rFonts w:ascii="Arial" w:eastAsia="Arial" w:hAnsi="Arial" w:cs="Arial"/>
          <w:b/>
        </w:rPr>
        <w:t>Cronograma</w:t>
      </w:r>
    </w:p>
    <w:tbl>
      <w:tblPr>
        <w:tblStyle w:val="af6"/>
        <w:tblW w:w="14750" w:type="dxa"/>
        <w:tblInd w:w="0" w:type="dxa"/>
        <w:tblLayout w:type="fixed"/>
        <w:tblLook w:val="0400" w:firstRow="0" w:lastRow="0" w:firstColumn="0" w:lastColumn="0" w:noHBand="0" w:noVBand="1"/>
      </w:tblPr>
      <w:tblGrid>
        <w:gridCol w:w="948"/>
        <w:gridCol w:w="729"/>
        <w:gridCol w:w="776"/>
        <w:gridCol w:w="362"/>
        <w:gridCol w:w="399"/>
        <w:gridCol w:w="250"/>
        <w:gridCol w:w="250"/>
        <w:gridCol w:w="250"/>
        <w:gridCol w:w="250"/>
        <w:gridCol w:w="250"/>
        <w:gridCol w:w="250"/>
        <w:gridCol w:w="250"/>
        <w:gridCol w:w="250"/>
        <w:gridCol w:w="250"/>
        <w:gridCol w:w="250"/>
        <w:gridCol w:w="284"/>
        <w:gridCol w:w="284"/>
        <w:gridCol w:w="284"/>
        <w:gridCol w:w="284"/>
        <w:gridCol w:w="284"/>
        <w:gridCol w:w="284"/>
        <w:gridCol w:w="284"/>
        <w:gridCol w:w="284"/>
        <w:gridCol w:w="284"/>
        <w:gridCol w:w="284"/>
        <w:gridCol w:w="284"/>
        <w:gridCol w:w="250"/>
        <w:gridCol w:w="250"/>
        <w:gridCol w:w="284"/>
        <w:gridCol w:w="284"/>
        <w:gridCol w:w="284"/>
        <w:gridCol w:w="284"/>
        <w:gridCol w:w="284"/>
        <w:gridCol w:w="284"/>
        <w:gridCol w:w="284"/>
        <w:gridCol w:w="288"/>
        <w:gridCol w:w="288"/>
        <w:gridCol w:w="288"/>
        <w:gridCol w:w="288"/>
        <w:gridCol w:w="284"/>
        <w:gridCol w:w="284"/>
        <w:gridCol w:w="284"/>
        <w:gridCol w:w="284"/>
        <w:gridCol w:w="284"/>
        <w:gridCol w:w="284"/>
        <w:gridCol w:w="284"/>
        <w:gridCol w:w="284"/>
      </w:tblGrid>
      <w:tr w:rsidR="007B35E0">
        <w:trPr>
          <w:trHeight w:val="340"/>
        </w:trPr>
        <w:tc>
          <w:tcPr>
            <w:tcW w:w="1044" w:type="dxa"/>
            <w:vMerge w:val="restart"/>
            <w:tcBorders>
              <w:top w:val="single" w:sz="8" w:space="0" w:color="000000"/>
              <w:left w:val="single" w:sz="8" w:space="0" w:color="000000"/>
              <w:bottom w:val="single" w:sz="8" w:space="0" w:color="000000"/>
              <w:right w:val="single" w:sz="8" w:space="0" w:color="000000"/>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 xml:space="preserve">   ACTIVIDADES</w:t>
            </w:r>
          </w:p>
        </w:tc>
        <w:tc>
          <w:tcPr>
            <w:tcW w:w="794" w:type="dxa"/>
            <w:vMerge w:val="restart"/>
            <w:tcBorders>
              <w:top w:val="single" w:sz="8" w:space="0" w:color="000000"/>
              <w:left w:val="single" w:sz="8" w:space="0" w:color="000000"/>
              <w:bottom w:val="single" w:sz="8" w:space="0" w:color="000000"/>
              <w:right w:val="single" w:sz="8" w:space="0" w:color="000000"/>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 xml:space="preserve">RESPONSABLE </w:t>
            </w:r>
          </w:p>
        </w:tc>
        <w:tc>
          <w:tcPr>
            <w:tcW w:w="1224" w:type="dxa"/>
            <w:gridSpan w:val="2"/>
            <w:tcBorders>
              <w:top w:val="single" w:sz="8" w:space="0" w:color="000000"/>
              <w:left w:val="nil"/>
              <w:bottom w:val="single" w:sz="8" w:space="0" w:color="000000"/>
              <w:right w:val="nil"/>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FECHA</w:t>
            </w:r>
          </w:p>
        </w:tc>
        <w:tc>
          <w:tcPr>
            <w:tcW w:w="418" w:type="dxa"/>
            <w:tcBorders>
              <w:top w:val="single" w:sz="8" w:space="0" w:color="000000"/>
              <w:left w:val="single" w:sz="4" w:space="0" w:color="000000"/>
              <w:bottom w:val="nil"/>
              <w:right w:val="single" w:sz="8" w:space="0" w:color="000000"/>
            </w:tcBorders>
            <w:shd w:val="clear" w:color="auto" w:fill="000000"/>
            <w:vAlign w:val="center"/>
          </w:tcPr>
          <w:p w:rsidR="007B35E0" w:rsidRDefault="0014507E">
            <w:pPr>
              <w:jc w:val="center"/>
              <w:rPr>
                <w:rFonts w:ascii="Arial" w:eastAsia="Arial" w:hAnsi="Arial" w:cs="Arial"/>
                <w:sz w:val="16"/>
                <w:szCs w:val="16"/>
              </w:rPr>
            </w:pPr>
            <w:r>
              <w:rPr>
                <w:rFonts w:ascii="Arial" w:eastAsia="Arial" w:hAnsi="Arial" w:cs="Arial"/>
                <w:sz w:val="16"/>
                <w:szCs w:val="16"/>
              </w:rPr>
              <w:t> </w:t>
            </w:r>
          </w:p>
        </w:tc>
        <w:tc>
          <w:tcPr>
            <w:tcW w:w="830" w:type="dxa"/>
            <w:gridSpan w:val="4"/>
            <w:tcBorders>
              <w:top w:val="single" w:sz="8" w:space="0" w:color="000000"/>
              <w:left w:val="nil"/>
              <w:bottom w:val="single" w:sz="8" w:space="0" w:color="000000"/>
              <w:right w:val="single" w:sz="8" w:space="0" w:color="000000"/>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FEBRERO</w:t>
            </w:r>
          </w:p>
        </w:tc>
        <w:tc>
          <w:tcPr>
            <w:tcW w:w="976" w:type="dxa"/>
            <w:gridSpan w:val="4"/>
            <w:tcBorders>
              <w:top w:val="single" w:sz="8" w:space="0" w:color="000000"/>
              <w:left w:val="single" w:sz="8" w:space="0" w:color="000000"/>
              <w:bottom w:val="nil"/>
              <w:right w:val="single" w:sz="8" w:space="0" w:color="000000"/>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MARZO</w:t>
            </w:r>
          </w:p>
        </w:tc>
        <w:tc>
          <w:tcPr>
            <w:tcW w:w="1223" w:type="dxa"/>
            <w:gridSpan w:val="5"/>
            <w:tcBorders>
              <w:top w:val="single" w:sz="8" w:space="0" w:color="000000"/>
              <w:left w:val="single" w:sz="8" w:space="0" w:color="000000"/>
              <w:bottom w:val="nil"/>
              <w:right w:val="single" w:sz="8" w:space="0" w:color="000000"/>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ABRIL</w:t>
            </w:r>
          </w:p>
        </w:tc>
        <w:tc>
          <w:tcPr>
            <w:tcW w:w="1156" w:type="dxa"/>
            <w:gridSpan w:val="4"/>
            <w:tcBorders>
              <w:top w:val="single" w:sz="8" w:space="0" w:color="000000"/>
              <w:left w:val="single" w:sz="8" w:space="0" w:color="000000"/>
              <w:bottom w:val="nil"/>
              <w:right w:val="nil"/>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MAYO</w:t>
            </w:r>
          </w:p>
        </w:tc>
        <w:tc>
          <w:tcPr>
            <w:tcW w:w="1156" w:type="dxa"/>
            <w:gridSpan w:val="4"/>
            <w:tcBorders>
              <w:top w:val="single" w:sz="8" w:space="0" w:color="000000"/>
              <w:left w:val="single" w:sz="8" w:space="0" w:color="000000"/>
              <w:bottom w:val="nil"/>
              <w:right w:val="single" w:sz="8" w:space="0" w:color="000000"/>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JUNIO</w:t>
            </w:r>
          </w:p>
        </w:tc>
        <w:tc>
          <w:tcPr>
            <w:tcW w:w="1289" w:type="dxa"/>
            <w:gridSpan w:val="5"/>
            <w:tcBorders>
              <w:top w:val="single" w:sz="8" w:space="0" w:color="000000"/>
              <w:left w:val="single" w:sz="8" w:space="0" w:color="000000"/>
              <w:bottom w:val="nil"/>
              <w:right w:val="single" w:sz="8" w:space="0" w:color="000000"/>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JULIO</w:t>
            </w:r>
          </w:p>
        </w:tc>
        <w:tc>
          <w:tcPr>
            <w:tcW w:w="1156" w:type="dxa"/>
            <w:gridSpan w:val="4"/>
            <w:tcBorders>
              <w:top w:val="single" w:sz="8" w:space="0" w:color="000000"/>
              <w:left w:val="single" w:sz="8" w:space="0" w:color="000000"/>
              <w:bottom w:val="nil"/>
              <w:right w:val="nil"/>
            </w:tcBorders>
            <w:shd w:val="clear" w:color="auto" w:fill="FFCC99"/>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AGOSTO</w:t>
            </w:r>
          </w:p>
        </w:tc>
        <w:tc>
          <w:tcPr>
            <w:tcW w:w="1172" w:type="dxa"/>
            <w:gridSpan w:val="4"/>
            <w:tcBorders>
              <w:top w:val="single" w:sz="8" w:space="0" w:color="000000"/>
              <w:left w:val="single" w:sz="8" w:space="0" w:color="000000"/>
              <w:bottom w:val="single" w:sz="8" w:space="0" w:color="000000"/>
              <w:right w:val="single" w:sz="8" w:space="0" w:color="000000"/>
            </w:tcBorders>
            <w:shd w:val="clear" w:color="auto" w:fill="FFCC99"/>
            <w:vAlign w:val="bottom"/>
          </w:tcPr>
          <w:p w:rsidR="007B35E0" w:rsidRDefault="0014507E">
            <w:pPr>
              <w:jc w:val="center"/>
              <w:rPr>
                <w:rFonts w:ascii="Arial" w:eastAsia="Arial" w:hAnsi="Arial" w:cs="Arial"/>
                <w:b/>
                <w:sz w:val="16"/>
                <w:szCs w:val="16"/>
              </w:rPr>
            </w:pPr>
            <w:r>
              <w:rPr>
                <w:rFonts w:ascii="Arial" w:eastAsia="Arial" w:hAnsi="Arial" w:cs="Arial"/>
                <w:b/>
                <w:sz w:val="16"/>
                <w:szCs w:val="16"/>
              </w:rPr>
              <w:t>SEPTIEMBRE</w:t>
            </w:r>
          </w:p>
        </w:tc>
        <w:tc>
          <w:tcPr>
            <w:tcW w:w="1156" w:type="dxa"/>
            <w:gridSpan w:val="4"/>
            <w:tcBorders>
              <w:top w:val="single" w:sz="8" w:space="0" w:color="000000"/>
              <w:left w:val="nil"/>
              <w:bottom w:val="single" w:sz="8" w:space="0" w:color="000000"/>
              <w:right w:val="single" w:sz="8" w:space="0" w:color="000000"/>
            </w:tcBorders>
            <w:shd w:val="clear" w:color="auto" w:fill="FFCC99"/>
            <w:vAlign w:val="bottom"/>
          </w:tcPr>
          <w:p w:rsidR="007B35E0" w:rsidRDefault="0014507E">
            <w:pPr>
              <w:jc w:val="center"/>
              <w:rPr>
                <w:rFonts w:ascii="Arial" w:eastAsia="Arial" w:hAnsi="Arial" w:cs="Arial"/>
                <w:b/>
                <w:sz w:val="16"/>
                <w:szCs w:val="16"/>
              </w:rPr>
            </w:pPr>
            <w:r>
              <w:rPr>
                <w:rFonts w:ascii="Arial" w:eastAsia="Arial" w:hAnsi="Arial" w:cs="Arial"/>
                <w:b/>
                <w:sz w:val="16"/>
                <w:szCs w:val="16"/>
              </w:rPr>
              <w:t>OCTUBRE</w:t>
            </w:r>
          </w:p>
        </w:tc>
        <w:tc>
          <w:tcPr>
            <w:tcW w:w="1156" w:type="dxa"/>
            <w:gridSpan w:val="4"/>
            <w:tcBorders>
              <w:top w:val="single" w:sz="8" w:space="0" w:color="000000"/>
              <w:left w:val="nil"/>
              <w:bottom w:val="single" w:sz="8" w:space="0" w:color="000000"/>
              <w:right w:val="single" w:sz="8" w:space="0" w:color="000000"/>
            </w:tcBorders>
            <w:shd w:val="clear" w:color="auto" w:fill="FFCC99"/>
            <w:vAlign w:val="bottom"/>
          </w:tcPr>
          <w:p w:rsidR="007B35E0" w:rsidRDefault="0014507E">
            <w:pPr>
              <w:jc w:val="center"/>
              <w:rPr>
                <w:rFonts w:ascii="Arial" w:eastAsia="Arial" w:hAnsi="Arial" w:cs="Arial"/>
                <w:b/>
                <w:sz w:val="16"/>
                <w:szCs w:val="16"/>
              </w:rPr>
            </w:pPr>
            <w:r>
              <w:rPr>
                <w:rFonts w:ascii="Arial" w:eastAsia="Arial" w:hAnsi="Arial" w:cs="Arial"/>
                <w:b/>
                <w:sz w:val="16"/>
                <w:szCs w:val="16"/>
              </w:rPr>
              <w:t>NOVIEMBRE</w:t>
            </w:r>
          </w:p>
        </w:tc>
      </w:tr>
      <w:tr w:rsidR="005D5379">
        <w:trPr>
          <w:trHeight w:val="540"/>
        </w:trPr>
        <w:tc>
          <w:tcPr>
            <w:tcW w:w="1044" w:type="dxa"/>
            <w:vMerge/>
            <w:tcBorders>
              <w:top w:val="single" w:sz="8" w:space="0" w:color="000000"/>
              <w:left w:val="single" w:sz="8" w:space="0" w:color="000000"/>
              <w:bottom w:val="single" w:sz="8" w:space="0" w:color="000000"/>
              <w:right w:val="single" w:sz="8" w:space="0" w:color="000000"/>
            </w:tcBorders>
            <w:shd w:val="clear" w:color="auto" w:fill="FFCC99"/>
            <w:vAlign w:val="center"/>
          </w:tcPr>
          <w:p w:rsidR="007B35E0" w:rsidRDefault="007B35E0">
            <w:pPr>
              <w:widowControl w:val="0"/>
              <w:pBdr>
                <w:top w:val="nil"/>
                <w:left w:val="nil"/>
                <w:bottom w:val="nil"/>
                <w:right w:val="nil"/>
                <w:between w:val="nil"/>
              </w:pBdr>
              <w:spacing w:line="276" w:lineRule="auto"/>
              <w:rPr>
                <w:rFonts w:ascii="Arial" w:eastAsia="Arial" w:hAnsi="Arial" w:cs="Arial"/>
                <w:b/>
                <w:sz w:val="16"/>
                <w:szCs w:val="16"/>
              </w:rPr>
            </w:pPr>
          </w:p>
        </w:tc>
        <w:tc>
          <w:tcPr>
            <w:tcW w:w="794" w:type="dxa"/>
            <w:vMerge/>
            <w:tcBorders>
              <w:top w:val="single" w:sz="8" w:space="0" w:color="000000"/>
              <w:left w:val="single" w:sz="8" w:space="0" w:color="000000"/>
              <w:bottom w:val="single" w:sz="8" w:space="0" w:color="000000"/>
              <w:right w:val="single" w:sz="8" w:space="0" w:color="000000"/>
            </w:tcBorders>
            <w:shd w:val="clear" w:color="auto" w:fill="FFCC99"/>
            <w:vAlign w:val="center"/>
          </w:tcPr>
          <w:p w:rsidR="007B35E0" w:rsidRDefault="007B35E0">
            <w:pPr>
              <w:widowControl w:val="0"/>
              <w:pBdr>
                <w:top w:val="nil"/>
                <w:left w:val="nil"/>
                <w:bottom w:val="nil"/>
                <w:right w:val="nil"/>
                <w:between w:val="nil"/>
              </w:pBdr>
              <w:spacing w:line="276" w:lineRule="auto"/>
              <w:rPr>
                <w:rFonts w:ascii="Arial" w:eastAsia="Arial" w:hAnsi="Arial" w:cs="Arial"/>
                <w:b/>
                <w:sz w:val="16"/>
                <w:szCs w:val="16"/>
              </w:rPr>
            </w:pPr>
          </w:p>
        </w:tc>
        <w:tc>
          <w:tcPr>
            <w:tcW w:w="848" w:type="dxa"/>
            <w:tcBorders>
              <w:top w:val="nil"/>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Inicio</w:t>
            </w:r>
          </w:p>
        </w:tc>
        <w:tc>
          <w:tcPr>
            <w:tcW w:w="376" w:type="dxa"/>
            <w:tcBorders>
              <w:top w:val="nil"/>
              <w:left w:val="nil"/>
              <w:bottom w:val="single" w:sz="8" w:space="0" w:color="000000"/>
              <w:right w:val="nil"/>
            </w:tcBorders>
            <w:shd w:val="clear" w:color="auto" w:fill="FFCC00"/>
            <w:vAlign w:val="center"/>
          </w:tcPr>
          <w:p w:rsidR="007B35E0" w:rsidRDefault="0014507E">
            <w:pPr>
              <w:jc w:val="center"/>
              <w:rPr>
                <w:rFonts w:ascii="Arial" w:eastAsia="Arial" w:hAnsi="Arial" w:cs="Arial"/>
                <w:b/>
                <w:sz w:val="16"/>
                <w:szCs w:val="16"/>
              </w:rPr>
            </w:pPr>
            <w:r>
              <w:rPr>
                <w:rFonts w:ascii="Arial" w:eastAsia="Arial" w:hAnsi="Arial" w:cs="Arial"/>
                <w:b/>
                <w:sz w:val="16"/>
                <w:szCs w:val="16"/>
              </w:rPr>
              <w:t>Fin.</w:t>
            </w:r>
          </w:p>
        </w:tc>
        <w:tc>
          <w:tcPr>
            <w:tcW w:w="418" w:type="dxa"/>
            <w:tcBorders>
              <w:top w:val="nil"/>
              <w:left w:val="single" w:sz="4" w:space="0" w:color="000000"/>
              <w:bottom w:val="single" w:sz="8" w:space="0" w:color="000000"/>
              <w:right w:val="single" w:sz="8" w:space="0" w:color="000000"/>
            </w:tcBorders>
            <w:shd w:val="clear" w:color="auto" w:fill="000000"/>
            <w:vAlign w:val="center"/>
          </w:tcPr>
          <w:p w:rsidR="007B35E0" w:rsidRDefault="0014507E">
            <w:pPr>
              <w:jc w:val="center"/>
              <w:rPr>
                <w:rFonts w:ascii="Arial" w:eastAsia="Arial" w:hAnsi="Arial" w:cs="Arial"/>
                <w:sz w:val="16"/>
                <w:szCs w:val="16"/>
              </w:rPr>
            </w:pPr>
            <w:r>
              <w:rPr>
                <w:rFonts w:ascii="Arial" w:eastAsia="Arial" w:hAnsi="Arial" w:cs="Arial"/>
                <w:sz w:val="16"/>
                <w:szCs w:val="16"/>
              </w:rPr>
              <w:t> </w:t>
            </w:r>
          </w:p>
        </w:tc>
        <w:tc>
          <w:tcPr>
            <w:tcW w:w="160" w:type="dxa"/>
            <w:tcBorders>
              <w:top w:val="nil"/>
              <w:left w:val="single" w:sz="4" w:space="0" w:color="000000"/>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w:t>
            </w:r>
          </w:p>
        </w:tc>
        <w:tc>
          <w:tcPr>
            <w:tcW w:w="180" w:type="dxa"/>
            <w:tcBorders>
              <w:top w:val="nil"/>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w:t>
            </w:r>
          </w:p>
        </w:tc>
        <w:tc>
          <w:tcPr>
            <w:tcW w:w="245" w:type="dxa"/>
            <w:tcBorders>
              <w:top w:val="nil"/>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w:t>
            </w:r>
          </w:p>
        </w:tc>
        <w:tc>
          <w:tcPr>
            <w:tcW w:w="245" w:type="dxa"/>
            <w:tcBorders>
              <w:top w:val="nil"/>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4</w:t>
            </w:r>
          </w:p>
        </w:tc>
        <w:tc>
          <w:tcPr>
            <w:tcW w:w="244" w:type="dxa"/>
            <w:tcBorders>
              <w:top w:val="single" w:sz="8" w:space="0" w:color="000000"/>
              <w:left w:val="single" w:sz="8" w:space="0" w:color="000000"/>
              <w:bottom w:val="single" w:sz="8" w:space="0" w:color="000000"/>
              <w:right w:val="nil"/>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5</w:t>
            </w:r>
          </w:p>
        </w:tc>
        <w:tc>
          <w:tcPr>
            <w:tcW w:w="244" w:type="dxa"/>
            <w:tcBorders>
              <w:top w:val="single" w:sz="8" w:space="0" w:color="000000"/>
              <w:left w:val="single" w:sz="4" w:space="0" w:color="000000"/>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6</w:t>
            </w:r>
          </w:p>
        </w:tc>
        <w:tc>
          <w:tcPr>
            <w:tcW w:w="244"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7</w:t>
            </w:r>
          </w:p>
        </w:tc>
        <w:tc>
          <w:tcPr>
            <w:tcW w:w="244"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8</w:t>
            </w:r>
          </w:p>
        </w:tc>
        <w:tc>
          <w:tcPr>
            <w:tcW w:w="356" w:type="dxa"/>
            <w:gridSpan w:val="2"/>
            <w:tcBorders>
              <w:top w:val="single" w:sz="8" w:space="0" w:color="000000"/>
              <w:left w:val="single" w:sz="8" w:space="0" w:color="000000"/>
              <w:bottom w:val="single" w:sz="8" w:space="0" w:color="000000"/>
              <w:right w:val="single" w:sz="8"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9</w:t>
            </w:r>
          </w:p>
        </w:tc>
        <w:tc>
          <w:tcPr>
            <w:tcW w:w="289" w:type="dxa"/>
            <w:tcBorders>
              <w:top w:val="single" w:sz="8" w:space="0" w:color="000000"/>
              <w:left w:val="single" w:sz="4" w:space="0" w:color="000000"/>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10</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11</w:t>
            </w:r>
          </w:p>
        </w:tc>
        <w:tc>
          <w:tcPr>
            <w:tcW w:w="289" w:type="dxa"/>
            <w:tcBorders>
              <w:top w:val="single" w:sz="8" w:space="0" w:color="000000"/>
              <w:left w:val="nil"/>
              <w:bottom w:val="single" w:sz="8" w:space="0" w:color="000000"/>
              <w:right w:val="single" w:sz="8"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12</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13</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14</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15</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16</w:t>
            </w:r>
          </w:p>
        </w:tc>
        <w:tc>
          <w:tcPr>
            <w:tcW w:w="289" w:type="dxa"/>
            <w:tcBorders>
              <w:top w:val="single" w:sz="8" w:space="0" w:color="000000"/>
              <w:left w:val="single" w:sz="8" w:space="0" w:color="000000"/>
              <w:bottom w:val="single" w:sz="8" w:space="0" w:color="000000"/>
              <w:right w:val="nil"/>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17</w:t>
            </w:r>
          </w:p>
        </w:tc>
        <w:tc>
          <w:tcPr>
            <w:tcW w:w="289" w:type="dxa"/>
            <w:tcBorders>
              <w:top w:val="single" w:sz="8" w:space="0" w:color="000000"/>
              <w:left w:val="single" w:sz="4" w:space="0" w:color="000000"/>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18</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19</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20</w:t>
            </w:r>
          </w:p>
        </w:tc>
        <w:tc>
          <w:tcPr>
            <w:tcW w:w="422" w:type="dxa"/>
            <w:gridSpan w:val="2"/>
            <w:tcBorders>
              <w:top w:val="single" w:sz="8" w:space="0" w:color="000000"/>
              <w:left w:val="single" w:sz="8" w:space="0" w:color="000000"/>
              <w:bottom w:val="single" w:sz="8" w:space="0" w:color="000000"/>
              <w:right w:val="nil"/>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21</w:t>
            </w:r>
          </w:p>
        </w:tc>
        <w:tc>
          <w:tcPr>
            <w:tcW w:w="289" w:type="dxa"/>
            <w:tcBorders>
              <w:top w:val="single" w:sz="8" w:space="0" w:color="000000"/>
              <w:left w:val="single" w:sz="4" w:space="0" w:color="000000"/>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22</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23</w:t>
            </w:r>
          </w:p>
        </w:tc>
        <w:tc>
          <w:tcPr>
            <w:tcW w:w="289" w:type="dxa"/>
            <w:tcBorders>
              <w:top w:val="single" w:sz="8" w:space="0" w:color="000000"/>
              <w:left w:val="nil"/>
              <w:bottom w:val="single" w:sz="8" w:space="0" w:color="000000"/>
              <w:right w:val="single" w:sz="8"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24</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25</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26</w:t>
            </w:r>
          </w:p>
        </w:tc>
        <w:tc>
          <w:tcPr>
            <w:tcW w:w="289" w:type="dxa"/>
            <w:tcBorders>
              <w:top w:val="single" w:sz="8" w:space="0" w:color="000000"/>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28</w:t>
            </w:r>
          </w:p>
        </w:tc>
        <w:tc>
          <w:tcPr>
            <w:tcW w:w="289" w:type="dxa"/>
            <w:tcBorders>
              <w:top w:val="single" w:sz="8" w:space="0" w:color="000000"/>
              <w:left w:val="nil"/>
              <w:bottom w:val="single" w:sz="8" w:space="0" w:color="000000"/>
              <w:right w:val="single" w:sz="8"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29</w:t>
            </w:r>
          </w:p>
        </w:tc>
        <w:tc>
          <w:tcPr>
            <w:tcW w:w="293" w:type="dxa"/>
            <w:tcBorders>
              <w:top w:val="nil"/>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30</w:t>
            </w:r>
          </w:p>
        </w:tc>
        <w:tc>
          <w:tcPr>
            <w:tcW w:w="293" w:type="dxa"/>
            <w:tcBorders>
              <w:top w:val="nil"/>
              <w:left w:val="single" w:sz="8" w:space="0" w:color="000000"/>
              <w:bottom w:val="single" w:sz="8" w:space="0" w:color="000000"/>
              <w:right w:val="nil"/>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31</w:t>
            </w:r>
          </w:p>
        </w:tc>
        <w:tc>
          <w:tcPr>
            <w:tcW w:w="293" w:type="dxa"/>
            <w:tcBorders>
              <w:top w:val="nil"/>
              <w:left w:val="single" w:sz="4" w:space="0" w:color="000000"/>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32</w:t>
            </w:r>
          </w:p>
        </w:tc>
        <w:tc>
          <w:tcPr>
            <w:tcW w:w="293" w:type="dxa"/>
            <w:tcBorders>
              <w:top w:val="nil"/>
              <w:left w:val="nil"/>
              <w:bottom w:val="single" w:sz="8" w:space="0" w:color="000000"/>
              <w:right w:val="single" w:sz="8"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33</w:t>
            </w:r>
          </w:p>
        </w:tc>
        <w:tc>
          <w:tcPr>
            <w:tcW w:w="289" w:type="dxa"/>
            <w:tcBorders>
              <w:top w:val="nil"/>
              <w:left w:val="nil"/>
              <w:bottom w:val="single" w:sz="8" w:space="0" w:color="000000"/>
              <w:right w:val="single" w:sz="4"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34</w:t>
            </w:r>
          </w:p>
        </w:tc>
        <w:tc>
          <w:tcPr>
            <w:tcW w:w="289" w:type="dxa"/>
            <w:tcBorders>
              <w:top w:val="nil"/>
              <w:left w:val="nil"/>
              <w:bottom w:val="single" w:sz="8" w:space="0" w:color="000000"/>
              <w:right w:val="nil"/>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35</w:t>
            </w:r>
          </w:p>
        </w:tc>
        <w:tc>
          <w:tcPr>
            <w:tcW w:w="289" w:type="dxa"/>
            <w:tcBorders>
              <w:top w:val="nil"/>
              <w:left w:val="single" w:sz="4" w:space="0" w:color="000000"/>
              <w:bottom w:val="single" w:sz="8" w:space="0" w:color="000000"/>
              <w:right w:val="nil"/>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36</w:t>
            </w:r>
          </w:p>
        </w:tc>
        <w:tc>
          <w:tcPr>
            <w:tcW w:w="289" w:type="dxa"/>
            <w:tcBorders>
              <w:top w:val="nil"/>
              <w:left w:val="single" w:sz="4" w:space="0" w:color="000000"/>
              <w:bottom w:val="single" w:sz="8" w:space="0" w:color="000000"/>
              <w:right w:val="single" w:sz="8"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37</w:t>
            </w:r>
          </w:p>
        </w:tc>
        <w:tc>
          <w:tcPr>
            <w:tcW w:w="289" w:type="dxa"/>
            <w:tcBorders>
              <w:top w:val="nil"/>
              <w:left w:val="nil"/>
              <w:bottom w:val="single" w:sz="8" w:space="0" w:color="000000"/>
              <w:right w:val="nil"/>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38</w:t>
            </w:r>
          </w:p>
        </w:tc>
        <w:tc>
          <w:tcPr>
            <w:tcW w:w="289" w:type="dxa"/>
            <w:tcBorders>
              <w:top w:val="nil"/>
              <w:left w:val="single" w:sz="4" w:space="0" w:color="000000"/>
              <w:bottom w:val="single" w:sz="8" w:space="0" w:color="000000"/>
              <w:right w:val="nil"/>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39</w:t>
            </w:r>
          </w:p>
        </w:tc>
        <w:tc>
          <w:tcPr>
            <w:tcW w:w="289" w:type="dxa"/>
            <w:tcBorders>
              <w:top w:val="nil"/>
              <w:left w:val="single" w:sz="4" w:space="0" w:color="000000"/>
              <w:bottom w:val="single" w:sz="8" w:space="0" w:color="000000"/>
              <w:right w:val="nil"/>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40</w:t>
            </w:r>
          </w:p>
        </w:tc>
        <w:tc>
          <w:tcPr>
            <w:tcW w:w="289" w:type="dxa"/>
            <w:tcBorders>
              <w:top w:val="nil"/>
              <w:left w:val="single" w:sz="4" w:space="0" w:color="000000"/>
              <w:bottom w:val="nil"/>
              <w:right w:val="single" w:sz="8" w:space="0" w:color="000000"/>
            </w:tcBorders>
            <w:shd w:val="clear" w:color="auto" w:fill="FFCC00"/>
            <w:vAlign w:val="center"/>
          </w:tcPr>
          <w:p w:rsidR="007B35E0" w:rsidRDefault="0014507E">
            <w:pPr>
              <w:jc w:val="center"/>
              <w:rPr>
                <w:rFonts w:ascii="Arial" w:eastAsia="Arial" w:hAnsi="Arial" w:cs="Arial"/>
                <w:sz w:val="16"/>
                <w:szCs w:val="16"/>
              </w:rPr>
            </w:pPr>
            <w:r>
              <w:rPr>
                <w:rFonts w:ascii="Arial" w:eastAsia="Arial" w:hAnsi="Arial" w:cs="Arial"/>
                <w:sz w:val="16"/>
                <w:szCs w:val="16"/>
              </w:rPr>
              <w:t>41</w:t>
            </w:r>
          </w:p>
        </w:tc>
      </w:tr>
      <w:tr w:rsidR="007B35E0">
        <w:trPr>
          <w:trHeight w:val="340"/>
        </w:trPr>
        <w:tc>
          <w:tcPr>
            <w:tcW w:w="1044" w:type="dxa"/>
            <w:tcBorders>
              <w:top w:val="nil"/>
              <w:left w:val="single" w:sz="8" w:space="0" w:color="000000"/>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 xml:space="preserve"> Revisión documental </w:t>
            </w:r>
            <w:proofErr w:type="spellStart"/>
            <w:r>
              <w:rPr>
                <w:rFonts w:ascii="Arial" w:eastAsia="Arial" w:hAnsi="Arial" w:cs="Arial"/>
                <w:sz w:val="18"/>
                <w:szCs w:val="18"/>
              </w:rPr>
              <w:t>siguendo</w:t>
            </w:r>
            <w:proofErr w:type="spellEnd"/>
            <w:r>
              <w:rPr>
                <w:rFonts w:ascii="Arial" w:eastAsia="Arial" w:hAnsi="Arial" w:cs="Arial"/>
                <w:sz w:val="18"/>
                <w:szCs w:val="18"/>
              </w:rPr>
              <w:t xml:space="preserve"> las pautas </w:t>
            </w:r>
            <w:r>
              <w:rPr>
                <w:rFonts w:ascii="Arial" w:eastAsia="Arial" w:hAnsi="Arial" w:cs="Arial"/>
                <w:sz w:val="18"/>
                <w:szCs w:val="18"/>
              </w:rPr>
              <w:lastRenderedPageBreak/>
              <w:t>descritas.</w:t>
            </w:r>
          </w:p>
          <w:p w:rsidR="007B35E0" w:rsidRDefault="0014507E">
            <w:pPr>
              <w:rPr>
                <w:rFonts w:ascii="Arial" w:eastAsia="Arial" w:hAnsi="Arial" w:cs="Arial"/>
                <w:sz w:val="18"/>
                <w:szCs w:val="18"/>
              </w:rPr>
            </w:pPr>
            <w:r>
              <w:rPr>
                <w:rFonts w:ascii="Arial" w:eastAsia="Arial" w:hAnsi="Arial" w:cs="Arial"/>
                <w:sz w:val="18"/>
                <w:szCs w:val="18"/>
              </w:rPr>
              <w:t>Esto corresponde al primer objetivo.</w:t>
            </w:r>
          </w:p>
        </w:tc>
        <w:tc>
          <w:tcPr>
            <w:tcW w:w="794" w:type="dxa"/>
            <w:tcBorders>
              <w:top w:val="nil"/>
              <w:left w:val="nil"/>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lastRenderedPageBreak/>
              <w:t> Todos los investigadores</w:t>
            </w:r>
          </w:p>
        </w:tc>
        <w:tc>
          <w:tcPr>
            <w:tcW w:w="848" w:type="dxa"/>
            <w:tcBorders>
              <w:top w:val="single" w:sz="8" w:space="0" w:color="000000"/>
              <w:left w:val="single" w:sz="8" w:space="0" w:color="000000"/>
              <w:bottom w:val="nil"/>
              <w:right w:val="single" w:sz="8" w:space="0" w:color="000000"/>
            </w:tcBorders>
            <w:shd w:val="clear" w:color="auto" w:fill="C0C0C0"/>
            <w:vAlign w:val="center"/>
          </w:tcPr>
          <w:p w:rsidR="007B35E0" w:rsidRDefault="0014507E">
            <w:pPr>
              <w:jc w:val="center"/>
              <w:rPr>
                <w:rFonts w:ascii="Arial" w:eastAsia="Arial" w:hAnsi="Arial" w:cs="Arial"/>
                <w:b/>
                <w:sz w:val="18"/>
                <w:szCs w:val="18"/>
              </w:rPr>
            </w:pPr>
            <w:r>
              <w:rPr>
                <w:rFonts w:ascii="Arial" w:eastAsia="Arial" w:hAnsi="Arial" w:cs="Arial"/>
                <w:b/>
                <w:sz w:val="18"/>
                <w:szCs w:val="18"/>
              </w:rPr>
              <w:t> </w:t>
            </w:r>
          </w:p>
        </w:tc>
        <w:tc>
          <w:tcPr>
            <w:tcW w:w="376" w:type="dxa"/>
            <w:tcBorders>
              <w:top w:val="nil"/>
              <w:left w:val="nil"/>
              <w:bottom w:val="nil"/>
              <w:right w:val="nil"/>
            </w:tcBorders>
            <w:shd w:val="clear" w:color="auto" w:fill="FF8080"/>
            <w:vAlign w:val="center"/>
          </w:tcPr>
          <w:p w:rsidR="007B35E0" w:rsidRDefault="007B35E0">
            <w:pPr>
              <w:jc w:val="center"/>
              <w:rPr>
                <w:rFonts w:ascii="Arial" w:eastAsia="Arial" w:hAnsi="Arial" w:cs="Arial"/>
                <w:b/>
                <w:sz w:val="18"/>
                <w:szCs w:val="18"/>
              </w:rPr>
            </w:pPr>
          </w:p>
        </w:tc>
        <w:tc>
          <w:tcPr>
            <w:tcW w:w="418" w:type="dxa"/>
            <w:tcBorders>
              <w:top w:val="nil"/>
              <w:left w:val="single" w:sz="4" w:space="0" w:color="000000"/>
              <w:bottom w:val="nil"/>
              <w:right w:val="single" w:sz="4" w:space="0" w:color="000000"/>
            </w:tcBorders>
            <w:shd w:val="clear" w:color="auto" w:fill="000000"/>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60" w:type="dxa"/>
            <w:tcBorders>
              <w:top w:val="nil"/>
              <w:left w:val="single" w:sz="8" w:space="0" w:color="000000"/>
              <w:bottom w:val="single" w:sz="4" w:space="0" w:color="000000"/>
              <w:right w:val="nil"/>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x</w:t>
            </w:r>
          </w:p>
        </w:tc>
        <w:tc>
          <w:tcPr>
            <w:tcW w:w="180"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45" w:type="dxa"/>
            <w:tcBorders>
              <w:top w:val="nil"/>
              <w:left w:val="single" w:sz="4" w:space="0" w:color="000000"/>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45" w:type="dxa"/>
            <w:tcBorders>
              <w:top w:val="nil"/>
              <w:left w:val="nil"/>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44"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44" w:type="dxa"/>
            <w:tcBorders>
              <w:top w:val="nil"/>
              <w:left w:val="single" w:sz="4" w:space="0" w:color="000000"/>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44"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44" w:type="dxa"/>
            <w:tcBorders>
              <w:top w:val="nil"/>
              <w:left w:val="nil"/>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356" w:type="dxa"/>
            <w:gridSpan w:val="2"/>
            <w:tcBorders>
              <w:top w:val="single" w:sz="8" w:space="0" w:color="000000"/>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422" w:type="dxa"/>
            <w:gridSpan w:val="2"/>
            <w:tcBorders>
              <w:top w:val="single" w:sz="8" w:space="0" w:color="000000"/>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single" w:sz="8" w:space="0" w:color="000000"/>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r>
      <w:tr w:rsidR="007B35E0">
        <w:trPr>
          <w:trHeight w:val="320"/>
        </w:trPr>
        <w:tc>
          <w:tcPr>
            <w:tcW w:w="1044" w:type="dxa"/>
            <w:tcBorders>
              <w:top w:val="nil"/>
              <w:left w:val="single" w:sz="8" w:space="0" w:color="000000"/>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 Salidas de campo</w:t>
            </w:r>
          </w:p>
          <w:p w:rsidR="007B35E0" w:rsidRDefault="0014507E">
            <w:pPr>
              <w:rPr>
                <w:rFonts w:ascii="Arial" w:eastAsia="Arial" w:hAnsi="Arial" w:cs="Arial"/>
                <w:sz w:val="18"/>
                <w:szCs w:val="18"/>
              </w:rPr>
            </w:pPr>
            <w:r>
              <w:rPr>
                <w:rFonts w:ascii="Arial" w:eastAsia="Arial" w:hAnsi="Arial" w:cs="Arial"/>
                <w:sz w:val="18"/>
                <w:szCs w:val="18"/>
              </w:rPr>
              <w:t>Corresponde al segundo Objetivo.</w:t>
            </w:r>
          </w:p>
        </w:tc>
        <w:tc>
          <w:tcPr>
            <w:tcW w:w="794" w:type="dxa"/>
            <w:tcBorders>
              <w:top w:val="nil"/>
              <w:left w:val="nil"/>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 Todos los investigadores</w:t>
            </w:r>
          </w:p>
        </w:tc>
        <w:tc>
          <w:tcPr>
            <w:tcW w:w="848" w:type="dxa"/>
            <w:tcBorders>
              <w:top w:val="single" w:sz="4" w:space="0" w:color="000000"/>
              <w:left w:val="single" w:sz="8" w:space="0" w:color="000000"/>
              <w:bottom w:val="single" w:sz="4" w:space="0" w:color="000000"/>
              <w:right w:val="single" w:sz="8" w:space="0" w:color="000000"/>
            </w:tcBorders>
            <w:shd w:val="clear" w:color="auto" w:fill="C0C0C0"/>
            <w:vAlign w:val="center"/>
          </w:tcPr>
          <w:p w:rsidR="007B35E0" w:rsidRDefault="0014507E">
            <w:pPr>
              <w:jc w:val="center"/>
              <w:rPr>
                <w:rFonts w:ascii="Arial" w:eastAsia="Arial" w:hAnsi="Arial" w:cs="Arial"/>
                <w:b/>
                <w:sz w:val="18"/>
                <w:szCs w:val="18"/>
              </w:rPr>
            </w:pPr>
            <w:r>
              <w:rPr>
                <w:rFonts w:ascii="Arial" w:eastAsia="Arial" w:hAnsi="Arial" w:cs="Arial"/>
                <w:b/>
                <w:sz w:val="18"/>
                <w:szCs w:val="18"/>
              </w:rPr>
              <w:t> </w:t>
            </w:r>
          </w:p>
        </w:tc>
        <w:tc>
          <w:tcPr>
            <w:tcW w:w="376" w:type="dxa"/>
            <w:tcBorders>
              <w:top w:val="single" w:sz="4" w:space="0" w:color="000000"/>
              <w:left w:val="nil"/>
              <w:bottom w:val="single" w:sz="4" w:space="0" w:color="000000"/>
              <w:right w:val="single" w:sz="4" w:space="0" w:color="000000"/>
            </w:tcBorders>
            <w:shd w:val="clear" w:color="auto" w:fill="FF8080"/>
            <w:vAlign w:val="center"/>
          </w:tcPr>
          <w:p w:rsidR="007B35E0" w:rsidRDefault="0014507E">
            <w:pPr>
              <w:jc w:val="center"/>
              <w:rPr>
                <w:rFonts w:ascii="Arial" w:eastAsia="Arial" w:hAnsi="Arial" w:cs="Arial"/>
                <w:b/>
                <w:sz w:val="18"/>
                <w:szCs w:val="18"/>
              </w:rPr>
            </w:pPr>
            <w:r>
              <w:rPr>
                <w:rFonts w:ascii="Arial" w:eastAsia="Arial" w:hAnsi="Arial" w:cs="Arial"/>
                <w:b/>
                <w:sz w:val="18"/>
                <w:szCs w:val="18"/>
              </w:rPr>
              <w:t> </w:t>
            </w:r>
          </w:p>
        </w:tc>
        <w:tc>
          <w:tcPr>
            <w:tcW w:w="418" w:type="dxa"/>
            <w:tcBorders>
              <w:top w:val="nil"/>
              <w:left w:val="single" w:sz="4" w:space="0" w:color="000000"/>
              <w:bottom w:val="nil"/>
              <w:right w:val="single" w:sz="4" w:space="0" w:color="000000"/>
            </w:tcBorders>
            <w:shd w:val="clear" w:color="auto" w:fill="000000"/>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60" w:type="dxa"/>
            <w:tcBorders>
              <w:top w:val="nil"/>
              <w:left w:val="single" w:sz="8"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80"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5"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5"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tc>
        <w:tc>
          <w:tcPr>
            <w:tcW w:w="293"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r>
      <w:tr w:rsidR="007B35E0">
        <w:trPr>
          <w:trHeight w:val="320"/>
        </w:trPr>
        <w:tc>
          <w:tcPr>
            <w:tcW w:w="1044" w:type="dxa"/>
            <w:tcBorders>
              <w:top w:val="nil"/>
              <w:left w:val="single" w:sz="8" w:space="0" w:color="000000"/>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 Análisis y discusión  de información</w:t>
            </w:r>
          </w:p>
          <w:p w:rsidR="007B35E0" w:rsidRDefault="0014507E">
            <w:pPr>
              <w:rPr>
                <w:rFonts w:ascii="Arial" w:eastAsia="Arial" w:hAnsi="Arial" w:cs="Arial"/>
                <w:sz w:val="18"/>
                <w:szCs w:val="18"/>
              </w:rPr>
            </w:pPr>
            <w:r>
              <w:rPr>
                <w:rFonts w:ascii="Arial" w:eastAsia="Arial" w:hAnsi="Arial" w:cs="Arial"/>
                <w:sz w:val="18"/>
                <w:szCs w:val="18"/>
              </w:rPr>
              <w:t xml:space="preserve">Corresponde al segundo objetivo. </w:t>
            </w:r>
          </w:p>
        </w:tc>
        <w:tc>
          <w:tcPr>
            <w:tcW w:w="794" w:type="dxa"/>
            <w:tcBorders>
              <w:top w:val="nil"/>
              <w:left w:val="nil"/>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 </w:t>
            </w:r>
          </w:p>
        </w:tc>
        <w:tc>
          <w:tcPr>
            <w:tcW w:w="848" w:type="dxa"/>
            <w:tcBorders>
              <w:top w:val="single" w:sz="4" w:space="0" w:color="000000"/>
              <w:left w:val="single" w:sz="8" w:space="0" w:color="000000"/>
              <w:bottom w:val="single" w:sz="4" w:space="0" w:color="000000"/>
              <w:right w:val="single" w:sz="8" w:space="0" w:color="000000"/>
            </w:tcBorders>
            <w:shd w:val="clear" w:color="auto" w:fill="C0C0C0"/>
            <w:vAlign w:val="center"/>
          </w:tcPr>
          <w:p w:rsidR="007B35E0" w:rsidRDefault="0014507E">
            <w:pPr>
              <w:jc w:val="center"/>
              <w:rPr>
                <w:rFonts w:ascii="Arial" w:eastAsia="Arial" w:hAnsi="Arial" w:cs="Arial"/>
                <w:b/>
                <w:sz w:val="18"/>
                <w:szCs w:val="18"/>
              </w:rPr>
            </w:pPr>
            <w:r>
              <w:rPr>
                <w:rFonts w:ascii="Arial" w:eastAsia="Arial" w:hAnsi="Arial" w:cs="Arial"/>
                <w:b/>
                <w:sz w:val="18"/>
                <w:szCs w:val="18"/>
              </w:rPr>
              <w:t> </w:t>
            </w:r>
          </w:p>
        </w:tc>
        <w:tc>
          <w:tcPr>
            <w:tcW w:w="376" w:type="dxa"/>
            <w:tcBorders>
              <w:top w:val="single" w:sz="4" w:space="0" w:color="000000"/>
              <w:left w:val="nil"/>
              <w:bottom w:val="single" w:sz="4" w:space="0" w:color="000000"/>
              <w:right w:val="single" w:sz="4" w:space="0" w:color="000000"/>
            </w:tcBorders>
            <w:shd w:val="clear" w:color="auto" w:fill="FF8080"/>
            <w:vAlign w:val="center"/>
          </w:tcPr>
          <w:p w:rsidR="007B35E0" w:rsidRDefault="0014507E">
            <w:pPr>
              <w:jc w:val="center"/>
              <w:rPr>
                <w:rFonts w:ascii="Arial" w:eastAsia="Arial" w:hAnsi="Arial" w:cs="Arial"/>
                <w:b/>
                <w:sz w:val="18"/>
                <w:szCs w:val="18"/>
              </w:rPr>
            </w:pPr>
            <w:r>
              <w:rPr>
                <w:rFonts w:ascii="Arial" w:eastAsia="Arial" w:hAnsi="Arial" w:cs="Arial"/>
                <w:b/>
                <w:sz w:val="18"/>
                <w:szCs w:val="18"/>
              </w:rPr>
              <w:t> </w:t>
            </w:r>
          </w:p>
        </w:tc>
        <w:tc>
          <w:tcPr>
            <w:tcW w:w="418" w:type="dxa"/>
            <w:tcBorders>
              <w:top w:val="nil"/>
              <w:left w:val="single" w:sz="4" w:space="0" w:color="000000"/>
              <w:bottom w:val="nil"/>
              <w:right w:val="single" w:sz="4" w:space="0" w:color="000000"/>
            </w:tcBorders>
            <w:shd w:val="clear" w:color="auto" w:fill="000000"/>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60" w:type="dxa"/>
            <w:tcBorders>
              <w:top w:val="nil"/>
              <w:left w:val="single" w:sz="8"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80"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5"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5"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93"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r>
      <w:tr w:rsidR="007B35E0">
        <w:trPr>
          <w:trHeight w:val="320"/>
        </w:trPr>
        <w:tc>
          <w:tcPr>
            <w:tcW w:w="1044" w:type="dxa"/>
            <w:tcBorders>
              <w:top w:val="nil"/>
              <w:left w:val="single" w:sz="8" w:space="0" w:color="000000"/>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 Diseño y socialización de la propuesta</w:t>
            </w:r>
          </w:p>
          <w:p w:rsidR="007B35E0" w:rsidRDefault="007B35E0">
            <w:pPr>
              <w:rPr>
                <w:rFonts w:ascii="Arial" w:eastAsia="Arial" w:hAnsi="Arial" w:cs="Arial"/>
                <w:sz w:val="18"/>
                <w:szCs w:val="18"/>
              </w:rPr>
            </w:pPr>
          </w:p>
          <w:p w:rsidR="007B35E0" w:rsidRDefault="0014507E">
            <w:pPr>
              <w:rPr>
                <w:rFonts w:ascii="Arial" w:eastAsia="Arial" w:hAnsi="Arial" w:cs="Arial"/>
                <w:sz w:val="18"/>
                <w:szCs w:val="18"/>
              </w:rPr>
            </w:pPr>
            <w:r>
              <w:rPr>
                <w:rFonts w:ascii="Arial" w:eastAsia="Arial" w:hAnsi="Arial" w:cs="Arial"/>
                <w:sz w:val="18"/>
                <w:szCs w:val="18"/>
              </w:rPr>
              <w:t>Corresponde al tercer objetivo</w:t>
            </w:r>
          </w:p>
        </w:tc>
        <w:tc>
          <w:tcPr>
            <w:tcW w:w="794" w:type="dxa"/>
            <w:tcBorders>
              <w:top w:val="nil"/>
              <w:left w:val="nil"/>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 </w:t>
            </w:r>
          </w:p>
        </w:tc>
        <w:tc>
          <w:tcPr>
            <w:tcW w:w="848" w:type="dxa"/>
            <w:tcBorders>
              <w:top w:val="single" w:sz="4" w:space="0" w:color="000000"/>
              <w:left w:val="single" w:sz="8" w:space="0" w:color="000000"/>
              <w:bottom w:val="single" w:sz="4" w:space="0" w:color="000000"/>
              <w:right w:val="single" w:sz="8" w:space="0" w:color="000000"/>
            </w:tcBorders>
            <w:shd w:val="clear" w:color="auto" w:fill="C0C0C0"/>
            <w:vAlign w:val="center"/>
          </w:tcPr>
          <w:p w:rsidR="007B35E0" w:rsidRDefault="0014507E">
            <w:pPr>
              <w:jc w:val="center"/>
              <w:rPr>
                <w:rFonts w:ascii="Arial" w:eastAsia="Arial" w:hAnsi="Arial" w:cs="Arial"/>
                <w:b/>
                <w:sz w:val="18"/>
                <w:szCs w:val="18"/>
              </w:rPr>
            </w:pPr>
            <w:r>
              <w:rPr>
                <w:rFonts w:ascii="Arial" w:eastAsia="Arial" w:hAnsi="Arial" w:cs="Arial"/>
                <w:b/>
                <w:sz w:val="18"/>
                <w:szCs w:val="18"/>
              </w:rPr>
              <w:t> </w:t>
            </w:r>
          </w:p>
        </w:tc>
        <w:tc>
          <w:tcPr>
            <w:tcW w:w="376" w:type="dxa"/>
            <w:tcBorders>
              <w:top w:val="single" w:sz="4" w:space="0" w:color="000000"/>
              <w:left w:val="nil"/>
              <w:bottom w:val="single" w:sz="4" w:space="0" w:color="000000"/>
              <w:right w:val="single" w:sz="4" w:space="0" w:color="000000"/>
            </w:tcBorders>
            <w:shd w:val="clear" w:color="auto" w:fill="FF8080"/>
            <w:vAlign w:val="center"/>
          </w:tcPr>
          <w:p w:rsidR="007B35E0" w:rsidRDefault="0014507E">
            <w:pPr>
              <w:jc w:val="center"/>
              <w:rPr>
                <w:rFonts w:ascii="Arial" w:eastAsia="Arial" w:hAnsi="Arial" w:cs="Arial"/>
                <w:b/>
                <w:sz w:val="18"/>
                <w:szCs w:val="18"/>
              </w:rPr>
            </w:pPr>
            <w:r>
              <w:rPr>
                <w:rFonts w:ascii="Arial" w:eastAsia="Arial" w:hAnsi="Arial" w:cs="Arial"/>
                <w:b/>
                <w:sz w:val="18"/>
                <w:szCs w:val="18"/>
              </w:rPr>
              <w:t> </w:t>
            </w:r>
          </w:p>
        </w:tc>
        <w:tc>
          <w:tcPr>
            <w:tcW w:w="418" w:type="dxa"/>
            <w:tcBorders>
              <w:top w:val="nil"/>
              <w:left w:val="single" w:sz="4" w:space="0" w:color="000000"/>
              <w:bottom w:val="nil"/>
              <w:right w:val="single" w:sz="4" w:space="0" w:color="000000"/>
            </w:tcBorders>
            <w:shd w:val="clear" w:color="auto" w:fill="000000"/>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60" w:type="dxa"/>
            <w:tcBorders>
              <w:top w:val="nil"/>
              <w:left w:val="single" w:sz="8"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80"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5"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5"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93"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93"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93"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93"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x</w:t>
            </w:r>
          </w:p>
        </w:tc>
        <w:tc>
          <w:tcPr>
            <w:tcW w:w="289"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r>
      <w:tr w:rsidR="007B35E0">
        <w:trPr>
          <w:trHeight w:val="320"/>
        </w:trPr>
        <w:tc>
          <w:tcPr>
            <w:tcW w:w="1044" w:type="dxa"/>
            <w:tcBorders>
              <w:top w:val="nil"/>
              <w:left w:val="single" w:sz="8" w:space="0" w:color="000000"/>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 xml:space="preserve"> Elaboración de  producción escrita. </w:t>
            </w:r>
          </w:p>
          <w:p w:rsidR="007B35E0" w:rsidRDefault="0014507E">
            <w:pPr>
              <w:rPr>
                <w:rFonts w:ascii="Arial" w:eastAsia="Arial" w:hAnsi="Arial" w:cs="Arial"/>
                <w:sz w:val="18"/>
                <w:szCs w:val="18"/>
              </w:rPr>
            </w:pPr>
            <w:r>
              <w:rPr>
                <w:rFonts w:ascii="Arial" w:eastAsia="Arial" w:hAnsi="Arial" w:cs="Arial"/>
                <w:sz w:val="18"/>
                <w:szCs w:val="18"/>
              </w:rPr>
              <w:t xml:space="preserve">Corresponde al tercer objetivo. </w:t>
            </w:r>
          </w:p>
        </w:tc>
        <w:tc>
          <w:tcPr>
            <w:tcW w:w="794" w:type="dxa"/>
            <w:tcBorders>
              <w:top w:val="nil"/>
              <w:left w:val="nil"/>
              <w:bottom w:val="single" w:sz="4" w:space="0" w:color="000000"/>
              <w:right w:val="single" w:sz="8" w:space="0" w:color="000000"/>
            </w:tcBorders>
            <w:shd w:val="clear" w:color="auto" w:fill="auto"/>
            <w:vAlign w:val="center"/>
          </w:tcPr>
          <w:p w:rsidR="007B35E0" w:rsidRDefault="0014507E">
            <w:pPr>
              <w:rPr>
                <w:rFonts w:ascii="Arial" w:eastAsia="Arial" w:hAnsi="Arial" w:cs="Arial"/>
                <w:sz w:val="18"/>
                <w:szCs w:val="18"/>
              </w:rPr>
            </w:pPr>
            <w:r>
              <w:rPr>
                <w:rFonts w:ascii="Arial" w:eastAsia="Arial" w:hAnsi="Arial" w:cs="Arial"/>
                <w:sz w:val="18"/>
                <w:szCs w:val="18"/>
              </w:rPr>
              <w:t> </w:t>
            </w:r>
          </w:p>
        </w:tc>
        <w:tc>
          <w:tcPr>
            <w:tcW w:w="848" w:type="dxa"/>
            <w:tcBorders>
              <w:top w:val="single" w:sz="4" w:space="0" w:color="000000"/>
              <w:left w:val="single" w:sz="8" w:space="0" w:color="000000"/>
              <w:bottom w:val="single" w:sz="4" w:space="0" w:color="000000"/>
              <w:right w:val="single" w:sz="8" w:space="0" w:color="000000"/>
            </w:tcBorders>
            <w:shd w:val="clear" w:color="auto" w:fill="C0C0C0"/>
            <w:vAlign w:val="center"/>
          </w:tcPr>
          <w:p w:rsidR="007B35E0" w:rsidRDefault="0014507E">
            <w:pPr>
              <w:jc w:val="center"/>
              <w:rPr>
                <w:rFonts w:ascii="Arial" w:eastAsia="Arial" w:hAnsi="Arial" w:cs="Arial"/>
                <w:b/>
                <w:sz w:val="18"/>
                <w:szCs w:val="18"/>
              </w:rPr>
            </w:pPr>
            <w:r>
              <w:rPr>
                <w:rFonts w:ascii="Arial" w:eastAsia="Arial" w:hAnsi="Arial" w:cs="Arial"/>
                <w:b/>
                <w:sz w:val="18"/>
                <w:szCs w:val="18"/>
              </w:rPr>
              <w:t> </w:t>
            </w:r>
          </w:p>
        </w:tc>
        <w:tc>
          <w:tcPr>
            <w:tcW w:w="376" w:type="dxa"/>
            <w:tcBorders>
              <w:top w:val="single" w:sz="4" w:space="0" w:color="000000"/>
              <w:left w:val="nil"/>
              <w:bottom w:val="single" w:sz="4" w:space="0" w:color="000000"/>
              <w:right w:val="single" w:sz="4" w:space="0" w:color="000000"/>
            </w:tcBorders>
            <w:shd w:val="clear" w:color="auto" w:fill="FF8080"/>
            <w:vAlign w:val="center"/>
          </w:tcPr>
          <w:p w:rsidR="007B35E0" w:rsidRDefault="0014507E">
            <w:pPr>
              <w:jc w:val="center"/>
              <w:rPr>
                <w:rFonts w:ascii="Arial" w:eastAsia="Arial" w:hAnsi="Arial" w:cs="Arial"/>
                <w:b/>
                <w:sz w:val="18"/>
                <w:szCs w:val="18"/>
              </w:rPr>
            </w:pPr>
            <w:r>
              <w:rPr>
                <w:rFonts w:ascii="Arial" w:eastAsia="Arial" w:hAnsi="Arial" w:cs="Arial"/>
                <w:b/>
                <w:sz w:val="18"/>
                <w:szCs w:val="18"/>
              </w:rPr>
              <w:t> </w:t>
            </w:r>
          </w:p>
        </w:tc>
        <w:tc>
          <w:tcPr>
            <w:tcW w:w="418" w:type="dxa"/>
            <w:tcBorders>
              <w:top w:val="nil"/>
              <w:left w:val="single" w:sz="4" w:space="0" w:color="000000"/>
              <w:bottom w:val="nil"/>
              <w:right w:val="single" w:sz="4" w:space="0" w:color="000000"/>
            </w:tcBorders>
            <w:shd w:val="clear" w:color="auto" w:fill="000000"/>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60" w:type="dxa"/>
            <w:tcBorders>
              <w:top w:val="nil"/>
              <w:left w:val="single" w:sz="8"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80"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5"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5"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44"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178"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tc>
        <w:tc>
          <w:tcPr>
            <w:tcW w:w="178"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44"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single" w:sz="4" w:space="0" w:color="000000"/>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tc>
        <w:tc>
          <w:tcPr>
            <w:tcW w:w="293"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93"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93"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tc>
        <w:tc>
          <w:tcPr>
            <w:tcW w:w="293" w:type="dxa"/>
            <w:tcBorders>
              <w:top w:val="nil"/>
              <w:left w:val="single" w:sz="4" w:space="0" w:color="000000"/>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7B35E0">
            <w:pPr>
              <w:jc w:val="center"/>
              <w:rPr>
                <w:rFonts w:ascii="Arial" w:eastAsia="Arial" w:hAnsi="Arial" w:cs="Arial"/>
                <w:sz w:val="18"/>
                <w:szCs w:val="18"/>
              </w:rPr>
            </w:pPr>
          </w:p>
        </w:tc>
        <w:tc>
          <w:tcPr>
            <w:tcW w:w="289" w:type="dxa"/>
            <w:tcBorders>
              <w:top w:val="nil"/>
              <w:left w:val="nil"/>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nil"/>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7B35E0">
            <w:pPr>
              <w:jc w:val="center"/>
              <w:rPr>
                <w:rFonts w:ascii="Arial" w:eastAsia="Arial" w:hAnsi="Arial" w:cs="Arial"/>
                <w:sz w:val="18"/>
                <w:szCs w:val="18"/>
              </w:rPr>
            </w:pPr>
          </w:p>
          <w:p w:rsidR="007B35E0" w:rsidRDefault="0014507E">
            <w:pPr>
              <w:jc w:val="center"/>
              <w:rPr>
                <w:rFonts w:ascii="Arial" w:eastAsia="Arial" w:hAnsi="Arial" w:cs="Arial"/>
                <w:sz w:val="18"/>
                <w:szCs w:val="18"/>
              </w:rPr>
            </w:pPr>
            <w:r>
              <w:rPr>
                <w:rFonts w:ascii="Arial" w:eastAsia="Arial" w:hAnsi="Arial" w:cs="Arial"/>
                <w:sz w:val="18"/>
                <w:szCs w:val="18"/>
              </w:rPr>
              <w:t>x </w:t>
            </w:r>
          </w:p>
        </w:tc>
        <w:tc>
          <w:tcPr>
            <w:tcW w:w="289" w:type="dxa"/>
            <w:tcBorders>
              <w:top w:val="nil"/>
              <w:left w:val="nil"/>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nil"/>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c>
          <w:tcPr>
            <w:tcW w:w="289" w:type="dxa"/>
            <w:tcBorders>
              <w:top w:val="nil"/>
              <w:left w:val="single" w:sz="4" w:space="0" w:color="000000"/>
              <w:bottom w:val="single" w:sz="4" w:space="0" w:color="000000"/>
              <w:right w:val="single" w:sz="8" w:space="0" w:color="000000"/>
            </w:tcBorders>
            <w:shd w:val="clear" w:color="auto" w:fill="auto"/>
            <w:vAlign w:val="center"/>
          </w:tcPr>
          <w:p w:rsidR="007B35E0" w:rsidRDefault="0014507E">
            <w:pPr>
              <w:jc w:val="center"/>
              <w:rPr>
                <w:rFonts w:ascii="Arial" w:eastAsia="Arial" w:hAnsi="Arial" w:cs="Arial"/>
                <w:sz w:val="18"/>
                <w:szCs w:val="18"/>
              </w:rPr>
            </w:pPr>
            <w:r>
              <w:rPr>
                <w:rFonts w:ascii="Arial" w:eastAsia="Arial" w:hAnsi="Arial" w:cs="Arial"/>
                <w:sz w:val="18"/>
                <w:szCs w:val="18"/>
              </w:rPr>
              <w:t> </w:t>
            </w:r>
          </w:p>
        </w:tc>
      </w:tr>
    </w:tbl>
    <w:p w:rsidR="007B35E0" w:rsidRDefault="007B35E0">
      <w:pPr>
        <w:spacing w:after="0" w:line="240" w:lineRule="auto"/>
        <w:rPr>
          <w:rFonts w:ascii="Arial" w:eastAsia="Arial" w:hAnsi="Arial" w:cs="Arial"/>
        </w:rPr>
      </w:pPr>
    </w:p>
    <w:tbl>
      <w:tblPr>
        <w:tblStyle w:val="af7"/>
        <w:tblW w:w="1470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55"/>
        <w:gridCol w:w="2455"/>
        <w:gridCol w:w="2456"/>
        <w:gridCol w:w="2456"/>
        <w:gridCol w:w="2442"/>
        <w:gridCol w:w="2442"/>
      </w:tblGrid>
      <w:tr w:rsidR="007B35E0">
        <w:trPr>
          <w:trHeight w:val="500"/>
        </w:trPr>
        <w:tc>
          <w:tcPr>
            <w:tcW w:w="2455" w:type="dxa"/>
            <w:tcBorders>
              <w:top w:val="single" w:sz="8" w:space="0" w:color="DDDDDD"/>
              <w:left w:val="single" w:sz="8" w:space="0" w:color="DDDDDD"/>
              <w:bottom w:val="single" w:sz="8" w:space="0" w:color="DDDDDD"/>
              <w:right w:val="single" w:sz="8" w:space="0" w:color="DDDDDD"/>
            </w:tcBorders>
            <w:shd w:val="clear" w:color="auto" w:fill="F3F3F3"/>
            <w:tcMar>
              <w:top w:w="100" w:type="dxa"/>
              <w:left w:w="100" w:type="dxa"/>
              <w:bottom w:w="100" w:type="dxa"/>
              <w:right w:w="10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lastRenderedPageBreak/>
              <w:t xml:space="preserve"> </w:t>
            </w:r>
          </w:p>
        </w:tc>
        <w:tc>
          <w:tcPr>
            <w:tcW w:w="12251" w:type="dxa"/>
            <w:gridSpan w:val="5"/>
            <w:tcBorders>
              <w:top w:val="single" w:sz="8" w:space="0" w:color="DDDDDD"/>
              <w:left w:val="nil"/>
              <w:bottom w:val="single" w:sz="8" w:space="0" w:color="DDDDDD"/>
              <w:right w:val="single" w:sz="8" w:space="0" w:color="DDDDDD"/>
            </w:tcBorders>
            <w:shd w:val="clear" w:color="auto" w:fill="F3F3F3"/>
            <w:tcMar>
              <w:top w:w="20" w:type="dxa"/>
              <w:left w:w="20" w:type="dxa"/>
              <w:bottom w:w="20" w:type="dxa"/>
              <w:right w:w="2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t>Presupuesto</w:t>
            </w:r>
          </w:p>
        </w:tc>
      </w:tr>
      <w:tr w:rsidR="007B35E0">
        <w:trPr>
          <w:trHeight w:val="500"/>
        </w:trPr>
        <w:tc>
          <w:tcPr>
            <w:tcW w:w="2455" w:type="dxa"/>
            <w:tcBorders>
              <w:top w:val="nil"/>
              <w:left w:val="single" w:sz="8" w:space="0" w:color="DDDDDD"/>
              <w:bottom w:val="single" w:sz="8" w:space="0" w:color="DDDDDD"/>
              <w:right w:val="single" w:sz="8" w:space="0" w:color="DDDDDD"/>
            </w:tcBorders>
            <w:shd w:val="clear" w:color="auto" w:fill="F3F3F3"/>
            <w:tcMar>
              <w:top w:w="100" w:type="dxa"/>
              <w:left w:w="100" w:type="dxa"/>
              <w:bottom w:w="100" w:type="dxa"/>
              <w:right w:w="10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t xml:space="preserve"> </w:t>
            </w:r>
          </w:p>
        </w:tc>
        <w:tc>
          <w:tcPr>
            <w:tcW w:w="12251" w:type="dxa"/>
            <w:gridSpan w:val="5"/>
            <w:tcBorders>
              <w:top w:val="nil"/>
              <w:left w:val="nil"/>
              <w:bottom w:val="single" w:sz="8" w:space="0" w:color="DDDDDD"/>
              <w:right w:val="single" w:sz="8" w:space="0" w:color="DDDDDD"/>
            </w:tcBorders>
            <w:shd w:val="clear" w:color="auto" w:fill="F3F3F3"/>
            <w:tcMar>
              <w:top w:w="20" w:type="dxa"/>
              <w:left w:w="20" w:type="dxa"/>
              <w:bottom w:w="20" w:type="dxa"/>
              <w:right w:w="2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t>Horas nómina</w:t>
            </w:r>
          </w:p>
        </w:tc>
      </w:tr>
      <w:tr w:rsidR="007B35E0">
        <w:trPr>
          <w:trHeight w:val="780"/>
        </w:trPr>
        <w:tc>
          <w:tcPr>
            <w:tcW w:w="2455" w:type="dxa"/>
            <w:tcBorders>
              <w:top w:val="nil"/>
              <w:left w:val="single" w:sz="8" w:space="0" w:color="DDDDDD"/>
              <w:bottom w:val="single" w:sz="8" w:space="0" w:color="DDDDDD"/>
              <w:right w:val="single" w:sz="8" w:space="0" w:color="DDDDDD"/>
            </w:tcBorders>
            <w:shd w:val="clear" w:color="auto" w:fill="F3F3F3"/>
            <w:tcMar>
              <w:top w:w="20" w:type="dxa"/>
              <w:left w:w="20" w:type="dxa"/>
              <w:bottom w:w="20" w:type="dxa"/>
              <w:right w:w="2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t>Concepto</w:t>
            </w:r>
          </w:p>
        </w:tc>
        <w:tc>
          <w:tcPr>
            <w:tcW w:w="2455" w:type="dxa"/>
            <w:tcBorders>
              <w:top w:val="nil"/>
              <w:left w:val="nil"/>
              <w:bottom w:val="single" w:sz="8" w:space="0" w:color="DDDDDD"/>
              <w:right w:val="single" w:sz="8" w:space="0" w:color="DDDDDD"/>
            </w:tcBorders>
            <w:shd w:val="clear" w:color="auto" w:fill="F3F3F3"/>
            <w:tcMar>
              <w:top w:w="20" w:type="dxa"/>
              <w:left w:w="20" w:type="dxa"/>
              <w:bottom w:w="20" w:type="dxa"/>
              <w:right w:w="2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t>Nombre</w:t>
            </w:r>
          </w:p>
        </w:tc>
        <w:tc>
          <w:tcPr>
            <w:tcW w:w="2456" w:type="dxa"/>
            <w:tcBorders>
              <w:top w:val="nil"/>
              <w:left w:val="nil"/>
              <w:bottom w:val="single" w:sz="8" w:space="0" w:color="DDDDDD"/>
              <w:right w:val="single" w:sz="8" w:space="0" w:color="DDDDDD"/>
            </w:tcBorders>
            <w:shd w:val="clear" w:color="auto" w:fill="F3F3F3"/>
            <w:tcMar>
              <w:top w:w="20" w:type="dxa"/>
              <w:left w:w="20" w:type="dxa"/>
              <w:bottom w:w="20" w:type="dxa"/>
              <w:right w:w="2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t>Escalafón</w:t>
            </w:r>
          </w:p>
        </w:tc>
        <w:tc>
          <w:tcPr>
            <w:tcW w:w="2456" w:type="dxa"/>
            <w:tcBorders>
              <w:top w:val="nil"/>
              <w:left w:val="nil"/>
              <w:bottom w:val="single" w:sz="8" w:space="0" w:color="DDDDDD"/>
              <w:right w:val="single" w:sz="8" w:space="0" w:color="DDDDDD"/>
            </w:tcBorders>
            <w:shd w:val="clear" w:color="auto" w:fill="F3F3F3"/>
            <w:tcMar>
              <w:top w:w="20" w:type="dxa"/>
              <w:left w:w="20" w:type="dxa"/>
              <w:bottom w:w="20" w:type="dxa"/>
              <w:right w:w="2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t>Horas mes</w:t>
            </w:r>
          </w:p>
        </w:tc>
        <w:tc>
          <w:tcPr>
            <w:tcW w:w="2442" w:type="dxa"/>
            <w:tcBorders>
              <w:top w:val="nil"/>
              <w:left w:val="nil"/>
              <w:bottom w:val="single" w:sz="8" w:space="0" w:color="DDDDDD"/>
              <w:right w:val="single" w:sz="8" w:space="0" w:color="DDDDDD"/>
            </w:tcBorders>
            <w:shd w:val="clear" w:color="auto" w:fill="F3F3F3"/>
            <w:tcMar>
              <w:top w:w="100" w:type="dxa"/>
              <w:left w:w="100" w:type="dxa"/>
              <w:bottom w:w="100" w:type="dxa"/>
              <w:right w:w="10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t>Sede / Seccional o Externo</w:t>
            </w:r>
          </w:p>
        </w:tc>
        <w:tc>
          <w:tcPr>
            <w:tcW w:w="2442" w:type="dxa"/>
            <w:tcBorders>
              <w:top w:val="nil"/>
              <w:left w:val="nil"/>
              <w:bottom w:val="single" w:sz="8" w:space="0" w:color="DDDDDD"/>
              <w:right w:val="single" w:sz="8" w:space="0" w:color="DDDDDD"/>
            </w:tcBorders>
            <w:shd w:val="clear" w:color="auto" w:fill="F3F3F3"/>
            <w:tcMar>
              <w:top w:w="20" w:type="dxa"/>
              <w:left w:w="20" w:type="dxa"/>
              <w:bottom w:w="20" w:type="dxa"/>
              <w:right w:w="20" w:type="dxa"/>
            </w:tcMar>
          </w:tcPr>
          <w:p w:rsidR="007B35E0" w:rsidRDefault="0014507E">
            <w:pPr>
              <w:ind w:left="100" w:right="100"/>
              <w:jc w:val="center"/>
              <w:rPr>
                <w:rFonts w:ascii="Arial" w:eastAsia="Arial" w:hAnsi="Arial" w:cs="Arial"/>
                <w:b/>
                <w:color w:val="222222"/>
                <w:sz w:val="20"/>
                <w:szCs w:val="20"/>
              </w:rPr>
            </w:pPr>
            <w:r>
              <w:rPr>
                <w:rFonts w:ascii="Arial" w:eastAsia="Arial" w:hAnsi="Arial" w:cs="Arial"/>
                <w:b/>
                <w:color w:val="222222"/>
                <w:sz w:val="20"/>
                <w:szCs w:val="20"/>
              </w:rPr>
              <w:t>Total ($)* según valor hora escalafón de cada sede</w:t>
            </w:r>
          </w:p>
        </w:tc>
      </w:tr>
      <w:tr w:rsidR="007B35E0">
        <w:trPr>
          <w:trHeight w:val="920"/>
        </w:trPr>
        <w:tc>
          <w:tcPr>
            <w:tcW w:w="2455" w:type="dxa"/>
            <w:tcBorders>
              <w:top w:val="nil"/>
              <w:left w:val="single" w:sz="8" w:space="0" w:color="DDDDDD"/>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Horas Nomina (Investigador Principal)</w:t>
            </w:r>
          </w:p>
        </w:tc>
        <w:tc>
          <w:tcPr>
            <w:tcW w:w="2455"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ind w:left="100" w:right="100"/>
              <w:jc w:val="center"/>
              <w:rPr>
                <w:rFonts w:ascii="Arial" w:eastAsia="Arial" w:hAnsi="Arial" w:cs="Arial"/>
                <w:color w:val="222222"/>
                <w:sz w:val="20"/>
                <w:szCs w:val="20"/>
              </w:rPr>
            </w:pPr>
          </w:p>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 Andrés Ricardo Inampués Borda</w:t>
            </w:r>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ind w:left="100" w:right="100"/>
              <w:jc w:val="center"/>
              <w:rPr>
                <w:rFonts w:ascii="Arial" w:eastAsia="Arial" w:hAnsi="Arial" w:cs="Arial"/>
                <w:color w:val="222222"/>
                <w:sz w:val="20"/>
                <w:szCs w:val="20"/>
              </w:rPr>
            </w:pPr>
          </w:p>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 3</w:t>
            </w:r>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ind w:left="100" w:right="100"/>
              <w:jc w:val="center"/>
              <w:rPr>
                <w:rFonts w:ascii="Arial" w:eastAsia="Arial" w:hAnsi="Arial" w:cs="Arial"/>
                <w:color w:val="222222"/>
                <w:sz w:val="20"/>
                <w:szCs w:val="20"/>
              </w:rPr>
            </w:pPr>
          </w:p>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 40</w:t>
            </w:r>
          </w:p>
        </w:tc>
        <w:tc>
          <w:tcPr>
            <w:tcW w:w="2442" w:type="dxa"/>
            <w:tcBorders>
              <w:top w:val="nil"/>
              <w:left w:val="nil"/>
              <w:bottom w:val="single" w:sz="8" w:space="0" w:color="DDDDDD"/>
              <w:right w:val="single" w:sz="8" w:space="0" w:color="DDDDDD"/>
            </w:tcBorders>
            <w:shd w:val="clear" w:color="auto" w:fill="auto"/>
            <w:tcMar>
              <w:top w:w="100" w:type="dxa"/>
              <w:left w:w="100" w:type="dxa"/>
              <w:bottom w:w="100" w:type="dxa"/>
              <w:right w:w="100" w:type="dxa"/>
            </w:tcMar>
          </w:tcPr>
          <w:p w:rsidR="007B35E0" w:rsidRDefault="007B35E0">
            <w:pPr>
              <w:ind w:left="100" w:right="100"/>
              <w:jc w:val="center"/>
              <w:rPr>
                <w:rFonts w:ascii="Arial" w:eastAsia="Arial" w:hAnsi="Arial" w:cs="Arial"/>
                <w:color w:val="222222"/>
                <w:sz w:val="20"/>
                <w:szCs w:val="20"/>
              </w:rPr>
            </w:pPr>
          </w:p>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Bogotá </w:t>
            </w:r>
          </w:p>
        </w:tc>
        <w:tc>
          <w:tcPr>
            <w:tcW w:w="2442"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ind w:left="100" w:right="100"/>
              <w:jc w:val="center"/>
              <w:rPr>
                <w:rFonts w:ascii="Arial" w:eastAsia="Arial" w:hAnsi="Arial" w:cs="Arial"/>
                <w:color w:val="222222"/>
                <w:sz w:val="20"/>
                <w:szCs w:val="20"/>
              </w:rPr>
            </w:pPr>
          </w:p>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12.877.500 </w:t>
            </w:r>
          </w:p>
        </w:tc>
      </w:tr>
      <w:tr w:rsidR="007B35E0">
        <w:trPr>
          <w:trHeight w:val="500"/>
        </w:trPr>
        <w:tc>
          <w:tcPr>
            <w:tcW w:w="2455" w:type="dxa"/>
            <w:vMerge w:val="restart"/>
            <w:tcBorders>
              <w:top w:val="nil"/>
              <w:left w:val="single" w:sz="8" w:space="0" w:color="DDDDDD"/>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ind w:left="100" w:right="100"/>
              <w:jc w:val="center"/>
              <w:rPr>
                <w:rFonts w:ascii="Arial" w:eastAsia="Arial" w:hAnsi="Arial" w:cs="Arial"/>
                <w:color w:val="222222"/>
                <w:sz w:val="20"/>
                <w:szCs w:val="20"/>
              </w:rPr>
            </w:pPr>
          </w:p>
          <w:p w:rsidR="007B35E0" w:rsidRDefault="007B35E0">
            <w:pPr>
              <w:ind w:left="100" w:right="100"/>
              <w:jc w:val="center"/>
              <w:rPr>
                <w:rFonts w:ascii="Arial" w:eastAsia="Arial" w:hAnsi="Arial" w:cs="Arial"/>
                <w:color w:val="222222"/>
                <w:sz w:val="20"/>
                <w:szCs w:val="20"/>
              </w:rPr>
            </w:pPr>
          </w:p>
          <w:p w:rsidR="007B35E0" w:rsidRDefault="007B35E0">
            <w:pPr>
              <w:ind w:left="100" w:right="100"/>
              <w:jc w:val="center"/>
              <w:rPr>
                <w:rFonts w:ascii="Arial" w:eastAsia="Arial" w:hAnsi="Arial" w:cs="Arial"/>
                <w:color w:val="222222"/>
                <w:sz w:val="20"/>
                <w:szCs w:val="20"/>
              </w:rPr>
            </w:pPr>
          </w:p>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Horas Nomina (Co-Investigadores)</w:t>
            </w:r>
          </w:p>
        </w:tc>
        <w:tc>
          <w:tcPr>
            <w:tcW w:w="2455"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Daniel  Mauricio Moya </w:t>
            </w:r>
            <w:proofErr w:type="spellStart"/>
            <w:r>
              <w:rPr>
                <w:rFonts w:ascii="Arial" w:eastAsia="Arial" w:hAnsi="Arial" w:cs="Arial"/>
                <w:color w:val="222222"/>
                <w:sz w:val="20"/>
                <w:szCs w:val="20"/>
              </w:rPr>
              <w:t>Urueña</w:t>
            </w:r>
            <w:proofErr w:type="spellEnd"/>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2 </w:t>
            </w:r>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40</w:t>
            </w:r>
          </w:p>
        </w:tc>
        <w:tc>
          <w:tcPr>
            <w:tcW w:w="2442" w:type="dxa"/>
            <w:tcBorders>
              <w:top w:val="nil"/>
              <w:left w:val="nil"/>
              <w:bottom w:val="single" w:sz="8" w:space="0" w:color="DDDDDD"/>
              <w:right w:val="single" w:sz="8" w:space="0" w:color="DDDDDD"/>
            </w:tcBorders>
            <w:shd w:val="clear" w:color="auto" w:fill="auto"/>
            <w:tcMar>
              <w:top w:w="100" w:type="dxa"/>
              <w:left w:w="100" w:type="dxa"/>
              <w:bottom w:w="100" w:type="dxa"/>
              <w:right w:w="10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Tunja</w:t>
            </w:r>
          </w:p>
        </w:tc>
        <w:tc>
          <w:tcPr>
            <w:tcW w:w="2442"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9.313.600</w:t>
            </w:r>
          </w:p>
        </w:tc>
      </w:tr>
      <w:tr w:rsidR="007B35E0">
        <w:trPr>
          <w:trHeight w:val="500"/>
        </w:trPr>
        <w:tc>
          <w:tcPr>
            <w:tcW w:w="2455" w:type="dxa"/>
            <w:vMerge/>
            <w:tcBorders>
              <w:top w:val="nil"/>
              <w:left w:val="single" w:sz="8" w:space="0" w:color="DDDDDD"/>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widowControl w:val="0"/>
              <w:pBdr>
                <w:top w:val="nil"/>
                <w:left w:val="nil"/>
                <w:bottom w:val="nil"/>
                <w:right w:val="nil"/>
                <w:between w:val="nil"/>
              </w:pBdr>
              <w:spacing w:line="276" w:lineRule="auto"/>
              <w:rPr>
                <w:rFonts w:ascii="Arial" w:eastAsia="Arial" w:hAnsi="Arial" w:cs="Arial"/>
                <w:color w:val="222222"/>
                <w:sz w:val="20"/>
                <w:szCs w:val="20"/>
              </w:rPr>
            </w:pPr>
          </w:p>
        </w:tc>
        <w:tc>
          <w:tcPr>
            <w:tcW w:w="2455"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Francisco Javier Yate</w:t>
            </w:r>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4</w:t>
            </w:r>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32</w:t>
            </w:r>
          </w:p>
        </w:tc>
        <w:tc>
          <w:tcPr>
            <w:tcW w:w="2442" w:type="dxa"/>
            <w:tcBorders>
              <w:top w:val="nil"/>
              <w:left w:val="nil"/>
              <w:bottom w:val="single" w:sz="8" w:space="0" w:color="DDDDDD"/>
              <w:right w:val="single" w:sz="8" w:space="0" w:color="DDDDDD"/>
            </w:tcBorders>
            <w:shd w:val="clear" w:color="auto" w:fill="auto"/>
            <w:tcMar>
              <w:top w:w="100" w:type="dxa"/>
              <w:left w:w="100" w:type="dxa"/>
              <w:bottom w:w="100" w:type="dxa"/>
              <w:right w:w="10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Bogotá</w:t>
            </w:r>
          </w:p>
        </w:tc>
        <w:tc>
          <w:tcPr>
            <w:tcW w:w="2442"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11.520.000</w:t>
            </w:r>
          </w:p>
        </w:tc>
      </w:tr>
      <w:tr w:rsidR="007B35E0">
        <w:trPr>
          <w:trHeight w:val="500"/>
        </w:trPr>
        <w:tc>
          <w:tcPr>
            <w:tcW w:w="2455" w:type="dxa"/>
            <w:vMerge/>
            <w:tcBorders>
              <w:top w:val="nil"/>
              <w:left w:val="single" w:sz="8" w:space="0" w:color="DDDDDD"/>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widowControl w:val="0"/>
              <w:pBdr>
                <w:top w:val="nil"/>
                <w:left w:val="nil"/>
                <w:bottom w:val="nil"/>
                <w:right w:val="nil"/>
                <w:between w:val="nil"/>
              </w:pBdr>
              <w:spacing w:line="276" w:lineRule="auto"/>
              <w:rPr>
                <w:rFonts w:ascii="Arial" w:eastAsia="Arial" w:hAnsi="Arial" w:cs="Arial"/>
                <w:color w:val="222222"/>
                <w:sz w:val="20"/>
                <w:szCs w:val="20"/>
              </w:rPr>
            </w:pPr>
          </w:p>
        </w:tc>
        <w:tc>
          <w:tcPr>
            <w:tcW w:w="2455"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Nelly Patricia Rodríguez </w:t>
            </w:r>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ind w:left="100" w:right="100"/>
              <w:jc w:val="center"/>
              <w:rPr>
                <w:rFonts w:ascii="Arial" w:eastAsia="Arial" w:hAnsi="Arial" w:cs="Arial"/>
                <w:color w:val="222222"/>
                <w:sz w:val="20"/>
                <w:szCs w:val="20"/>
              </w:rPr>
            </w:pPr>
          </w:p>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2 </w:t>
            </w:r>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ind w:left="100" w:right="100"/>
              <w:jc w:val="center"/>
              <w:rPr>
                <w:rFonts w:ascii="Arial" w:eastAsia="Arial" w:hAnsi="Arial" w:cs="Arial"/>
                <w:color w:val="222222"/>
                <w:sz w:val="20"/>
                <w:szCs w:val="20"/>
              </w:rPr>
            </w:pPr>
          </w:p>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28 </w:t>
            </w:r>
          </w:p>
        </w:tc>
        <w:tc>
          <w:tcPr>
            <w:tcW w:w="2442" w:type="dxa"/>
            <w:tcBorders>
              <w:top w:val="nil"/>
              <w:left w:val="nil"/>
              <w:bottom w:val="single" w:sz="8" w:space="0" w:color="DDDDDD"/>
              <w:right w:val="single" w:sz="8" w:space="0" w:color="DDDDDD"/>
            </w:tcBorders>
            <w:shd w:val="clear" w:color="auto" w:fill="auto"/>
            <w:tcMar>
              <w:top w:w="100" w:type="dxa"/>
              <w:left w:w="100" w:type="dxa"/>
              <w:bottom w:w="100" w:type="dxa"/>
              <w:right w:w="10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 Bogotá</w:t>
            </w:r>
          </w:p>
        </w:tc>
        <w:tc>
          <w:tcPr>
            <w:tcW w:w="2442"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9.240.000 </w:t>
            </w:r>
          </w:p>
        </w:tc>
      </w:tr>
      <w:tr w:rsidR="007B35E0">
        <w:trPr>
          <w:trHeight w:val="500"/>
        </w:trPr>
        <w:tc>
          <w:tcPr>
            <w:tcW w:w="2455" w:type="dxa"/>
            <w:vMerge/>
            <w:tcBorders>
              <w:top w:val="nil"/>
              <w:left w:val="single" w:sz="8" w:space="0" w:color="DDDDDD"/>
              <w:bottom w:val="single" w:sz="8" w:space="0" w:color="DDDDDD"/>
              <w:right w:val="single" w:sz="8" w:space="0" w:color="DDDDDD"/>
            </w:tcBorders>
            <w:shd w:val="clear" w:color="auto" w:fill="auto"/>
            <w:tcMar>
              <w:top w:w="20" w:type="dxa"/>
              <w:left w:w="20" w:type="dxa"/>
              <w:bottom w:w="20" w:type="dxa"/>
              <w:right w:w="20" w:type="dxa"/>
            </w:tcMar>
          </w:tcPr>
          <w:p w:rsidR="007B35E0" w:rsidRDefault="007B35E0">
            <w:pPr>
              <w:widowControl w:val="0"/>
              <w:pBdr>
                <w:top w:val="nil"/>
                <w:left w:val="nil"/>
                <w:bottom w:val="nil"/>
                <w:right w:val="nil"/>
                <w:between w:val="nil"/>
              </w:pBdr>
              <w:spacing w:line="276" w:lineRule="auto"/>
              <w:rPr>
                <w:rFonts w:ascii="Arial" w:eastAsia="Arial" w:hAnsi="Arial" w:cs="Arial"/>
                <w:color w:val="222222"/>
                <w:sz w:val="20"/>
                <w:szCs w:val="20"/>
              </w:rPr>
            </w:pPr>
          </w:p>
        </w:tc>
        <w:tc>
          <w:tcPr>
            <w:tcW w:w="2455"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 </w:t>
            </w:r>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TOTAL </w:t>
            </w:r>
          </w:p>
        </w:tc>
        <w:tc>
          <w:tcPr>
            <w:tcW w:w="2456"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 140</w:t>
            </w:r>
          </w:p>
        </w:tc>
        <w:tc>
          <w:tcPr>
            <w:tcW w:w="2442" w:type="dxa"/>
            <w:tcBorders>
              <w:top w:val="nil"/>
              <w:left w:val="nil"/>
              <w:bottom w:val="single" w:sz="8" w:space="0" w:color="DDDDDD"/>
              <w:right w:val="single" w:sz="8" w:space="0" w:color="DDDDDD"/>
            </w:tcBorders>
            <w:shd w:val="clear" w:color="auto" w:fill="auto"/>
            <w:tcMar>
              <w:top w:w="100" w:type="dxa"/>
              <w:left w:w="100" w:type="dxa"/>
              <w:bottom w:w="100" w:type="dxa"/>
              <w:right w:w="10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 </w:t>
            </w:r>
          </w:p>
        </w:tc>
        <w:tc>
          <w:tcPr>
            <w:tcW w:w="2442" w:type="dxa"/>
            <w:tcBorders>
              <w:top w:val="nil"/>
              <w:left w:val="nil"/>
              <w:bottom w:val="single" w:sz="8" w:space="0" w:color="DDDDDD"/>
              <w:right w:val="single" w:sz="8" w:space="0" w:color="DDDDDD"/>
            </w:tcBorders>
            <w:shd w:val="clear" w:color="auto" w:fill="auto"/>
            <w:tcMar>
              <w:top w:w="20" w:type="dxa"/>
              <w:left w:w="20" w:type="dxa"/>
              <w:bottom w:w="20" w:type="dxa"/>
              <w:right w:w="20" w:type="dxa"/>
            </w:tcMar>
          </w:tcPr>
          <w:p w:rsidR="007B35E0" w:rsidRDefault="0014507E">
            <w:pPr>
              <w:ind w:left="100" w:right="100"/>
              <w:jc w:val="center"/>
              <w:rPr>
                <w:rFonts w:ascii="Arial" w:eastAsia="Arial" w:hAnsi="Arial" w:cs="Arial"/>
                <w:color w:val="222222"/>
                <w:sz w:val="20"/>
                <w:szCs w:val="20"/>
              </w:rPr>
            </w:pPr>
            <w:r>
              <w:rPr>
                <w:rFonts w:ascii="Arial" w:eastAsia="Arial" w:hAnsi="Arial" w:cs="Arial"/>
                <w:color w:val="222222"/>
                <w:sz w:val="20"/>
                <w:szCs w:val="20"/>
              </w:rPr>
              <w:t xml:space="preserve">42.951.100 </w:t>
            </w:r>
          </w:p>
        </w:tc>
      </w:tr>
    </w:tbl>
    <w:p w:rsidR="007B35E0" w:rsidRDefault="007B35E0">
      <w:pPr>
        <w:spacing w:after="0" w:line="240" w:lineRule="auto"/>
        <w:rPr>
          <w:rFonts w:ascii="Arial" w:eastAsia="Arial" w:hAnsi="Arial" w:cs="Arial"/>
          <w:sz w:val="20"/>
          <w:szCs w:val="20"/>
        </w:rPr>
      </w:pPr>
    </w:p>
    <w:tbl>
      <w:tblPr>
        <w:tblStyle w:val="af8"/>
        <w:tblW w:w="147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5"/>
        <w:gridCol w:w="1620"/>
        <w:gridCol w:w="6735"/>
        <w:gridCol w:w="1275"/>
        <w:gridCol w:w="1843"/>
        <w:gridCol w:w="1570"/>
      </w:tblGrid>
      <w:tr w:rsidR="007B35E0">
        <w:trPr>
          <w:trHeight w:val="360"/>
        </w:trPr>
        <w:tc>
          <w:tcPr>
            <w:tcW w:w="169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B35E0" w:rsidRDefault="0014507E">
            <w:pPr>
              <w:ind w:left="-108" w:right="-108"/>
              <w:jc w:val="center"/>
              <w:rPr>
                <w:rFonts w:ascii="Arial" w:eastAsia="Arial" w:hAnsi="Arial" w:cs="Arial"/>
                <w:b/>
                <w:sz w:val="20"/>
                <w:szCs w:val="20"/>
              </w:rPr>
            </w:pPr>
            <w:r>
              <w:rPr>
                <w:rFonts w:ascii="Arial" w:eastAsia="Arial" w:hAnsi="Arial" w:cs="Arial"/>
                <w:b/>
                <w:sz w:val="20"/>
                <w:szCs w:val="20"/>
              </w:rPr>
              <w:t>FINANCIACIÓN</w:t>
            </w:r>
          </w:p>
        </w:tc>
        <w:tc>
          <w:tcPr>
            <w:tcW w:w="16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B35E0" w:rsidRDefault="0014507E">
            <w:pPr>
              <w:jc w:val="center"/>
              <w:rPr>
                <w:rFonts w:ascii="Arial" w:eastAsia="Arial" w:hAnsi="Arial" w:cs="Arial"/>
                <w:b/>
                <w:sz w:val="20"/>
                <w:szCs w:val="20"/>
              </w:rPr>
            </w:pPr>
            <w:r>
              <w:rPr>
                <w:rFonts w:ascii="Arial" w:eastAsia="Arial" w:hAnsi="Arial" w:cs="Arial"/>
                <w:b/>
                <w:sz w:val="20"/>
                <w:szCs w:val="20"/>
              </w:rPr>
              <w:t>RECURSO</w:t>
            </w:r>
          </w:p>
        </w:tc>
        <w:tc>
          <w:tcPr>
            <w:tcW w:w="673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B35E0" w:rsidRDefault="0014507E">
            <w:pPr>
              <w:jc w:val="center"/>
              <w:rPr>
                <w:rFonts w:ascii="Arial" w:eastAsia="Arial" w:hAnsi="Arial" w:cs="Arial"/>
                <w:b/>
                <w:sz w:val="20"/>
                <w:szCs w:val="20"/>
              </w:rPr>
            </w:pPr>
            <w:r>
              <w:rPr>
                <w:rFonts w:ascii="Arial" w:eastAsia="Arial" w:hAnsi="Arial" w:cs="Arial"/>
                <w:b/>
                <w:sz w:val="20"/>
                <w:szCs w:val="20"/>
              </w:rPr>
              <w:t>DESCRIPCIÓN</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Pr>
          <w:p w:rsidR="007B35E0" w:rsidRDefault="0014507E">
            <w:pPr>
              <w:jc w:val="center"/>
              <w:rPr>
                <w:rFonts w:ascii="Arial" w:eastAsia="Arial" w:hAnsi="Arial" w:cs="Arial"/>
                <w:b/>
                <w:color w:val="222222"/>
                <w:sz w:val="20"/>
                <w:szCs w:val="20"/>
              </w:rPr>
            </w:pPr>
            <w:r>
              <w:rPr>
                <w:rFonts w:ascii="Arial" w:eastAsia="Arial" w:hAnsi="Arial" w:cs="Arial"/>
                <w:b/>
                <w:color w:val="222222"/>
                <w:sz w:val="20"/>
                <w:szCs w:val="20"/>
              </w:rPr>
              <w:t>Valor partida</w:t>
            </w:r>
          </w:p>
        </w:tc>
        <w:tc>
          <w:tcPr>
            <w:tcW w:w="1843" w:type="dxa"/>
            <w:tcBorders>
              <w:top w:val="single" w:sz="4" w:space="0" w:color="000000"/>
              <w:left w:val="single" w:sz="4" w:space="0" w:color="000000"/>
              <w:bottom w:val="single" w:sz="4" w:space="0" w:color="000000"/>
              <w:right w:val="single" w:sz="4" w:space="0" w:color="000000"/>
            </w:tcBorders>
            <w:shd w:val="clear" w:color="auto" w:fill="F2F2F2"/>
          </w:tcPr>
          <w:p w:rsidR="007B35E0" w:rsidRDefault="0014507E">
            <w:pPr>
              <w:jc w:val="center"/>
              <w:rPr>
                <w:rFonts w:ascii="Arial" w:eastAsia="Arial" w:hAnsi="Arial" w:cs="Arial"/>
                <w:b/>
                <w:color w:val="222222"/>
                <w:sz w:val="20"/>
                <w:szCs w:val="20"/>
              </w:rPr>
            </w:pPr>
            <w:r>
              <w:rPr>
                <w:rFonts w:ascii="Arial" w:eastAsia="Arial" w:hAnsi="Arial" w:cs="Arial"/>
                <w:b/>
                <w:color w:val="222222"/>
                <w:sz w:val="20"/>
                <w:szCs w:val="20"/>
              </w:rPr>
              <w:t>Valor contrapartida (Externa)</w:t>
            </w:r>
          </w:p>
        </w:tc>
        <w:tc>
          <w:tcPr>
            <w:tcW w:w="157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B35E0" w:rsidRDefault="0014507E">
            <w:pPr>
              <w:jc w:val="center"/>
              <w:rPr>
                <w:rFonts w:ascii="Arial" w:eastAsia="Arial" w:hAnsi="Arial" w:cs="Arial"/>
                <w:b/>
                <w:color w:val="222222"/>
                <w:sz w:val="20"/>
                <w:szCs w:val="20"/>
              </w:rPr>
            </w:pPr>
            <w:r>
              <w:rPr>
                <w:rFonts w:ascii="Arial" w:eastAsia="Arial" w:hAnsi="Arial" w:cs="Arial"/>
                <w:b/>
                <w:color w:val="222222"/>
                <w:sz w:val="20"/>
                <w:szCs w:val="20"/>
              </w:rPr>
              <w:t>Total ($)</w:t>
            </w:r>
          </w:p>
        </w:tc>
      </w:tr>
      <w:tr w:rsidR="007B35E0">
        <w:trPr>
          <w:trHeight w:val="360"/>
        </w:trPr>
        <w:tc>
          <w:tcPr>
            <w:tcW w:w="1696" w:type="dxa"/>
            <w:vMerge w:val="restart"/>
            <w:tcBorders>
              <w:top w:val="single" w:sz="4" w:space="0" w:color="000000"/>
              <w:left w:val="single" w:sz="4" w:space="0" w:color="000000"/>
              <w:bottom w:val="single" w:sz="4" w:space="0" w:color="000000"/>
              <w:right w:val="single" w:sz="4" w:space="0" w:color="000000"/>
            </w:tcBorders>
            <w:vAlign w:val="center"/>
          </w:tcPr>
          <w:p w:rsidR="007B35E0" w:rsidRDefault="0014507E">
            <w:pPr>
              <w:jc w:val="center"/>
              <w:rPr>
                <w:rFonts w:ascii="Arial" w:eastAsia="Arial" w:hAnsi="Arial" w:cs="Arial"/>
                <w:b/>
                <w:sz w:val="20"/>
                <w:szCs w:val="20"/>
              </w:rPr>
            </w:pPr>
            <w:r>
              <w:rPr>
                <w:rFonts w:ascii="Arial" w:eastAsia="Arial" w:hAnsi="Arial" w:cs="Arial"/>
                <w:b/>
                <w:sz w:val="20"/>
                <w:szCs w:val="20"/>
              </w:rPr>
              <w:t>RUBROS</w:t>
            </w: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Servicios Técnicos</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jc w:val="both"/>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$ 0</w:t>
            </w:r>
          </w:p>
        </w:tc>
      </w:tr>
      <w:tr w:rsidR="007B35E0">
        <w:trPr>
          <w:trHeight w:val="360"/>
        </w:trPr>
        <w:tc>
          <w:tcPr>
            <w:tcW w:w="1696" w:type="dxa"/>
            <w:vMerge/>
            <w:tcBorders>
              <w:top w:val="single" w:sz="4" w:space="0" w:color="000000"/>
              <w:left w:val="single" w:sz="4" w:space="0" w:color="000000"/>
              <w:bottom w:val="single" w:sz="4" w:space="0" w:color="000000"/>
              <w:right w:val="single" w:sz="4" w:space="0" w:color="000000"/>
            </w:tcBorders>
            <w:vAlign w:val="center"/>
          </w:tcPr>
          <w:p w:rsidR="007B35E0" w:rsidRDefault="007B35E0">
            <w:pPr>
              <w:widowControl w:val="0"/>
              <w:pBdr>
                <w:top w:val="nil"/>
                <w:left w:val="nil"/>
                <w:bottom w:val="nil"/>
                <w:right w:val="nil"/>
                <w:between w:val="nil"/>
              </w:pBdr>
              <w:spacing w:line="276" w:lineRule="auto"/>
              <w:rPr>
                <w:rFonts w:ascii="Arial" w:eastAsia="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Salidas de campo</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jc w:val="both"/>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$ 8.000.000</w:t>
            </w:r>
          </w:p>
        </w:tc>
      </w:tr>
      <w:tr w:rsidR="007B35E0">
        <w:trPr>
          <w:trHeight w:val="360"/>
        </w:trPr>
        <w:tc>
          <w:tcPr>
            <w:tcW w:w="1696" w:type="dxa"/>
            <w:vMerge/>
            <w:tcBorders>
              <w:top w:val="single" w:sz="4" w:space="0" w:color="000000"/>
              <w:left w:val="single" w:sz="4" w:space="0" w:color="000000"/>
              <w:bottom w:val="single" w:sz="4" w:space="0" w:color="000000"/>
              <w:right w:val="single" w:sz="4" w:space="0" w:color="000000"/>
            </w:tcBorders>
            <w:vAlign w:val="center"/>
          </w:tcPr>
          <w:p w:rsidR="007B35E0" w:rsidRDefault="007B35E0">
            <w:pPr>
              <w:widowControl w:val="0"/>
              <w:pBdr>
                <w:top w:val="nil"/>
                <w:left w:val="nil"/>
                <w:bottom w:val="nil"/>
                <w:right w:val="nil"/>
                <w:between w:val="nil"/>
              </w:pBdr>
              <w:spacing w:line="276" w:lineRule="auto"/>
              <w:rPr>
                <w:rFonts w:ascii="Arial" w:eastAsia="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Equipos</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jc w:val="both"/>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$ 0</w:t>
            </w:r>
          </w:p>
        </w:tc>
      </w:tr>
      <w:tr w:rsidR="007B35E0">
        <w:trPr>
          <w:trHeight w:val="360"/>
        </w:trPr>
        <w:tc>
          <w:tcPr>
            <w:tcW w:w="1696" w:type="dxa"/>
            <w:vMerge/>
            <w:tcBorders>
              <w:top w:val="single" w:sz="4" w:space="0" w:color="000000"/>
              <w:left w:val="single" w:sz="4" w:space="0" w:color="000000"/>
              <w:bottom w:val="single" w:sz="4" w:space="0" w:color="000000"/>
              <w:right w:val="single" w:sz="4" w:space="0" w:color="000000"/>
            </w:tcBorders>
            <w:vAlign w:val="center"/>
          </w:tcPr>
          <w:p w:rsidR="007B35E0" w:rsidRDefault="007B35E0">
            <w:pPr>
              <w:widowControl w:val="0"/>
              <w:pBdr>
                <w:top w:val="nil"/>
                <w:left w:val="nil"/>
                <w:bottom w:val="nil"/>
                <w:right w:val="nil"/>
                <w:between w:val="nil"/>
              </w:pBdr>
              <w:spacing w:line="276" w:lineRule="auto"/>
              <w:rPr>
                <w:rFonts w:ascii="Arial" w:eastAsia="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Materiales, insumos y software</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$ 0</w:t>
            </w:r>
          </w:p>
        </w:tc>
      </w:tr>
      <w:tr w:rsidR="007B35E0">
        <w:trPr>
          <w:trHeight w:val="360"/>
        </w:trPr>
        <w:tc>
          <w:tcPr>
            <w:tcW w:w="1696" w:type="dxa"/>
            <w:vMerge w:val="restart"/>
            <w:tcBorders>
              <w:top w:val="single" w:sz="4" w:space="0" w:color="000000"/>
              <w:left w:val="single" w:sz="4" w:space="0" w:color="000000"/>
              <w:bottom w:val="single" w:sz="4" w:space="0" w:color="000000"/>
              <w:right w:val="single" w:sz="4" w:space="0" w:color="000000"/>
            </w:tcBorders>
            <w:vAlign w:val="center"/>
          </w:tcPr>
          <w:p w:rsidR="007B35E0" w:rsidRDefault="0014507E">
            <w:pPr>
              <w:jc w:val="center"/>
              <w:rPr>
                <w:rFonts w:ascii="Arial" w:eastAsia="Arial" w:hAnsi="Arial" w:cs="Arial"/>
                <w:b/>
                <w:sz w:val="20"/>
                <w:szCs w:val="20"/>
              </w:rPr>
            </w:pPr>
            <w:r>
              <w:rPr>
                <w:rFonts w:ascii="Arial" w:eastAsia="Arial" w:hAnsi="Arial" w:cs="Arial"/>
                <w:b/>
                <w:sz w:val="20"/>
                <w:szCs w:val="20"/>
              </w:rPr>
              <w:t>BOLSAS</w:t>
            </w: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Papelería</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  300.000</w:t>
            </w:r>
          </w:p>
        </w:tc>
      </w:tr>
      <w:tr w:rsidR="007B35E0">
        <w:trPr>
          <w:trHeight w:val="360"/>
        </w:trPr>
        <w:tc>
          <w:tcPr>
            <w:tcW w:w="1696" w:type="dxa"/>
            <w:vMerge/>
            <w:tcBorders>
              <w:top w:val="single" w:sz="4" w:space="0" w:color="000000"/>
              <w:left w:val="single" w:sz="4" w:space="0" w:color="000000"/>
              <w:bottom w:val="single" w:sz="4" w:space="0" w:color="000000"/>
              <w:right w:val="single" w:sz="4" w:space="0" w:color="000000"/>
            </w:tcBorders>
            <w:vAlign w:val="center"/>
          </w:tcPr>
          <w:p w:rsidR="007B35E0" w:rsidRDefault="007B35E0">
            <w:pPr>
              <w:widowControl w:val="0"/>
              <w:pBdr>
                <w:top w:val="nil"/>
                <w:left w:val="nil"/>
                <w:bottom w:val="nil"/>
                <w:right w:val="nil"/>
                <w:between w:val="nil"/>
              </w:pBdr>
              <w:spacing w:line="276" w:lineRule="auto"/>
              <w:rPr>
                <w:rFonts w:ascii="Arial" w:eastAsia="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Fotocopias</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  50.000</w:t>
            </w:r>
          </w:p>
        </w:tc>
      </w:tr>
      <w:tr w:rsidR="007B35E0">
        <w:trPr>
          <w:trHeight w:val="360"/>
        </w:trPr>
        <w:tc>
          <w:tcPr>
            <w:tcW w:w="1696" w:type="dxa"/>
            <w:vMerge/>
            <w:tcBorders>
              <w:top w:val="single" w:sz="4" w:space="0" w:color="000000"/>
              <w:left w:val="single" w:sz="4" w:space="0" w:color="000000"/>
              <w:bottom w:val="single" w:sz="4" w:space="0" w:color="000000"/>
              <w:right w:val="single" w:sz="4" w:space="0" w:color="000000"/>
            </w:tcBorders>
            <w:vAlign w:val="center"/>
          </w:tcPr>
          <w:p w:rsidR="007B35E0" w:rsidRDefault="007B35E0">
            <w:pPr>
              <w:widowControl w:val="0"/>
              <w:pBdr>
                <w:top w:val="nil"/>
                <w:left w:val="nil"/>
                <w:bottom w:val="nil"/>
                <w:right w:val="nil"/>
                <w:between w:val="nil"/>
              </w:pBdr>
              <w:spacing w:line="276" w:lineRule="auto"/>
              <w:rPr>
                <w:rFonts w:ascii="Arial" w:eastAsia="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Material bibliográfico</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7B35E0">
            <w:pPr>
              <w:jc w:val="both"/>
              <w:rPr>
                <w:rFonts w:ascii="Arial" w:eastAsia="Arial" w:hAnsi="Arial" w:cs="Arial"/>
                <w:sz w:val="20"/>
                <w:szCs w:val="20"/>
              </w:rPr>
            </w:pPr>
          </w:p>
        </w:tc>
      </w:tr>
      <w:tr w:rsidR="007B35E0">
        <w:trPr>
          <w:trHeight w:val="360"/>
        </w:trPr>
        <w:tc>
          <w:tcPr>
            <w:tcW w:w="1696" w:type="dxa"/>
            <w:vMerge/>
            <w:tcBorders>
              <w:top w:val="single" w:sz="4" w:space="0" w:color="000000"/>
              <w:left w:val="single" w:sz="4" w:space="0" w:color="000000"/>
              <w:bottom w:val="single" w:sz="4" w:space="0" w:color="000000"/>
              <w:right w:val="single" w:sz="4" w:space="0" w:color="000000"/>
            </w:tcBorders>
            <w:vAlign w:val="center"/>
          </w:tcPr>
          <w:p w:rsidR="007B35E0" w:rsidRDefault="007B35E0">
            <w:pPr>
              <w:widowControl w:val="0"/>
              <w:pBdr>
                <w:top w:val="nil"/>
                <w:left w:val="nil"/>
                <w:bottom w:val="nil"/>
                <w:right w:val="nil"/>
                <w:between w:val="nil"/>
              </w:pBdr>
              <w:spacing w:line="276" w:lineRule="auto"/>
              <w:rPr>
                <w:rFonts w:ascii="Arial" w:eastAsia="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Auxilio de transporte</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jc w:val="both"/>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$ 1.000.000</w:t>
            </w:r>
          </w:p>
        </w:tc>
      </w:tr>
      <w:tr w:rsidR="007B35E0">
        <w:trPr>
          <w:trHeight w:val="360"/>
        </w:trPr>
        <w:tc>
          <w:tcPr>
            <w:tcW w:w="1696" w:type="dxa"/>
            <w:vMerge/>
            <w:tcBorders>
              <w:top w:val="single" w:sz="4" w:space="0" w:color="000000"/>
              <w:left w:val="single" w:sz="4" w:space="0" w:color="000000"/>
              <w:bottom w:val="single" w:sz="4" w:space="0" w:color="000000"/>
              <w:right w:val="single" w:sz="4" w:space="0" w:color="000000"/>
            </w:tcBorders>
            <w:vAlign w:val="center"/>
          </w:tcPr>
          <w:p w:rsidR="007B35E0" w:rsidRDefault="007B35E0">
            <w:pPr>
              <w:widowControl w:val="0"/>
              <w:pBdr>
                <w:top w:val="nil"/>
                <w:left w:val="nil"/>
                <w:bottom w:val="nil"/>
                <w:right w:val="nil"/>
                <w:between w:val="nil"/>
              </w:pBdr>
              <w:spacing w:line="276" w:lineRule="auto"/>
              <w:rPr>
                <w:rFonts w:ascii="Arial" w:eastAsia="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 xml:space="preserve">Movilidad </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jc w:val="both"/>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$ 5.000.000</w:t>
            </w:r>
          </w:p>
        </w:tc>
      </w:tr>
      <w:tr w:rsidR="007B35E0">
        <w:trPr>
          <w:trHeight w:val="360"/>
        </w:trPr>
        <w:tc>
          <w:tcPr>
            <w:tcW w:w="1696" w:type="dxa"/>
            <w:vMerge/>
            <w:tcBorders>
              <w:top w:val="single" w:sz="4" w:space="0" w:color="000000"/>
              <w:left w:val="single" w:sz="4" w:space="0" w:color="000000"/>
              <w:bottom w:val="single" w:sz="4" w:space="0" w:color="000000"/>
              <w:right w:val="single" w:sz="4" w:space="0" w:color="000000"/>
            </w:tcBorders>
            <w:vAlign w:val="center"/>
          </w:tcPr>
          <w:p w:rsidR="007B35E0" w:rsidRDefault="007B35E0">
            <w:pPr>
              <w:widowControl w:val="0"/>
              <w:pBdr>
                <w:top w:val="nil"/>
                <w:left w:val="nil"/>
                <w:bottom w:val="nil"/>
                <w:right w:val="nil"/>
                <w:between w:val="nil"/>
              </w:pBdr>
              <w:spacing w:line="276" w:lineRule="auto"/>
              <w:rPr>
                <w:rFonts w:ascii="Arial" w:eastAsia="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b/>
                <w:sz w:val="20"/>
                <w:szCs w:val="20"/>
              </w:rPr>
            </w:pPr>
            <w:r>
              <w:rPr>
                <w:rFonts w:ascii="Arial" w:eastAsia="Arial" w:hAnsi="Arial" w:cs="Arial"/>
                <w:b/>
                <w:sz w:val="20"/>
                <w:szCs w:val="20"/>
              </w:rPr>
              <w:t>Publicaciones (Artículos, proceso editorial y traducción)</w:t>
            </w:r>
          </w:p>
        </w:tc>
        <w:tc>
          <w:tcPr>
            <w:tcW w:w="6735" w:type="dxa"/>
            <w:tcBorders>
              <w:top w:val="single" w:sz="4" w:space="0" w:color="000000"/>
              <w:left w:val="single" w:sz="4" w:space="0" w:color="000000"/>
              <w:bottom w:val="single" w:sz="4" w:space="0" w:color="000000"/>
              <w:right w:val="single" w:sz="4" w:space="0" w:color="000000"/>
            </w:tcBorders>
            <w:vAlign w:val="center"/>
          </w:tcPr>
          <w:p w:rsidR="007B35E0" w:rsidRDefault="007B35E0">
            <w:pPr>
              <w:jc w:val="both"/>
              <w:rPr>
                <w:rFonts w:ascii="Arial" w:eastAsia="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7B35E0" w:rsidRDefault="007B35E0">
            <w:pPr>
              <w:jc w:val="both"/>
              <w:rPr>
                <w:rFonts w:ascii="Arial" w:eastAsia="Arial" w:hAnsi="Arial" w:cs="Arial"/>
                <w:sz w:val="20"/>
                <w:szCs w:val="20"/>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$ 3.000.000</w:t>
            </w:r>
          </w:p>
        </w:tc>
      </w:tr>
      <w:tr w:rsidR="007B35E0">
        <w:trPr>
          <w:trHeight w:val="360"/>
        </w:trPr>
        <w:tc>
          <w:tcPr>
            <w:tcW w:w="13169" w:type="dxa"/>
            <w:gridSpan w:val="5"/>
            <w:tcBorders>
              <w:top w:val="single" w:sz="4" w:space="0" w:color="000000"/>
              <w:left w:val="single" w:sz="4" w:space="0" w:color="000000"/>
              <w:bottom w:val="single" w:sz="4" w:space="0" w:color="000000"/>
              <w:right w:val="single" w:sz="4" w:space="0" w:color="000000"/>
            </w:tcBorders>
            <w:vAlign w:val="center"/>
          </w:tcPr>
          <w:p w:rsidR="007B35E0" w:rsidRDefault="0014507E">
            <w:pPr>
              <w:jc w:val="right"/>
              <w:rPr>
                <w:rFonts w:ascii="Arial" w:eastAsia="Arial" w:hAnsi="Arial" w:cs="Arial"/>
                <w:sz w:val="20"/>
                <w:szCs w:val="20"/>
              </w:rPr>
            </w:pPr>
            <w:r>
              <w:rPr>
                <w:rFonts w:ascii="Arial" w:eastAsia="Arial" w:hAnsi="Arial" w:cs="Arial"/>
                <w:b/>
                <w:sz w:val="20"/>
                <w:szCs w:val="20"/>
              </w:rPr>
              <w:t>TOTAL DEL PROYECTO</w:t>
            </w:r>
            <w:r w:rsidR="00F17D61">
              <w:rPr>
                <w:rFonts w:ascii="Arial" w:eastAsia="Arial" w:hAnsi="Arial" w:cs="Arial"/>
                <w:b/>
                <w:sz w:val="20"/>
                <w:szCs w:val="20"/>
              </w:rPr>
              <w:t xml:space="preserve"> (Incluyendo horas nómina)</w:t>
            </w:r>
            <w:r>
              <w:rPr>
                <w:rFonts w:ascii="Arial" w:eastAsia="Arial" w:hAnsi="Arial" w:cs="Arial"/>
                <w:b/>
                <w:sz w:val="20"/>
                <w:szCs w:val="20"/>
              </w:rPr>
              <w:t>:</w:t>
            </w:r>
          </w:p>
        </w:tc>
        <w:tc>
          <w:tcPr>
            <w:tcW w:w="1570" w:type="dxa"/>
            <w:tcBorders>
              <w:top w:val="single" w:sz="4" w:space="0" w:color="000000"/>
              <w:left w:val="single" w:sz="4" w:space="0" w:color="000000"/>
              <w:bottom w:val="single" w:sz="4" w:space="0" w:color="000000"/>
              <w:right w:val="single" w:sz="4" w:space="0" w:color="000000"/>
            </w:tcBorders>
            <w:vAlign w:val="center"/>
          </w:tcPr>
          <w:p w:rsidR="007B35E0" w:rsidRDefault="0014507E">
            <w:pPr>
              <w:jc w:val="both"/>
              <w:rPr>
                <w:rFonts w:ascii="Arial" w:eastAsia="Arial" w:hAnsi="Arial" w:cs="Arial"/>
                <w:sz w:val="20"/>
                <w:szCs w:val="20"/>
              </w:rPr>
            </w:pPr>
            <w:r>
              <w:rPr>
                <w:rFonts w:ascii="Arial" w:eastAsia="Arial" w:hAnsi="Arial" w:cs="Arial"/>
                <w:sz w:val="20"/>
                <w:szCs w:val="20"/>
              </w:rPr>
              <w:t>60.301.100</w:t>
            </w:r>
          </w:p>
        </w:tc>
      </w:tr>
    </w:tbl>
    <w:p w:rsidR="007B35E0" w:rsidRDefault="007B35E0">
      <w:pPr>
        <w:spacing w:after="0" w:line="240" w:lineRule="auto"/>
        <w:rPr>
          <w:rFonts w:ascii="Arial" w:eastAsia="Arial" w:hAnsi="Arial" w:cs="Arial"/>
          <w:sz w:val="20"/>
          <w:szCs w:val="20"/>
        </w:rPr>
      </w:pPr>
    </w:p>
    <w:p w:rsidR="007B35E0" w:rsidRDefault="007B35E0">
      <w:pPr>
        <w:spacing w:after="0" w:line="240" w:lineRule="auto"/>
        <w:rPr>
          <w:rFonts w:ascii="Arial" w:eastAsia="Arial" w:hAnsi="Arial" w:cs="Arial"/>
          <w:sz w:val="20"/>
          <w:szCs w:val="20"/>
        </w:rPr>
      </w:pPr>
    </w:p>
    <w:tbl>
      <w:tblPr>
        <w:tblStyle w:val="af9"/>
        <w:tblW w:w="14983" w:type="dxa"/>
        <w:tblInd w:w="0" w:type="dxa"/>
        <w:tblLayout w:type="fixed"/>
        <w:tblLook w:val="0400" w:firstRow="0" w:lastRow="0" w:firstColumn="0" w:lastColumn="0" w:noHBand="0" w:noVBand="1"/>
      </w:tblPr>
      <w:tblGrid>
        <w:gridCol w:w="14983"/>
      </w:tblGrid>
      <w:tr w:rsidR="007B35E0">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7B35E0" w:rsidRDefault="0014507E">
            <w:pPr>
              <w:jc w:val="center"/>
              <w:rPr>
                <w:rFonts w:ascii="Arial" w:eastAsia="Arial" w:hAnsi="Arial" w:cs="Arial"/>
                <w:b/>
                <w:sz w:val="20"/>
                <w:szCs w:val="20"/>
              </w:rPr>
            </w:pPr>
            <w:r>
              <w:rPr>
                <w:rFonts w:ascii="Arial" w:eastAsia="Arial" w:hAnsi="Arial" w:cs="Arial"/>
                <w:b/>
                <w:sz w:val="20"/>
                <w:szCs w:val="20"/>
              </w:rPr>
              <w:t>Referencia bibliográficas</w:t>
            </w:r>
          </w:p>
        </w:tc>
      </w:tr>
      <w:tr w:rsidR="007B35E0">
        <w:tc>
          <w:tcPr>
            <w:tcW w:w="14983" w:type="dxa"/>
            <w:tcBorders>
              <w:top w:val="single" w:sz="6" w:space="0" w:color="DDDDDD"/>
              <w:left w:val="single" w:sz="6" w:space="0" w:color="DDDDDD"/>
              <w:bottom w:val="single" w:sz="6" w:space="0" w:color="DDDDDD"/>
              <w:right w:val="single" w:sz="6" w:space="0" w:color="DDDDDD"/>
            </w:tcBorders>
            <w:tcMar>
              <w:top w:w="15" w:type="dxa"/>
              <w:left w:w="15" w:type="dxa"/>
              <w:bottom w:w="15" w:type="dxa"/>
              <w:right w:w="15" w:type="dxa"/>
            </w:tcMar>
            <w:vAlign w:val="center"/>
          </w:tcPr>
          <w:p w:rsidR="007B35E0" w:rsidRDefault="007B35E0">
            <w:pPr>
              <w:rPr>
                <w:rFonts w:ascii="Arial" w:eastAsia="Arial" w:hAnsi="Arial" w:cs="Arial"/>
                <w:sz w:val="20"/>
                <w:szCs w:val="20"/>
              </w:rPr>
            </w:pPr>
          </w:p>
          <w:p w:rsidR="007B35E0" w:rsidRDefault="00644CC7">
            <w:pPr>
              <w:rPr>
                <w:rFonts w:ascii="Arial" w:eastAsia="Arial" w:hAnsi="Arial" w:cs="Arial"/>
                <w:sz w:val="20"/>
                <w:szCs w:val="20"/>
              </w:rPr>
            </w:pPr>
            <w:r>
              <w:rPr>
                <w:rFonts w:ascii="Arial" w:hAnsi="Arial" w:cs="Arial"/>
                <w:color w:val="222222"/>
                <w:sz w:val="20"/>
                <w:szCs w:val="20"/>
                <w:shd w:val="clear" w:color="auto" w:fill="FFFFFF"/>
              </w:rPr>
              <w:t>AA, V. (2015). Contribución al entendimiento del conflicto armado en Colombia. Comisión Histórica del Conflicto y sus Víctimas Contribución al entendimiento del conflicto armado en Colombia. Febrero de 2015.</w:t>
            </w:r>
            <w:bookmarkStart w:id="1" w:name="_GoBack"/>
            <w:bookmarkEnd w:id="1"/>
          </w:p>
          <w:p w:rsidR="007B35E0" w:rsidRDefault="0014507E">
            <w:pPr>
              <w:rPr>
                <w:rFonts w:ascii="Arial" w:eastAsia="Arial" w:hAnsi="Arial" w:cs="Arial"/>
                <w:sz w:val="20"/>
                <w:szCs w:val="20"/>
              </w:rPr>
            </w:pPr>
            <w:r>
              <w:rPr>
                <w:rFonts w:ascii="Arial" w:eastAsia="Arial" w:hAnsi="Arial" w:cs="Arial"/>
                <w:sz w:val="20"/>
                <w:szCs w:val="20"/>
              </w:rPr>
              <w:t>Arendt, Hannah</w:t>
            </w:r>
            <w:proofErr w:type="gramStart"/>
            <w:r>
              <w:rPr>
                <w:rFonts w:ascii="Arial" w:eastAsia="Arial" w:hAnsi="Arial" w:cs="Arial"/>
                <w:sz w:val="20"/>
                <w:szCs w:val="20"/>
              </w:rPr>
              <w:t>.(</w:t>
            </w:r>
            <w:proofErr w:type="gramEnd"/>
            <w:r>
              <w:rPr>
                <w:rFonts w:ascii="Arial" w:eastAsia="Arial" w:hAnsi="Arial" w:cs="Arial"/>
                <w:sz w:val="20"/>
                <w:szCs w:val="20"/>
              </w:rPr>
              <w:t xml:space="preserve">1968). </w:t>
            </w:r>
            <w:r>
              <w:rPr>
                <w:rFonts w:ascii="Arial" w:eastAsia="Arial" w:hAnsi="Arial" w:cs="Arial"/>
                <w:i/>
                <w:sz w:val="20"/>
                <w:szCs w:val="20"/>
              </w:rPr>
              <w:t xml:space="preserve"> </w:t>
            </w:r>
            <w:proofErr w:type="spellStart"/>
            <w:r>
              <w:rPr>
                <w:rFonts w:ascii="Arial" w:eastAsia="Arial" w:hAnsi="Arial" w:cs="Arial"/>
                <w:i/>
                <w:sz w:val="20"/>
                <w:szCs w:val="20"/>
              </w:rPr>
              <w:t>Between</w:t>
            </w:r>
            <w:proofErr w:type="spellEnd"/>
            <w:r>
              <w:rPr>
                <w:rFonts w:ascii="Arial" w:eastAsia="Arial" w:hAnsi="Arial" w:cs="Arial"/>
                <w:i/>
                <w:sz w:val="20"/>
                <w:szCs w:val="20"/>
              </w:rPr>
              <w:t xml:space="preserve"> </w:t>
            </w:r>
            <w:proofErr w:type="spellStart"/>
            <w:r>
              <w:rPr>
                <w:rFonts w:ascii="Arial" w:eastAsia="Arial" w:hAnsi="Arial" w:cs="Arial"/>
                <w:i/>
                <w:sz w:val="20"/>
                <w:szCs w:val="20"/>
              </w:rPr>
              <w:t>Past</w:t>
            </w:r>
            <w:proofErr w:type="spellEnd"/>
            <w:r>
              <w:rPr>
                <w:rFonts w:ascii="Arial" w:eastAsia="Arial" w:hAnsi="Arial" w:cs="Arial"/>
                <w:i/>
                <w:sz w:val="20"/>
                <w:szCs w:val="20"/>
              </w:rPr>
              <w:t xml:space="preserve"> and </w:t>
            </w:r>
            <w:proofErr w:type="spellStart"/>
            <w:r>
              <w:rPr>
                <w:rFonts w:ascii="Arial" w:eastAsia="Arial" w:hAnsi="Arial" w:cs="Arial"/>
                <w:i/>
                <w:sz w:val="20"/>
                <w:szCs w:val="20"/>
              </w:rPr>
              <w:t>Future</w:t>
            </w:r>
            <w:proofErr w:type="spellEnd"/>
            <w:r>
              <w:rPr>
                <w:rFonts w:ascii="Arial" w:eastAsia="Arial" w:hAnsi="Arial" w:cs="Arial"/>
                <w:sz w:val="20"/>
                <w:szCs w:val="20"/>
              </w:rPr>
              <w:t xml:space="preserve">. New York: </w:t>
            </w:r>
            <w:proofErr w:type="spellStart"/>
            <w:r>
              <w:rPr>
                <w:rFonts w:ascii="Arial" w:eastAsia="Arial" w:hAnsi="Arial" w:cs="Arial"/>
                <w:sz w:val="20"/>
                <w:szCs w:val="20"/>
              </w:rPr>
              <w:t>Penguin</w:t>
            </w:r>
            <w:proofErr w:type="spellEnd"/>
            <w:r>
              <w:rPr>
                <w:rFonts w:ascii="Arial" w:eastAsia="Arial" w:hAnsi="Arial" w:cs="Arial"/>
                <w:sz w:val="20"/>
                <w:szCs w:val="20"/>
              </w:rPr>
              <w:t xml:space="preserve"> </w:t>
            </w:r>
            <w:proofErr w:type="spellStart"/>
            <w:r>
              <w:rPr>
                <w:rFonts w:ascii="Arial" w:eastAsia="Arial" w:hAnsi="Arial" w:cs="Arial"/>
                <w:sz w:val="20"/>
                <w:szCs w:val="20"/>
              </w:rPr>
              <w:t>Books</w:t>
            </w:r>
            <w:proofErr w:type="spellEnd"/>
            <w:r>
              <w:rPr>
                <w:rFonts w:ascii="Arial" w:eastAsia="Arial" w:hAnsi="Arial" w:cs="Arial"/>
                <w:sz w:val="20"/>
                <w:szCs w:val="20"/>
              </w:rPr>
              <w:t xml:space="preserve">. </w:t>
            </w:r>
          </w:p>
          <w:p w:rsidR="007B35E0" w:rsidRDefault="0014507E">
            <w:pPr>
              <w:rPr>
                <w:rFonts w:ascii="Arial" w:eastAsia="Arial" w:hAnsi="Arial" w:cs="Arial"/>
                <w:sz w:val="20"/>
                <w:szCs w:val="20"/>
              </w:rPr>
            </w:pPr>
            <w:r>
              <w:rPr>
                <w:rFonts w:ascii="Arial" w:eastAsia="Arial" w:hAnsi="Arial" w:cs="Arial"/>
                <w:sz w:val="20"/>
                <w:szCs w:val="20"/>
              </w:rPr>
              <w:t xml:space="preserve">Arendt, Hannah. (1969). </w:t>
            </w:r>
            <w:r>
              <w:rPr>
                <w:rFonts w:ascii="Arial" w:eastAsia="Arial" w:hAnsi="Arial" w:cs="Arial"/>
                <w:i/>
                <w:sz w:val="20"/>
                <w:szCs w:val="20"/>
              </w:rPr>
              <w:t xml:space="preserve">Crises of </w:t>
            </w:r>
            <w:proofErr w:type="spellStart"/>
            <w:r>
              <w:rPr>
                <w:rFonts w:ascii="Arial" w:eastAsia="Arial" w:hAnsi="Arial" w:cs="Arial"/>
                <w:i/>
                <w:sz w:val="20"/>
                <w:szCs w:val="20"/>
              </w:rPr>
              <w:t>the</w:t>
            </w:r>
            <w:proofErr w:type="spellEnd"/>
            <w:r>
              <w:rPr>
                <w:rFonts w:ascii="Arial" w:eastAsia="Arial" w:hAnsi="Arial" w:cs="Arial"/>
                <w:i/>
                <w:sz w:val="20"/>
                <w:szCs w:val="20"/>
              </w:rPr>
              <w:t xml:space="preserve"> </w:t>
            </w:r>
            <w:proofErr w:type="spellStart"/>
            <w:r>
              <w:rPr>
                <w:rFonts w:ascii="Arial" w:eastAsia="Arial" w:hAnsi="Arial" w:cs="Arial"/>
                <w:i/>
                <w:sz w:val="20"/>
                <w:szCs w:val="20"/>
              </w:rPr>
              <w:t>Republic</w:t>
            </w:r>
            <w:proofErr w:type="spellEnd"/>
            <w:r>
              <w:rPr>
                <w:rFonts w:ascii="Arial" w:eastAsia="Arial" w:hAnsi="Arial" w:cs="Arial"/>
                <w:sz w:val="20"/>
                <w:szCs w:val="20"/>
              </w:rPr>
              <w:t xml:space="preserve">. New York: Houghton </w:t>
            </w:r>
            <w:proofErr w:type="spellStart"/>
            <w:r>
              <w:rPr>
                <w:rFonts w:ascii="Arial" w:eastAsia="Arial" w:hAnsi="Arial" w:cs="Arial"/>
                <w:sz w:val="20"/>
                <w:szCs w:val="20"/>
              </w:rPr>
              <w:t>Mifflin</w:t>
            </w:r>
            <w:proofErr w:type="spellEnd"/>
            <w:r>
              <w:rPr>
                <w:rFonts w:ascii="Arial" w:eastAsia="Arial" w:hAnsi="Arial" w:cs="Arial"/>
                <w:sz w:val="20"/>
                <w:szCs w:val="20"/>
              </w:rPr>
              <w:t xml:space="preserve"> </w:t>
            </w:r>
            <w:proofErr w:type="spellStart"/>
            <w:r>
              <w:rPr>
                <w:rFonts w:ascii="Arial" w:eastAsia="Arial" w:hAnsi="Arial" w:cs="Arial"/>
                <w:sz w:val="20"/>
                <w:szCs w:val="20"/>
              </w:rPr>
              <w:t>Harcourt</w:t>
            </w:r>
            <w:proofErr w:type="spellEnd"/>
            <w:r>
              <w:rPr>
                <w:rFonts w:ascii="Arial" w:eastAsia="Arial" w:hAnsi="Arial" w:cs="Arial"/>
                <w:sz w:val="20"/>
                <w:szCs w:val="20"/>
              </w:rPr>
              <w:t xml:space="preserve"> Publishing Company.</w:t>
            </w:r>
          </w:p>
          <w:p w:rsidR="007B35E0" w:rsidRDefault="0014507E">
            <w:pPr>
              <w:rPr>
                <w:rFonts w:ascii="Arial" w:eastAsia="Arial" w:hAnsi="Arial" w:cs="Arial"/>
                <w:sz w:val="20"/>
                <w:szCs w:val="20"/>
              </w:rPr>
            </w:pPr>
            <w:r>
              <w:rPr>
                <w:rFonts w:ascii="Arial" w:eastAsia="Arial" w:hAnsi="Arial" w:cs="Arial"/>
                <w:sz w:val="20"/>
                <w:szCs w:val="20"/>
              </w:rPr>
              <w:t xml:space="preserve">Arendt, Hannah. (1969). </w:t>
            </w:r>
            <w:proofErr w:type="spellStart"/>
            <w:r>
              <w:rPr>
                <w:rFonts w:ascii="Arial" w:eastAsia="Arial" w:hAnsi="Arial" w:cs="Arial"/>
                <w:i/>
                <w:sz w:val="20"/>
                <w:szCs w:val="20"/>
              </w:rPr>
              <w:t>On</w:t>
            </w:r>
            <w:proofErr w:type="spellEnd"/>
            <w:r>
              <w:rPr>
                <w:rFonts w:ascii="Arial" w:eastAsia="Arial" w:hAnsi="Arial" w:cs="Arial"/>
                <w:i/>
                <w:sz w:val="20"/>
                <w:szCs w:val="20"/>
              </w:rPr>
              <w:t xml:space="preserve"> </w:t>
            </w:r>
            <w:proofErr w:type="spellStart"/>
            <w:r>
              <w:rPr>
                <w:rFonts w:ascii="Arial" w:eastAsia="Arial" w:hAnsi="Arial" w:cs="Arial"/>
                <w:i/>
                <w:sz w:val="20"/>
                <w:szCs w:val="20"/>
              </w:rPr>
              <w:t>Violence</w:t>
            </w:r>
            <w:proofErr w:type="spellEnd"/>
            <w:r>
              <w:rPr>
                <w:rFonts w:ascii="Arial" w:eastAsia="Arial" w:hAnsi="Arial" w:cs="Arial"/>
                <w:i/>
                <w:sz w:val="20"/>
                <w:szCs w:val="20"/>
              </w:rPr>
              <w:t xml:space="preserve">. </w:t>
            </w:r>
            <w:r>
              <w:rPr>
                <w:rFonts w:ascii="Arial" w:eastAsia="Arial" w:hAnsi="Arial" w:cs="Arial"/>
                <w:sz w:val="20"/>
                <w:szCs w:val="20"/>
              </w:rPr>
              <w:t xml:space="preserve">New York: Houghton </w:t>
            </w:r>
            <w:proofErr w:type="spellStart"/>
            <w:r>
              <w:rPr>
                <w:rFonts w:ascii="Arial" w:eastAsia="Arial" w:hAnsi="Arial" w:cs="Arial"/>
                <w:sz w:val="20"/>
                <w:szCs w:val="20"/>
              </w:rPr>
              <w:t>Mifflin</w:t>
            </w:r>
            <w:proofErr w:type="spellEnd"/>
            <w:r>
              <w:rPr>
                <w:rFonts w:ascii="Arial" w:eastAsia="Arial" w:hAnsi="Arial" w:cs="Arial"/>
                <w:sz w:val="20"/>
                <w:szCs w:val="20"/>
              </w:rPr>
              <w:t xml:space="preserve"> </w:t>
            </w:r>
            <w:proofErr w:type="spellStart"/>
            <w:r>
              <w:rPr>
                <w:rFonts w:ascii="Arial" w:eastAsia="Arial" w:hAnsi="Arial" w:cs="Arial"/>
                <w:sz w:val="20"/>
                <w:szCs w:val="20"/>
              </w:rPr>
              <w:t>Harcourt</w:t>
            </w:r>
            <w:proofErr w:type="spellEnd"/>
            <w:r>
              <w:rPr>
                <w:rFonts w:ascii="Arial" w:eastAsia="Arial" w:hAnsi="Arial" w:cs="Arial"/>
                <w:sz w:val="20"/>
                <w:szCs w:val="20"/>
              </w:rPr>
              <w:t xml:space="preserve"> Publishing Company. </w:t>
            </w:r>
          </w:p>
          <w:p w:rsidR="007B35E0" w:rsidRDefault="0014507E">
            <w:pPr>
              <w:rPr>
                <w:rFonts w:ascii="Arial" w:eastAsia="Arial" w:hAnsi="Arial" w:cs="Arial"/>
                <w:sz w:val="20"/>
                <w:szCs w:val="20"/>
              </w:rPr>
            </w:pPr>
            <w:r>
              <w:rPr>
                <w:rFonts w:ascii="Arial" w:eastAsia="Arial" w:hAnsi="Arial" w:cs="Arial"/>
                <w:sz w:val="20"/>
                <w:szCs w:val="20"/>
              </w:rPr>
              <w:t xml:space="preserve">Arendt, Hannah. (2005). </w:t>
            </w:r>
            <w:proofErr w:type="spellStart"/>
            <w:r>
              <w:rPr>
                <w:rFonts w:ascii="Arial" w:eastAsia="Arial" w:hAnsi="Arial" w:cs="Arial"/>
                <w:i/>
                <w:sz w:val="20"/>
                <w:szCs w:val="20"/>
              </w:rPr>
              <w:t>Responsibility</w:t>
            </w:r>
            <w:proofErr w:type="spellEnd"/>
            <w:r>
              <w:rPr>
                <w:rFonts w:ascii="Arial" w:eastAsia="Arial" w:hAnsi="Arial" w:cs="Arial"/>
                <w:i/>
                <w:sz w:val="20"/>
                <w:szCs w:val="20"/>
              </w:rPr>
              <w:t xml:space="preserve"> and </w:t>
            </w:r>
            <w:proofErr w:type="spellStart"/>
            <w:r>
              <w:rPr>
                <w:rFonts w:ascii="Arial" w:eastAsia="Arial" w:hAnsi="Arial" w:cs="Arial"/>
                <w:i/>
                <w:sz w:val="20"/>
                <w:szCs w:val="20"/>
              </w:rPr>
              <w:t>Judgement</w:t>
            </w:r>
            <w:proofErr w:type="spellEnd"/>
            <w:r>
              <w:rPr>
                <w:rFonts w:ascii="Arial" w:eastAsia="Arial" w:hAnsi="Arial" w:cs="Arial"/>
                <w:i/>
                <w:sz w:val="20"/>
                <w:szCs w:val="20"/>
              </w:rPr>
              <w:t>.</w:t>
            </w:r>
            <w:r>
              <w:rPr>
                <w:rFonts w:ascii="Arial" w:eastAsia="Arial" w:hAnsi="Arial" w:cs="Arial"/>
                <w:sz w:val="20"/>
                <w:szCs w:val="20"/>
              </w:rPr>
              <w:t xml:space="preserve"> New York: </w:t>
            </w:r>
            <w:proofErr w:type="spellStart"/>
            <w:r>
              <w:rPr>
                <w:rFonts w:ascii="Arial" w:eastAsia="Arial" w:hAnsi="Arial" w:cs="Arial"/>
                <w:sz w:val="20"/>
                <w:szCs w:val="20"/>
              </w:rPr>
              <w:t>Schocken</w:t>
            </w:r>
            <w:proofErr w:type="spellEnd"/>
            <w:r>
              <w:rPr>
                <w:rFonts w:ascii="Arial" w:eastAsia="Arial" w:hAnsi="Arial" w:cs="Arial"/>
                <w:sz w:val="20"/>
                <w:szCs w:val="20"/>
              </w:rPr>
              <w:t xml:space="preserve"> </w:t>
            </w:r>
            <w:proofErr w:type="spellStart"/>
            <w:r>
              <w:rPr>
                <w:rFonts w:ascii="Arial" w:eastAsia="Arial" w:hAnsi="Arial" w:cs="Arial"/>
                <w:sz w:val="20"/>
                <w:szCs w:val="20"/>
              </w:rPr>
              <w:t>Books</w:t>
            </w:r>
            <w:proofErr w:type="spellEnd"/>
            <w:r>
              <w:rPr>
                <w:rFonts w:ascii="Arial" w:eastAsia="Arial" w:hAnsi="Arial" w:cs="Arial"/>
                <w:sz w:val="20"/>
                <w:szCs w:val="20"/>
              </w:rPr>
              <w:t>.</w:t>
            </w:r>
          </w:p>
          <w:p w:rsidR="007B35E0" w:rsidRDefault="0014507E">
            <w:pPr>
              <w:rPr>
                <w:rFonts w:ascii="Arial" w:eastAsia="Arial" w:hAnsi="Arial" w:cs="Arial"/>
                <w:sz w:val="20"/>
                <w:szCs w:val="20"/>
              </w:rPr>
            </w:pPr>
            <w:r>
              <w:rPr>
                <w:rFonts w:ascii="Arial" w:eastAsia="Arial" w:hAnsi="Arial" w:cs="Arial"/>
                <w:sz w:val="20"/>
                <w:szCs w:val="20"/>
              </w:rPr>
              <w:t xml:space="preserve">Arendt, Hannah. (1966, 1968, 1976). </w:t>
            </w:r>
            <w:proofErr w:type="spellStart"/>
            <w:r>
              <w:rPr>
                <w:rFonts w:ascii="Arial" w:eastAsia="Arial" w:hAnsi="Arial" w:cs="Arial"/>
                <w:sz w:val="20"/>
                <w:szCs w:val="20"/>
              </w:rPr>
              <w:t>T</w:t>
            </w:r>
            <w:r>
              <w:rPr>
                <w:rFonts w:ascii="Arial" w:eastAsia="Arial" w:hAnsi="Arial" w:cs="Arial"/>
                <w:i/>
                <w:sz w:val="20"/>
                <w:szCs w:val="20"/>
              </w:rPr>
              <w:t>he</w:t>
            </w:r>
            <w:proofErr w:type="spellEnd"/>
            <w:r>
              <w:rPr>
                <w:rFonts w:ascii="Arial" w:eastAsia="Arial" w:hAnsi="Arial" w:cs="Arial"/>
                <w:i/>
                <w:sz w:val="20"/>
                <w:szCs w:val="20"/>
              </w:rPr>
              <w:t xml:space="preserve"> </w:t>
            </w:r>
            <w:proofErr w:type="spellStart"/>
            <w:r>
              <w:rPr>
                <w:rFonts w:ascii="Arial" w:eastAsia="Arial" w:hAnsi="Arial" w:cs="Arial"/>
                <w:i/>
                <w:sz w:val="20"/>
                <w:szCs w:val="20"/>
              </w:rPr>
              <w:t>Origins</w:t>
            </w:r>
            <w:proofErr w:type="spellEnd"/>
            <w:r>
              <w:rPr>
                <w:rFonts w:ascii="Arial" w:eastAsia="Arial" w:hAnsi="Arial" w:cs="Arial"/>
                <w:i/>
                <w:sz w:val="20"/>
                <w:szCs w:val="20"/>
              </w:rPr>
              <w:t xml:space="preserve"> of </w:t>
            </w:r>
            <w:proofErr w:type="spellStart"/>
            <w:r>
              <w:rPr>
                <w:rFonts w:ascii="Arial" w:eastAsia="Arial" w:hAnsi="Arial" w:cs="Arial"/>
                <w:i/>
                <w:sz w:val="20"/>
                <w:szCs w:val="20"/>
              </w:rPr>
              <w:t>Totalitarianism</w:t>
            </w:r>
            <w:proofErr w:type="spellEnd"/>
            <w:r>
              <w:rPr>
                <w:rFonts w:ascii="Arial" w:eastAsia="Arial" w:hAnsi="Arial" w:cs="Arial"/>
                <w:i/>
                <w:sz w:val="20"/>
                <w:szCs w:val="20"/>
              </w:rPr>
              <w:t>.</w:t>
            </w:r>
            <w:r>
              <w:rPr>
                <w:rFonts w:ascii="Arial" w:eastAsia="Arial" w:hAnsi="Arial" w:cs="Arial"/>
                <w:sz w:val="20"/>
                <w:szCs w:val="20"/>
              </w:rPr>
              <w:t xml:space="preserve"> New York: A </w:t>
            </w:r>
            <w:proofErr w:type="spellStart"/>
            <w:r>
              <w:rPr>
                <w:rFonts w:ascii="Arial" w:eastAsia="Arial" w:hAnsi="Arial" w:cs="Arial"/>
                <w:sz w:val="20"/>
                <w:szCs w:val="20"/>
              </w:rPr>
              <w:t>Harvest</w:t>
            </w:r>
            <w:proofErr w:type="spellEnd"/>
            <w:r>
              <w:rPr>
                <w:rFonts w:ascii="Arial" w:eastAsia="Arial" w:hAnsi="Arial" w:cs="Arial"/>
                <w:sz w:val="20"/>
                <w:szCs w:val="20"/>
              </w:rPr>
              <w:t xml:space="preserve"> Book.</w:t>
            </w:r>
          </w:p>
          <w:p w:rsidR="007B35E0" w:rsidRDefault="0014507E">
            <w:pPr>
              <w:rPr>
                <w:rFonts w:ascii="Arial" w:eastAsia="Arial" w:hAnsi="Arial" w:cs="Arial"/>
                <w:sz w:val="20"/>
                <w:szCs w:val="20"/>
              </w:rPr>
            </w:pPr>
            <w:r>
              <w:rPr>
                <w:rFonts w:ascii="Arial" w:eastAsia="Arial" w:hAnsi="Arial" w:cs="Arial"/>
                <w:sz w:val="20"/>
                <w:szCs w:val="20"/>
              </w:rPr>
              <w:t xml:space="preserve">Arendt, Hannah. (2005). </w:t>
            </w:r>
            <w:proofErr w:type="spellStart"/>
            <w:r>
              <w:rPr>
                <w:rFonts w:ascii="Arial" w:eastAsia="Arial" w:hAnsi="Arial" w:cs="Arial"/>
                <w:i/>
                <w:sz w:val="20"/>
                <w:szCs w:val="20"/>
              </w:rPr>
              <w:t>The</w:t>
            </w:r>
            <w:proofErr w:type="spellEnd"/>
            <w:r>
              <w:rPr>
                <w:rFonts w:ascii="Arial" w:eastAsia="Arial" w:hAnsi="Arial" w:cs="Arial"/>
                <w:i/>
                <w:sz w:val="20"/>
                <w:szCs w:val="20"/>
              </w:rPr>
              <w:t xml:space="preserve"> </w:t>
            </w:r>
            <w:proofErr w:type="spellStart"/>
            <w:r>
              <w:rPr>
                <w:rFonts w:ascii="Arial" w:eastAsia="Arial" w:hAnsi="Arial" w:cs="Arial"/>
                <w:i/>
                <w:sz w:val="20"/>
                <w:szCs w:val="20"/>
              </w:rPr>
              <w:t>Promise</w:t>
            </w:r>
            <w:proofErr w:type="spellEnd"/>
            <w:r>
              <w:rPr>
                <w:rFonts w:ascii="Arial" w:eastAsia="Arial" w:hAnsi="Arial" w:cs="Arial"/>
                <w:i/>
                <w:sz w:val="20"/>
                <w:szCs w:val="20"/>
              </w:rPr>
              <w:t xml:space="preserve"> of </w:t>
            </w:r>
            <w:proofErr w:type="spellStart"/>
            <w:r>
              <w:rPr>
                <w:rFonts w:ascii="Arial" w:eastAsia="Arial" w:hAnsi="Arial" w:cs="Arial"/>
                <w:i/>
                <w:sz w:val="20"/>
                <w:szCs w:val="20"/>
              </w:rPr>
              <w:t>Politics</w:t>
            </w:r>
            <w:proofErr w:type="spellEnd"/>
            <w:r>
              <w:rPr>
                <w:rFonts w:ascii="Arial" w:eastAsia="Arial" w:hAnsi="Arial" w:cs="Arial"/>
                <w:sz w:val="20"/>
                <w:szCs w:val="20"/>
              </w:rPr>
              <w:t xml:space="preserve">. New York: </w:t>
            </w:r>
            <w:proofErr w:type="spellStart"/>
            <w:r>
              <w:rPr>
                <w:rFonts w:ascii="Arial" w:eastAsia="Arial" w:hAnsi="Arial" w:cs="Arial"/>
                <w:sz w:val="20"/>
                <w:szCs w:val="20"/>
              </w:rPr>
              <w:t>Schocken</w:t>
            </w:r>
            <w:proofErr w:type="spellEnd"/>
            <w:r>
              <w:rPr>
                <w:rFonts w:ascii="Arial" w:eastAsia="Arial" w:hAnsi="Arial" w:cs="Arial"/>
                <w:sz w:val="20"/>
                <w:szCs w:val="20"/>
              </w:rPr>
              <w:t xml:space="preserve"> </w:t>
            </w:r>
            <w:proofErr w:type="spellStart"/>
            <w:r>
              <w:rPr>
                <w:rFonts w:ascii="Arial" w:eastAsia="Arial" w:hAnsi="Arial" w:cs="Arial"/>
                <w:sz w:val="20"/>
                <w:szCs w:val="20"/>
              </w:rPr>
              <w:t>Books</w:t>
            </w:r>
            <w:proofErr w:type="spellEnd"/>
            <w:r>
              <w:rPr>
                <w:rFonts w:ascii="Arial" w:eastAsia="Arial" w:hAnsi="Arial" w:cs="Arial"/>
                <w:sz w:val="20"/>
                <w:szCs w:val="20"/>
              </w:rPr>
              <w:t>.</w:t>
            </w:r>
          </w:p>
          <w:p w:rsidR="007B35E0" w:rsidRDefault="0014507E">
            <w:pPr>
              <w:rPr>
                <w:rFonts w:ascii="Arial" w:eastAsia="Arial" w:hAnsi="Arial" w:cs="Arial"/>
                <w:sz w:val="20"/>
                <w:szCs w:val="20"/>
              </w:rPr>
            </w:pPr>
            <w:proofErr w:type="spellStart"/>
            <w:r>
              <w:rPr>
                <w:rFonts w:ascii="Arial" w:eastAsia="Arial" w:hAnsi="Arial" w:cs="Arial"/>
                <w:sz w:val="20"/>
                <w:szCs w:val="20"/>
              </w:rPr>
              <w:t>Avila</w:t>
            </w:r>
            <w:proofErr w:type="spellEnd"/>
            <w:r>
              <w:rPr>
                <w:rFonts w:ascii="Arial" w:eastAsia="Arial" w:hAnsi="Arial" w:cs="Arial"/>
                <w:sz w:val="20"/>
                <w:szCs w:val="20"/>
              </w:rPr>
              <w:t xml:space="preserve">, Ariel. (2019). Detrás de la guerra en Colombia. Bogotá: Planeta. </w:t>
            </w:r>
          </w:p>
          <w:p w:rsidR="007B35E0" w:rsidRDefault="0014507E">
            <w:pPr>
              <w:rPr>
                <w:rFonts w:ascii="Arial" w:eastAsia="Arial" w:hAnsi="Arial" w:cs="Arial"/>
                <w:sz w:val="20"/>
                <w:szCs w:val="20"/>
              </w:rPr>
            </w:pPr>
            <w:r>
              <w:rPr>
                <w:rFonts w:ascii="Arial" w:eastAsia="Arial" w:hAnsi="Arial" w:cs="Arial"/>
                <w:sz w:val="20"/>
                <w:szCs w:val="20"/>
              </w:rPr>
              <w:t xml:space="preserve">Ibáñez Najar, J. E. (2017). </w:t>
            </w:r>
            <w:r>
              <w:rPr>
                <w:rFonts w:ascii="Arial" w:eastAsia="Arial" w:hAnsi="Arial" w:cs="Arial"/>
                <w:i/>
                <w:sz w:val="20"/>
                <w:szCs w:val="20"/>
              </w:rPr>
              <w:t xml:space="preserve">Justicia Transicional y Comisiones de la Verdad. </w:t>
            </w:r>
            <w:r>
              <w:rPr>
                <w:rFonts w:ascii="Arial" w:eastAsia="Arial" w:hAnsi="Arial" w:cs="Arial"/>
                <w:sz w:val="20"/>
                <w:szCs w:val="20"/>
              </w:rPr>
              <w:t xml:space="preserve">Bogotá: Instituto </w:t>
            </w:r>
            <w:proofErr w:type="spellStart"/>
            <w:r>
              <w:rPr>
                <w:rFonts w:ascii="Arial" w:eastAsia="Arial" w:hAnsi="Arial" w:cs="Arial"/>
                <w:sz w:val="20"/>
                <w:szCs w:val="20"/>
              </w:rPr>
              <w:t>Berg</w:t>
            </w:r>
            <w:proofErr w:type="spellEnd"/>
            <w:r>
              <w:rPr>
                <w:rFonts w:ascii="Arial" w:eastAsia="Arial" w:hAnsi="Arial" w:cs="Arial"/>
                <w:sz w:val="20"/>
                <w:szCs w:val="20"/>
              </w:rPr>
              <w:t xml:space="preserve">- </w:t>
            </w:r>
            <w:proofErr w:type="spellStart"/>
            <w:r>
              <w:rPr>
                <w:rFonts w:ascii="Arial" w:eastAsia="Arial" w:hAnsi="Arial" w:cs="Arial"/>
                <w:sz w:val="20"/>
                <w:szCs w:val="20"/>
              </w:rPr>
              <w:t>Berg</w:t>
            </w:r>
            <w:proofErr w:type="spellEnd"/>
            <w:r>
              <w:rPr>
                <w:rFonts w:ascii="Arial" w:eastAsia="Arial" w:hAnsi="Arial" w:cs="Arial"/>
                <w:sz w:val="20"/>
                <w:szCs w:val="20"/>
              </w:rPr>
              <w:t xml:space="preserve"> </w:t>
            </w:r>
            <w:proofErr w:type="spellStart"/>
            <w:r>
              <w:rPr>
                <w:rFonts w:ascii="Arial" w:eastAsia="Arial" w:hAnsi="Arial" w:cs="Arial"/>
                <w:sz w:val="20"/>
                <w:szCs w:val="20"/>
              </w:rPr>
              <w:t>Oceana</w:t>
            </w:r>
            <w:proofErr w:type="spellEnd"/>
            <w:r>
              <w:rPr>
                <w:rFonts w:ascii="Arial" w:eastAsia="Arial" w:hAnsi="Arial" w:cs="Arial"/>
                <w:sz w:val="20"/>
                <w:szCs w:val="20"/>
              </w:rPr>
              <w:t xml:space="preserve"> </w:t>
            </w:r>
            <w:proofErr w:type="spellStart"/>
            <w:r>
              <w:rPr>
                <w:rFonts w:ascii="Arial" w:eastAsia="Arial" w:hAnsi="Arial" w:cs="Arial"/>
                <w:sz w:val="20"/>
                <w:szCs w:val="20"/>
              </w:rPr>
              <w:t>Aufklarung</w:t>
            </w:r>
            <w:proofErr w:type="spellEnd"/>
            <w:r>
              <w:rPr>
                <w:rFonts w:ascii="Arial" w:eastAsia="Arial" w:hAnsi="Arial" w:cs="Arial"/>
                <w:sz w:val="20"/>
                <w:szCs w:val="20"/>
              </w:rPr>
              <w:t xml:space="preserve">. </w:t>
            </w:r>
          </w:p>
          <w:p w:rsidR="007B35E0" w:rsidRDefault="0014507E">
            <w:pPr>
              <w:rPr>
                <w:rFonts w:ascii="Arial" w:eastAsia="Arial" w:hAnsi="Arial" w:cs="Arial"/>
                <w:sz w:val="20"/>
                <w:szCs w:val="20"/>
              </w:rPr>
            </w:pPr>
            <w:proofErr w:type="spellStart"/>
            <w:r>
              <w:rPr>
                <w:rFonts w:ascii="Arial" w:eastAsia="Arial" w:hAnsi="Arial" w:cs="Arial"/>
                <w:sz w:val="20"/>
                <w:szCs w:val="20"/>
              </w:rPr>
              <w:t>Bakiner</w:t>
            </w:r>
            <w:proofErr w:type="spellEnd"/>
            <w:r>
              <w:rPr>
                <w:rFonts w:ascii="Arial" w:eastAsia="Arial" w:hAnsi="Arial" w:cs="Arial"/>
                <w:sz w:val="20"/>
                <w:szCs w:val="20"/>
              </w:rPr>
              <w:t xml:space="preserve">, </w:t>
            </w:r>
            <w:proofErr w:type="spellStart"/>
            <w:r>
              <w:rPr>
                <w:rFonts w:ascii="Arial" w:eastAsia="Arial" w:hAnsi="Arial" w:cs="Arial"/>
                <w:sz w:val="20"/>
                <w:szCs w:val="20"/>
              </w:rPr>
              <w:t>Onur</w:t>
            </w:r>
            <w:proofErr w:type="spellEnd"/>
            <w:r>
              <w:rPr>
                <w:rFonts w:ascii="Arial" w:eastAsia="Arial" w:hAnsi="Arial" w:cs="Arial"/>
                <w:sz w:val="20"/>
                <w:szCs w:val="20"/>
              </w:rPr>
              <w:t xml:space="preserve">. (1 </w:t>
            </w:r>
            <w:proofErr w:type="spellStart"/>
            <w:r>
              <w:rPr>
                <w:rFonts w:ascii="Arial" w:eastAsia="Arial" w:hAnsi="Arial" w:cs="Arial"/>
                <w:sz w:val="20"/>
                <w:szCs w:val="20"/>
              </w:rPr>
              <w:t>March</w:t>
            </w:r>
            <w:proofErr w:type="spellEnd"/>
            <w:r>
              <w:rPr>
                <w:rFonts w:ascii="Arial" w:eastAsia="Arial" w:hAnsi="Arial" w:cs="Arial"/>
                <w:sz w:val="20"/>
                <w:szCs w:val="20"/>
              </w:rPr>
              <w:t xml:space="preserve"> 2014). </w:t>
            </w:r>
            <w:proofErr w:type="spellStart"/>
            <w:r>
              <w:rPr>
                <w:rFonts w:ascii="Arial" w:eastAsia="Arial" w:hAnsi="Arial" w:cs="Arial"/>
                <w:sz w:val="20"/>
                <w:szCs w:val="20"/>
              </w:rPr>
              <w:t>Truth</w:t>
            </w:r>
            <w:proofErr w:type="spellEnd"/>
            <w:r>
              <w:rPr>
                <w:rFonts w:ascii="Arial" w:eastAsia="Arial" w:hAnsi="Arial" w:cs="Arial"/>
                <w:sz w:val="20"/>
                <w:szCs w:val="20"/>
              </w:rPr>
              <w:t xml:space="preserve"> </w:t>
            </w:r>
            <w:proofErr w:type="spellStart"/>
            <w:r>
              <w:rPr>
                <w:rFonts w:ascii="Arial" w:eastAsia="Arial" w:hAnsi="Arial" w:cs="Arial"/>
                <w:sz w:val="20"/>
                <w:szCs w:val="20"/>
              </w:rPr>
              <w:t>Commission</w:t>
            </w:r>
            <w:proofErr w:type="spellEnd"/>
            <w:r>
              <w:rPr>
                <w:rFonts w:ascii="Arial" w:eastAsia="Arial" w:hAnsi="Arial" w:cs="Arial"/>
                <w:sz w:val="20"/>
                <w:szCs w:val="20"/>
              </w:rPr>
              <w:t xml:space="preserve"> </w:t>
            </w:r>
            <w:proofErr w:type="spellStart"/>
            <w:r>
              <w:rPr>
                <w:rFonts w:ascii="Arial" w:eastAsia="Arial" w:hAnsi="Arial" w:cs="Arial"/>
                <w:sz w:val="20"/>
                <w:szCs w:val="20"/>
              </w:rPr>
              <w:t>Impact</w:t>
            </w:r>
            <w:proofErr w:type="spellEnd"/>
            <w:r>
              <w:rPr>
                <w:rFonts w:ascii="Arial" w:eastAsia="Arial" w:hAnsi="Arial" w:cs="Arial"/>
                <w:sz w:val="20"/>
                <w:szCs w:val="20"/>
              </w:rPr>
              <w:t xml:space="preserve">: </w:t>
            </w:r>
            <w:proofErr w:type="spellStart"/>
            <w:r>
              <w:rPr>
                <w:rFonts w:ascii="Arial" w:eastAsia="Arial" w:hAnsi="Arial" w:cs="Arial"/>
                <w:sz w:val="20"/>
                <w:szCs w:val="20"/>
              </w:rPr>
              <w:t>An</w:t>
            </w:r>
            <w:proofErr w:type="spellEnd"/>
            <w:r>
              <w:rPr>
                <w:rFonts w:ascii="Arial" w:eastAsia="Arial" w:hAnsi="Arial" w:cs="Arial"/>
                <w:sz w:val="20"/>
                <w:szCs w:val="20"/>
              </w:rPr>
              <w:t xml:space="preserve"> </w:t>
            </w:r>
            <w:proofErr w:type="spellStart"/>
            <w:r>
              <w:rPr>
                <w:rFonts w:ascii="Arial" w:eastAsia="Arial" w:hAnsi="Arial" w:cs="Arial"/>
                <w:sz w:val="20"/>
                <w:szCs w:val="20"/>
              </w:rPr>
              <w:t>Assessment</w:t>
            </w:r>
            <w:proofErr w:type="spellEnd"/>
            <w:r>
              <w:rPr>
                <w:rFonts w:ascii="Arial" w:eastAsia="Arial" w:hAnsi="Arial" w:cs="Arial"/>
                <w:sz w:val="20"/>
                <w:szCs w:val="20"/>
              </w:rPr>
              <w:t xml:space="preserve"> of </w:t>
            </w:r>
            <w:proofErr w:type="spellStart"/>
            <w:r>
              <w:rPr>
                <w:rFonts w:ascii="Arial" w:eastAsia="Arial" w:hAnsi="Arial" w:cs="Arial"/>
                <w:sz w:val="20"/>
                <w:szCs w:val="20"/>
              </w:rPr>
              <w:t>How</w:t>
            </w:r>
            <w:proofErr w:type="spellEnd"/>
            <w:r>
              <w:rPr>
                <w:rFonts w:ascii="Arial" w:eastAsia="Arial" w:hAnsi="Arial" w:cs="Arial"/>
                <w:sz w:val="20"/>
                <w:szCs w:val="20"/>
              </w:rPr>
              <w:t xml:space="preserve"> </w:t>
            </w:r>
            <w:proofErr w:type="spellStart"/>
            <w:r>
              <w:rPr>
                <w:rFonts w:ascii="Arial" w:eastAsia="Arial" w:hAnsi="Arial" w:cs="Arial"/>
                <w:sz w:val="20"/>
                <w:szCs w:val="20"/>
              </w:rPr>
              <w:t>Commissions</w:t>
            </w:r>
            <w:proofErr w:type="spellEnd"/>
            <w:r>
              <w:rPr>
                <w:rFonts w:ascii="Arial" w:eastAsia="Arial" w:hAnsi="Arial" w:cs="Arial"/>
                <w:sz w:val="20"/>
                <w:szCs w:val="20"/>
              </w:rPr>
              <w:t xml:space="preserve"> </w:t>
            </w:r>
            <w:proofErr w:type="spellStart"/>
            <w:r>
              <w:rPr>
                <w:rFonts w:ascii="Arial" w:eastAsia="Arial" w:hAnsi="Arial" w:cs="Arial"/>
                <w:sz w:val="20"/>
                <w:szCs w:val="20"/>
              </w:rPr>
              <w:t>Influence</w:t>
            </w:r>
            <w:proofErr w:type="spellEnd"/>
            <w:r>
              <w:rPr>
                <w:rFonts w:ascii="Arial" w:eastAsia="Arial" w:hAnsi="Arial" w:cs="Arial"/>
                <w:sz w:val="20"/>
                <w:szCs w:val="20"/>
              </w:rPr>
              <w:t xml:space="preserve"> </w:t>
            </w:r>
            <w:proofErr w:type="spellStart"/>
            <w:r>
              <w:rPr>
                <w:rFonts w:ascii="Arial" w:eastAsia="Arial" w:hAnsi="Arial" w:cs="Arial"/>
                <w:sz w:val="20"/>
                <w:szCs w:val="20"/>
              </w:rPr>
              <w:t>Politics</w:t>
            </w:r>
            <w:proofErr w:type="spellEnd"/>
            <w:r>
              <w:rPr>
                <w:rFonts w:ascii="Arial" w:eastAsia="Arial" w:hAnsi="Arial" w:cs="Arial"/>
                <w:sz w:val="20"/>
                <w:szCs w:val="20"/>
              </w:rPr>
              <w:t xml:space="preserve"> and </w:t>
            </w:r>
            <w:proofErr w:type="spellStart"/>
            <w:r>
              <w:rPr>
                <w:rFonts w:ascii="Arial" w:eastAsia="Arial" w:hAnsi="Arial" w:cs="Arial"/>
                <w:sz w:val="20"/>
                <w:szCs w:val="20"/>
              </w:rPr>
              <w:t>Society</w:t>
            </w:r>
            <w:proofErr w:type="spellEnd"/>
            <w:r>
              <w:rPr>
                <w:rFonts w:ascii="Arial" w:eastAsia="Arial" w:hAnsi="Arial" w:cs="Arial"/>
                <w:sz w:val="20"/>
                <w:szCs w:val="20"/>
              </w:rPr>
              <w:t xml:space="preserve">. </w:t>
            </w:r>
            <w:r>
              <w:rPr>
                <w:rFonts w:ascii="Arial" w:eastAsia="Arial" w:hAnsi="Arial" w:cs="Arial"/>
                <w:i/>
                <w:sz w:val="20"/>
                <w:szCs w:val="20"/>
              </w:rPr>
              <w:t xml:space="preserve">International </w:t>
            </w:r>
            <w:proofErr w:type="spellStart"/>
            <w:r>
              <w:rPr>
                <w:rFonts w:ascii="Arial" w:eastAsia="Arial" w:hAnsi="Arial" w:cs="Arial"/>
                <w:i/>
                <w:sz w:val="20"/>
                <w:szCs w:val="20"/>
              </w:rPr>
              <w:t>Journal</w:t>
            </w:r>
            <w:proofErr w:type="spellEnd"/>
            <w:r>
              <w:rPr>
                <w:rFonts w:ascii="Arial" w:eastAsia="Arial" w:hAnsi="Arial" w:cs="Arial"/>
                <w:i/>
                <w:sz w:val="20"/>
                <w:szCs w:val="20"/>
              </w:rPr>
              <w:t xml:space="preserve"> of </w:t>
            </w:r>
            <w:proofErr w:type="spellStart"/>
            <w:r>
              <w:rPr>
                <w:rFonts w:ascii="Arial" w:eastAsia="Arial" w:hAnsi="Arial" w:cs="Arial"/>
                <w:i/>
                <w:sz w:val="20"/>
                <w:szCs w:val="20"/>
              </w:rPr>
              <w:t>Transitional</w:t>
            </w:r>
            <w:proofErr w:type="spellEnd"/>
            <w:r>
              <w:rPr>
                <w:rFonts w:ascii="Arial" w:eastAsia="Arial" w:hAnsi="Arial" w:cs="Arial"/>
                <w:i/>
                <w:sz w:val="20"/>
                <w:szCs w:val="20"/>
              </w:rPr>
              <w:t xml:space="preserve"> </w:t>
            </w:r>
            <w:proofErr w:type="spellStart"/>
            <w:r>
              <w:rPr>
                <w:rFonts w:ascii="Arial" w:eastAsia="Arial" w:hAnsi="Arial" w:cs="Arial"/>
                <w:i/>
                <w:sz w:val="20"/>
                <w:szCs w:val="20"/>
              </w:rPr>
              <w:t>Justice</w:t>
            </w:r>
            <w:proofErr w:type="spellEnd"/>
            <w:r>
              <w:rPr>
                <w:rFonts w:ascii="Arial" w:eastAsia="Arial" w:hAnsi="Arial" w:cs="Arial"/>
                <w:i/>
                <w:sz w:val="20"/>
                <w:szCs w:val="20"/>
              </w:rPr>
              <w:t xml:space="preserve">, </w:t>
            </w:r>
            <w:proofErr w:type="spellStart"/>
            <w:r>
              <w:rPr>
                <w:rFonts w:ascii="Arial" w:eastAsia="Arial" w:hAnsi="Arial" w:cs="Arial"/>
                <w:i/>
                <w:sz w:val="20"/>
                <w:szCs w:val="20"/>
              </w:rPr>
              <w:t>Volume</w:t>
            </w:r>
            <w:proofErr w:type="spellEnd"/>
            <w:r>
              <w:rPr>
                <w:rFonts w:ascii="Arial" w:eastAsia="Arial" w:hAnsi="Arial" w:cs="Arial"/>
                <w:i/>
                <w:sz w:val="20"/>
                <w:szCs w:val="20"/>
              </w:rPr>
              <w:t xml:space="preserve"> 8, (</w:t>
            </w:r>
            <w:proofErr w:type="spellStart"/>
            <w:r>
              <w:rPr>
                <w:rFonts w:ascii="Arial" w:eastAsia="Arial" w:hAnsi="Arial" w:cs="Arial"/>
                <w:i/>
                <w:sz w:val="20"/>
                <w:szCs w:val="20"/>
              </w:rPr>
              <w:t>Issue</w:t>
            </w:r>
            <w:proofErr w:type="spellEnd"/>
            <w:r>
              <w:rPr>
                <w:rFonts w:ascii="Arial" w:eastAsia="Arial" w:hAnsi="Arial" w:cs="Arial"/>
                <w:i/>
                <w:sz w:val="20"/>
                <w:szCs w:val="20"/>
              </w:rPr>
              <w:t xml:space="preserve"> 1)</w:t>
            </w:r>
            <w:r>
              <w:rPr>
                <w:rFonts w:ascii="Arial" w:eastAsia="Arial" w:hAnsi="Arial" w:cs="Arial"/>
                <w:sz w:val="20"/>
                <w:szCs w:val="20"/>
              </w:rPr>
              <w:t>, 6–30.</w:t>
            </w:r>
          </w:p>
          <w:p w:rsidR="007B35E0" w:rsidRDefault="0014507E">
            <w:pPr>
              <w:rPr>
                <w:rFonts w:ascii="Arial" w:eastAsia="Arial" w:hAnsi="Arial" w:cs="Arial"/>
                <w:sz w:val="20"/>
                <w:szCs w:val="20"/>
              </w:rPr>
            </w:pPr>
            <w:proofErr w:type="spellStart"/>
            <w:r>
              <w:rPr>
                <w:rFonts w:ascii="Arial" w:eastAsia="Arial" w:hAnsi="Arial" w:cs="Arial"/>
                <w:sz w:val="20"/>
                <w:szCs w:val="20"/>
              </w:rPr>
              <w:t>Bevernage</w:t>
            </w:r>
            <w:proofErr w:type="spellEnd"/>
            <w:r>
              <w:rPr>
                <w:rFonts w:ascii="Arial" w:eastAsia="Arial" w:hAnsi="Arial" w:cs="Arial"/>
                <w:sz w:val="20"/>
                <w:szCs w:val="20"/>
              </w:rPr>
              <w:t xml:space="preserve">, </w:t>
            </w:r>
            <w:proofErr w:type="spellStart"/>
            <w:r>
              <w:rPr>
                <w:rFonts w:ascii="Arial" w:eastAsia="Arial" w:hAnsi="Arial" w:cs="Arial"/>
                <w:sz w:val="20"/>
                <w:szCs w:val="20"/>
              </w:rPr>
              <w:t>Berber</w:t>
            </w:r>
            <w:proofErr w:type="spellEnd"/>
            <w:r>
              <w:rPr>
                <w:rFonts w:ascii="Arial" w:eastAsia="Arial" w:hAnsi="Arial" w:cs="Arial"/>
                <w:sz w:val="20"/>
                <w:szCs w:val="20"/>
              </w:rPr>
              <w:t xml:space="preserve">. (2010). </w:t>
            </w:r>
            <w:proofErr w:type="spellStart"/>
            <w:r>
              <w:rPr>
                <w:rFonts w:ascii="Arial" w:eastAsia="Arial" w:hAnsi="Arial" w:cs="Arial"/>
                <w:sz w:val="20"/>
                <w:szCs w:val="20"/>
              </w:rPr>
              <w:t>Writing</w:t>
            </w:r>
            <w:proofErr w:type="spellEnd"/>
            <w:r>
              <w:rPr>
                <w:rFonts w:ascii="Arial" w:eastAsia="Arial" w:hAnsi="Arial" w:cs="Arial"/>
                <w:sz w:val="20"/>
                <w:szCs w:val="20"/>
              </w:rPr>
              <w:t xml:space="preserve"> </w:t>
            </w:r>
            <w:proofErr w:type="spellStart"/>
            <w:r>
              <w:rPr>
                <w:rFonts w:ascii="Arial" w:eastAsia="Arial" w:hAnsi="Arial" w:cs="Arial"/>
                <w:sz w:val="20"/>
                <w:szCs w:val="20"/>
              </w:rPr>
              <w:t>the</w:t>
            </w:r>
            <w:proofErr w:type="spellEnd"/>
            <w:r>
              <w:rPr>
                <w:rFonts w:ascii="Arial" w:eastAsia="Arial" w:hAnsi="Arial" w:cs="Arial"/>
                <w:sz w:val="20"/>
                <w:szCs w:val="20"/>
              </w:rPr>
              <w:t xml:space="preserve"> </w:t>
            </w:r>
            <w:proofErr w:type="spellStart"/>
            <w:r>
              <w:rPr>
                <w:rFonts w:ascii="Arial" w:eastAsia="Arial" w:hAnsi="Arial" w:cs="Arial"/>
                <w:sz w:val="20"/>
                <w:szCs w:val="20"/>
              </w:rPr>
              <w:t>Past</w:t>
            </w:r>
            <w:proofErr w:type="spellEnd"/>
            <w:r>
              <w:rPr>
                <w:rFonts w:ascii="Arial" w:eastAsia="Arial" w:hAnsi="Arial" w:cs="Arial"/>
                <w:sz w:val="20"/>
                <w:szCs w:val="20"/>
              </w:rPr>
              <w:t xml:space="preserve"> </w:t>
            </w:r>
            <w:proofErr w:type="spellStart"/>
            <w:r>
              <w:rPr>
                <w:rFonts w:ascii="Arial" w:eastAsia="Arial" w:hAnsi="Arial" w:cs="Arial"/>
                <w:sz w:val="20"/>
                <w:szCs w:val="20"/>
              </w:rPr>
              <w:t>Out</w:t>
            </w:r>
            <w:proofErr w:type="spellEnd"/>
            <w:r>
              <w:rPr>
                <w:rFonts w:ascii="Arial" w:eastAsia="Arial" w:hAnsi="Arial" w:cs="Arial"/>
                <w:sz w:val="20"/>
                <w:szCs w:val="20"/>
              </w:rPr>
              <w:t xml:space="preserve"> of </w:t>
            </w:r>
            <w:proofErr w:type="spellStart"/>
            <w:r>
              <w:rPr>
                <w:rFonts w:ascii="Arial" w:eastAsia="Arial" w:hAnsi="Arial" w:cs="Arial"/>
                <w:sz w:val="20"/>
                <w:szCs w:val="20"/>
              </w:rPr>
              <w:t>the</w:t>
            </w:r>
            <w:proofErr w:type="spellEnd"/>
            <w:r>
              <w:rPr>
                <w:rFonts w:ascii="Arial" w:eastAsia="Arial" w:hAnsi="Arial" w:cs="Arial"/>
                <w:sz w:val="20"/>
                <w:szCs w:val="20"/>
              </w:rPr>
              <w:t xml:space="preserve"> </w:t>
            </w:r>
            <w:proofErr w:type="spellStart"/>
            <w:r>
              <w:rPr>
                <w:rFonts w:ascii="Arial" w:eastAsia="Arial" w:hAnsi="Arial" w:cs="Arial"/>
                <w:sz w:val="20"/>
                <w:szCs w:val="20"/>
              </w:rPr>
              <w:t>Present</w:t>
            </w:r>
            <w:proofErr w:type="spellEnd"/>
            <w:r>
              <w:rPr>
                <w:rFonts w:ascii="Arial" w:eastAsia="Arial" w:hAnsi="Arial" w:cs="Arial"/>
                <w:sz w:val="20"/>
                <w:szCs w:val="20"/>
              </w:rPr>
              <w:t xml:space="preserve">: </w:t>
            </w:r>
            <w:proofErr w:type="spellStart"/>
            <w:r>
              <w:rPr>
                <w:rFonts w:ascii="Arial" w:eastAsia="Arial" w:hAnsi="Arial" w:cs="Arial"/>
                <w:sz w:val="20"/>
                <w:szCs w:val="20"/>
              </w:rPr>
              <w:t>History</w:t>
            </w:r>
            <w:proofErr w:type="spellEnd"/>
            <w:r>
              <w:rPr>
                <w:rFonts w:ascii="Arial" w:eastAsia="Arial" w:hAnsi="Arial" w:cs="Arial"/>
                <w:sz w:val="20"/>
                <w:szCs w:val="20"/>
              </w:rPr>
              <w:t xml:space="preserve"> and </w:t>
            </w:r>
            <w:proofErr w:type="spellStart"/>
            <w:r>
              <w:rPr>
                <w:rFonts w:ascii="Arial" w:eastAsia="Arial" w:hAnsi="Arial" w:cs="Arial"/>
                <w:sz w:val="20"/>
                <w:szCs w:val="20"/>
              </w:rPr>
              <w:t>the</w:t>
            </w:r>
            <w:proofErr w:type="spellEnd"/>
            <w:r>
              <w:rPr>
                <w:rFonts w:ascii="Arial" w:eastAsia="Arial" w:hAnsi="Arial" w:cs="Arial"/>
                <w:sz w:val="20"/>
                <w:szCs w:val="20"/>
              </w:rPr>
              <w:t xml:space="preserve"> </w:t>
            </w:r>
            <w:proofErr w:type="spellStart"/>
            <w:r>
              <w:rPr>
                <w:rFonts w:ascii="Arial" w:eastAsia="Arial" w:hAnsi="Arial" w:cs="Arial"/>
                <w:sz w:val="20"/>
                <w:szCs w:val="20"/>
              </w:rPr>
              <w:t>Politics</w:t>
            </w:r>
            <w:proofErr w:type="spellEnd"/>
            <w:r>
              <w:rPr>
                <w:rFonts w:ascii="Arial" w:eastAsia="Arial" w:hAnsi="Arial" w:cs="Arial"/>
                <w:sz w:val="20"/>
                <w:szCs w:val="20"/>
              </w:rPr>
              <w:t xml:space="preserve"> of Time in </w:t>
            </w:r>
            <w:proofErr w:type="spellStart"/>
            <w:r>
              <w:rPr>
                <w:rFonts w:ascii="Arial" w:eastAsia="Arial" w:hAnsi="Arial" w:cs="Arial"/>
                <w:sz w:val="20"/>
                <w:szCs w:val="20"/>
              </w:rPr>
              <w:t>Transitional</w:t>
            </w:r>
            <w:proofErr w:type="spellEnd"/>
            <w:r>
              <w:rPr>
                <w:rFonts w:ascii="Arial" w:eastAsia="Arial" w:hAnsi="Arial" w:cs="Arial"/>
                <w:sz w:val="20"/>
                <w:szCs w:val="20"/>
              </w:rPr>
              <w:t xml:space="preserve"> </w:t>
            </w:r>
            <w:proofErr w:type="spellStart"/>
            <w:r>
              <w:rPr>
                <w:rFonts w:ascii="Arial" w:eastAsia="Arial" w:hAnsi="Arial" w:cs="Arial"/>
                <w:sz w:val="20"/>
                <w:szCs w:val="20"/>
              </w:rPr>
              <w:t>Justice</w:t>
            </w:r>
            <w:proofErr w:type="spellEnd"/>
            <w:r>
              <w:rPr>
                <w:rFonts w:ascii="Arial" w:eastAsia="Arial" w:hAnsi="Arial" w:cs="Arial"/>
                <w:sz w:val="20"/>
                <w:szCs w:val="20"/>
              </w:rPr>
              <w:t xml:space="preserve">. </w:t>
            </w:r>
            <w:proofErr w:type="spellStart"/>
            <w:r>
              <w:rPr>
                <w:rFonts w:ascii="Arial" w:eastAsia="Arial" w:hAnsi="Arial" w:cs="Arial"/>
                <w:i/>
                <w:sz w:val="20"/>
                <w:szCs w:val="20"/>
              </w:rPr>
              <w:t>History</w:t>
            </w:r>
            <w:proofErr w:type="spellEnd"/>
            <w:r>
              <w:rPr>
                <w:rFonts w:ascii="Arial" w:eastAsia="Arial" w:hAnsi="Arial" w:cs="Arial"/>
                <w:i/>
                <w:sz w:val="20"/>
                <w:szCs w:val="20"/>
              </w:rPr>
              <w:t xml:space="preserve"> Workshop </w:t>
            </w:r>
            <w:proofErr w:type="spellStart"/>
            <w:r>
              <w:rPr>
                <w:rFonts w:ascii="Arial" w:eastAsia="Arial" w:hAnsi="Arial" w:cs="Arial"/>
                <w:i/>
                <w:sz w:val="20"/>
                <w:szCs w:val="20"/>
              </w:rPr>
              <w:t>Journal</w:t>
            </w:r>
            <w:proofErr w:type="spellEnd"/>
            <w:r>
              <w:rPr>
                <w:rFonts w:ascii="Arial" w:eastAsia="Arial" w:hAnsi="Arial" w:cs="Arial"/>
                <w:sz w:val="20"/>
                <w:szCs w:val="20"/>
              </w:rPr>
              <w:t xml:space="preserve">, </w:t>
            </w:r>
            <w:r>
              <w:rPr>
                <w:rFonts w:ascii="Arial" w:eastAsia="Arial" w:hAnsi="Arial" w:cs="Arial"/>
                <w:i/>
                <w:sz w:val="20"/>
                <w:szCs w:val="20"/>
              </w:rPr>
              <w:t xml:space="preserve">no. 69,  </w:t>
            </w:r>
            <w:r>
              <w:rPr>
                <w:rFonts w:ascii="Arial" w:eastAsia="Arial" w:hAnsi="Arial" w:cs="Arial"/>
                <w:sz w:val="20"/>
                <w:szCs w:val="20"/>
              </w:rPr>
              <w:t xml:space="preserve">111-31. </w:t>
            </w:r>
          </w:p>
          <w:p w:rsidR="007B35E0" w:rsidRDefault="0014507E">
            <w:pPr>
              <w:rPr>
                <w:rFonts w:ascii="Arial" w:eastAsia="Arial" w:hAnsi="Arial" w:cs="Arial"/>
                <w:sz w:val="20"/>
                <w:szCs w:val="20"/>
              </w:rPr>
            </w:pPr>
            <w:proofErr w:type="spellStart"/>
            <w:r>
              <w:rPr>
                <w:rFonts w:ascii="Arial" w:eastAsia="Arial" w:hAnsi="Arial" w:cs="Arial"/>
                <w:sz w:val="20"/>
                <w:szCs w:val="20"/>
              </w:rPr>
              <w:t>Beristain</w:t>
            </w:r>
            <w:proofErr w:type="spellEnd"/>
            <w:r>
              <w:rPr>
                <w:rFonts w:ascii="Arial" w:eastAsia="Arial" w:hAnsi="Arial" w:cs="Arial"/>
                <w:sz w:val="20"/>
                <w:szCs w:val="20"/>
              </w:rPr>
              <w:t>, C. M. (2007). Las comisiones de verdad en América Latina una valora-</w:t>
            </w:r>
            <w:proofErr w:type="spellStart"/>
            <w:r>
              <w:rPr>
                <w:rFonts w:ascii="Arial" w:eastAsia="Arial" w:hAnsi="Arial" w:cs="Arial"/>
                <w:sz w:val="20"/>
                <w:szCs w:val="20"/>
              </w:rPr>
              <w:t>ción</w:t>
            </w:r>
            <w:proofErr w:type="spellEnd"/>
            <w:r>
              <w:rPr>
                <w:rFonts w:ascii="Arial" w:eastAsia="Arial" w:hAnsi="Arial" w:cs="Arial"/>
                <w:sz w:val="20"/>
                <w:szCs w:val="20"/>
              </w:rPr>
              <w:t xml:space="preserve"> de su impacto. El legado de la verdad: Impacto de la justicia transicional en la </w:t>
            </w:r>
            <w:proofErr w:type="spellStart"/>
            <w:r>
              <w:rPr>
                <w:rFonts w:ascii="Arial" w:eastAsia="Arial" w:hAnsi="Arial" w:cs="Arial"/>
                <w:sz w:val="20"/>
                <w:szCs w:val="20"/>
              </w:rPr>
              <w:t>cons-trucción</w:t>
            </w:r>
            <w:proofErr w:type="spellEnd"/>
            <w:r>
              <w:rPr>
                <w:rFonts w:ascii="Arial" w:eastAsia="Arial" w:hAnsi="Arial" w:cs="Arial"/>
                <w:sz w:val="20"/>
                <w:szCs w:val="20"/>
              </w:rPr>
              <w:t xml:space="preserve"> de la democracia en América Latina. Centro Internacional para la Justicia </w:t>
            </w:r>
            <w:proofErr w:type="spellStart"/>
            <w:r>
              <w:rPr>
                <w:rFonts w:ascii="Arial" w:eastAsia="Arial" w:hAnsi="Arial" w:cs="Arial"/>
                <w:sz w:val="20"/>
                <w:szCs w:val="20"/>
              </w:rPr>
              <w:t>Transicio-nal</w:t>
            </w:r>
            <w:proofErr w:type="spellEnd"/>
            <w:r>
              <w:rPr>
                <w:rFonts w:ascii="Arial" w:eastAsia="Arial" w:hAnsi="Arial" w:cs="Arial"/>
                <w:sz w:val="20"/>
                <w:szCs w:val="20"/>
              </w:rPr>
              <w:t xml:space="preserve"> (ICTJ).</w:t>
            </w:r>
          </w:p>
          <w:p w:rsidR="00F17D61" w:rsidRDefault="00F17D61">
            <w:pPr>
              <w:rPr>
                <w:rFonts w:ascii="Arial" w:eastAsia="Arial" w:hAnsi="Arial" w:cs="Arial"/>
                <w:sz w:val="20"/>
                <w:szCs w:val="20"/>
              </w:rPr>
            </w:pPr>
            <w:r>
              <w:rPr>
                <w:rFonts w:ascii="Arial" w:hAnsi="Arial" w:cs="Arial"/>
                <w:color w:val="222222"/>
                <w:sz w:val="20"/>
                <w:szCs w:val="20"/>
                <w:shd w:val="clear" w:color="auto" w:fill="FFFFFF"/>
              </w:rPr>
              <w:t>Carrión Mena, F. (1994). De la violencia urbana a la convivencia ciudadana.</w:t>
            </w:r>
          </w:p>
          <w:p w:rsidR="007B35E0" w:rsidRDefault="0014507E">
            <w:pPr>
              <w:jc w:val="both"/>
              <w:rPr>
                <w:rFonts w:ascii="Arial" w:eastAsia="Arial" w:hAnsi="Arial" w:cs="Arial"/>
                <w:sz w:val="20"/>
                <w:szCs w:val="20"/>
              </w:rPr>
            </w:pPr>
            <w:r>
              <w:rPr>
                <w:rFonts w:ascii="Arial" w:eastAsia="Arial" w:hAnsi="Arial" w:cs="Arial"/>
                <w:sz w:val="20"/>
                <w:szCs w:val="20"/>
              </w:rPr>
              <w:t xml:space="preserve">Comisión para el Esclarecimiento de la Verdad, la Convivencia y la No Repetición. (2019). Lineamientos Metodológicos. Escuchar, reconocer, y comprender para transformar. Recuperado de </w:t>
            </w:r>
            <w:hyperlink r:id="rId16">
              <w:r>
                <w:rPr>
                  <w:rFonts w:ascii="Arial" w:eastAsia="Arial" w:hAnsi="Arial" w:cs="Arial"/>
                  <w:sz w:val="20"/>
                  <w:szCs w:val="20"/>
                  <w:u w:val="single"/>
                </w:rPr>
                <w:t>https://comisiondelaverdad.co/images/documentos/plan-accion-2019.pdf</w:t>
              </w:r>
            </w:hyperlink>
          </w:p>
          <w:p w:rsidR="007B35E0" w:rsidRDefault="0014507E">
            <w:pPr>
              <w:jc w:val="both"/>
              <w:rPr>
                <w:rFonts w:ascii="Arial" w:eastAsia="Arial" w:hAnsi="Arial" w:cs="Arial"/>
                <w:sz w:val="20"/>
                <w:szCs w:val="20"/>
              </w:rPr>
            </w:pPr>
            <w:r>
              <w:rPr>
                <w:rFonts w:ascii="Arial" w:eastAsia="Arial" w:hAnsi="Arial" w:cs="Arial"/>
                <w:sz w:val="20"/>
                <w:szCs w:val="20"/>
              </w:rPr>
              <w:t>Comisión histórica del conflicto y sus víctimas (2015). Contribución al entendimiento del conflicto armado en Colombia. Bogotá: Ediciones desde abajo.</w:t>
            </w:r>
          </w:p>
          <w:p w:rsidR="007B35E0" w:rsidRDefault="0014507E">
            <w:pPr>
              <w:jc w:val="both"/>
              <w:rPr>
                <w:rFonts w:ascii="Arial" w:eastAsia="Arial" w:hAnsi="Arial" w:cs="Arial"/>
                <w:sz w:val="20"/>
                <w:szCs w:val="20"/>
              </w:rPr>
            </w:pPr>
            <w:r>
              <w:rPr>
                <w:rFonts w:ascii="Arial" w:eastAsia="Arial" w:hAnsi="Arial" w:cs="Arial"/>
                <w:sz w:val="20"/>
                <w:szCs w:val="20"/>
              </w:rPr>
              <w:t>Carranza, M. (2001). El canto de las moscas: Versión de los acontecimientos. Barcelona: Nuevas Ediciones de Bolsillo.</w:t>
            </w:r>
          </w:p>
          <w:p w:rsidR="00F17D61" w:rsidRDefault="00F17D61">
            <w:pPr>
              <w:jc w:val="both"/>
              <w:rPr>
                <w:rFonts w:ascii="Arial" w:eastAsia="Arial" w:hAnsi="Arial" w:cs="Arial"/>
                <w:sz w:val="20"/>
                <w:szCs w:val="20"/>
              </w:rPr>
            </w:pPr>
            <w:r>
              <w:rPr>
                <w:rFonts w:ascii="Arial" w:hAnsi="Arial" w:cs="Arial"/>
                <w:color w:val="222222"/>
                <w:sz w:val="20"/>
                <w:szCs w:val="20"/>
                <w:shd w:val="clear" w:color="auto" w:fill="FFFFFF"/>
              </w:rPr>
              <w:t xml:space="preserve">Chavarría Olarte, G. C. (2012). Estrategias utilizadas para la satisfacción de la garantía de no repetición en desmovilizados de grupos armados ilegales: un estudio con desmovilizados de grupos paramilitares de las Autodefensas Unidas de Colombia. Medellín, Valle de </w:t>
            </w:r>
            <w:proofErr w:type="spellStart"/>
            <w:r>
              <w:rPr>
                <w:rFonts w:ascii="Arial" w:hAnsi="Arial" w:cs="Arial"/>
                <w:color w:val="222222"/>
                <w:sz w:val="20"/>
                <w:szCs w:val="20"/>
                <w:shd w:val="clear" w:color="auto" w:fill="FFFFFF"/>
              </w:rPr>
              <w:t>Aburrá</w:t>
            </w:r>
            <w:proofErr w:type="spellEnd"/>
            <w:r>
              <w:rPr>
                <w:rFonts w:ascii="Arial" w:hAnsi="Arial" w:cs="Arial"/>
                <w:color w:val="222222"/>
                <w:sz w:val="20"/>
                <w:szCs w:val="20"/>
                <w:shd w:val="clear" w:color="auto" w:fill="FFFFFF"/>
              </w:rPr>
              <w:t>-Colombia. </w:t>
            </w:r>
            <w:r>
              <w:rPr>
                <w:rFonts w:ascii="Arial" w:hAnsi="Arial" w:cs="Arial"/>
                <w:i/>
                <w:iCs/>
                <w:color w:val="222222"/>
                <w:sz w:val="20"/>
                <w:szCs w:val="20"/>
                <w:shd w:val="clear" w:color="auto" w:fill="FFFFFF"/>
              </w:rPr>
              <w:t>Revista de la Facultad de Derecho y Ciencias Políticas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(116), 195-252.</w:t>
            </w:r>
          </w:p>
          <w:p w:rsidR="007B35E0" w:rsidRDefault="0014507E">
            <w:pPr>
              <w:spacing w:line="276" w:lineRule="auto"/>
              <w:jc w:val="both"/>
              <w:rPr>
                <w:rFonts w:ascii="Arial" w:eastAsia="Arial" w:hAnsi="Arial" w:cs="Arial"/>
                <w:sz w:val="20"/>
                <w:szCs w:val="20"/>
              </w:rPr>
            </w:pPr>
            <w:r>
              <w:rPr>
                <w:rFonts w:ascii="Arial" w:eastAsia="Arial" w:hAnsi="Arial" w:cs="Arial"/>
                <w:sz w:val="20"/>
                <w:szCs w:val="20"/>
              </w:rPr>
              <w:t xml:space="preserve">Cruz, E. (2012) Movimientos sociales y democracia: una reflexión a propósito del caso colombiano, Diálogos de saberes. </w:t>
            </w:r>
          </w:p>
          <w:p w:rsidR="007B35E0" w:rsidRDefault="0014507E" w:rsidP="00F17D61">
            <w:pPr>
              <w:jc w:val="both"/>
              <w:rPr>
                <w:rFonts w:ascii="Arial" w:eastAsia="Arial" w:hAnsi="Arial" w:cs="Arial"/>
                <w:i/>
                <w:sz w:val="20"/>
                <w:szCs w:val="20"/>
              </w:rPr>
            </w:pPr>
            <w:proofErr w:type="spellStart"/>
            <w:r w:rsidRPr="00F17D61">
              <w:rPr>
                <w:rFonts w:ascii="Arial" w:eastAsia="Arial" w:hAnsi="Arial" w:cs="Arial"/>
                <w:sz w:val="20"/>
                <w:szCs w:val="20"/>
              </w:rPr>
              <w:t>Darby</w:t>
            </w:r>
            <w:proofErr w:type="spellEnd"/>
            <w:r w:rsidRPr="00F17D61">
              <w:rPr>
                <w:rFonts w:ascii="Arial" w:eastAsia="Arial" w:hAnsi="Arial" w:cs="Arial"/>
                <w:sz w:val="20"/>
                <w:szCs w:val="20"/>
              </w:rPr>
              <w:t>, J. (2001).</w:t>
            </w:r>
            <w:r>
              <w:rPr>
                <w:rFonts w:ascii="Arial" w:eastAsia="Arial" w:hAnsi="Arial" w:cs="Arial"/>
                <w:i/>
                <w:sz w:val="20"/>
                <w:szCs w:val="20"/>
              </w:rPr>
              <w:t xml:space="preserve"> </w:t>
            </w:r>
            <w:proofErr w:type="spellStart"/>
            <w:r>
              <w:rPr>
                <w:rFonts w:ascii="Arial" w:eastAsia="Arial" w:hAnsi="Arial" w:cs="Arial"/>
                <w:i/>
                <w:sz w:val="20"/>
                <w:szCs w:val="20"/>
              </w:rPr>
              <w:t>The</w:t>
            </w:r>
            <w:proofErr w:type="spellEnd"/>
            <w:r>
              <w:rPr>
                <w:rFonts w:ascii="Arial" w:eastAsia="Arial" w:hAnsi="Arial" w:cs="Arial"/>
                <w:i/>
                <w:sz w:val="20"/>
                <w:szCs w:val="20"/>
              </w:rPr>
              <w:t xml:space="preserve"> </w:t>
            </w:r>
            <w:proofErr w:type="spellStart"/>
            <w:r>
              <w:rPr>
                <w:rFonts w:ascii="Arial" w:eastAsia="Arial" w:hAnsi="Arial" w:cs="Arial"/>
                <w:i/>
                <w:sz w:val="20"/>
                <w:szCs w:val="20"/>
              </w:rPr>
              <w:t>effects</w:t>
            </w:r>
            <w:proofErr w:type="spellEnd"/>
            <w:r>
              <w:rPr>
                <w:rFonts w:ascii="Arial" w:eastAsia="Arial" w:hAnsi="Arial" w:cs="Arial"/>
                <w:i/>
                <w:sz w:val="20"/>
                <w:szCs w:val="20"/>
              </w:rPr>
              <w:t xml:space="preserve"> of </w:t>
            </w:r>
            <w:proofErr w:type="spellStart"/>
            <w:r>
              <w:rPr>
                <w:rFonts w:ascii="Arial" w:eastAsia="Arial" w:hAnsi="Arial" w:cs="Arial"/>
                <w:i/>
                <w:sz w:val="20"/>
                <w:szCs w:val="20"/>
              </w:rPr>
              <w:t>violence</w:t>
            </w:r>
            <w:proofErr w:type="spellEnd"/>
            <w:r>
              <w:rPr>
                <w:rFonts w:ascii="Arial" w:eastAsia="Arial" w:hAnsi="Arial" w:cs="Arial"/>
                <w:i/>
                <w:sz w:val="20"/>
                <w:szCs w:val="20"/>
              </w:rPr>
              <w:t xml:space="preserve"> </w:t>
            </w:r>
            <w:proofErr w:type="spellStart"/>
            <w:r>
              <w:rPr>
                <w:rFonts w:ascii="Arial" w:eastAsia="Arial" w:hAnsi="Arial" w:cs="Arial"/>
                <w:i/>
                <w:sz w:val="20"/>
                <w:szCs w:val="20"/>
              </w:rPr>
              <w:t>on</w:t>
            </w:r>
            <w:proofErr w:type="spellEnd"/>
            <w:r>
              <w:rPr>
                <w:rFonts w:ascii="Arial" w:eastAsia="Arial" w:hAnsi="Arial" w:cs="Arial"/>
                <w:i/>
                <w:sz w:val="20"/>
                <w:szCs w:val="20"/>
              </w:rPr>
              <w:t xml:space="preserve"> </w:t>
            </w:r>
            <w:proofErr w:type="spellStart"/>
            <w:r>
              <w:rPr>
                <w:rFonts w:ascii="Arial" w:eastAsia="Arial" w:hAnsi="Arial" w:cs="Arial"/>
                <w:i/>
                <w:sz w:val="20"/>
                <w:szCs w:val="20"/>
              </w:rPr>
              <w:t>peace</w:t>
            </w:r>
            <w:proofErr w:type="spellEnd"/>
            <w:r>
              <w:rPr>
                <w:rFonts w:ascii="Arial" w:eastAsia="Arial" w:hAnsi="Arial" w:cs="Arial"/>
                <w:i/>
                <w:sz w:val="20"/>
                <w:szCs w:val="20"/>
              </w:rPr>
              <w:t xml:space="preserve"> </w:t>
            </w:r>
            <w:proofErr w:type="spellStart"/>
            <w:r>
              <w:rPr>
                <w:rFonts w:ascii="Arial" w:eastAsia="Arial" w:hAnsi="Arial" w:cs="Arial"/>
                <w:i/>
                <w:sz w:val="20"/>
                <w:szCs w:val="20"/>
              </w:rPr>
              <w:t>processes</w:t>
            </w:r>
            <w:proofErr w:type="spellEnd"/>
            <w:r>
              <w:rPr>
                <w:rFonts w:ascii="Arial" w:eastAsia="Arial" w:hAnsi="Arial" w:cs="Arial"/>
                <w:i/>
                <w:sz w:val="20"/>
                <w:szCs w:val="20"/>
              </w:rPr>
              <w:t xml:space="preserve">. </w:t>
            </w:r>
            <w:proofErr w:type="spellStart"/>
            <w:r>
              <w:rPr>
                <w:rFonts w:ascii="Arial" w:eastAsia="Arial" w:hAnsi="Arial" w:cs="Arial"/>
                <w:i/>
                <w:sz w:val="20"/>
                <w:szCs w:val="20"/>
              </w:rPr>
              <w:t>United</w:t>
            </w:r>
            <w:proofErr w:type="spellEnd"/>
            <w:r>
              <w:rPr>
                <w:rFonts w:ascii="Arial" w:eastAsia="Arial" w:hAnsi="Arial" w:cs="Arial"/>
                <w:i/>
                <w:sz w:val="20"/>
                <w:szCs w:val="20"/>
              </w:rPr>
              <w:t xml:space="preserve"> </w:t>
            </w:r>
            <w:proofErr w:type="spellStart"/>
            <w:r>
              <w:rPr>
                <w:rFonts w:ascii="Arial" w:eastAsia="Arial" w:hAnsi="Arial" w:cs="Arial"/>
                <w:i/>
                <w:sz w:val="20"/>
                <w:szCs w:val="20"/>
              </w:rPr>
              <w:t>States</w:t>
            </w:r>
            <w:proofErr w:type="spellEnd"/>
            <w:r>
              <w:rPr>
                <w:rFonts w:ascii="Arial" w:eastAsia="Arial" w:hAnsi="Arial" w:cs="Arial"/>
                <w:i/>
                <w:sz w:val="20"/>
                <w:szCs w:val="20"/>
              </w:rPr>
              <w:t xml:space="preserve"> </w:t>
            </w:r>
            <w:proofErr w:type="spellStart"/>
            <w:r>
              <w:rPr>
                <w:rFonts w:ascii="Arial" w:eastAsia="Arial" w:hAnsi="Arial" w:cs="Arial"/>
                <w:i/>
                <w:sz w:val="20"/>
                <w:szCs w:val="20"/>
              </w:rPr>
              <w:t>Inst</w:t>
            </w:r>
            <w:proofErr w:type="spellEnd"/>
            <w:r>
              <w:rPr>
                <w:rFonts w:ascii="Arial" w:eastAsia="Arial" w:hAnsi="Arial" w:cs="Arial"/>
                <w:i/>
                <w:sz w:val="20"/>
                <w:szCs w:val="20"/>
              </w:rPr>
              <w:t xml:space="preserve"> of </w:t>
            </w:r>
            <w:proofErr w:type="spellStart"/>
            <w:r>
              <w:rPr>
                <w:rFonts w:ascii="Arial" w:eastAsia="Arial" w:hAnsi="Arial" w:cs="Arial"/>
                <w:i/>
                <w:sz w:val="20"/>
                <w:szCs w:val="20"/>
              </w:rPr>
              <w:t>Peace</w:t>
            </w:r>
            <w:proofErr w:type="spellEnd"/>
            <w:r>
              <w:rPr>
                <w:rFonts w:ascii="Arial" w:eastAsia="Arial" w:hAnsi="Arial" w:cs="Arial"/>
                <w:i/>
                <w:sz w:val="20"/>
                <w:szCs w:val="20"/>
              </w:rPr>
              <w:t xml:space="preserve"> Pr.</w:t>
            </w:r>
          </w:p>
          <w:p w:rsidR="00F17D61" w:rsidRDefault="00F17D61" w:rsidP="00F17D61">
            <w:pPr>
              <w:jc w:val="both"/>
              <w:rPr>
                <w:rFonts w:ascii="Arial" w:eastAsia="Arial" w:hAnsi="Arial" w:cs="Arial"/>
                <w:i/>
                <w:sz w:val="20"/>
                <w:szCs w:val="20"/>
              </w:rPr>
            </w:pPr>
            <w:r>
              <w:rPr>
                <w:rFonts w:ascii="Arial" w:hAnsi="Arial" w:cs="Arial"/>
                <w:color w:val="222222"/>
                <w:sz w:val="20"/>
                <w:szCs w:val="20"/>
                <w:shd w:val="clear" w:color="auto" w:fill="FFFFFF"/>
              </w:rPr>
              <w:t>Delgado, E. H. (2009). Resistencias para la paz en Colombia. Experiencias indígenas, afrodescendientes y campesinas. </w:t>
            </w:r>
            <w:r>
              <w:rPr>
                <w:rFonts w:ascii="Arial" w:hAnsi="Arial" w:cs="Arial"/>
                <w:i/>
                <w:iCs/>
                <w:color w:val="222222"/>
                <w:sz w:val="20"/>
                <w:szCs w:val="20"/>
                <w:shd w:val="clear" w:color="auto" w:fill="FFFFFF"/>
              </w:rPr>
              <w:t>Revista de paz y Conflictos</w:t>
            </w:r>
            <w:r>
              <w:rPr>
                <w:rFonts w:ascii="Arial" w:hAnsi="Arial" w:cs="Arial"/>
                <w:color w:val="222222"/>
                <w:sz w:val="20"/>
                <w:szCs w:val="20"/>
                <w:shd w:val="clear" w:color="auto" w:fill="FFFFFF"/>
              </w:rPr>
              <w:t>, (2), 117-135.</w:t>
            </w:r>
          </w:p>
          <w:p w:rsidR="00F17D61" w:rsidRPr="00F17D61" w:rsidRDefault="00F17D61" w:rsidP="00F17D61">
            <w:pPr>
              <w:jc w:val="both"/>
              <w:rPr>
                <w:rFonts w:ascii="Arial" w:eastAsia="Arial" w:hAnsi="Arial" w:cs="Arial"/>
                <w:sz w:val="20"/>
                <w:szCs w:val="20"/>
              </w:rPr>
            </w:pPr>
            <w:r>
              <w:rPr>
                <w:rFonts w:ascii="Arial" w:hAnsi="Arial" w:cs="Arial"/>
                <w:color w:val="222222"/>
                <w:sz w:val="20"/>
                <w:szCs w:val="20"/>
                <w:shd w:val="clear" w:color="auto" w:fill="FFFFFF"/>
              </w:rPr>
              <w:lastRenderedPageBreak/>
              <w:t>Díaz, I. (2009). El rostro de los invisibles. Víctimas y su derecho a la verdad, justicia, reparación y no repetición. </w:t>
            </w:r>
            <w:proofErr w:type="spellStart"/>
            <w:r>
              <w:rPr>
                <w:rFonts w:ascii="Arial" w:hAnsi="Arial" w:cs="Arial"/>
                <w:i/>
                <w:iCs/>
                <w:color w:val="222222"/>
                <w:sz w:val="20"/>
                <w:szCs w:val="20"/>
                <w:shd w:val="clear" w:color="auto" w:fill="FFFFFF"/>
              </w:rPr>
              <w:t>Bondia</w:t>
            </w:r>
            <w:proofErr w:type="spellEnd"/>
            <w:r>
              <w:rPr>
                <w:rFonts w:ascii="Arial" w:hAnsi="Arial" w:cs="Arial"/>
                <w:i/>
                <w:iCs/>
                <w:color w:val="222222"/>
                <w:sz w:val="20"/>
                <w:szCs w:val="20"/>
                <w:shd w:val="clear" w:color="auto" w:fill="FFFFFF"/>
              </w:rPr>
              <w:t>, D. y Muñoz, M. Víctimas Invisibles, Conflicto Armado y Resistencia Civil En Colombia</w:t>
            </w:r>
            <w:r>
              <w:rPr>
                <w:rFonts w:ascii="Arial" w:hAnsi="Arial" w:cs="Arial"/>
                <w:color w:val="222222"/>
                <w:sz w:val="20"/>
                <w:szCs w:val="20"/>
                <w:shd w:val="clear" w:color="auto" w:fill="FFFFFF"/>
              </w:rPr>
              <w:t>, 37-72.</w:t>
            </w:r>
          </w:p>
          <w:p w:rsidR="007B35E0" w:rsidRDefault="0014507E">
            <w:pPr>
              <w:rPr>
                <w:rFonts w:ascii="Arial" w:eastAsia="Arial" w:hAnsi="Arial" w:cs="Arial"/>
                <w:sz w:val="20"/>
                <w:szCs w:val="20"/>
              </w:rPr>
            </w:pPr>
            <w:r>
              <w:rPr>
                <w:rFonts w:ascii="Arial" w:eastAsia="Arial" w:hAnsi="Arial" w:cs="Arial"/>
                <w:sz w:val="20"/>
                <w:szCs w:val="20"/>
              </w:rPr>
              <w:t xml:space="preserve">Gibson, James L. (2009). ON LEGITIMACY THEORY AND THE EFFECTIVENESS OF TRUTH COMMISSIONS. </w:t>
            </w:r>
            <w:proofErr w:type="spellStart"/>
            <w:r>
              <w:rPr>
                <w:rFonts w:ascii="Arial" w:eastAsia="Arial" w:hAnsi="Arial" w:cs="Arial"/>
                <w:i/>
                <w:sz w:val="20"/>
                <w:szCs w:val="20"/>
              </w:rPr>
              <w:t>Law</w:t>
            </w:r>
            <w:proofErr w:type="spellEnd"/>
            <w:r>
              <w:rPr>
                <w:rFonts w:ascii="Arial" w:eastAsia="Arial" w:hAnsi="Arial" w:cs="Arial"/>
                <w:i/>
                <w:sz w:val="20"/>
                <w:szCs w:val="20"/>
              </w:rPr>
              <w:t xml:space="preserve"> and </w:t>
            </w:r>
            <w:proofErr w:type="spellStart"/>
            <w:r>
              <w:rPr>
                <w:rFonts w:ascii="Arial" w:eastAsia="Arial" w:hAnsi="Arial" w:cs="Arial"/>
                <w:i/>
                <w:sz w:val="20"/>
                <w:szCs w:val="20"/>
              </w:rPr>
              <w:t>Contemporary</w:t>
            </w:r>
            <w:proofErr w:type="spellEnd"/>
            <w:r>
              <w:rPr>
                <w:rFonts w:ascii="Arial" w:eastAsia="Arial" w:hAnsi="Arial" w:cs="Arial"/>
                <w:i/>
                <w:sz w:val="20"/>
                <w:szCs w:val="20"/>
              </w:rPr>
              <w:t xml:space="preserve"> </w:t>
            </w:r>
            <w:proofErr w:type="spellStart"/>
            <w:r>
              <w:rPr>
                <w:rFonts w:ascii="Arial" w:eastAsia="Arial" w:hAnsi="Arial" w:cs="Arial"/>
                <w:i/>
                <w:sz w:val="20"/>
                <w:szCs w:val="20"/>
              </w:rPr>
              <w:t>Problems</w:t>
            </w:r>
            <w:proofErr w:type="spellEnd"/>
            <w:r>
              <w:rPr>
                <w:rFonts w:ascii="Arial" w:eastAsia="Arial" w:hAnsi="Arial" w:cs="Arial"/>
                <w:sz w:val="20"/>
                <w:szCs w:val="20"/>
              </w:rPr>
              <w:t xml:space="preserve">, vol. </w:t>
            </w:r>
            <w:r>
              <w:rPr>
                <w:rFonts w:ascii="Arial" w:eastAsia="Arial" w:hAnsi="Arial" w:cs="Arial"/>
                <w:i/>
                <w:sz w:val="20"/>
                <w:szCs w:val="20"/>
              </w:rPr>
              <w:t>72 (2)</w:t>
            </w:r>
            <w:r>
              <w:rPr>
                <w:rFonts w:ascii="Arial" w:eastAsia="Arial" w:hAnsi="Arial" w:cs="Arial"/>
                <w:sz w:val="20"/>
                <w:szCs w:val="20"/>
              </w:rPr>
              <w:t xml:space="preserve">, 123–141.  </w:t>
            </w:r>
          </w:p>
          <w:p w:rsidR="007B35E0" w:rsidRDefault="0014507E">
            <w:pPr>
              <w:rPr>
                <w:rFonts w:ascii="Arial" w:eastAsia="Arial" w:hAnsi="Arial" w:cs="Arial"/>
                <w:sz w:val="20"/>
                <w:szCs w:val="20"/>
              </w:rPr>
            </w:pPr>
            <w:r>
              <w:rPr>
                <w:rFonts w:ascii="Arial" w:eastAsia="Arial" w:hAnsi="Arial" w:cs="Arial"/>
                <w:sz w:val="20"/>
                <w:szCs w:val="20"/>
              </w:rPr>
              <w:t xml:space="preserve">Giraldo, Á. (2016). Entrevista. En F. C. Nacional, </w:t>
            </w:r>
            <w:r>
              <w:rPr>
                <w:rFonts w:ascii="Arial" w:eastAsia="Arial" w:hAnsi="Arial" w:cs="Arial"/>
                <w:i/>
                <w:sz w:val="20"/>
                <w:szCs w:val="20"/>
              </w:rPr>
              <w:t>El corazón de las víctimas Aportes a la verdad para la reconciliación en Colombia</w:t>
            </w:r>
            <w:r>
              <w:rPr>
                <w:rFonts w:ascii="Arial" w:eastAsia="Arial" w:hAnsi="Arial" w:cs="Arial"/>
                <w:sz w:val="20"/>
                <w:szCs w:val="20"/>
              </w:rPr>
              <w:t>. Bogotá: San Pablo.</w:t>
            </w:r>
          </w:p>
          <w:p w:rsidR="007B35E0" w:rsidRDefault="0014507E">
            <w:pPr>
              <w:rPr>
                <w:rFonts w:ascii="Arial" w:eastAsia="Arial" w:hAnsi="Arial" w:cs="Arial"/>
                <w:sz w:val="20"/>
                <w:szCs w:val="20"/>
              </w:rPr>
            </w:pPr>
            <w:r>
              <w:rPr>
                <w:rFonts w:ascii="Arial" w:eastAsia="Arial" w:hAnsi="Arial" w:cs="Arial"/>
                <w:sz w:val="20"/>
                <w:szCs w:val="20"/>
              </w:rPr>
              <w:t xml:space="preserve">Foucault, M., Pujol, A. G., &amp; </w:t>
            </w:r>
            <w:proofErr w:type="spellStart"/>
            <w:r>
              <w:rPr>
                <w:rFonts w:ascii="Arial" w:eastAsia="Arial" w:hAnsi="Arial" w:cs="Arial"/>
                <w:sz w:val="20"/>
                <w:szCs w:val="20"/>
              </w:rPr>
              <w:t>Megías</w:t>
            </w:r>
            <w:proofErr w:type="spellEnd"/>
            <w:r>
              <w:rPr>
                <w:rFonts w:ascii="Arial" w:eastAsia="Arial" w:hAnsi="Arial" w:cs="Arial"/>
                <w:sz w:val="20"/>
                <w:szCs w:val="20"/>
              </w:rPr>
              <w:t>, F. F. (2004). Discurso y verdad en la antigua Grecia. Barcelona: Paidós.</w:t>
            </w:r>
          </w:p>
          <w:p w:rsidR="007B35E0" w:rsidRDefault="0014507E">
            <w:pPr>
              <w:rPr>
                <w:rFonts w:ascii="Arial" w:eastAsia="Arial" w:hAnsi="Arial" w:cs="Arial"/>
                <w:sz w:val="20"/>
                <w:szCs w:val="20"/>
              </w:rPr>
            </w:pPr>
            <w:proofErr w:type="spellStart"/>
            <w:r>
              <w:rPr>
                <w:rFonts w:ascii="Arial" w:eastAsia="Arial" w:hAnsi="Arial" w:cs="Arial"/>
                <w:sz w:val="20"/>
                <w:szCs w:val="20"/>
              </w:rPr>
              <w:t>Gadamer</w:t>
            </w:r>
            <w:proofErr w:type="spellEnd"/>
            <w:r>
              <w:rPr>
                <w:rFonts w:ascii="Arial" w:eastAsia="Arial" w:hAnsi="Arial" w:cs="Arial"/>
                <w:sz w:val="20"/>
                <w:szCs w:val="20"/>
              </w:rPr>
              <w:t xml:space="preserve">, H. G., &amp; </w:t>
            </w:r>
            <w:proofErr w:type="spellStart"/>
            <w:r>
              <w:rPr>
                <w:rFonts w:ascii="Arial" w:eastAsia="Arial" w:hAnsi="Arial" w:cs="Arial"/>
                <w:sz w:val="20"/>
                <w:szCs w:val="20"/>
              </w:rPr>
              <w:t>Olasagasti</w:t>
            </w:r>
            <w:proofErr w:type="spellEnd"/>
            <w:r>
              <w:rPr>
                <w:rFonts w:ascii="Arial" w:eastAsia="Arial" w:hAnsi="Arial" w:cs="Arial"/>
                <w:sz w:val="20"/>
                <w:szCs w:val="20"/>
              </w:rPr>
              <w:t>, M. (2005). Verdad y método. Salamanca: Sígueme.</w:t>
            </w:r>
          </w:p>
          <w:p w:rsidR="007B35E0" w:rsidRDefault="0014507E">
            <w:pPr>
              <w:ind w:left="283" w:hanging="285"/>
              <w:rPr>
                <w:rFonts w:ascii="Arial" w:eastAsia="Arial" w:hAnsi="Arial" w:cs="Arial"/>
                <w:sz w:val="20"/>
                <w:szCs w:val="20"/>
              </w:rPr>
            </w:pPr>
            <w:r>
              <w:rPr>
                <w:rFonts w:ascii="Arial" w:eastAsia="Arial" w:hAnsi="Arial" w:cs="Arial"/>
                <w:sz w:val="20"/>
                <w:szCs w:val="20"/>
              </w:rPr>
              <w:t xml:space="preserve">GIBSON, J. (2007). "TRUTH" AND "RECONCILIATION" AS SOCIAL INDICATORS. </w:t>
            </w:r>
            <w:r>
              <w:rPr>
                <w:rFonts w:ascii="Arial" w:eastAsia="Arial" w:hAnsi="Arial" w:cs="Arial"/>
                <w:i/>
                <w:sz w:val="20"/>
                <w:szCs w:val="20"/>
              </w:rPr>
              <w:t xml:space="preserve">Social </w:t>
            </w:r>
            <w:proofErr w:type="spellStart"/>
            <w:r>
              <w:rPr>
                <w:rFonts w:ascii="Arial" w:eastAsia="Arial" w:hAnsi="Arial" w:cs="Arial"/>
                <w:i/>
                <w:sz w:val="20"/>
                <w:szCs w:val="20"/>
              </w:rPr>
              <w:t>Indicators</w:t>
            </w:r>
            <w:proofErr w:type="spellEnd"/>
            <w:r>
              <w:rPr>
                <w:rFonts w:ascii="Arial" w:eastAsia="Arial" w:hAnsi="Arial" w:cs="Arial"/>
                <w:i/>
                <w:sz w:val="20"/>
                <w:szCs w:val="20"/>
              </w:rPr>
              <w:t xml:space="preserve"> </w:t>
            </w:r>
            <w:proofErr w:type="spellStart"/>
            <w:r>
              <w:rPr>
                <w:rFonts w:ascii="Arial" w:eastAsia="Arial" w:hAnsi="Arial" w:cs="Arial"/>
                <w:i/>
                <w:sz w:val="20"/>
                <w:szCs w:val="20"/>
              </w:rPr>
              <w:t>Research</w:t>
            </w:r>
            <w:proofErr w:type="spellEnd"/>
            <w:r>
              <w:rPr>
                <w:rFonts w:ascii="Arial" w:eastAsia="Arial" w:hAnsi="Arial" w:cs="Arial"/>
                <w:i/>
                <w:sz w:val="20"/>
                <w:szCs w:val="20"/>
              </w:rPr>
              <w:t>,</w:t>
            </w:r>
            <w:r>
              <w:rPr>
                <w:rFonts w:ascii="Arial" w:eastAsia="Arial" w:hAnsi="Arial" w:cs="Arial"/>
                <w:sz w:val="20"/>
                <w:szCs w:val="20"/>
              </w:rPr>
              <w:t xml:space="preserve"> </w:t>
            </w:r>
            <w:r>
              <w:rPr>
                <w:rFonts w:ascii="Arial" w:eastAsia="Arial" w:hAnsi="Arial" w:cs="Arial"/>
                <w:i/>
                <w:sz w:val="20"/>
                <w:szCs w:val="20"/>
              </w:rPr>
              <w:t>81</w:t>
            </w:r>
            <w:r>
              <w:rPr>
                <w:rFonts w:ascii="Arial" w:eastAsia="Arial" w:hAnsi="Arial" w:cs="Arial"/>
                <w:sz w:val="20"/>
                <w:szCs w:val="20"/>
              </w:rPr>
              <w:t xml:space="preserve">(2), 257-281. </w:t>
            </w:r>
          </w:p>
          <w:p w:rsidR="007B35E0" w:rsidRDefault="0014507E">
            <w:pPr>
              <w:ind w:left="283" w:hanging="285"/>
              <w:rPr>
                <w:rFonts w:ascii="Arial" w:eastAsia="Arial" w:hAnsi="Arial" w:cs="Arial"/>
                <w:sz w:val="20"/>
                <w:szCs w:val="20"/>
              </w:rPr>
            </w:pPr>
            <w:r>
              <w:rPr>
                <w:rFonts w:ascii="Arial" w:eastAsia="Arial" w:hAnsi="Arial" w:cs="Arial"/>
                <w:sz w:val="20"/>
                <w:szCs w:val="20"/>
              </w:rPr>
              <w:t xml:space="preserve">Girard, R. (1985). Mentira romántica y verdad novelesca, trad. Joaquín </w:t>
            </w:r>
            <w:proofErr w:type="spellStart"/>
            <w:r>
              <w:rPr>
                <w:rFonts w:ascii="Arial" w:eastAsia="Arial" w:hAnsi="Arial" w:cs="Arial"/>
                <w:sz w:val="20"/>
                <w:szCs w:val="20"/>
              </w:rPr>
              <w:t>Jordá</w:t>
            </w:r>
            <w:proofErr w:type="spellEnd"/>
            <w:r>
              <w:rPr>
                <w:rFonts w:ascii="Arial" w:eastAsia="Arial" w:hAnsi="Arial" w:cs="Arial"/>
                <w:sz w:val="20"/>
                <w:szCs w:val="20"/>
              </w:rPr>
              <w:t>, Anagrama, Barcelona.</w:t>
            </w:r>
          </w:p>
          <w:p w:rsidR="007B35E0" w:rsidRDefault="0014507E">
            <w:pPr>
              <w:ind w:left="283" w:hanging="285"/>
              <w:rPr>
                <w:rFonts w:ascii="Arial" w:eastAsia="Arial" w:hAnsi="Arial" w:cs="Arial"/>
                <w:sz w:val="20"/>
                <w:szCs w:val="20"/>
              </w:rPr>
            </w:pPr>
            <w:r>
              <w:rPr>
                <w:rFonts w:ascii="Arial" w:eastAsia="Arial" w:hAnsi="Arial" w:cs="Arial"/>
                <w:sz w:val="20"/>
                <w:szCs w:val="20"/>
              </w:rPr>
              <w:t xml:space="preserve">Girard, R. (2010). </w:t>
            </w:r>
            <w:proofErr w:type="spellStart"/>
            <w:r>
              <w:rPr>
                <w:rFonts w:ascii="Arial" w:eastAsia="Arial" w:hAnsi="Arial" w:cs="Arial"/>
                <w:sz w:val="20"/>
                <w:szCs w:val="20"/>
              </w:rPr>
              <w:t>Clausewitz</w:t>
            </w:r>
            <w:proofErr w:type="spellEnd"/>
            <w:r>
              <w:rPr>
                <w:rFonts w:ascii="Arial" w:eastAsia="Arial" w:hAnsi="Arial" w:cs="Arial"/>
                <w:sz w:val="20"/>
                <w:szCs w:val="20"/>
              </w:rPr>
              <w:t xml:space="preserve"> en los extremos. Política, guerra y apocalipsis. Buenos Aires: </w:t>
            </w:r>
            <w:proofErr w:type="spellStart"/>
            <w:r>
              <w:rPr>
                <w:rFonts w:ascii="Arial" w:eastAsia="Arial" w:hAnsi="Arial" w:cs="Arial"/>
                <w:sz w:val="20"/>
                <w:szCs w:val="20"/>
              </w:rPr>
              <w:t>Katz</w:t>
            </w:r>
            <w:proofErr w:type="spellEnd"/>
            <w:r>
              <w:rPr>
                <w:rFonts w:ascii="Arial" w:eastAsia="Arial" w:hAnsi="Arial" w:cs="Arial"/>
                <w:sz w:val="20"/>
                <w:szCs w:val="20"/>
              </w:rPr>
              <w:t xml:space="preserve"> Editores.</w:t>
            </w:r>
          </w:p>
          <w:p w:rsidR="00F17D61" w:rsidRDefault="00F17D61">
            <w:pPr>
              <w:ind w:left="283" w:hanging="285"/>
              <w:rPr>
                <w:rFonts w:ascii="Arial" w:eastAsia="Arial" w:hAnsi="Arial" w:cs="Arial"/>
                <w:sz w:val="20"/>
                <w:szCs w:val="20"/>
              </w:rPr>
            </w:pPr>
            <w:r>
              <w:rPr>
                <w:rFonts w:ascii="Arial" w:hAnsi="Arial" w:cs="Arial"/>
                <w:color w:val="222222"/>
                <w:sz w:val="20"/>
                <w:szCs w:val="20"/>
                <w:shd w:val="clear" w:color="auto" w:fill="FFFFFF"/>
              </w:rPr>
              <w:t>Granados Soler, D. (2017). La educación como una garantía de no repetición en tiempos de negociación de la paz. </w:t>
            </w:r>
            <w:r>
              <w:rPr>
                <w:rFonts w:ascii="Arial" w:hAnsi="Arial" w:cs="Arial"/>
                <w:i/>
                <w:iCs/>
                <w:color w:val="222222"/>
                <w:sz w:val="20"/>
                <w:szCs w:val="20"/>
                <w:shd w:val="clear" w:color="auto" w:fill="FFFFFF"/>
              </w:rPr>
              <w:t>Trabajo social</w:t>
            </w:r>
            <w:r>
              <w:rPr>
                <w:rFonts w:ascii="Arial" w:hAnsi="Arial" w:cs="Arial"/>
                <w:color w:val="222222"/>
                <w:sz w:val="20"/>
                <w:szCs w:val="20"/>
                <w:shd w:val="clear" w:color="auto" w:fill="FFFFFF"/>
              </w:rPr>
              <w:t>, (18), 57-74.</w:t>
            </w:r>
          </w:p>
          <w:p w:rsidR="007B35E0" w:rsidRDefault="0014507E">
            <w:pPr>
              <w:ind w:left="283" w:hanging="285"/>
              <w:rPr>
                <w:rFonts w:ascii="Arial" w:eastAsia="Arial" w:hAnsi="Arial" w:cs="Arial"/>
                <w:sz w:val="20"/>
                <w:szCs w:val="20"/>
              </w:rPr>
            </w:pPr>
            <w:proofErr w:type="spellStart"/>
            <w:r>
              <w:rPr>
                <w:rFonts w:ascii="Arial" w:eastAsia="Arial" w:hAnsi="Arial" w:cs="Arial"/>
                <w:sz w:val="20"/>
                <w:szCs w:val="20"/>
              </w:rPr>
              <w:t>Grandin</w:t>
            </w:r>
            <w:proofErr w:type="spellEnd"/>
            <w:r>
              <w:rPr>
                <w:rFonts w:ascii="Arial" w:eastAsia="Arial" w:hAnsi="Arial" w:cs="Arial"/>
                <w:sz w:val="20"/>
                <w:szCs w:val="20"/>
              </w:rPr>
              <w:t xml:space="preserve">, Greg. (2005). </w:t>
            </w:r>
            <w:proofErr w:type="spellStart"/>
            <w:r>
              <w:rPr>
                <w:rFonts w:ascii="Arial" w:eastAsia="Arial" w:hAnsi="Arial" w:cs="Arial"/>
                <w:sz w:val="20"/>
                <w:szCs w:val="20"/>
              </w:rPr>
              <w:t>The</w:t>
            </w:r>
            <w:proofErr w:type="spellEnd"/>
            <w:r>
              <w:rPr>
                <w:rFonts w:ascii="Arial" w:eastAsia="Arial" w:hAnsi="Arial" w:cs="Arial"/>
                <w:sz w:val="20"/>
                <w:szCs w:val="20"/>
              </w:rPr>
              <w:t xml:space="preserve"> </w:t>
            </w:r>
            <w:proofErr w:type="spellStart"/>
            <w:r>
              <w:rPr>
                <w:rFonts w:ascii="Arial" w:eastAsia="Arial" w:hAnsi="Arial" w:cs="Arial"/>
                <w:sz w:val="20"/>
                <w:szCs w:val="20"/>
              </w:rPr>
              <w:t>Instruction</w:t>
            </w:r>
            <w:proofErr w:type="spellEnd"/>
            <w:r>
              <w:rPr>
                <w:rFonts w:ascii="Arial" w:eastAsia="Arial" w:hAnsi="Arial" w:cs="Arial"/>
                <w:sz w:val="20"/>
                <w:szCs w:val="20"/>
              </w:rPr>
              <w:t xml:space="preserve"> of Great </w:t>
            </w:r>
            <w:proofErr w:type="spellStart"/>
            <w:r>
              <w:rPr>
                <w:rFonts w:ascii="Arial" w:eastAsia="Arial" w:hAnsi="Arial" w:cs="Arial"/>
                <w:sz w:val="20"/>
                <w:szCs w:val="20"/>
              </w:rPr>
              <w:t>Catastrophe</w:t>
            </w:r>
            <w:proofErr w:type="spellEnd"/>
            <w:r>
              <w:rPr>
                <w:rFonts w:ascii="Arial" w:eastAsia="Arial" w:hAnsi="Arial" w:cs="Arial"/>
                <w:sz w:val="20"/>
                <w:szCs w:val="20"/>
              </w:rPr>
              <w:t xml:space="preserve">: </w:t>
            </w:r>
            <w:proofErr w:type="spellStart"/>
            <w:r>
              <w:rPr>
                <w:rFonts w:ascii="Arial" w:eastAsia="Arial" w:hAnsi="Arial" w:cs="Arial"/>
                <w:sz w:val="20"/>
                <w:szCs w:val="20"/>
              </w:rPr>
              <w:t>Truth</w:t>
            </w:r>
            <w:proofErr w:type="spellEnd"/>
            <w:r>
              <w:rPr>
                <w:rFonts w:ascii="Arial" w:eastAsia="Arial" w:hAnsi="Arial" w:cs="Arial"/>
                <w:sz w:val="20"/>
                <w:szCs w:val="20"/>
              </w:rPr>
              <w:t xml:space="preserve"> </w:t>
            </w:r>
            <w:proofErr w:type="spellStart"/>
            <w:r>
              <w:rPr>
                <w:rFonts w:ascii="Arial" w:eastAsia="Arial" w:hAnsi="Arial" w:cs="Arial"/>
                <w:sz w:val="20"/>
                <w:szCs w:val="20"/>
              </w:rPr>
              <w:t>Commissions</w:t>
            </w:r>
            <w:proofErr w:type="spellEnd"/>
            <w:r>
              <w:rPr>
                <w:rFonts w:ascii="Arial" w:eastAsia="Arial" w:hAnsi="Arial" w:cs="Arial"/>
                <w:sz w:val="20"/>
                <w:szCs w:val="20"/>
              </w:rPr>
              <w:t xml:space="preserve">, </w:t>
            </w:r>
            <w:proofErr w:type="spellStart"/>
            <w:r>
              <w:rPr>
                <w:rFonts w:ascii="Arial" w:eastAsia="Arial" w:hAnsi="Arial" w:cs="Arial"/>
                <w:sz w:val="20"/>
                <w:szCs w:val="20"/>
              </w:rPr>
              <w:t>National</w:t>
            </w:r>
            <w:proofErr w:type="spellEnd"/>
            <w:r>
              <w:rPr>
                <w:rFonts w:ascii="Arial" w:eastAsia="Arial" w:hAnsi="Arial" w:cs="Arial"/>
                <w:sz w:val="20"/>
                <w:szCs w:val="20"/>
              </w:rPr>
              <w:t xml:space="preserve"> </w:t>
            </w:r>
            <w:proofErr w:type="spellStart"/>
            <w:r>
              <w:rPr>
                <w:rFonts w:ascii="Arial" w:eastAsia="Arial" w:hAnsi="Arial" w:cs="Arial"/>
                <w:sz w:val="20"/>
                <w:szCs w:val="20"/>
              </w:rPr>
              <w:t>History</w:t>
            </w:r>
            <w:proofErr w:type="spellEnd"/>
            <w:r>
              <w:rPr>
                <w:rFonts w:ascii="Arial" w:eastAsia="Arial" w:hAnsi="Arial" w:cs="Arial"/>
                <w:sz w:val="20"/>
                <w:szCs w:val="20"/>
              </w:rPr>
              <w:t xml:space="preserve">, and </w:t>
            </w:r>
            <w:proofErr w:type="spellStart"/>
            <w:r>
              <w:rPr>
                <w:rFonts w:ascii="Arial" w:eastAsia="Arial" w:hAnsi="Arial" w:cs="Arial"/>
                <w:sz w:val="20"/>
                <w:szCs w:val="20"/>
              </w:rPr>
              <w:t>State</w:t>
            </w:r>
            <w:proofErr w:type="spellEnd"/>
            <w:r>
              <w:rPr>
                <w:rFonts w:ascii="Arial" w:eastAsia="Arial" w:hAnsi="Arial" w:cs="Arial"/>
                <w:sz w:val="20"/>
                <w:szCs w:val="20"/>
              </w:rPr>
              <w:t xml:space="preserve"> </w:t>
            </w:r>
            <w:proofErr w:type="spellStart"/>
            <w:r>
              <w:rPr>
                <w:rFonts w:ascii="Arial" w:eastAsia="Arial" w:hAnsi="Arial" w:cs="Arial"/>
                <w:sz w:val="20"/>
                <w:szCs w:val="20"/>
              </w:rPr>
              <w:t>Formation</w:t>
            </w:r>
            <w:proofErr w:type="spellEnd"/>
            <w:r>
              <w:rPr>
                <w:rFonts w:ascii="Arial" w:eastAsia="Arial" w:hAnsi="Arial" w:cs="Arial"/>
                <w:sz w:val="20"/>
                <w:szCs w:val="20"/>
              </w:rPr>
              <w:t xml:space="preserve"> in Argentina, Chile, and Guatemala. </w:t>
            </w:r>
            <w:proofErr w:type="spellStart"/>
            <w:r>
              <w:rPr>
                <w:rFonts w:ascii="Arial" w:eastAsia="Arial" w:hAnsi="Arial" w:cs="Arial"/>
                <w:i/>
                <w:sz w:val="20"/>
                <w:szCs w:val="20"/>
              </w:rPr>
              <w:t>The</w:t>
            </w:r>
            <w:proofErr w:type="spellEnd"/>
            <w:r>
              <w:rPr>
                <w:rFonts w:ascii="Arial" w:eastAsia="Arial" w:hAnsi="Arial" w:cs="Arial"/>
                <w:i/>
                <w:sz w:val="20"/>
                <w:szCs w:val="20"/>
              </w:rPr>
              <w:t xml:space="preserve"> American </w:t>
            </w:r>
            <w:proofErr w:type="spellStart"/>
            <w:r>
              <w:rPr>
                <w:rFonts w:ascii="Arial" w:eastAsia="Arial" w:hAnsi="Arial" w:cs="Arial"/>
                <w:i/>
                <w:sz w:val="20"/>
                <w:szCs w:val="20"/>
              </w:rPr>
              <w:t>Historical</w:t>
            </w:r>
            <w:proofErr w:type="spellEnd"/>
            <w:r>
              <w:rPr>
                <w:rFonts w:ascii="Arial" w:eastAsia="Arial" w:hAnsi="Arial" w:cs="Arial"/>
                <w:i/>
                <w:sz w:val="20"/>
                <w:szCs w:val="20"/>
              </w:rPr>
              <w:t xml:space="preserve"> </w:t>
            </w:r>
            <w:proofErr w:type="spellStart"/>
            <w:r>
              <w:rPr>
                <w:rFonts w:ascii="Arial" w:eastAsia="Arial" w:hAnsi="Arial" w:cs="Arial"/>
                <w:i/>
                <w:sz w:val="20"/>
                <w:szCs w:val="20"/>
              </w:rPr>
              <w:t>Review</w:t>
            </w:r>
            <w:proofErr w:type="spellEnd"/>
            <w:r>
              <w:rPr>
                <w:rFonts w:ascii="Arial" w:eastAsia="Arial" w:hAnsi="Arial" w:cs="Arial"/>
                <w:sz w:val="20"/>
                <w:szCs w:val="20"/>
              </w:rPr>
              <w:t xml:space="preserve"> </w:t>
            </w:r>
            <w:r>
              <w:rPr>
                <w:rFonts w:ascii="Arial" w:eastAsia="Arial" w:hAnsi="Arial" w:cs="Arial"/>
                <w:i/>
                <w:sz w:val="20"/>
                <w:szCs w:val="20"/>
              </w:rPr>
              <w:t>110(1)</w:t>
            </w:r>
            <w:r>
              <w:rPr>
                <w:rFonts w:ascii="Arial" w:eastAsia="Arial" w:hAnsi="Arial" w:cs="Arial"/>
                <w:sz w:val="20"/>
                <w:szCs w:val="20"/>
              </w:rPr>
              <w:t xml:space="preserve">, 46-67. </w:t>
            </w:r>
            <w:proofErr w:type="gramStart"/>
            <w:r>
              <w:rPr>
                <w:rFonts w:ascii="Arial" w:eastAsia="Arial" w:hAnsi="Arial" w:cs="Arial"/>
                <w:sz w:val="20"/>
                <w:szCs w:val="20"/>
              </w:rPr>
              <w:t>doi:</w:t>
            </w:r>
            <w:proofErr w:type="gramEnd"/>
            <w:r>
              <w:rPr>
                <w:rFonts w:ascii="Arial" w:eastAsia="Arial" w:hAnsi="Arial" w:cs="Arial"/>
                <w:sz w:val="20"/>
                <w:szCs w:val="20"/>
              </w:rPr>
              <w:t>10.1086/531121.</w:t>
            </w:r>
          </w:p>
          <w:p w:rsidR="007B35E0" w:rsidRDefault="0014507E">
            <w:pPr>
              <w:ind w:left="283" w:hanging="285"/>
              <w:rPr>
                <w:rFonts w:ascii="Arial" w:eastAsia="Arial" w:hAnsi="Arial" w:cs="Arial"/>
                <w:sz w:val="20"/>
                <w:szCs w:val="20"/>
              </w:rPr>
            </w:pPr>
            <w:r>
              <w:rPr>
                <w:rFonts w:ascii="Arial" w:eastAsia="Arial" w:hAnsi="Arial" w:cs="Arial"/>
                <w:sz w:val="20"/>
                <w:szCs w:val="20"/>
              </w:rPr>
              <w:t>Grupo de Memoria histórica (2013). Informe</w:t>
            </w:r>
            <w:proofErr w:type="gramStart"/>
            <w:r>
              <w:rPr>
                <w:rFonts w:ascii="Arial" w:eastAsia="Arial" w:hAnsi="Arial" w:cs="Arial"/>
                <w:sz w:val="20"/>
                <w:szCs w:val="20"/>
              </w:rPr>
              <w:t>:¡</w:t>
            </w:r>
            <w:proofErr w:type="gramEnd"/>
            <w:r>
              <w:rPr>
                <w:rFonts w:ascii="Arial" w:eastAsia="Arial" w:hAnsi="Arial" w:cs="Arial"/>
                <w:sz w:val="20"/>
                <w:szCs w:val="20"/>
              </w:rPr>
              <w:t xml:space="preserve"> Basta ya. Memoria de guerra y dignidad. Bogotá, Colombia: Imprenta Nacional.</w:t>
            </w:r>
          </w:p>
          <w:p w:rsidR="007B35E0" w:rsidRDefault="0014507E">
            <w:pPr>
              <w:rPr>
                <w:rFonts w:ascii="Arial" w:eastAsia="Arial" w:hAnsi="Arial" w:cs="Arial"/>
                <w:sz w:val="20"/>
                <w:szCs w:val="20"/>
              </w:rPr>
            </w:pPr>
            <w:r>
              <w:rPr>
                <w:rFonts w:ascii="Arial" w:eastAsia="Arial" w:hAnsi="Arial" w:cs="Arial"/>
                <w:sz w:val="20"/>
                <w:szCs w:val="20"/>
              </w:rPr>
              <w:t xml:space="preserve">Gutiérrez, F. (2007). </w:t>
            </w:r>
            <w:r>
              <w:rPr>
                <w:rFonts w:ascii="Arial" w:eastAsia="Arial" w:hAnsi="Arial" w:cs="Arial"/>
                <w:i/>
                <w:sz w:val="20"/>
                <w:szCs w:val="20"/>
              </w:rPr>
              <w:t xml:space="preserve">“Lo que el viento se llevó: los partidos políticos y la democracia en Colombia, 1958-2002. </w:t>
            </w:r>
            <w:r>
              <w:rPr>
                <w:rFonts w:ascii="Arial" w:eastAsia="Arial" w:hAnsi="Arial" w:cs="Arial"/>
                <w:sz w:val="20"/>
                <w:szCs w:val="20"/>
              </w:rPr>
              <w:t>Bogotá: Editorial Norma.</w:t>
            </w:r>
          </w:p>
          <w:p w:rsidR="007B35E0" w:rsidRDefault="0014507E">
            <w:pPr>
              <w:ind w:left="720"/>
              <w:rPr>
                <w:rFonts w:ascii="Arial" w:eastAsia="Arial" w:hAnsi="Arial" w:cs="Arial"/>
                <w:sz w:val="20"/>
                <w:szCs w:val="20"/>
              </w:rPr>
            </w:pPr>
            <w:r>
              <w:rPr>
                <w:rFonts w:ascii="Arial" w:eastAsia="Arial" w:hAnsi="Arial" w:cs="Arial"/>
                <w:sz w:val="20"/>
                <w:szCs w:val="20"/>
              </w:rPr>
              <w:t xml:space="preserve">(2014). </w:t>
            </w:r>
            <w:r>
              <w:rPr>
                <w:rFonts w:ascii="Arial" w:eastAsia="Arial" w:hAnsi="Arial" w:cs="Arial"/>
                <w:i/>
                <w:sz w:val="20"/>
                <w:szCs w:val="20"/>
              </w:rPr>
              <w:t>“El orangután con sacoleva. Cien años de democracia y represión en Colombia (1910-2010).</w:t>
            </w:r>
            <w:r>
              <w:rPr>
                <w:rFonts w:ascii="Arial" w:eastAsia="Arial" w:hAnsi="Arial" w:cs="Arial"/>
                <w:sz w:val="20"/>
                <w:szCs w:val="20"/>
              </w:rPr>
              <w:t xml:space="preserve"> Bogotá: Debate.</w:t>
            </w:r>
          </w:p>
          <w:p w:rsidR="007B35E0" w:rsidRDefault="007B35E0">
            <w:pPr>
              <w:ind w:left="283" w:hanging="285"/>
              <w:rPr>
                <w:rFonts w:ascii="Arial" w:eastAsia="Arial" w:hAnsi="Arial" w:cs="Arial"/>
                <w:sz w:val="20"/>
                <w:szCs w:val="20"/>
              </w:rPr>
            </w:pPr>
          </w:p>
          <w:p w:rsidR="007B35E0" w:rsidRDefault="0014507E">
            <w:pPr>
              <w:ind w:left="283" w:hanging="285"/>
              <w:rPr>
                <w:rFonts w:ascii="Arial" w:eastAsia="Arial" w:hAnsi="Arial" w:cs="Arial"/>
                <w:sz w:val="20"/>
                <w:szCs w:val="20"/>
              </w:rPr>
            </w:pPr>
            <w:proofErr w:type="spellStart"/>
            <w:r>
              <w:rPr>
                <w:rFonts w:ascii="Arial" w:eastAsia="Arial" w:hAnsi="Arial" w:cs="Arial"/>
                <w:sz w:val="20"/>
                <w:szCs w:val="20"/>
              </w:rPr>
              <w:t>Habermas</w:t>
            </w:r>
            <w:proofErr w:type="spellEnd"/>
            <w:r>
              <w:rPr>
                <w:rFonts w:ascii="Arial" w:eastAsia="Arial" w:hAnsi="Arial" w:cs="Arial"/>
                <w:sz w:val="20"/>
                <w:szCs w:val="20"/>
              </w:rPr>
              <w:t>, J. (2003). La ética del discurso y la cuestión de la verdad. Barcelona: Paidós.</w:t>
            </w:r>
          </w:p>
          <w:p w:rsidR="007B35E0" w:rsidRDefault="0014507E">
            <w:pPr>
              <w:ind w:left="425" w:hanging="420"/>
              <w:rPr>
                <w:rFonts w:ascii="Arial" w:eastAsia="Arial" w:hAnsi="Arial" w:cs="Arial"/>
                <w:sz w:val="20"/>
                <w:szCs w:val="20"/>
              </w:rPr>
            </w:pPr>
            <w:proofErr w:type="spellStart"/>
            <w:r>
              <w:rPr>
                <w:rFonts w:ascii="Arial" w:eastAsia="Arial" w:hAnsi="Arial" w:cs="Arial"/>
                <w:sz w:val="20"/>
                <w:szCs w:val="20"/>
              </w:rPr>
              <w:t>Hayner</w:t>
            </w:r>
            <w:proofErr w:type="spellEnd"/>
            <w:r>
              <w:rPr>
                <w:rFonts w:ascii="Arial" w:eastAsia="Arial" w:hAnsi="Arial" w:cs="Arial"/>
                <w:sz w:val="20"/>
                <w:szCs w:val="20"/>
              </w:rPr>
              <w:t>, Priscilla B</w:t>
            </w:r>
            <w:proofErr w:type="gramStart"/>
            <w:r>
              <w:rPr>
                <w:rFonts w:ascii="Arial" w:eastAsia="Arial" w:hAnsi="Arial" w:cs="Arial"/>
                <w:sz w:val="20"/>
                <w:szCs w:val="20"/>
              </w:rPr>
              <w:t>.(</w:t>
            </w:r>
            <w:proofErr w:type="gramEnd"/>
            <w:r>
              <w:rPr>
                <w:rFonts w:ascii="Arial" w:eastAsia="Arial" w:hAnsi="Arial" w:cs="Arial"/>
                <w:sz w:val="20"/>
                <w:szCs w:val="20"/>
              </w:rPr>
              <w:t>1994).</w:t>
            </w:r>
            <w:proofErr w:type="spellStart"/>
            <w:r>
              <w:rPr>
                <w:rFonts w:ascii="Arial" w:eastAsia="Arial" w:hAnsi="Arial" w:cs="Arial"/>
                <w:sz w:val="20"/>
                <w:szCs w:val="20"/>
              </w:rPr>
              <w:t>Fifteen</w:t>
            </w:r>
            <w:proofErr w:type="spellEnd"/>
            <w:r>
              <w:rPr>
                <w:rFonts w:ascii="Arial" w:eastAsia="Arial" w:hAnsi="Arial" w:cs="Arial"/>
                <w:sz w:val="20"/>
                <w:szCs w:val="20"/>
              </w:rPr>
              <w:t xml:space="preserve"> </w:t>
            </w:r>
            <w:proofErr w:type="spellStart"/>
            <w:r>
              <w:rPr>
                <w:rFonts w:ascii="Arial" w:eastAsia="Arial" w:hAnsi="Arial" w:cs="Arial"/>
                <w:sz w:val="20"/>
                <w:szCs w:val="20"/>
              </w:rPr>
              <w:t>Truth</w:t>
            </w:r>
            <w:proofErr w:type="spellEnd"/>
            <w:r>
              <w:rPr>
                <w:rFonts w:ascii="Arial" w:eastAsia="Arial" w:hAnsi="Arial" w:cs="Arial"/>
                <w:sz w:val="20"/>
                <w:szCs w:val="20"/>
              </w:rPr>
              <w:t xml:space="preserve"> </w:t>
            </w:r>
            <w:proofErr w:type="spellStart"/>
            <w:r>
              <w:rPr>
                <w:rFonts w:ascii="Arial" w:eastAsia="Arial" w:hAnsi="Arial" w:cs="Arial"/>
                <w:sz w:val="20"/>
                <w:szCs w:val="20"/>
              </w:rPr>
              <w:t>Commissions</w:t>
            </w:r>
            <w:proofErr w:type="spellEnd"/>
            <w:r>
              <w:rPr>
                <w:rFonts w:ascii="Arial" w:eastAsia="Arial" w:hAnsi="Arial" w:cs="Arial"/>
                <w:sz w:val="20"/>
                <w:szCs w:val="20"/>
              </w:rPr>
              <w:t xml:space="preserve">--1974 to 1994: A </w:t>
            </w:r>
            <w:proofErr w:type="spellStart"/>
            <w:r>
              <w:rPr>
                <w:rFonts w:ascii="Arial" w:eastAsia="Arial" w:hAnsi="Arial" w:cs="Arial"/>
                <w:sz w:val="20"/>
                <w:szCs w:val="20"/>
              </w:rPr>
              <w:t>Comparative</w:t>
            </w:r>
            <w:proofErr w:type="spellEnd"/>
            <w:r>
              <w:rPr>
                <w:rFonts w:ascii="Arial" w:eastAsia="Arial" w:hAnsi="Arial" w:cs="Arial"/>
                <w:sz w:val="20"/>
                <w:szCs w:val="20"/>
              </w:rPr>
              <w:t xml:space="preserve"> </w:t>
            </w:r>
            <w:proofErr w:type="spellStart"/>
            <w:r>
              <w:rPr>
                <w:rFonts w:ascii="Arial" w:eastAsia="Arial" w:hAnsi="Arial" w:cs="Arial"/>
                <w:sz w:val="20"/>
                <w:szCs w:val="20"/>
              </w:rPr>
              <w:t>Study</w:t>
            </w:r>
            <w:proofErr w:type="spellEnd"/>
            <w:r>
              <w:rPr>
                <w:rFonts w:ascii="Arial" w:eastAsia="Arial" w:hAnsi="Arial" w:cs="Arial"/>
                <w:sz w:val="20"/>
                <w:szCs w:val="20"/>
              </w:rPr>
              <w:t xml:space="preserve">. </w:t>
            </w:r>
            <w:r>
              <w:rPr>
                <w:rFonts w:ascii="Arial" w:eastAsia="Arial" w:hAnsi="Arial" w:cs="Arial"/>
                <w:i/>
                <w:sz w:val="20"/>
                <w:szCs w:val="20"/>
              </w:rPr>
              <w:t xml:space="preserve">Human </w:t>
            </w:r>
            <w:proofErr w:type="spellStart"/>
            <w:r>
              <w:rPr>
                <w:rFonts w:ascii="Arial" w:eastAsia="Arial" w:hAnsi="Arial" w:cs="Arial"/>
                <w:i/>
                <w:sz w:val="20"/>
                <w:szCs w:val="20"/>
              </w:rPr>
              <w:t>Rights</w:t>
            </w:r>
            <w:proofErr w:type="spellEnd"/>
            <w:r>
              <w:rPr>
                <w:rFonts w:ascii="Arial" w:eastAsia="Arial" w:hAnsi="Arial" w:cs="Arial"/>
                <w:i/>
                <w:sz w:val="20"/>
                <w:szCs w:val="20"/>
              </w:rPr>
              <w:t xml:space="preserve"> </w:t>
            </w:r>
            <w:proofErr w:type="spellStart"/>
            <w:r>
              <w:rPr>
                <w:rFonts w:ascii="Arial" w:eastAsia="Arial" w:hAnsi="Arial" w:cs="Arial"/>
                <w:i/>
                <w:sz w:val="20"/>
                <w:szCs w:val="20"/>
              </w:rPr>
              <w:t>Quarterly</w:t>
            </w:r>
            <w:proofErr w:type="spellEnd"/>
            <w:r>
              <w:rPr>
                <w:rFonts w:ascii="Arial" w:eastAsia="Arial" w:hAnsi="Arial" w:cs="Arial"/>
                <w:sz w:val="20"/>
                <w:szCs w:val="20"/>
              </w:rPr>
              <w:t xml:space="preserve"> </w:t>
            </w:r>
            <w:r>
              <w:rPr>
                <w:rFonts w:ascii="Arial" w:eastAsia="Arial" w:hAnsi="Arial" w:cs="Arial"/>
                <w:i/>
                <w:sz w:val="20"/>
                <w:szCs w:val="20"/>
              </w:rPr>
              <w:t>16(4)</w:t>
            </w:r>
            <w:r>
              <w:rPr>
                <w:rFonts w:ascii="Arial" w:eastAsia="Arial" w:hAnsi="Arial" w:cs="Arial"/>
                <w:sz w:val="20"/>
                <w:szCs w:val="20"/>
              </w:rPr>
              <w:t xml:space="preserve">, 597-655. </w:t>
            </w:r>
            <w:proofErr w:type="gramStart"/>
            <w:r>
              <w:rPr>
                <w:rFonts w:ascii="Arial" w:eastAsia="Arial" w:hAnsi="Arial" w:cs="Arial"/>
                <w:sz w:val="20"/>
                <w:szCs w:val="20"/>
              </w:rPr>
              <w:t>doi:</w:t>
            </w:r>
            <w:proofErr w:type="gramEnd"/>
            <w:r>
              <w:rPr>
                <w:rFonts w:ascii="Arial" w:eastAsia="Arial" w:hAnsi="Arial" w:cs="Arial"/>
                <w:sz w:val="20"/>
                <w:szCs w:val="20"/>
              </w:rPr>
              <w:t>10.2307/762562.</w:t>
            </w:r>
          </w:p>
          <w:p w:rsidR="007B35E0" w:rsidRDefault="0014507E">
            <w:pPr>
              <w:ind w:left="425" w:hanging="420"/>
              <w:rPr>
                <w:rFonts w:ascii="Arial" w:eastAsia="Arial" w:hAnsi="Arial" w:cs="Arial"/>
                <w:sz w:val="20"/>
                <w:szCs w:val="20"/>
              </w:rPr>
            </w:pPr>
            <w:proofErr w:type="spellStart"/>
            <w:r>
              <w:rPr>
                <w:rFonts w:ascii="Arial" w:eastAsia="Arial" w:hAnsi="Arial" w:cs="Arial"/>
                <w:sz w:val="20"/>
                <w:szCs w:val="20"/>
              </w:rPr>
              <w:t>Hayner</w:t>
            </w:r>
            <w:proofErr w:type="spellEnd"/>
            <w:r>
              <w:rPr>
                <w:rFonts w:ascii="Arial" w:eastAsia="Arial" w:hAnsi="Arial" w:cs="Arial"/>
                <w:sz w:val="20"/>
                <w:szCs w:val="20"/>
              </w:rPr>
              <w:t xml:space="preserve">, Priscilla B. (1996). International </w:t>
            </w:r>
            <w:proofErr w:type="spellStart"/>
            <w:r>
              <w:rPr>
                <w:rFonts w:ascii="Arial" w:eastAsia="Arial" w:hAnsi="Arial" w:cs="Arial"/>
                <w:sz w:val="20"/>
                <w:szCs w:val="20"/>
              </w:rPr>
              <w:t>Guidelines</w:t>
            </w:r>
            <w:proofErr w:type="spellEnd"/>
            <w:r>
              <w:rPr>
                <w:rFonts w:ascii="Arial" w:eastAsia="Arial" w:hAnsi="Arial" w:cs="Arial"/>
                <w:sz w:val="20"/>
                <w:szCs w:val="20"/>
              </w:rPr>
              <w:t xml:space="preserve"> </w:t>
            </w:r>
            <w:proofErr w:type="spellStart"/>
            <w:r>
              <w:rPr>
                <w:rFonts w:ascii="Arial" w:eastAsia="Arial" w:hAnsi="Arial" w:cs="Arial"/>
                <w:sz w:val="20"/>
                <w:szCs w:val="20"/>
              </w:rPr>
              <w:t>for</w:t>
            </w:r>
            <w:proofErr w:type="spellEnd"/>
            <w:r>
              <w:rPr>
                <w:rFonts w:ascii="Arial" w:eastAsia="Arial" w:hAnsi="Arial" w:cs="Arial"/>
                <w:sz w:val="20"/>
                <w:szCs w:val="20"/>
              </w:rPr>
              <w:t xml:space="preserve"> </w:t>
            </w:r>
            <w:proofErr w:type="spellStart"/>
            <w:r>
              <w:rPr>
                <w:rFonts w:ascii="Arial" w:eastAsia="Arial" w:hAnsi="Arial" w:cs="Arial"/>
                <w:sz w:val="20"/>
                <w:szCs w:val="20"/>
              </w:rPr>
              <w:t>the</w:t>
            </w:r>
            <w:proofErr w:type="spellEnd"/>
            <w:r>
              <w:rPr>
                <w:rFonts w:ascii="Arial" w:eastAsia="Arial" w:hAnsi="Arial" w:cs="Arial"/>
                <w:sz w:val="20"/>
                <w:szCs w:val="20"/>
              </w:rPr>
              <w:t xml:space="preserve"> </w:t>
            </w:r>
            <w:proofErr w:type="spellStart"/>
            <w:r>
              <w:rPr>
                <w:rFonts w:ascii="Arial" w:eastAsia="Arial" w:hAnsi="Arial" w:cs="Arial"/>
                <w:sz w:val="20"/>
                <w:szCs w:val="20"/>
              </w:rPr>
              <w:t>Creation</w:t>
            </w:r>
            <w:proofErr w:type="spellEnd"/>
            <w:r>
              <w:rPr>
                <w:rFonts w:ascii="Arial" w:eastAsia="Arial" w:hAnsi="Arial" w:cs="Arial"/>
                <w:sz w:val="20"/>
                <w:szCs w:val="20"/>
              </w:rPr>
              <w:t xml:space="preserve"> and </w:t>
            </w:r>
            <w:proofErr w:type="spellStart"/>
            <w:r>
              <w:rPr>
                <w:rFonts w:ascii="Arial" w:eastAsia="Arial" w:hAnsi="Arial" w:cs="Arial"/>
                <w:sz w:val="20"/>
                <w:szCs w:val="20"/>
              </w:rPr>
              <w:t>Operation</w:t>
            </w:r>
            <w:proofErr w:type="spellEnd"/>
            <w:r>
              <w:rPr>
                <w:rFonts w:ascii="Arial" w:eastAsia="Arial" w:hAnsi="Arial" w:cs="Arial"/>
                <w:sz w:val="20"/>
                <w:szCs w:val="20"/>
              </w:rPr>
              <w:t xml:space="preserve"> of </w:t>
            </w:r>
            <w:proofErr w:type="spellStart"/>
            <w:r>
              <w:rPr>
                <w:rFonts w:ascii="Arial" w:eastAsia="Arial" w:hAnsi="Arial" w:cs="Arial"/>
                <w:sz w:val="20"/>
                <w:szCs w:val="20"/>
              </w:rPr>
              <w:t>Truth</w:t>
            </w:r>
            <w:proofErr w:type="spellEnd"/>
            <w:r>
              <w:rPr>
                <w:rFonts w:ascii="Arial" w:eastAsia="Arial" w:hAnsi="Arial" w:cs="Arial"/>
                <w:sz w:val="20"/>
                <w:szCs w:val="20"/>
              </w:rPr>
              <w:t xml:space="preserve"> </w:t>
            </w:r>
            <w:proofErr w:type="spellStart"/>
            <w:r>
              <w:rPr>
                <w:rFonts w:ascii="Arial" w:eastAsia="Arial" w:hAnsi="Arial" w:cs="Arial"/>
                <w:sz w:val="20"/>
                <w:szCs w:val="20"/>
              </w:rPr>
              <w:t>Commissions</w:t>
            </w:r>
            <w:proofErr w:type="spellEnd"/>
            <w:r>
              <w:rPr>
                <w:rFonts w:ascii="Arial" w:eastAsia="Arial" w:hAnsi="Arial" w:cs="Arial"/>
                <w:sz w:val="20"/>
                <w:szCs w:val="20"/>
              </w:rPr>
              <w:t xml:space="preserve">: A </w:t>
            </w:r>
            <w:proofErr w:type="spellStart"/>
            <w:r>
              <w:rPr>
                <w:rFonts w:ascii="Arial" w:eastAsia="Arial" w:hAnsi="Arial" w:cs="Arial"/>
                <w:sz w:val="20"/>
                <w:szCs w:val="20"/>
              </w:rPr>
              <w:t>Preliminary</w:t>
            </w:r>
            <w:proofErr w:type="spellEnd"/>
            <w:r>
              <w:rPr>
                <w:rFonts w:ascii="Arial" w:eastAsia="Arial" w:hAnsi="Arial" w:cs="Arial"/>
                <w:sz w:val="20"/>
                <w:szCs w:val="20"/>
              </w:rPr>
              <w:t xml:space="preserve"> </w:t>
            </w:r>
            <w:proofErr w:type="spellStart"/>
            <w:r>
              <w:rPr>
                <w:rFonts w:ascii="Arial" w:eastAsia="Arial" w:hAnsi="Arial" w:cs="Arial"/>
                <w:sz w:val="20"/>
                <w:szCs w:val="20"/>
              </w:rPr>
              <w:t>Proposal</w:t>
            </w:r>
            <w:proofErr w:type="spellEnd"/>
            <w:r>
              <w:rPr>
                <w:rFonts w:ascii="Arial" w:eastAsia="Arial" w:hAnsi="Arial" w:cs="Arial"/>
                <w:sz w:val="20"/>
                <w:szCs w:val="20"/>
              </w:rPr>
              <w:t xml:space="preserve">." </w:t>
            </w:r>
            <w:proofErr w:type="spellStart"/>
            <w:r>
              <w:rPr>
                <w:rFonts w:ascii="Arial" w:eastAsia="Arial" w:hAnsi="Arial" w:cs="Arial"/>
                <w:i/>
                <w:sz w:val="20"/>
                <w:szCs w:val="20"/>
              </w:rPr>
              <w:t>Law</w:t>
            </w:r>
            <w:proofErr w:type="spellEnd"/>
            <w:r>
              <w:rPr>
                <w:rFonts w:ascii="Arial" w:eastAsia="Arial" w:hAnsi="Arial" w:cs="Arial"/>
                <w:i/>
                <w:sz w:val="20"/>
                <w:szCs w:val="20"/>
              </w:rPr>
              <w:t xml:space="preserve"> and </w:t>
            </w:r>
            <w:proofErr w:type="spellStart"/>
            <w:r>
              <w:rPr>
                <w:rFonts w:ascii="Arial" w:eastAsia="Arial" w:hAnsi="Arial" w:cs="Arial"/>
                <w:i/>
                <w:sz w:val="20"/>
                <w:szCs w:val="20"/>
              </w:rPr>
              <w:t>Contemporary</w:t>
            </w:r>
            <w:proofErr w:type="spellEnd"/>
            <w:r>
              <w:rPr>
                <w:rFonts w:ascii="Arial" w:eastAsia="Arial" w:hAnsi="Arial" w:cs="Arial"/>
                <w:i/>
                <w:sz w:val="20"/>
                <w:szCs w:val="20"/>
              </w:rPr>
              <w:t xml:space="preserve"> </w:t>
            </w:r>
            <w:proofErr w:type="spellStart"/>
            <w:r>
              <w:rPr>
                <w:rFonts w:ascii="Arial" w:eastAsia="Arial" w:hAnsi="Arial" w:cs="Arial"/>
                <w:i/>
                <w:sz w:val="20"/>
                <w:szCs w:val="20"/>
              </w:rPr>
              <w:t>Problems</w:t>
            </w:r>
            <w:proofErr w:type="spellEnd"/>
            <w:r>
              <w:rPr>
                <w:rFonts w:ascii="Arial" w:eastAsia="Arial" w:hAnsi="Arial" w:cs="Arial"/>
                <w:sz w:val="20"/>
                <w:szCs w:val="20"/>
              </w:rPr>
              <w:t xml:space="preserve"> </w:t>
            </w:r>
            <w:r>
              <w:rPr>
                <w:rFonts w:ascii="Arial" w:eastAsia="Arial" w:hAnsi="Arial" w:cs="Arial"/>
                <w:i/>
                <w:sz w:val="20"/>
                <w:szCs w:val="20"/>
              </w:rPr>
              <w:t>59(4)</w:t>
            </w:r>
            <w:r>
              <w:rPr>
                <w:rFonts w:ascii="Arial" w:eastAsia="Arial" w:hAnsi="Arial" w:cs="Arial"/>
                <w:sz w:val="20"/>
                <w:szCs w:val="20"/>
              </w:rPr>
              <w:t xml:space="preserve">, 173-80. </w:t>
            </w:r>
            <w:proofErr w:type="gramStart"/>
            <w:r>
              <w:rPr>
                <w:rFonts w:ascii="Arial" w:eastAsia="Arial" w:hAnsi="Arial" w:cs="Arial"/>
                <w:sz w:val="20"/>
                <w:szCs w:val="20"/>
              </w:rPr>
              <w:t>doi:</w:t>
            </w:r>
            <w:proofErr w:type="gramEnd"/>
            <w:r>
              <w:rPr>
                <w:rFonts w:ascii="Arial" w:eastAsia="Arial" w:hAnsi="Arial" w:cs="Arial"/>
                <w:sz w:val="20"/>
                <w:szCs w:val="20"/>
              </w:rPr>
              <w:t>10.2307/1192197.</w:t>
            </w:r>
          </w:p>
          <w:p w:rsidR="007B35E0" w:rsidRDefault="0014507E">
            <w:pPr>
              <w:ind w:left="425" w:hanging="420"/>
              <w:rPr>
                <w:rFonts w:ascii="Arial" w:eastAsia="Arial" w:hAnsi="Arial" w:cs="Arial"/>
                <w:sz w:val="20"/>
                <w:szCs w:val="20"/>
              </w:rPr>
            </w:pPr>
            <w:proofErr w:type="spellStart"/>
            <w:r>
              <w:rPr>
                <w:rFonts w:ascii="Arial" w:eastAsia="Arial" w:hAnsi="Arial" w:cs="Arial"/>
                <w:sz w:val="20"/>
                <w:szCs w:val="20"/>
              </w:rPr>
              <w:t>Hayner</w:t>
            </w:r>
            <w:proofErr w:type="spellEnd"/>
            <w:r>
              <w:rPr>
                <w:rFonts w:ascii="Arial" w:eastAsia="Arial" w:hAnsi="Arial" w:cs="Arial"/>
                <w:sz w:val="20"/>
                <w:szCs w:val="20"/>
              </w:rPr>
              <w:t xml:space="preserve">, Priscilla B. (2002). </w:t>
            </w:r>
            <w:proofErr w:type="spellStart"/>
            <w:r>
              <w:rPr>
                <w:rFonts w:ascii="Arial" w:eastAsia="Arial" w:hAnsi="Arial" w:cs="Arial"/>
                <w:i/>
                <w:sz w:val="20"/>
                <w:szCs w:val="20"/>
              </w:rPr>
              <w:t>Unspeakable</w:t>
            </w:r>
            <w:proofErr w:type="spellEnd"/>
            <w:r>
              <w:rPr>
                <w:rFonts w:ascii="Arial" w:eastAsia="Arial" w:hAnsi="Arial" w:cs="Arial"/>
                <w:i/>
                <w:sz w:val="20"/>
                <w:szCs w:val="20"/>
              </w:rPr>
              <w:t xml:space="preserve"> </w:t>
            </w:r>
            <w:proofErr w:type="spellStart"/>
            <w:r>
              <w:rPr>
                <w:rFonts w:ascii="Arial" w:eastAsia="Arial" w:hAnsi="Arial" w:cs="Arial"/>
                <w:i/>
                <w:sz w:val="20"/>
                <w:szCs w:val="20"/>
              </w:rPr>
              <w:t>Truths</w:t>
            </w:r>
            <w:proofErr w:type="spellEnd"/>
            <w:r>
              <w:rPr>
                <w:rFonts w:ascii="Arial" w:eastAsia="Arial" w:hAnsi="Arial" w:cs="Arial"/>
                <w:i/>
                <w:sz w:val="20"/>
                <w:szCs w:val="20"/>
              </w:rPr>
              <w:t xml:space="preserve">: </w:t>
            </w:r>
            <w:proofErr w:type="spellStart"/>
            <w:r>
              <w:rPr>
                <w:rFonts w:ascii="Arial" w:eastAsia="Arial" w:hAnsi="Arial" w:cs="Arial"/>
                <w:i/>
                <w:sz w:val="20"/>
                <w:szCs w:val="20"/>
              </w:rPr>
              <w:t>Facing</w:t>
            </w:r>
            <w:proofErr w:type="spellEnd"/>
            <w:r>
              <w:rPr>
                <w:rFonts w:ascii="Arial" w:eastAsia="Arial" w:hAnsi="Arial" w:cs="Arial"/>
                <w:i/>
                <w:sz w:val="20"/>
                <w:szCs w:val="20"/>
              </w:rPr>
              <w:t xml:space="preserve"> </w:t>
            </w:r>
            <w:proofErr w:type="spellStart"/>
            <w:r>
              <w:rPr>
                <w:rFonts w:ascii="Arial" w:eastAsia="Arial" w:hAnsi="Arial" w:cs="Arial"/>
                <w:i/>
                <w:sz w:val="20"/>
                <w:szCs w:val="20"/>
              </w:rPr>
              <w:t>the</w:t>
            </w:r>
            <w:proofErr w:type="spellEnd"/>
            <w:r>
              <w:rPr>
                <w:rFonts w:ascii="Arial" w:eastAsia="Arial" w:hAnsi="Arial" w:cs="Arial"/>
                <w:i/>
                <w:sz w:val="20"/>
                <w:szCs w:val="20"/>
              </w:rPr>
              <w:t xml:space="preserve"> </w:t>
            </w:r>
            <w:proofErr w:type="spellStart"/>
            <w:r>
              <w:rPr>
                <w:rFonts w:ascii="Arial" w:eastAsia="Arial" w:hAnsi="Arial" w:cs="Arial"/>
                <w:i/>
                <w:sz w:val="20"/>
                <w:szCs w:val="20"/>
              </w:rPr>
              <w:t>Challenge</w:t>
            </w:r>
            <w:proofErr w:type="spellEnd"/>
            <w:r>
              <w:rPr>
                <w:rFonts w:ascii="Arial" w:eastAsia="Arial" w:hAnsi="Arial" w:cs="Arial"/>
                <w:i/>
                <w:sz w:val="20"/>
                <w:szCs w:val="20"/>
              </w:rPr>
              <w:t xml:space="preserve"> of </w:t>
            </w:r>
            <w:proofErr w:type="spellStart"/>
            <w:r>
              <w:rPr>
                <w:rFonts w:ascii="Arial" w:eastAsia="Arial" w:hAnsi="Arial" w:cs="Arial"/>
                <w:i/>
                <w:sz w:val="20"/>
                <w:szCs w:val="20"/>
              </w:rPr>
              <w:t>Truth</w:t>
            </w:r>
            <w:proofErr w:type="spellEnd"/>
            <w:r>
              <w:rPr>
                <w:rFonts w:ascii="Arial" w:eastAsia="Arial" w:hAnsi="Arial" w:cs="Arial"/>
                <w:i/>
                <w:sz w:val="20"/>
                <w:szCs w:val="20"/>
              </w:rPr>
              <w:t xml:space="preserve"> </w:t>
            </w:r>
            <w:proofErr w:type="spellStart"/>
            <w:r>
              <w:rPr>
                <w:rFonts w:ascii="Arial" w:eastAsia="Arial" w:hAnsi="Arial" w:cs="Arial"/>
                <w:i/>
                <w:sz w:val="20"/>
                <w:szCs w:val="20"/>
              </w:rPr>
              <w:t>Comissions</w:t>
            </w:r>
            <w:proofErr w:type="spellEnd"/>
            <w:r>
              <w:rPr>
                <w:rFonts w:ascii="Arial" w:eastAsia="Arial" w:hAnsi="Arial" w:cs="Arial"/>
                <w:i/>
                <w:sz w:val="20"/>
                <w:szCs w:val="20"/>
              </w:rPr>
              <w:t xml:space="preserve">. </w:t>
            </w:r>
            <w:r>
              <w:rPr>
                <w:rFonts w:ascii="Arial" w:eastAsia="Arial" w:hAnsi="Arial" w:cs="Arial"/>
                <w:sz w:val="20"/>
                <w:szCs w:val="20"/>
              </w:rPr>
              <w:t xml:space="preserve">New York: </w:t>
            </w:r>
            <w:proofErr w:type="spellStart"/>
            <w:r>
              <w:rPr>
                <w:rFonts w:ascii="Arial" w:eastAsia="Arial" w:hAnsi="Arial" w:cs="Arial"/>
                <w:sz w:val="20"/>
                <w:szCs w:val="20"/>
              </w:rPr>
              <w:t>Routledge</w:t>
            </w:r>
            <w:proofErr w:type="spellEnd"/>
            <w:r>
              <w:rPr>
                <w:rFonts w:ascii="Arial" w:eastAsia="Arial" w:hAnsi="Arial" w:cs="Arial"/>
                <w:sz w:val="20"/>
                <w:szCs w:val="20"/>
              </w:rPr>
              <w:t>.</w:t>
            </w:r>
          </w:p>
          <w:p w:rsidR="007B35E0" w:rsidRDefault="0014507E">
            <w:pPr>
              <w:ind w:left="425" w:hanging="420"/>
              <w:rPr>
                <w:rFonts w:ascii="Arial" w:eastAsia="Arial" w:hAnsi="Arial" w:cs="Arial"/>
                <w:sz w:val="20"/>
                <w:szCs w:val="20"/>
              </w:rPr>
            </w:pPr>
            <w:proofErr w:type="spellStart"/>
            <w:r>
              <w:rPr>
                <w:rFonts w:ascii="Arial" w:eastAsia="Arial" w:hAnsi="Arial" w:cs="Arial"/>
                <w:sz w:val="20"/>
                <w:szCs w:val="20"/>
              </w:rPr>
              <w:t>Hayner</w:t>
            </w:r>
            <w:proofErr w:type="spellEnd"/>
            <w:r>
              <w:rPr>
                <w:rFonts w:ascii="Arial" w:eastAsia="Arial" w:hAnsi="Arial" w:cs="Arial"/>
                <w:sz w:val="20"/>
                <w:szCs w:val="20"/>
              </w:rPr>
              <w:t>, P. (2008). Verdades innombrables: el reto de las comisiones de la verdad. Fondo de Cultura Económica.</w:t>
            </w:r>
          </w:p>
          <w:p w:rsidR="007B35E0" w:rsidRDefault="0014507E" w:rsidP="00595F9F">
            <w:pPr>
              <w:ind w:left="425" w:hanging="420"/>
              <w:rPr>
                <w:rFonts w:ascii="Arial" w:eastAsia="Arial" w:hAnsi="Arial" w:cs="Arial"/>
                <w:sz w:val="20"/>
                <w:szCs w:val="20"/>
              </w:rPr>
            </w:pPr>
            <w:r>
              <w:rPr>
                <w:rFonts w:ascii="Arial" w:eastAsia="Arial" w:hAnsi="Arial" w:cs="Arial"/>
                <w:sz w:val="20"/>
                <w:szCs w:val="20"/>
              </w:rPr>
              <w:t xml:space="preserve">Inampués, B. Andrés (2019) Agencia cultural y pedagogía crítica. Horizontes desde la Universidad. Texto inédito. </w:t>
            </w:r>
          </w:p>
          <w:p w:rsidR="007B35E0" w:rsidRDefault="0014507E" w:rsidP="00595F9F">
            <w:pPr>
              <w:ind w:left="425" w:hanging="420"/>
              <w:rPr>
                <w:rFonts w:ascii="Arial" w:eastAsia="Arial" w:hAnsi="Arial" w:cs="Arial"/>
                <w:sz w:val="20"/>
                <w:szCs w:val="20"/>
              </w:rPr>
            </w:pPr>
            <w:proofErr w:type="spellStart"/>
            <w:r>
              <w:rPr>
                <w:rFonts w:ascii="Arial" w:eastAsia="Arial" w:hAnsi="Arial" w:cs="Arial"/>
                <w:sz w:val="20"/>
                <w:szCs w:val="20"/>
              </w:rPr>
              <w:t>Keen</w:t>
            </w:r>
            <w:proofErr w:type="spellEnd"/>
            <w:r>
              <w:rPr>
                <w:rFonts w:ascii="Arial" w:eastAsia="Arial" w:hAnsi="Arial" w:cs="Arial"/>
                <w:sz w:val="20"/>
                <w:szCs w:val="20"/>
              </w:rPr>
              <w:t xml:space="preserve">, David. (2008). </w:t>
            </w:r>
            <w:proofErr w:type="spellStart"/>
            <w:r>
              <w:rPr>
                <w:rFonts w:ascii="Arial" w:eastAsia="Arial" w:hAnsi="Arial" w:cs="Arial"/>
                <w:sz w:val="20"/>
                <w:szCs w:val="20"/>
              </w:rPr>
              <w:t>Complex</w:t>
            </w:r>
            <w:proofErr w:type="spellEnd"/>
            <w:r>
              <w:rPr>
                <w:rFonts w:ascii="Arial" w:eastAsia="Arial" w:hAnsi="Arial" w:cs="Arial"/>
                <w:sz w:val="20"/>
                <w:szCs w:val="20"/>
              </w:rPr>
              <w:t xml:space="preserve"> </w:t>
            </w:r>
            <w:proofErr w:type="spellStart"/>
            <w:r>
              <w:rPr>
                <w:rFonts w:ascii="Arial" w:eastAsia="Arial" w:hAnsi="Arial" w:cs="Arial"/>
                <w:sz w:val="20"/>
                <w:szCs w:val="20"/>
              </w:rPr>
              <w:t>Emergencies</w:t>
            </w:r>
            <w:proofErr w:type="spellEnd"/>
            <w:r>
              <w:rPr>
                <w:rFonts w:ascii="Arial" w:eastAsia="Arial" w:hAnsi="Arial" w:cs="Arial"/>
                <w:sz w:val="20"/>
                <w:szCs w:val="20"/>
              </w:rPr>
              <w:t xml:space="preserve">. Cambridge: </w:t>
            </w:r>
            <w:proofErr w:type="spellStart"/>
            <w:r>
              <w:rPr>
                <w:rFonts w:ascii="Arial" w:eastAsia="Arial" w:hAnsi="Arial" w:cs="Arial"/>
                <w:sz w:val="20"/>
                <w:szCs w:val="20"/>
              </w:rPr>
              <w:t>Polity</w:t>
            </w:r>
            <w:proofErr w:type="spellEnd"/>
            <w:r>
              <w:rPr>
                <w:rFonts w:ascii="Arial" w:eastAsia="Arial" w:hAnsi="Arial" w:cs="Arial"/>
                <w:sz w:val="20"/>
                <w:szCs w:val="20"/>
              </w:rPr>
              <w:t xml:space="preserve"> </w:t>
            </w:r>
            <w:proofErr w:type="spellStart"/>
            <w:r>
              <w:rPr>
                <w:rFonts w:ascii="Arial" w:eastAsia="Arial" w:hAnsi="Arial" w:cs="Arial"/>
                <w:sz w:val="20"/>
                <w:szCs w:val="20"/>
              </w:rPr>
              <w:t>Press</w:t>
            </w:r>
            <w:proofErr w:type="spellEnd"/>
            <w:r>
              <w:rPr>
                <w:rFonts w:ascii="Arial" w:eastAsia="Arial" w:hAnsi="Arial" w:cs="Arial"/>
                <w:sz w:val="20"/>
                <w:szCs w:val="20"/>
              </w:rPr>
              <w:t xml:space="preserve">. </w:t>
            </w:r>
          </w:p>
          <w:p w:rsidR="00F17D61" w:rsidRDefault="00F17D61" w:rsidP="00595F9F">
            <w:pPr>
              <w:ind w:left="425" w:hanging="420"/>
              <w:rPr>
                <w:rFonts w:ascii="Arial" w:eastAsia="Arial" w:hAnsi="Arial" w:cs="Arial"/>
                <w:sz w:val="20"/>
                <w:szCs w:val="20"/>
              </w:rPr>
            </w:pPr>
            <w:r>
              <w:rPr>
                <w:rFonts w:ascii="Arial" w:hAnsi="Arial" w:cs="Arial"/>
                <w:color w:val="222222"/>
                <w:sz w:val="20"/>
                <w:szCs w:val="20"/>
                <w:shd w:val="clear" w:color="auto" w:fill="FFFFFF"/>
              </w:rPr>
              <w:t>Lara, J. H. (2011). La resistencia civil en caliente: una contribución a la pacificación del conflicto en Colombia. </w:t>
            </w:r>
            <w:r>
              <w:rPr>
                <w:rFonts w:ascii="Arial" w:hAnsi="Arial" w:cs="Arial"/>
                <w:i/>
                <w:iCs/>
                <w:color w:val="222222"/>
                <w:sz w:val="20"/>
                <w:szCs w:val="20"/>
                <w:shd w:val="clear" w:color="auto" w:fill="FFFFFF"/>
              </w:rPr>
              <w:t>Sociedad y Economía</w:t>
            </w:r>
            <w:r>
              <w:rPr>
                <w:rFonts w:ascii="Arial" w:hAnsi="Arial" w:cs="Arial"/>
                <w:color w:val="222222"/>
                <w:sz w:val="20"/>
                <w:szCs w:val="20"/>
                <w:shd w:val="clear" w:color="auto" w:fill="FFFFFF"/>
              </w:rPr>
              <w:t>, (2), 25-43.</w:t>
            </w:r>
          </w:p>
          <w:p w:rsidR="007B35E0" w:rsidRDefault="0014507E">
            <w:pPr>
              <w:ind w:left="425" w:hanging="420"/>
              <w:rPr>
                <w:rFonts w:ascii="Arial" w:eastAsia="Arial" w:hAnsi="Arial" w:cs="Arial"/>
                <w:sz w:val="20"/>
                <w:szCs w:val="20"/>
              </w:rPr>
            </w:pPr>
            <w:proofErr w:type="spellStart"/>
            <w:r>
              <w:rPr>
                <w:rFonts w:ascii="Arial" w:eastAsia="Arial" w:hAnsi="Arial" w:cs="Arial"/>
                <w:sz w:val="20"/>
                <w:szCs w:val="20"/>
              </w:rPr>
              <w:t>Lederach</w:t>
            </w:r>
            <w:proofErr w:type="spellEnd"/>
            <w:r>
              <w:rPr>
                <w:rFonts w:ascii="Arial" w:eastAsia="Arial" w:hAnsi="Arial" w:cs="Arial"/>
                <w:sz w:val="20"/>
                <w:szCs w:val="20"/>
              </w:rPr>
              <w:t xml:space="preserve">, John P. (2007). Reconciliación sostenible en sociedades divididas. Bogotá: </w:t>
            </w:r>
            <w:proofErr w:type="spellStart"/>
            <w:r>
              <w:rPr>
                <w:rFonts w:ascii="Arial" w:eastAsia="Arial" w:hAnsi="Arial" w:cs="Arial"/>
                <w:sz w:val="20"/>
                <w:szCs w:val="20"/>
              </w:rPr>
              <w:t>Justapaz</w:t>
            </w:r>
            <w:proofErr w:type="spellEnd"/>
            <w:r>
              <w:rPr>
                <w:rFonts w:ascii="Arial" w:eastAsia="Arial" w:hAnsi="Arial" w:cs="Arial"/>
                <w:sz w:val="20"/>
                <w:szCs w:val="20"/>
              </w:rPr>
              <w:t xml:space="preserve">, CRS, PNUD. </w:t>
            </w:r>
          </w:p>
          <w:p w:rsidR="007B35E0" w:rsidRDefault="0014507E" w:rsidP="00595F9F">
            <w:pPr>
              <w:rPr>
                <w:rFonts w:ascii="Arial" w:eastAsia="Arial" w:hAnsi="Arial" w:cs="Arial"/>
                <w:sz w:val="20"/>
                <w:szCs w:val="20"/>
              </w:rPr>
            </w:pPr>
            <w:r>
              <w:rPr>
                <w:rFonts w:ascii="Arial" w:eastAsia="Arial" w:hAnsi="Arial" w:cs="Arial"/>
                <w:sz w:val="20"/>
                <w:szCs w:val="20"/>
              </w:rPr>
              <w:t xml:space="preserve">Martin, </w:t>
            </w:r>
            <w:proofErr w:type="spellStart"/>
            <w:r>
              <w:rPr>
                <w:rFonts w:ascii="Arial" w:eastAsia="Arial" w:hAnsi="Arial" w:cs="Arial"/>
                <w:sz w:val="20"/>
                <w:szCs w:val="20"/>
              </w:rPr>
              <w:t>Arnaud</w:t>
            </w:r>
            <w:proofErr w:type="spellEnd"/>
            <w:r>
              <w:rPr>
                <w:rFonts w:ascii="Arial" w:eastAsia="Arial" w:hAnsi="Arial" w:cs="Arial"/>
                <w:sz w:val="20"/>
                <w:szCs w:val="20"/>
              </w:rPr>
              <w:t xml:space="preserve">. (Ed). (2017). </w:t>
            </w:r>
            <w:r>
              <w:rPr>
                <w:rFonts w:ascii="Arial" w:eastAsia="Arial" w:hAnsi="Arial" w:cs="Arial"/>
                <w:i/>
                <w:sz w:val="20"/>
                <w:szCs w:val="20"/>
              </w:rPr>
              <w:t xml:space="preserve">La memoria y el perdón. Las comisiones de la verdad y la reconciliación en América Latina. </w:t>
            </w:r>
            <w:r>
              <w:rPr>
                <w:rFonts w:ascii="Arial" w:eastAsia="Arial" w:hAnsi="Arial" w:cs="Arial"/>
                <w:sz w:val="20"/>
                <w:szCs w:val="20"/>
              </w:rPr>
              <w:t>Bogotá:</w:t>
            </w:r>
            <w:r>
              <w:rPr>
                <w:rFonts w:ascii="Arial" w:eastAsia="Arial" w:hAnsi="Arial" w:cs="Arial"/>
                <w:i/>
                <w:sz w:val="20"/>
                <w:szCs w:val="20"/>
              </w:rPr>
              <w:t xml:space="preserve"> </w:t>
            </w:r>
            <w:r>
              <w:rPr>
                <w:rFonts w:ascii="Arial" w:eastAsia="Arial" w:hAnsi="Arial" w:cs="Arial"/>
                <w:sz w:val="20"/>
                <w:szCs w:val="20"/>
              </w:rPr>
              <w:t xml:space="preserve">Centro de Investigación en Filosofía y Derecho. Universidad Externado de Colombia. </w:t>
            </w:r>
          </w:p>
          <w:p w:rsidR="007B35E0" w:rsidRDefault="0014507E">
            <w:pPr>
              <w:ind w:left="425" w:hanging="420"/>
              <w:rPr>
                <w:rFonts w:ascii="Arial" w:eastAsia="Arial" w:hAnsi="Arial" w:cs="Arial"/>
                <w:sz w:val="20"/>
                <w:szCs w:val="20"/>
              </w:rPr>
            </w:pPr>
            <w:proofErr w:type="spellStart"/>
            <w:r>
              <w:rPr>
                <w:rFonts w:ascii="Arial" w:eastAsia="Arial" w:hAnsi="Arial" w:cs="Arial"/>
                <w:sz w:val="20"/>
                <w:szCs w:val="20"/>
              </w:rPr>
              <w:t>Mazzei</w:t>
            </w:r>
            <w:proofErr w:type="spellEnd"/>
            <w:r>
              <w:rPr>
                <w:rFonts w:ascii="Arial" w:eastAsia="Arial" w:hAnsi="Arial" w:cs="Arial"/>
                <w:sz w:val="20"/>
                <w:szCs w:val="20"/>
              </w:rPr>
              <w:t xml:space="preserve">, </w:t>
            </w:r>
            <w:proofErr w:type="spellStart"/>
            <w:r>
              <w:rPr>
                <w:rFonts w:ascii="Arial" w:eastAsia="Arial" w:hAnsi="Arial" w:cs="Arial"/>
                <w:sz w:val="20"/>
                <w:szCs w:val="20"/>
              </w:rPr>
              <w:t>Julie</w:t>
            </w:r>
            <w:proofErr w:type="spellEnd"/>
            <w:r>
              <w:rPr>
                <w:rFonts w:ascii="Arial" w:eastAsia="Arial" w:hAnsi="Arial" w:cs="Arial"/>
                <w:sz w:val="20"/>
                <w:szCs w:val="20"/>
              </w:rPr>
              <w:t xml:space="preserve"> M. (2011). </w:t>
            </w:r>
            <w:proofErr w:type="spellStart"/>
            <w:r>
              <w:rPr>
                <w:rFonts w:ascii="Arial" w:eastAsia="Arial" w:hAnsi="Arial" w:cs="Arial"/>
                <w:sz w:val="20"/>
                <w:szCs w:val="20"/>
              </w:rPr>
              <w:t>Finding</w:t>
            </w:r>
            <w:proofErr w:type="spellEnd"/>
            <w:r>
              <w:rPr>
                <w:rFonts w:ascii="Arial" w:eastAsia="Arial" w:hAnsi="Arial" w:cs="Arial"/>
                <w:sz w:val="20"/>
                <w:szCs w:val="20"/>
              </w:rPr>
              <w:t xml:space="preserve"> </w:t>
            </w:r>
            <w:proofErr w:type="spellStart"/>
            <w:r>
              <w:rPr>
                <w:rFonts w:ascii="Arial" w:eastAsia="Arial" w:hAnsi="Arial" w:cs="Arial"/>
                <w:sz w:val="20"/>
                <w:szCs w:val="20"/>
              </w:rPr>
              <w:t>Shame</w:t>
            </w:r>
            <w:proofErr w:type="spellEnd"/>
            <w:r>
              <w:rPr>
                <w:rFonts w:ascii="Arial" w:eastAsia="Arial" w:hAnsi="Arial" w:cs="Arial"/>
                <w:sz w:val="20"/>
                <w:szCs w:val="20"/>
              </w:rPr>
              <w:t xml:space="preserve"> in </w:t>
            </w:r>
            <w:proofErr w:type="spellStart"/>
            <w:r>
              <w:rPr>
                <w:rFonts w:ascii="Arial" w:eastAsia="Arial" w:hAnsi="Arial" w:cs="Arial"/>
                <w:sz w:val="20"/>
                <w:szCs w:val="20"/>
              </w:rPr>
              <w:t>Truth</w:t>
            </w:r>
            <w:proofErr w:type="spellEnd"/>
            <w:r>
              <w:rPr>
                <w:rFonts w:ascii="Arial" w:eastAsia="Arial" w:hAnsi="Arial" w:cs="Arial"/>
                <w:sz w:val="20"/>
                <w:szCs w:val="20"/>
              </w:rPr>
              <w:t xml:space="preserve">: </w:t>
            </w:r>
            <w:proofErr w:type="spellStart"/>
            <w:r>
              <w:rPr>
                <w:rFonts w:ascii="Arial" w:eastAsia="Arial" w:hAnsi="Arial" w:cs="Arial"/>
                <w:sz w:val="20"/>
                <w:szCs w:val="20"/>
              </w:rPr>
              <w:t>The</w:t>
            </w:r>
            <w:proofErr w:type="spellEnd"/>
            <w:r>
              <w:rPr>
                <w:rFonts w:ascii="Arial" w:eastAsia="Arial" w:hAnsi="Arial" w:cs="Arial"/>
                <w:sz w:val="20"/>
                <w:szCs w:val="20"/>
              </w:rPr>
              <w:t xml:space="preserve"> </w:t>
            </w:r>
            <w:proofErr w:type="spellStart"/>
            <w:r>
              <w:rPr>
                <w:rFonts w:ascii="Arial" w:eastAsia="Arial" w:hAnsi="Arial" w:cs="Arial"/>
                <w:sz w:val="20"/>
                <w:szCs w:val="20"/>
              </w:rPr>
              <w:t>Importance</w:t>
            </w:r>
            <w:proofErr w:type="spellEnd"/>
            <w:r>
              <w:rPr>
                <w:rFonts w:ascii="Arial" w:eastAsia="Arial" w:hAnsi="Arial" w:cs="Arial"/>
                <w:sz w:val="20"/>
                <w:szCs w:val="20"/>
              </w:rPr>
              <w:t xml:space="preserve"> of </w:t>
            </w:r>
            <w:proofErr w:type="spellStart"/>
            <w:r>
              <w:rPr>
                <w:rFonts w:ascii="Arial" w:eastAsia="Arial" w:hAnsi="Arial" w:cs="Arial"/>
                <w:sz w:val="20"/>
                <w:szCs w:val="20"/>
              </w:rPr>
              <w:t>Public</w:t>
            </w:r>
            <w:proofErr w:type="spellEnd"/>
            <w:r>
              <w:rPr>
                <w:rFonts w:ascii="Arial" w:eastAsia="Arial" w:hAnsi="Arial" w:cs="Arial"/>
                <w:sz w:val="20"/>
                <w:szCs w:val="20"/>
              </w:rPr>
              <w:t xml:space="preserve"> </w:t>
            </w:r>
            <w:proofErr w:type="spellStart"/>
            <w:r>
              <w:rPr>
                <w:rFonts w:ascii="Arial" w:eastAsia="Arial" w:hAnsi="Arial" w:cs="Arial"/>
                <w:sz w:val="20"/>
                <w:szCs w:val="20"/>
              </w:rPr>
              <w:t>Engagement</w:t>
            </w:r>
            <w:proofErr w:type="spellEnd"/>
            <w:r>
              <w:rPr>
                <w:rFonts w:ascii="Arial" w:eastAsia="Arial" w:hAnsi="Arial" w:cs="Arial"/>
                <w:sz w:val="20"/>
                <w:szCs w:val="20"/>
              </w:rPr>
              <w:t xml:space="preserve"> in </w:t>
            </w:r>
            <w:proofErr w:type="spellStart"/>
            <w:r>
              <w:rPr>
                <w:rFonts w:ascii="Arial" w:eastAsia="Arial" w:hAnsi="Arial" w:cs="Arial"/>
                <w:sz w:val="20"/>
                <w:szCs w:val="20"/>
              </w:rPr>
              <w:t>Truth</w:t>
            </w:r>
            <w:proofErr w:type="spellEnd"/>
            <w:r>
              <w:rPr>
                <w:rFonts w:ascii="Arial" w:eastAsia="Arial" w:hAnsi="Arial" w:cs="Arial"/>
                <w:sz w:val="20"/>
                <w:szCs w:val="20"/>
              </w:rPr>
              <w:t xml:space="preserve"> </w:t>
            </w:r>
            <w:proofErr w:type="spellStart"/>
            <w:r>
              <w:rPr>
                <w:rFonts w:ascii="Arial" w:eastAsia="Arial" w:hAnsi="Arial" w:cs="Arial"/>
                <w:sz w:val="20"/>
                <w:szCs w:val="20"/>
              </w:rPr>
              <w:t>Commissions</w:t>
            </w:r>
            <w:proofErr w:type="spellEnd"/>
            <w:r>
              <w:rPr>
                <w:rFonts w:ascii="Arial" w:eastAsia="Arial" w:hAnsi="Arial" w:cs="Arial"/>
                <w:sz w:val="20"/>
                <w:szCs w:val="20"/>
              </w:rPr>
              <w:t xml:space="preserve">. </w:t>
            </w:r>
            <w:r>
              <w:rPr>
                <w:rFonts w:ascii="Arial" w:eastAsia="Arial" w:hAnsi="Arial" w:cs="Arial"/>
                <w:i/>
                <w:sz w:val="20"/>
                <w:szCs w:val="20"/>
              </w:rPr>
              <w:t xml:space="preserve">Human </w:t>
            </w:r>
            <w:proofErr w:type="spellStart"/>
            <w:r>
              <w:rPr>
                <w:rFonts w:ascii="Arial" w:eastAsia="Arial" w:hAnsi="Arial" w:cs="Arial"/>
                <w:i/>
                <w:sz w:val="20"/>
                <w:szCs w:val="20"/>
              </w:rPr>
              <w:t>Rights</w:t>
            </w:r>
            <w:proofErr w:type="spellEnd"/>
            <w:r>
              <w:rPr>
                <w:rFonts w:ascii="Arial" w:eastAsia="Arial" w:hAnsi="Arial" w:cs="Arial"/>
                <w:i/>
                <w:sz w:val="20"/>
                <w:szCs w:val="20"/>
              </w:rPr>
              <w:t xml:space="preserve"> </w:t>
            </w:r>
            <w:proofErr w:type="spellStart"/>
            <w:r>
              <w:rPr>
                <w:rFonts w:ascii="Arial" w:eastAsia="Arial" w:hAnsi="Arial" w:cs="Arial"/>
                <w:i/>
                <w:sz w:val="20"/>
                <w:szCs w:val="20"/>
              </w:rPr>
              <w:t>Quarterly</w:t>
            </w:r>
            <w:proofErr w:type="spellEnd"/>
            <w:r>
              <w:rPr>
                <w:rFonts w:ascii="Arial" w:eastAsia="Arial" w:hAnsi="Arial" w:cs="Arial"/>
                <w:sz w:val="20"/>
                <w:szCs w:val="20"/>
              </w:rPr>
              <w:t xml:space="preserve"> </w:t>
            </w:r>
            <w:r>
              <w:rPr>
                <w:rFonts w:ascii="Arial" w:eastAsia="Arial" w:hAnsi="Arial" w:cs="Arial"/>
                <w:i/>
                <w:sz w:val="20"/>
                <w:szCs w:val="20"/>
              </w:rPr>
              <w:t>33(2)</w:t>
            </w:r>
            <w:r>
              <w:rPr>
                <w:rFonts w:ascii="Arial" w:eastAsia="Arial" w:hAnsi="Arial" w:cs="Arial"/>
                <w:sz w:val="20"/>
                <w:szCs w:val="20"/>
              </w:rPr>
              <w:t>, 431-52.</w:t>
            </w:r>
          </w:p>
          <w:p w:rsidR="007B35E0" w:rsidRDefault="0014507E">
            <w:pPr>
              <w:ind w:left="425" w:hanging="420"/>
              <w:rPr>
                <w:rFonts w:ascii="Arial" w:eastAsia="Arial" w:hAnsi="Arial" w:cs="Arial"/>
                <w:sz w:val="20"/>
                <w:szCs w:val="20"/>
              </w:rPr>
            </w:pPr>
            <w:r>
              <w:rPr>
                <w:rFonts w:ascii="Arial" w:eastAsia="Arial" w:hAnsi="Arial" w:cs="Arial"/>
                <w:sz w:val="20"/>
                <w:szCs w:val="20"/>
              </w:rPr>
              <w:t>Méndez, M. P. G. (2005). Comisiones de verdad:¿ qué tanto aportan a la verdad, la justicia y la reconciliación</w:t>
            </w:r>
            <w:proofErr w:type="gramStart"/>
            <w:r>
              <w:rPr>
                <w:rFonts w:ascii="Arial" w:eastAsia="Arial" w:hAnsi="Arial" w:cs="Arial"/>
                <w:sz w:val="20"/>
                <w:szCs w:val="20"/>
              </w:rPr>
              <w:t>?.</w:t>
            </w:r>
            <w:proofErr w:type="gramEnd"/>
            <w:r>
              <w:rPr>
                <w:rFonts w:ascii="Arial" w:eastAsia="Arial" w:hAnsi="Arial" w:cs="Arial"/>
                <w:sz w:val="20"/>
                <w:szCs w:val="20"/>
              </w:rPr>
              <w:t xml:space="preserve"> OASIS, (11), 57-70.</w:t>
            </w:r>
          </w:p>
          <w:p w:rsidR="007B35E0" w:rsidRDefault="0014507E">
            <w:pPr>
              <w:ind w:left="283" w:hanging="285"/>
              <w:rPr>
                <w:rFonts w:ascii="Arial" w:eastAsia="Arial" w:hAnsi="Arial" w:cs="Arial"/>
                <w:sz w:val="20"/>
                <w:szCs w:val="20"/>
              </w:rPr>
            </w:pPr>
            <w:r>
              <w:rPr>
                <w:rFonts w:ascii="Arial" w:eastAsia="Arial" w:hAnsi="Arial" w:cs="Arial"/>
                <w:sz w:val="20"/>
                <w:szCs w:val="20"/>
              </w:rPr>
              <w:t xml:space="preserve">Murillo, Edwin. (2017). Reconciliación social como política pública: Sudáfrica, El Salvador, Nicaragua y </w:t>
            </w:r>
            <w:proofErr w:type="spellStart"/>
            <w:r>
              <w:rPr>
                <w:rFonts w:ascii="Arial" w:eastAsia="Arial" w:hAnsi="Arial" w:cs="Arial"/>
                <w:sz w:val="20"/>
                <w:szCs w:val="20"/>
              </w:rPr>
              <w:t>Colombia.Bogotá</w:t>
            </w:r>
            <w:proofErr w:type="spellEnd"/>
            <w:r>
              <w:rPr>
                <w:rFonts w:ascii="Arial" w:eastAsia="Arial" w:hAnsi="Arial" w:cs="Arial"/>
                <w:sz w:val="20"/>
                <w:szCs w:val="20"/>
              </w:rPr>
              <w:t xml:space="preserve">: Editorial Javeriana. </w:t>
            </w:r>
          </w:p>
          <w:p w:rsidR="00F17D61" w:rsidRDefault="00F17D61">
            <w:pPr>
              <w:ind w:left="283" w:hanging="285"/>
              <w:rPr>
                <w:rFonts w:ascii="Arial" w:eastAsia="Arial" w:hAnsi="Arial" w:cs="Arial"/>
                <w:sz w:val="20"/>
                <w:szCs w:val="20"/>
              </w:rPr>
            </w:pPr>
            <w:proofErr w:type="spellStart"/>
            <w:r>
              <w:rPr>
                <w:rFonts w:ascii="Arial" w:eastAsia="Arial" w:hAnsi="Arial" w:cs="Arial"/>
                <w:sz w:val="20"/>
                <w:szCs w:val="20"/>
              </w:rPr>
              <w:t>Narayan</w:t>
            </w:r>
            <w:proofErr w:type="spellEnd"/>
            <w:r>
              <w:rPr>
                <w:rFonts w:ascii="Arial" w:eastAsia="Arial" w:hAnsi="Arial" w:cs="Arial"/>
                <w:sz w:val="20"/>
                <w:szCs w:val="20"/>
              </w:rPr>
              <w:t xml:space="preserve">, D. (2002). Empoderamiento y reducción de la pobreza. México, D.F.: </w:t>
            </w:r>
            <w:proofErr w:type="spellStart"/>
            <w:r>
              <w:rPr>
                <w:rFonts w:ascii="Arial" w:eastAsia="Arial" w:hAnsi="Arial" w:cs="Arial"/>
                <w:sz w:val="20"/>
                <w:szCs w:val="20"/>
              </w:rPr>
              <w:t>Alfaomega</w:t>
            </w:r>
            <w:proofErr w:type="spellEnd"/>
            <w:r>
              <w:rPr>
                <w:rFonts w:ascii="Arial" w:eastAsia="Arial" w:hAnsi="Arial" w:cs="Arial"/>
                <w:sz w:val="20"/>
                <w:szCs w:val="20"/>
              </w:rPr>
              <w:t xml:space="preserve"> -Banco Mundial.</w:t>
            </w:r>
          </w:p>
          <w:p w:rsidR="007B35E0" w:rsidRDefault="0014507E">
            <w:pPr>
              <w:rPr>
                <w:rFonts w:ascii="Arial" w:eastAsia="Arial" w:hAnsi="Arial" w:cs="Arial"/>
                <w:sz w:val="20"/>
                <w:szCs w:val="20"/>
              </w:rPr>
            </w:pPr>
            <w:r>
              <w:rPr>
                <w:rFonts w:ascii="Arial" w:eastAsia="Arial" w:hAnsi="Arial" w:cs="Arial"/>
                <w:sz w:val="20"/>
                <w:szCs w:val="20"/>
              </w:rPr>
              <w:t xml:space="preserve">Osuna, J. (2015). </w:t>
            </w:r>
            <w:r>
              <w:rPr>
                <w:rFonts w:ascii="Arial" w:eastAsia="Arial" w:hAnsi="Arial" w:cs="Arial"/>
                <w:i/>
                <w:sz w:val="20"/>
                <w:szCs w:val="20"/>
              </w:rPr>
              <w:t>Me hablarás del fuego, los hornos de la infamia.</w:t>
            </w:r>
            <w:r>
              <w:rPr>
                <w:rFonts w:ascii="Arial" w:eastAsia="Arial" w:hAnsi="Arial" w:cs="Arial"/>
                <w:sz w:val="20"/>
                <w:szCs w:val="20"/>
              </w:rPr>
              <w:t xml:space="preserve"> Bogotá: Ediciones B.</w:t>
            </w:r>
          </w:p>
          <w:p w:rsidR="007B35E0" w:rsidRDefault="0014507E">
            <w:pPr>
              <w:ind w:left="283" w:hanging="285"/>
              <w:rPr>
                <w:rFonts w:ascii="Arial" w:eastAsia="Arial" w:hAnsi="Arial" w:cs="Arial"/>
                <w:sz w:val="20"/>
                <w:szCs w:val="20"/>
              </w:rPr>
            </w:pPr>
            <w:proofErr w:type="spellStart"/>
            <w:r>
              <w:rPr>
                <w:rFonts w:ascii="Arial" w:eastAsia="Arial" w:hAnsi="Arial" w:cs="Arial"/>
                <w:sz w:val="20"/>
                <w:szCs w:val="20"/>
              </w:rPr>
              <w:t>Quinn</w:t>
            </w:r>
            <w:proofErr w:type="spellEnd"/>
            <w:r>
              <w:rPr>
                <w:rFonts w:ascii="Arial" w:eastAsia="Arial" w:hAnsi="Arial" w:cs="Arial"/>
                <w:sz w:val="20"/>
                <w:szCs w:val="20"/>
              </w:rPr>
              <w:t xml:space="preserve">, Joanna R., y </w:t>
            </w:r>
            <w:proofErr w:type="spellStart"/>
            <w:r>
              <w:rPr>
                <w:rFonts w:ascii="Arial" w:eastAsia="Arial" w:hAnsi="Arial" w:cs="Arial"/>
                <w:sz w:val="20"/>
                <w:szCs w:val="20"/>
              </w:rPr>
              <w:t>Freeman</w:t>
            </w:r>
            <w:proofErr w:type="spellEnd"/>
            <w:r>
              <w:rPr>
                <w:rFonts w:ascii="Arial" w:eastAsia="Arial" w:hAnsi="Arial" w:cs="Arial"/>
                <w:sz w:val="20"/>
                <w:szCs w:val="20"/>
              </w:rPr>
              <w:t xml:space="preserve">, M. (2003). </w:t>
            </w:r>
            <w:proofErr w:type="spellStart"/>
            <w:r>
              <w:rPr>
                <w:rFonts w:ascii="Arial" w:eastAsia="Arial" w:hAnsi="Arial" w:cs="Arial"/>
                <w:sz w:val="20"/>
                <w:szCs w:val="20"/>
              </w:rPr>
              <w:t>Lessons</w:t>
            </w:r>
            <w:proofErr w:type="spellEnd"/>
            <w:r>
              <w:rPr>
                <w:rFonts w:ascii="Arial" w:eastAsia="Arial" w:hAnsi="Arial" w:cs="Arial"/>
                <w:sz w:val="20"/>
                <w:szCs w:val="20"/>
              </w:rPr>
              <w:t xml:space="preserve"> </w:t>
            </w:r>
            <w:proofErr w:type="spellStart"/>
            <w:r>
              <w:rPr>
                <w:rFonts w:ascii="Arial" w:eastAsia="Arial" w:hAnsi="Arial" w:cs="Arial"/>
                <w:sz w:val="20"/>
                <w:szCs w:val="20"/>
              </w:rPr>
              <w:t>Learned</w:t>
            </w:r>
            <w:proofErr w:type="spellEnd"/>
            <w:r>
              <w:rPr>
                <w:rFonts w:ascii="Arial" w:eastAsia="Arial" w:hAnsi="Arial" w:cs="Arial"/>
                <w:sz w:val="20"/>
                <w:szCs w:val="20"/>
              </w:rPr>
              <w:t xml:space="preserve">: </w:t>
            </w:r>
            <w:proofErr w:type="spellStart"/>
            <w:r>
              <w:rPr>
                <w:rFonts w:ascii="Arial" w:eastAsia="Arial" w:hAnsi="Arial" w:cs="Arial"/>
                <w:sz w:val="20"/>
                <w:szCs w:val="20"/>
              </w:rPr>
              <w:t>Practical</w:t>
            </w:r>
            <w:proofErr w:type="spellEnd"/>
            <w:r>
              <w:rPr>
                <w:rFonts w:ascii="Arial" w:eastAsia="Arial" w:hAnsi="Arial" w:cs="Arial"/>
                <w:sz w:val="20"/>
                <w:szCs w:val="20"/>
              </w:rPr>
              <w:t xml:space="preserve"> </w:t>
            </w:r>
            <w:proofErr w:type="spellStart"/>
            <w:r>
              <w:rPr>
                <w:rFonts w:ascii="Arial" w:eastAsia="Arial" w:hAnsi="Arial" w:cs="Arial"/>
                <w:sz w:val="20"/>
                <w:szCs w:val="20"/>
              </w:rPr>
              <w:t>Lessons</w:t>
            </w:r>
            <w:proofErr w:type="spellEnd"/>
            <w:r>
              <w:rPr>
                <w:rFonts w:ascii="Arial" w:eastAsia="Arial" w:hAnsi="Arial" w:cs="Arial"/>
                <w:sz w:val="20"/>
                <w:szCs w:val="20"/>
              </w:rPr>
              <w:t xml:space="preserve"> </w:t>
            </w:r>
            <w:proofErr w:type="spellStart"/>
            <w:r>
              <w:rPr>
                <w:rFonts w:ascii="Arial" w:eastAsia="Arial" w:hAnsi="Arial" w:cs="Arial"/>
                <w:sz w:val="20"/>
                <w:szCs w:val="20"/>
              </w:rPr>
              <w:t>Gleaned</w:t>
            </w:r>
            <w:proofErr w:type="spellEnd"/>
            <w:r>
              <w:rPr>
                <w:rFonts w:ascii="Arial" w:eastAsia="Arial" w:hAnsi="Arial" w:cs="Arial"/>
                <w:sz w:val="20"/>
                <w:szCs w:val="20"/>
              </w:rPr>
              <w:t xml:space="preserve"> </w:t>
            </w:r>
            <w:proofErr w:type="spellStart"/>
            <w:r>
              <w:rPr>
                <w:rFonts w:ascii="Arial" w:eastAsia="Arial" w:hAnsi="Arial" w:cs="Arial"/>
                <w:sz w:val="20"/>
                <w:szCs w:val="20"/>
              </w:rPr>
              <w:t>from</w:t>
            </w:r>
            <w:proofErr w:type="spellEnd"/>
            <w:r>
              <w:rPr>
                <w:rFonts w:ascii="Arial" w:eastAsia="Arial" w:hAnsi="Arial" w:cs="Arial"/>
                <w:sz w:val="20"/>
                <w:szCs w:val="20"/>
              </w:rPr>
              <w:t xml:space="preserve"> </w:t>
            </w:r>
            <w:proofErr w:type="spellStart"/>
            <w:r>
              <w:rPr>
                <w:rFonts w:ascii="Arial" w:eastAsia="Arial" w:hAnsi="Arial" w:cs="Arial"/>
                <w:sz w:val="20"/>
                <w:szCs w:val="20"/>
              </w:rPr>
              <w:t>inside</w:t>
            </w:r>
            <w:proofErr w:type="spellEnd"/>
            <w:r>
              <w:rPr>
                <w:rFonts w:ascii="Arial" w:eastAsia="Arial" w:hAnsi="Arial" w:cs="Arial"/>
                <w:sz w:val="20"/>
                <w:szCs w:val="20"/>
              </w:rPr>
              <w:t xml:space="preserve"> </w:t>
            </w:r>
            <w:proofErr w:type="spellStart"/>
            <w:r>
              <w:rPr>
                <w:rFonts w:ascii="Arial" w:eastAsia="Arial" w:hAnsi="Arial" w:cs="Arial"/>
                <w:sz w:val="20"/>
                <w:szCs w:val="20"/>
              </w:rPr>
              <w:t>the</w:t>
            </w:r>
            <w:proofErr w:type="spellEnd"/>
            <w:r>
              <w:rPr>
                <w:rFonts w:ascii="Arial" w:eastAsia="Arial" w:hAnsi="Arial" w:cs="Arial"/>
                <w:sz w:val="20"/>
                <w:szCs w:val="20"/>
              </w:rPr>
              <w:t xml:space="preserve"> </w:t>
            </w:r>
            <w:proofErr w:type="spellStart"/>
            <w:r>
              <w:rPr>
                <w:rFonts w:ascii="Arial" w:eastAsia="Arial" w:hAnsi="Arial" w:cs="Arial"/>
                <w:sz w:val="20"/>
                <w:szCs w:val="20"/>
              </w:rPr>
              <w:t>Truth</w:t>
            </w:r>
            <w:proofErr w:type="spellEnd"/>
            <w:r>
              <w:rPr>
                <w:rFonts w:ascii="Arial" w:eastAsia="Arial" w:hAnsi="Arial" w:cs="Arial"/>
                <w:sz w:val="20"/>
                <w:szCs w:val="20"/>
              </w:rPr>
              <w:t xml:space="preserve"> </w:t>
            </w:r>
            <w:proofErr w:type="spellStart"/>
            <w:r>
              <w:rPr>
                <w:rFonts w:ascii="Arial" w:eastAsia="Arial" w:hAnsi="Arial" w:cs="Arial"/>
                <w:sz w:val="20"/>
                <w:szCs w:val="20"/>
              </w:rPr>
              <w:t>Commissions</w:t>
            </w:r>
            <w:proofErr w:type="spellEnd"/>
            <w:r>
              <w:rPr>
                <w:rFonts w:ascii="Arial" w:eastAsia="Arial" w:hAnsi="Arial" w:cs="Arial"/>
                <w:sz w:val="20"/>
                <w:szCs w:val="20"/>
              </w:rPr>
              <w:t xml:space="preserve"> of Guatemala and South </w:t>
            </w:r>
            <w:proofErr w:type="spellStart"/>
            <w:r>
              <w:rPr>
                <w:rFonts w:ascii="Arial" w:eastAsia="Arial" w:hAnsi="Arial" w:cs="Arial"/>
                <w:sz w:val="20"/>
                <w:szCs w:val="20"/>
              </w:rPr>
              <w:t>Africa</w:t>
            </w:r>
            <w:proofErr w:type="spellEnd"/>
            <w:r>
              <w:rPr>
                <w:rFonts w:ascii="Arial" w:eastAsia="Arial" w:hAnsi="Arial" w:cs="Arial"/>
                <w:sz w:val="20"/>
                <w:szCs w:val="20"/>
              </w:rPr>
              <w:t xml:space="preserve">. </w:t>
            </w:r>
            <w:r>
              <w:rPr>
                <w:rFonts w:ascii="Arial" w:eastAsia="Arial" w:hAnsi="Arial" w:cs="Arial"/>
                <w:i/>
                <w:sz w:val="20"/>
                <w:szCs w:val="20"/>
              </w:rPr>
              <w:t xml:space="preserve">Human </w:t>
            </w:r>
            <w:proofErr w:type="spellStart"/>
            <w:r>
              <w:rPr>
                <w:rFonts w:ascii="Arial" w:eastAsia="Arial" w:hAnsi="Arial" w:cs="Arial"/>
                <w:i/>
                <w:sz w:val="20"/>
                <w:szCs w:val="20"/>
              </w:rPr>
              <w:t>Rights</w:t>
            </w:r>
            <w:proofErr w:type="spellEnd"/>
            <w:r>
              <w:rPr>
                <w:rFonts w:ascii="Arial" w:eastAsia="Arial" w:hAnsi="Arial" w:cs="Arial"/>
                <w:i/>
                <w:sz w:val="20"/>
                <w:szCs w:val="20"/>
              </w:rPr>
              <w:t xml:space="preserve"> </w:t>
            </w:r>
            <w:proofErr w:type="spellStart"/>
            <w:r>
              <w:rPr>
                <w:rFonts w:ascii="Arial" w:eastAsia="Arial" w:hAnsi="Arial" w:cs="Arial"/>
                <w:i/>
                <w:sz w:val="20"/>
                <w:szCs w:val="20"/>
              </w:rPr>
              <w:t>Quarterly</w:t>
            </w:r>
            <w:proofErr w:type="spellEnd"/>
            <w:r>
              <w:rPr>
                <w:rFonts w:ascii="Arial" w:eastAsia="Arial" w:hAnsi="Arial" w:cs="Arial"/>
                <w:sz w:val="20"/>
                <w:szCs w:val="20"/>
              </w:rPr>
              <w:t xml:space="preserve"> </w:t>
            </w:r>
            <w:r>
              <w:rPr>
                <w:rFonts w:ascii="Arial" w:eastAsia="Arial" w:hAnsi="Arial" w:cs="Arial"/>
                <w:i/>
                <w:sz w:val="20"/>
                <w:szCs w:val="20"/>
              </w:rPr>
              <w:t>25(4</w:t>
            </w:r>
            <w:proofErr w:type="gramStart"/>
            <w:r>
              <w:rPr>
                <w:rFonts w:ascii="Arial" w:eastAsia="Arial" w:hAnsi="Arial" w:cs="Arial"/>
                <w:i/>
                <w:sz w:val="20"/>
                <w:szCs w:val="20"/>
              </w:rPr>
              <w:t>),</w:t>
            </w:r>
            <w:proofErr w:type="gramEnd"/>
            <w:r>
              <w:rPr>
                <w:rFonts w:ascii="Arial" w:eastAsia="Arial" w:hAnsi="Arial" w:cs="Arial"/>
                <w:sz w:val="20"/>
                <w:szCs w:val="20"/>
              </w:rPr>
              <w:t>117-149.</w:t>
            </w:r>
          </w:p>
          <w:p w:rsidR="00F17D61" w:rsidRDefault="00F17D61">
            <w:pPr>
              <w:ind w:left="283" w:hanging="285"/>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Tonche</w:t>
            </w:r>
            <w:proofErr w:type="spellEnd"/>
            <w:r>
              <w:rPr>
                <w:rFonts w:ascii="Arial" w:hAnsi="Arial" w:cs="Arial"/>
                <w:color w:val="222222"/>
                <w:sz w:val="20"/>
                <w:szCs w:val="20"/>
                <w:shd w:val="clear" w:color="auto" w:fill="FFFFFF"/>
              </w:rPr>
              <w:t>, J., &amp; Umaña, C. E. (2017). Sistema Integral de Verdad, Justicia, Reparación y No Repetición: un acuerdo de justicia¿ restaurativa</w:t>
            </w:r>
            <w:proofErr w:type="gramStart"/>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Revista Derecho del Estado</w:t>
            </w:r>
            <w:r>
              <w:rPr>
                <w:rFonts w:ascii="Arial" w:hAnsi="Arial" w:cs="Arial"/>
                <w:color w:val="222222"/>
                <w:sz w:val="20"/>
                <w:szCs w:val="20"/>
                <w:shd w:val="clear" w:color="auto" w:fill="FFFFFF"/>
              </w:rPr>
              <w:t>, (38), 223-241.</w:t>
            </w:r>
          </w:p>
          <w:p w:rsidR="00644CC7" w:rsidRDefault="00644CC7">
            <w:pPr>
              <w:ind w:left="283" w:hanging="285"/>
              <w:rPr>
                <w:rFonts w:ascii="Arial" w:eastAsia="Arial" w:hAnsi="Arial" w:cs="Arial"/>
                <w:sz w:val="20"/>
                <w:szCs w:val="20"/>
              </w:rPr>
            </w:pPr>
            <w:r>
              <w:rPr>
                <w:rFonts w:ascii="Arial" w:hAnsi="Arial" w:cs="Arial"/>
                <w:color w:val="222222"/>
                <w:sz w:val="20"/>
                <w:szCs w:val="20"/>
                <w:shd w:val="clear" w:color="auto" w:fill="FFFFFF"/>
              </w:rPr>
              <w:t>Torrijos, V., &amp; Arévalo-Ramírez, W. (2016). La comisión histórica el conflicto del conflicto en Colombia: la construcción de visiones del rol de las Fuerzas Armadas de Colombia en el conflicto y sus efectos en las relaciones cívico militares. </w:t>
            </w:r>
            <w:r>
              <w:rPr>
                <w:rFonts w:ascii="Arial" w:hAnsi="Arial" w:cs="Arial"/>
                <w:i/>
                <w:iCs/>
                <w:color w:val="222222"/>
                <w:sz w:val="20"/>
                <w:szCs w:val="20"/>
                <w:shd w:val="clear" w:color="auto" w:fill="FFFFFF"/>
              </w:rPr>
              <w:t>Relaciones Internacionales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89</w:t>
            </w:r>
            <w:r>
              <w:rPr>
                <w:rFonts w:ascii="Arial" w:hAnsi="Arial" w:cs="Arial"/>
                <w:color w:val="222222"/>
                <w:sz w:val="20"/>
                <w:szCs w:val="20"/>
                <w:shd w:val="clear" w:color="auto" w:fill="FFFFFF"/>
              </w:rPr>
              <w:t>(2), 143-164.</w:t>
            </w:r>
          </w:p>
          <w:p w:rsidR="007B35E0" w:rsidRDefault="007B35E0">
            <w:pPr>
              <w:ind w:left="283" w:hanging="285"/>
              <w:rPr>
                <w:rFonts w:ascii="Arial" w:eastAsia="Arial" w:hAnsi="Arial" w:cs="Arial"/>
                <w:sz w:val="20"/>
                <w:szCs w:val="20"/>
              </w:rPr>
            </w:pPr>
          </w:p>
          <w:p w:rsidR="007B35E0" w:rsidRDefault="0014507E">
            <w:pPr>
              <w:ind w:left="283" w:hanging="285"/>
              <w:rPr>
                <w:rFonts w:ascii="Arial" w:eastAsia="Arial" w:hAnsi="Arial" w:cs="Arial"/>
                <w:sz w:val="20"/>
                <w:szCs w:val="20"/>
              </w:rPr>
            </w:pPr>
            <w:proofErr w:type="spellStart"/>
            <w:r>
              <w:rPr>
                <w:rFonts w:ascii="Arial" w:eastAsia="Arial" w:hAnsi="Arial" w:cs="Arial"/>
                <w:sz w:val="20"/>
                <w:szCs w:val="20"/>
              </w:rPr>
              <w:t>Rettberg</w:t>
            </w:r>
            <w:proofErr w:type="spellEnd"/>
            <w:r>
              <w:rPr>
                <w:rFonts w:ascii="Arial" w:eastAsia="Arial" w:hAnsi="Arial" w:cs="Arial"/>
                <w:sz w:val="20"/>
                <w:szCs w:val="20"/>
              </w:rPr>
              <w:t xml:space="preserve">, </w:t>
            </w:r>
            <w:proofErr w:type="spellStart"/>
            <w:r>
              <w:rPr>
                <w:rFonts w:ascii="Arial" w:eastAsia="Arial" w:hAnsi="Arial" w:cs="Arial"/>
                <w:sz w:val="20"/>
                <w:szCs w:val="20"/>
              </w:rPr>
              <w:t>Angelika</w:t>
            </w:r>
            <w:proofErr w:type="spellEnd"/>
            <w:r>
              <w:rPr>
                <w:rFonts w:ascii="Arial" w:eastAsia="Arial" w:hAnsi="Arial" w:cs="Arial"/>
                <w:sz w:val="20"/>
                <w:szCs w:val="20"/>
              </w:rPr>
              <w:t xml:space="preserve">. (2005). Reflexiones introductorias sobre la relación entre construcción de paz y justicia transicional. </w:t>
            </w:r>
            <w:r>
              <w:rPr>
                <w:rFonts w:ascii="Arial" w:eastAsia="Arial" w:hAnsi="Arial" w:cs="Arial"/>
                <w:i/>
                <w:sz w:val="20"/>
                <w:szCs w:val="20"/>
              </w:rPr>
              <w:t xml:space="preserve">Entre el </w:t>
            </w:r>
            <w:proofErr w:type="spellStart"/>
            <w:r>
              <w:rPr>
                <w:rFonts w:ascii="Arial" w:eastAsia="Arial" w:hAnsi="Arial" w:cs="Arial"/>
                <w:i/>
                <w:sz w:val="20"/>
                <w:szCs w:val="20"/>
              </w:rPr>
              <w:t>plerdón</w:t>
            </w:r>
            <w:proofErr w:type="spellEnd"/>
            <w:r>
              <w:rPr>
                <w:rFonts w:ascii="Arial" w:eastAsia="Arial" w:hAnsi="Arial" w:cs="Arial"/>
                <w:i/>
                <w:sz w:val="20"/>
                <w:szCs w:val="20"/>
              </w:rPr>
              <w:t xml:space="preserve"> y el paredón. Preguntas y dilemas de la justicia transicional. </w:t>
            </w:r>
            <w:r>
              <w:rPr>
                <w:rFonts w:ascii="Arial" w:eastAsia="Arial" w:hAnsi="Arial" w:cs="Arial"/>
                <w:sz w:val="20"/>
                <w:szCs w:val="20"/>
              </w:rPr>
              <w:t>Bogotá: Universidad de los Andes.</w:t>
            </w:r>
          </w:p>
          <w:p w:rsidR="007B35E0" w:rsidRDefault="0014507E">
            <w:pPr>
              <w:ind w:left="283" w:hanging="285"/>
              <w:rPr>
                <w:rFonts w:ascii="Arial" w:eastAsia="Arial" w:hAnsi="Arial" w:cs="Arial"/>
                <w:sz w:val="20"/>
                <w:szCs w:val="20"/>
              </w:rPr>
            </w:pPr>
            <w:proofErr w:type="spellStart"/>
            <w:r>
              <w:rPr>
                <w:rFonts w:ascii="Arial" w:eastAsia="Arial" w:hAnsi="Arial" w:cs="Arial"/>
                <w:sz w:val="20"/>
                <w:szCs w:val="20"/>
              </w:rPr>
              <w:lastRenderedPageBreak/>
              <w:t>Ricoeur</w:t>
            </w:r>
            <w:proofErr w:type="spellEnd"/>
            <w:r>
              <w:rPr>
                <w:rFonts w:ascii="Arial" w:eastAsia="Arial" w:hAnsi="Arial" w:cs="Arial"/>
                <w:sz w:val="20"/>
                <w:szCs w:val="20"/>
              </w:rPr>
              <w:t xml:space="preserve">, Paul. (1955, 1964, 1967, 2015). </w:t>
            </w:r>
            <w:r>
              <w:rPr>
                <w:rFonts w:ascii="Arial" w:eastAsia="Arial" w:hAnsi="Arial" w:cs="Arial"/>
                <w:i/>
                <w:sz w:val="20"/>
                <w:szCs w:val="20"/>
              </w:rPr>
              <w:t xml:space="preserve">Historia y verdad. </w:t>
            </w:r>
            <w:r>
              <w:rPr>
                <w:rFonts w:ascii="Arial" w:eastAsia="Arial" w:hAnsi="Arial" w:cs="Arial"/>
                <w:sz w:val="20"/>
                <w:szCs w:val="20"/>
              </w:rPr>
              <w:t xml:space="preserve">Buenos Aires: Fondo de Cultura Económica de Argentina, S.A. </w:t>
            </w:r>
          </w:p>
          <w:p w:rsidR="007B35E0" w:rsidRDefault="0014507E">
            <w:pPr>
              <w:rPr>
                <w:rFonts w:ascii="Arial" w:eastAsia="Arial" w:hAnsi="Arial" w:cs="Arial"/>
                <w:sz w:val="20"/>
                <w:szCs w:val="20"/>
              </w:rPr>
            </w:pPr>
            <w:r>
              <w:rPr>
                <w:rFonts w:ascii="Arial" w:eastAsia="Arial" w:hAnsi="Arial" w:cs="Arial"/>
                <w:sz w:val="20"/>
                <w:szCs w:val="20"/>
              </w:rPr>
              <w:t xml:space="preserve">Robledo, J. (2016). </w:t>
            </w:r>
            <w:r>
              <w:rPr>
                <w:rFonts w:ascii="Arial" w:eastAsia="Arial" w:hAnsi="Arial" w:cs="Arial"/>
                <w:i/>
                <w:sz w:val="20"/>
                <w:szCs w:val="20"/>
              </w:rPr>
              <w:t>La corrupción en el poder y el poder de la corrupción en Colombia.</w:t>
            </w:r>
            <w:r>
              <w:rPr>
                <w:rFonts w:ascii="Arial" w:eastAsia="Arial" w:hAnsi="Arial" w:cs="Arial"/>
                <w:sz w:val="20"/>
                <w:szCs w:val="20"/>
              </w:rPr>
              <w:t xml:space="preserve"> Bogotá: Aguilar.</w:t>
            </w:r>
          </w:p>
          <w:p w:rsidR="007B35E0" w:rsidRDefault="0014507E">
            <w:pPr>
              <w:rPr>
                <w:rFonts w:ascii="Arial" w:eastAsia="Arial" w:hAnsi="Arial" w:cs="Arial"/>
                <w:sz w:val="20"/>
                <w:szCs w:val="20"/>
              </w:rPr>
            </w:pPr>
            <w:r>
              <w:rPr>
                <w:rFonts w:ascii="Arial" w:eastAsia="Arial" w:hAnsi="Arial" w:cs="Arial"/>
                <w:sz w:val="20"/>
                <w:szCs w:val="20"/>
              </w:rPr>
              <w:t xml:space="preserve">Ronderos, M. (2014). </w:t>
            </w:r>
            <w:r>
              <w:rPr>
                <w:rFonts w:ascii="Arial" w:eastAsia="Arial" w:hAnsi="Arial" w:cs="Arial"/>
                <w:i/>
                <w:sz w:val="20"/>
                <w:szCs w:val="20"/>
              </w:rPr>
              <w:t>Guerras recicladas. Una historia periodística del paramilitarismo en Colombia.</w:t>
            </w:r>
            <w:r>
              <w:rPr>
                <w:rFonts w:ascii="Arial" w:eastAsia="Arial" w:hAnsi="Arial" w:cs="Arial"/>
                <w:sz w:val="20"/>
                <w:szCs w:val="20"/>
              </w:rPr>
              <w:t xml:space="preserve"> Bogotá: Aguilar.</w:t>
            </w:r>
          </w:p>
          <w:p w:rsidR="007B35E0" w:rsidRDefault="0014507E">
            <w:pPr>
              <w:ind w:left="283" w:hanging="285"/>
              <w:rPr>
                <w:rFonts w:ascii="Arial" w:eastAsia="Arial" w:hAnsi="Arial" w:cs="Arial"/>
                <w:sz w:val="20"/>
                <w:szCs w:val="20"/>
              </w:rPr>
            </w:pPr>
            <w:proofErr w:type="spellStart"/>
            <w:r>
              <w:rPr>
                <w:rFonts w:ascii="Arial" w:eastAsia="Arial" w:hAnsi="Arial" w:cs="Arial"/>
                <w:sz w:val="20"/>
                <w:szCs w:val="20"/>
              </w:rPr>
              <w:t>Springer</w:t>
            </w:r>
            <w:proofErr w:type="spellEnd"/>
            <w:r>
              <w:rPr>
                <w:rFonts w:ascii="Arial" w:eastAsia="Arial" w:hAnsi="Arial" w:cs="Arial"/>
                <w:sz w:val="20"/>
                <w:szCs w:val="20"/>
              </w:rPr>
              <w:t xml:space="preserve">, N. M. (2002). Sobre la verdad en los tiempos del miedo. Del establecimiento de una Comisión de la Verdad en Colombia y los desafíos para la justicia </w:t>
            </w:r>
            <w:proofErr w:type="spellStart"/>
            <w:r>
              <w:rPr>
                <w:rFonts w:ascii="Arial" w:eastAsia="Arial" w:hAnsi="Arial" w:cs="Arial"/>
                <w:sz w:val="20"/>
                <w:szCs w:val="20"/>
              </w:rPr>
              <w:t>restorativa</w:t>
            </w:r>
            <w:proofErr w:type="spellEnd"/>
            <w:r>
              <w:rPr>
                <w:rFonts w:ascii="Arial" w:eastAsia="Arial" w:hAnsi="Arial" w:cs="Arial"/>
                <w:sz w:val="20"/>
                <w:szCs w:val="20"/>
              </w:rPr>
              <w:t xml:space="preserve">. </w:t>
            </w:r>
            <w:proofErr w:type="spellStart"/>
            <w:r>
              <w:rPr>
                <w:rFonts w:ascii="Arial" w:eastAsia="Arial" w:hAnsi="Arial" w:cs="Arial"/>
                <w:sz w:val="20"/>
                <w:szCs w:val="20"/>
              </w:rPr>
              <w:t>Books</w:t>
            </w:r>
            <w:proofErr w:type="spellEnd"/>
            <w:r>
              <w:rPr>
                <w:rFonts w:ascii="Arial" w:eastAsia="Arial" w:hAnsi="Arial" w:cs="Arial"/>
                <w:sz w:val="20"/>
                <w:szCs w:val="20"/>
              </w:rPr>
              <w:t>, 1.</w:t>
            </w:r>
          </w:p>
          <w:p w:rsidR="007B35E0" w:rsidRDefault="0014507E">
            <w:pPr>
              <w:ind w:left="283" w:hanging="285"/>
              <w:rPr>
                <w:rFonts w:ascii="Arial" w:eastAsia="Arial" w:hAnsi="Arial" w:cs="Arial"/>
                <w:sz w:val="20"/>
                <w:szCs w:val="20"/>
              </w:rPr>
            </w:pPr>
            <w:r>
              <w:rPr>
                <w:rFonts w:ascii="Arial" w:eastAsia="Arial" w:hAnsi="Arial" w:cs="Arial"/>
                <w:sz w:val="20"/>
                <w:szCs w:val="20"/>
              </w:rPr>
              <w:t>Universidad Santo Tomás (2015) Plan Integral Multicampus.</w:t>
            </w:r>
          </w:p>
          <w:p w:rsidR="007B35E0" w:rsidRDefault="0014507E">
            <w:pPr>
              <w:ind w:left="283" w:hanging="285"/>
              <w:rPr>
                <w:rFonts w:ascii="Arial" w:eastAsia="Arial" w:hAnsi="Arial" w:cs="Arial"/>
                <w:sz w:val="20"/>
                <w:szCs w:val="20"/>
              </w:rPr>
            </w:pPr>
            <w:r>
              <w:rPr>
                <w:rFonts w:ascii="Arial" w:eastAsia="Arial" w:hAnsi="Arial" w:cs="Arial"/>
                <w:sz w:val="20"/>
                <w:szCs w:val="20"/>
              </w:rPr>
              <w:t xml:space="preserve">Valencia, León (et al.). (2017). Terminó la guerra, el postconflicto está en riesgo: a un año del acuerdo de paz. Buenos Aires: CLACSO; Bogotá: Fundación Paz y Reconciliación. </w:t>
            </w:r>
          </w:p>
          <w:p w:rsidR="007B35E0" w:rsidRDefault="0014507E">
            <w:pPr>
              <w:ind w:left="283" w:hanging="285"/>
              <w:rPr>
                <w:rFonts w:ascii="Arial" w:eastAsia="Arial" w:hAnsi="Arial" w:cs="Arial"/>
                <w:sz w:val="20"/>
                <w:szCs w:val="20"/>
              </w:rPr>
            </w:pPr>
            <w:r>
              <w:rPr>
                <w:rFonts w:ascii="Arial" w:eastAsia="Arial" w:hAnsi="Arial" w:cs="Arial"/>
                <w:sz w:val="20"/>
                <w:szCs w:val="20"/>
              </w:rPr>
              <w:t xml:space="preserve">Vargas, Alejo. (2015). Transición, democracia y paz. Bogotá: Universidad Nacional de Colombia. </w:t>
            </w:r>
          </w:p>
          <w:p w:rsidR="007B35E0" w:rsidRDefault="0014507E">
            <w:pPr>
              <w:ind w:left="283" w:hanging="285"/>
              <w:rPr>
                <w:rFonts w:ascii="Arial" w:eastAsia="Arial" w:hAnsi="Arial" w:cs="Arial"/>
                <w:sz w:val="20"/>
                <w:szCs w:val="20"/>
              </w:rPr>
            </w:pPr>
            <w:proofErr w:type="spellStart"/>
            <w:r>
              <w:rPr>
                <w:rFonts w:ascii="Arial" w:eastAsia="Arial" w:hAnsi="Arial" w:cs="Arial"/>
                <w:sz w:val="20"/>
                <w:szCs w:val="20"/>
              </w:rPr>
              <w:t>Vattimo</w:t>
            </w:r>
            <w:proofErr w:type="spellEnd"/>
            <w:r>
              <w:rPr>
                <w:rFonts w:ascii="Arial" w:eastAsia="Arial" w:hAnsi="Arial" w:cs="Arial"/>
                <w:sz w:val="20"/>
                <w:szCs w:val="20"/>
              </w:rPr>
              <w:t xml:space="preserve">, G. (2010). Adiós a la verdad. Editorial </w:t>
            </w:r>
            <w:proofErr w:type="spellStart"/>
            <w:r>
              <w:rPr>
                <w:rFonts w:ascii="Arial" w:eastAsia="Arial" w:hAnsi="Arial" w:cs="Arial"/>
                <w:sz w:val="20"/>
                <w:szCs w:val="20"/>
              </w:rPr>
              <w:t>Gedisa</w:t>
            </w:r>
            <w:proofErr w:type="spellEnd"/>
            <w:r>
              <w:rPr>
                <w:rFonts w:ascii="Arial" w:eastAsia="Arial" w:hAnsi="Arial" w:cs="Arial"/>
                <w:sz w:val="20"/>
                <w:szCs w:val="20"/>
              </w:rPr>
              <w:t>. Barcelona.</w:t>
            </w:r>
          </w:p>
          <w:p w:rsidR="007B35E0" w:rsidRDefault="0014507E">
            <w:pPr>
              <w:ind w:left="283" w:hanging="285"/>
              <w:rPr>
                <w:rFonts w:ascii="Arial" w:eastAsia="Arial" w:hAnsi="Arial" w:cs="Arial"/>
                <w:sz w:val="20"/>
                <w:szCs w:val="20"/>
              </w:rPr>
            </w:pPr>
            <w:r>
              <w:rPr>
                <w:rFonts w:ascii="Arial" w:eastAsia="Arial" w:hAnsi="Arial" w:cs="Arial"/>
                <w:sz w:val="20"/>
                <w:szCs w:val="20"/>
              </w:rPr>
              <w:t xml:space="preserve">Yepes, R. U., Marino, C. B., Restrepo, E., &amp; </w:t>
            </w:r>
            <w:proofErr w:type="spellStart"/>
            <w:r>
              <w:rPr>
                <w:rFonts w:ascii="Arial" w:eastAsia="Arial" w:hAnsi="Arial" w:cs="Arial"/>
                <w:sz w:val="20"/>
                <w:szCs w:val="20"/>
              </w:rPr>
              <w:t>Saffon</w:t>
            </w:r>
            <w:proofErr w:type="spellEnd"/>
            <w:r>
              <w:rPr>
                <w:rFonts w:ascii="Arial" w:eastAsia="Arial" w:hAnsi="Arial" w:cs="Arial"/>
                <w:sz w:val="20"/>
                <w:szCs w:val="20"/>
              </w:rPr>
              <w:t xml:space="preserve">, M. P. (2006). </w:t>
            </w:r>
            <w:proofErr w:type="gramStart"/>
            <w:r>
              <w:rPr>
                <w:rFonts w:ascii="Arial" w:eastAsia="Arial" w:hAnsi="Arial" w:cs="Arial"/>
                <w:sz w:val="20"/>
                <w:szCs w:val="20"/>
              </w:rPr>
              <w:t>¿ Justicia</w:t>
            </w:r>
            <w:proofErr w:type="gramEnd"/>
            <w:r>
              <w:rPr>
                <w:rFonts w:ascii="Arial" w:eastAsia="Arial" w:hAnsi="Arial" w:cs="Arial"/>
                <w:sz w:val="20"/>
                <w:szCs w:val="20"/>
              </w:rPr>
              <w:t xml:space="preserve"> transicional sin transición? Reflexiones sobre verdad, justicia y reparación en Colombia.</w:t>
            </w:r>
          </w:p>
          <w:p w:rsidR="007B35E0" w:rsidRDefault="0014507E">
            <w:pPr>
              <w:jc w:val="both"/>
              <w:rPr>
                <w:rFonts w:ascii="Arial" w:eastAsia="Arial" w:hAnsi="Arial" w:cs="Arial"/>
                <w:sz w:val="20"/>
                <w:szCs w:val="20"/>
              </w:rPr>
            </w:pPr>
            <w:proofErr w:type="spellStart"/>
            <w:r>
              <w:rPr>
                <w:rFonts w:ascii="Arial" w:eastAsia="Arial" w:hAnsi="Arial" w:cs="Arial"/>
                <w:sz w:val="20"/>
                <w:szCs w:val="20"/>
              </w:rPr>
              <w:t>Zyl</w:t>
            </w:r>
            <w:proofErr w:type="spellEnd"/>
            <w:r>
              <w:rPr>
                <w:rFonts w:ascii="Arial" w:eastAsia="Arial" w:hAnsi="Arial" w:cs="Arial"/>
                <w:sz w:val="20"/>
                <w:szCs w:val="20"/>
              </w:rPr>
              <w:t xml:space="preserve">, Paul van. (2011). Promoviendo la justicia en sociedades post conflicto. </w:t>
            </w:r>
            <w:r>
              <w:rPr>
                <w:rFonts w:ascii="Arial" w:eastAsia="Arial" w:hAnsi="Arial" w:cs="Arial"/>
                <w:i/>
                <w:sz w:val="20"/>
                <w:szCs w:val="20"/>
              </w:rPr>
              <w:t xml:space="preserve">Justicia Transicional. Manual para América Latina/ Editor Félix Reátegui. </w:t>
            </w:r>
            <w:r>
              <w:rPr>
                <w:rFonts w:ascii="Arial" w:eastAsia="Arial" w:hAnsi="Arial" w:cs="Arial"/>
                <w:sz w:val="20"/>
                <w:szCs w:val="20"/>
              </w:rPr>
              <w:t xml:space="preserve">– Brasilia: Comisión de Amnistía. Ministerio de Justicia; New York: Centro Internacional para la Justicia </w:t>
            </w:r>
            <w:proofErr w:type="spellStart"/>
            <w:r>
              <w:rPr>
                <w:rFonts w:ascii="Arial" w:eastAsia="Arial" w:hAnsi="Arial" w:cs="Arial"/>
                <w:sz w:val="20"/>
                <w:szCs w:val="20"/>
              </w:rPr>
              <w:t>TransicionaL</w:t>
            </w:r>
            <w:proofErr w:type="spellEnd"/>
            <w:r>
              <w:rPr>
                <w:rFonts w:ascii="Arial" w:eastAsia="Arial" w:hAnsi="Arial" w:cs="Arial"/>
                <w:sz w:val="20"/>
                <w:szCs w:val="20"/>
              </w:rPr>
              <w:t xml:space="preserve">, </w:t>
            </w:r>
            <w:r>
              <w:rPr>
                <w:rFonts w:ascii="Arial" w:eastAsia="Arial" w:hAnsi="Arial" w:cs="Arial"/>
                <w:i/>
                <w:sz w:val="20"/>
                <w:szCs w:val="20"/>
              </w:rPr>
              <w:t>p. 47</w:t>
            </w:r>
          </w:p>
        </w:tc>
      </w:tr>
    </w:tbl>
    <w:p w:rsidR="007B35E0" w:rsidRDefault="007B35E0">
      <w:pPr>
        <w:spacing w:after="0" w:line="240" w:lineRule="auto"/>
        <w:rPr>
          <w:rFonts w:ascii="Arial" w:eastAsia="Arial" w:hAnsi="Arial" w:cs="Arial"/>
          <w:sz w:val="20"/>
          <w:szCs w:val="20"/>
        </w:rPr>
      </w:pPr>
    </w:p>
    <w:tbl>
      <w:tblPr>
        <w:tblStyle w:val="afa"/>
        <w:tblW w:w="768" w:type="dxa"/>
        <w:tblInd w:w="8" w:type="dxa"/>
        <w:tblLayout w:type="fixed"/>
        <w:tblLook w:val="0400" w:firstRow="0" w:lastRow="0" w:firstColumn="0" w:lastColumn="0" w:noHBand="0" w:noVBand="1"/>
      </w:tblPr>
      <w:tblGrid>
        <w:gridCol w:w="768"/>
      </w:tblGrid>
      <w:tr w:rsidR="007B35E0">
        <w:tc>
          <w:tcPr>
            <w:tcW w:w="768" w:type="dxa"/>
            <w:tcMar>
              <w:top w:w="15" w:type="dxa"/>
              <w:left w:w="15" w:type="dxa"/>
              <w:bottom w:w="15" w:type="dxa"/>
              <w:right w:w="15" w:type="dxa"/>
            </w:tcMar>
            <w:vAlign w:val="center"/>
          </w:tcPr>
          <w:p w:rsidR="007B35E0" w:rsidRDefault="007B35E0">
            <w:pPr>
              <w:rPr>
                <w:rFonts w:ascii="Arial" w:eastAsia="Arial" w:hAnsi="Arial" w:cs="Arial"/>
                <w:sz w:val="20"/>
                <w:szCs w:val="20"/>
              </w:rPr>
            </w:pPr>
          </w:p>
        </w:tc>
      </w:tr>
    </w:tbl>
    <w:p w:rsidR="007B35E0" w:rsidRDefault="007B35E0" w:rsidP="00595F9F">
      <w:pPr>
        <w:spacing w:line="240" w:lineRule="auto"/>
        <w:rPr>
          <w:rFonts w:ascii="Arial" w:eastAsia="Arial" w:hAnsi="Arial" w:cs="Arial"/>
          <w:b/>
          <w:sz w:val="20"/>
          <w:szCs w:val="20"/>
        </w:rPr>
      </w:pPr>
    </w:p>
    <w:sectPr w:rsidR="007B35E0">
      <w:headerReference w:type="even" r:id="rId17"/>
      <w:headerReference w:type="default" r:id="rId18"/>
      <w:footerReference w:type="default" r:id="rId19"/>
      <w:headerReference w:type="first" r:id="rId20"/>
      <w:footerReference w:type="first" r:id="rId21"/>
      <w:pgSz w:w="15840" w:h="12240"/>
      <w:pgMar w:top="284" w:right="567" w:bottom="567" w:left="567"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EAE" w:rsidRDefault="00C21EAE">
      <w:pPr>
        <w:spacing w:after="0" w:line="240" w:lineRule="auto"/>
      </w:pPr>
      <w:r>
        <w:separator/>
      </w:r>
    </w:p>
  </w:endnote>
  <w:endnote w:type="continuationSeparator" w:id="0">
    <w:p w:rsidR="00C21EAE" w:rsidRDefault="00C21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FC7" w:rsidRDefault="00F45FC7">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FC7" w:rsidRDefault="00F45FC7">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simplePos x="0" y="0"/>
          <wp:positionH relativeFrom="column">
            <wp:posOffset>2040254</wp:posOffset>
          </wp:positionH>
          <wp:positionV relativeFrom="paragraph">
            <wp:posOffset>-216532</wp:posOffset>
          </wp:positionV>
          <wp:extent cx="5748834" cy="761478"/>
          <wp:effectExtent l="0" t="0" r="0" b="0"/>
          <wp:wrapNone/>
          <wp:docPr id="19" name="image2.jpg" descr="Comunicaciones:Comunicaciones USTA:3.Comunicaciones Institucionales:1. Comunicacion Interna:2018:Solicitudes:ST548-2018 Hoja Membrete Actualizada:Pieza:ST548–2018 Membrete 23 octubre-01.jpg"/>
          <wp:cNvGraphicFramePr/>
          <a:graphic xmlns:a="http://schemas.openxmlformats.org/drawingml/2006/main">
            <a:graphicData uri="http://schemas.openxmlformats.org/drawingml/2006/picture">
              <pic:pic xmlns:pic="http://schemas.openxmlformats.org/drawingml/2006/picture">
                <pic:nvPicPr>
                  <pic:cNvPr id="0" name="image2.jpg" descr="Comunicaciones:Comunicaciones USTA:3.Comunicaciones Institucionales:1. Comunicacion Interna:2018:Solicitudes:ST548-2018 Hoja Membrete Actualizada:Pieza:ST548–2018 Membrete 23 octubre-01.jpg"/>
                  <pic:cNvPicPr preferRelativeResize="0"/>
                </pic:nvPicPr>
                <pic:blipFill>
                  <a:blip r:embed="rId1"/>
                  <a:srcRect/>
                  <a:stretch>
                    <a:fillRect/>
                  </a:stretch>
                </pic:blipFill>
                <pic:spPr>
                  <a:xfrm>
                    <a:off x="0" y="0"/>
                    <a:ext cx="5748834" cy="761478"/>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EAE" w:rsidRDefault="00C21EAE">
      <w:pPr>
        <w:spacing w:after="0" w:line="240" w:lineRule="auto"/>
      </w:pPr>
      <w:r>
        <w:separator/>
      </w:r>
    </w:p>
  </w:footnote>
  <w:footnote w:type="continuationSeparator" w:id="0">
    <w:p w:rsidR="00C21EAE" w:rsidRDefault="00C21E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FC7" w:rsidRDefault="00F45FC7">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FC7" w:rsidRDefault="00F45FC7">
    <w:pPr>
      <w:pBdr>
        <w:top w:val="nil"/>
        <w:left w:val="nil"/>
        <w:bottom w:val="nil"/>
        <w:right w:val="nil"/>
        <w:between w:val="nil"/>
      </w:pBdr>
      <w:tabs>
        <w:tab w:val="center" w:pos="4419"/>
        <w:tab w:val="right" w:pos="8838"/>
      </w:tabs>
      <w:spacing w:after="0" w:line="240" w:lineRule="auto"/>
      <w:jc w:val="right"/>
      <w:rPr>
        <w:color w:val="000000"/>
        <w:sz w:val="14"/>
        <w:szCs w:val="14"/>
      </w:rPr>
    </w:pPr>
    <w:r>
      <w:rPr>
        <w:noProof/>
      </w:rPr>
      <w:drawing>
        <wp:anchor distT="0" distB="0" distL="114300" distR="114300" simplePos="0" relativeHeight="251658240" behindDoc="0" locked="0" layoutInCell="1" hidden="0" allowOverlap="1">
          <wp:simplePos x="0" y="0"/>
          <wp:positionH relativeFrom="column">
            <wp:posOffset>1860331</wp:posOffset>
          </wp:positionH>
          <wp:positionV relativeFrom="paragraph">
            <wp:posOffset>-456388</wp:posOffset>
          </wp:positionV>
          <wp:extent cx="5908040" cy="917196"/>
          <wp:effectExtent l="0" t="0" r="0" b="0"/>
          <wp:wrapNone/>
          <wp:docPr id="17" name="image1.png" descr="Macintosh HD:Users:angelicafernandasierrapolanco:Desktop:membrete4oct-02.png"/>
          <wp:cNvGraphicFramePr/>
          <a:graphic xmlns:a="http://schemas.openxmlformats.org/drawingml/2006/main">
            <a:graphicData uri="http://schemas.openxmlformats.org/drawingml/2006/picture">
              <pic:pic xmlns:pic="http://schemas.openxmlformats.org/drawingml/2006/picture">
                <pic:nvPicPr>
                  <pic:cNvPr id="0" name="image1.png" descr="Macintosh HD:Users:angelicafernandasierrapolanco:Desktop:membrete4oct-02.png"/>
                  <pic:cNvPicPr preferRelativeResize="0"/>
                </pic:nvPicPr>
                <pic:blipFill>
                  <a:blip r:embed="rId1"/>
                  <a:srcRect/>
                  <a:stretch>
                    <a:fillRect/>
                  </a:stretch>
                </pic:blipFill>
                <pic:spPr>
                  <a:xfrm>
                    <a:off x="0" y="0"/>
                    <a:ext cx="5908040" cy="917196"/>
                  </a:xfrm>
                  <a:prstGeom prst="rect">
                    <a:avLst/>
                  </a:prstGeom>
                  <a:ln/>
                </pic:spPr>
              </pic:pic>
            </a:graphicData>
          </a:graphic>
        </wp:anchor>
      </w:drawing>
    </w:r>
  </w:p>
  <w:p w:rsidR="00F45FC7" w:rsidRDefault="00F45FC7">
    <w:pPr>
      <w:pBdr>
        <w:top w:val="nil"/>
        <w:left w:val="nil"/>
        <w:bottom w:val="nil"/>
        <w:right w:val="nil"/>
        <w:between w:val="nil"/>
      </w:pBdr>
      <w:tabs>
        <w:tab w:val="center" w:pos="4419"/>
        <w:tab w:val="right" w:pos="8838"/>
      </w:tabs>
      <w:spacing w:after="0" w:line="240" w:lineRule="auto"/>
      <w:jc w:val="right"/>
      <w:rPr>
        <w:color w:val="000000"/>
        <w:sz w:val="14"/>
        <w:szCs w:val="14"/>
      </w:rPr>
    </w:pPr>
  </w:p>
  <w:p w:rsidR="00F45FC7" w:rsidRDefault="00F45FC7">
    <w:pPr>
      <w:pBdr>
        <w:top w:val="nil"/>
        <w:left w:val="nil"/>
        <w:bottom w:val="nil"/>
        <w:right w:val="nil"/>
        <w:between w:val="nil"/>
      </w:pBdr>
      <w:tabs>
        <w:tab w:val="center" w:pos="4419"/>
        <w:tab w:val="right" w:pos="8838"/>
      </w:tabs>
      <w:spacing w:after="0" w:line="240" w:lineRule="auto"/>
      <w:jc w:val="right"/>
      <w:rPr>
        <w:color w:val="000000"/>
        <w:sz w:val="14"/>
        <w:szCs w:val="14"/>
      </w:rPr>
    </w:pPr>
    <w:r>
      <w:rPr>
        <w:color w:val="000000"/>
        <w:sz w:val="14"/>
        <w:szCs w:val="14"/>
      </w:rPr>
      <w:t xml:space="preserve">Página </w:t>
    </w:r>
    <w:r>
      <w:rPr>
        <w:b/>
        <w:color w:val="000000"/>
        <w:sz w:val="14"/>
        <w:szCs w:val="14"/>
      </w:rPr>
      <w:fldChar w:fldCharType="begin"/>
    </w:r>
    <w:r>
      <w:rPr>
        <w:b/>
        <w:color w:val="000000"/>
        <w:sz w:val="14"/>
        <w:szCs w:val="14"/>
      </w:rPr>
      <w:instrText>PAGE</w:instrText>
    </w:r>
    <w:r>
      <w:rPr>
        <w:b/>
        <w:color w:val="000000"/>
        <w:sz w:val="14"/>
        <w:szCs w:val="14"/>
      </w:rPr>
      <w:fldChar w:fldCharType="separate"/>
    </w:r>
    <w:r w:rsidR="005D5379">
      <w:rPr>
        <w:b/>
        <w:noProof/>
        <w:color w:val="000000"/>
        <w:sz w:val="14"/>
        <w:szCs w:val="14"/>
      </w:rPr>
      <w:t>16</w:t>
    </w:r>
    <w:r>
      <w:rPr>
        <w:b/>
        <w:color w:val="000000"/>
        <w:sz w:val="14"/>
        <w:szCs w:val="14"/>
      </w:rPr>
      <w:fldChar w:fldCharType="end"/>
    </w:r>
    <w:r>
      <w:rPr>
        <w:color w:val="000000"/>
        <w:sz w:val="14"/>
        <w:szCs w:val="14"/>
      </w:rPr>
      <w:t xml:space="preserve"> de </w:t>
    </w:r>
    <w:r>
      <w:rPr>
        <w:b/>
        <w:color w:val="000000"/>
        <w:sz w:val="14"/>
        <w:szCs w:val="14"/>
      </w:rPr>
      <w:fldChar w:fldCharType="begin"/>
    </w:r>
    <w:r>
      <w:rPr>
        <w:b/>
        <w:color w:val="000000"/>
        <w:sz w:val="14"/>
        <w:szCs w:val="14"/>
      </w:rPr>
      <w:instrText>NUMPAGES</w:instrText>
    </w:r>
    <w:r>
      <w:rPr>
        <w:b/>
        <w:color w:val="000000"/>
        <w:sz w:val="14"/>
        <w:szCs w:val="14"/>
      </w:rPr>
      <w:fldChar w:fldCharType="separate"/>
    </w:r>
    <w:r w:rsidR="005D5379">
      <w:rPr>
        <w:b/>
        <w:noProof/>
        <w:color w:val="000000"/>
        <w:sz w:val="14"/>
        <w:szCs w:val="14"/>
      </w:rPr>
      <w:t>16</w:t>
    </w:r>
    <w:r>
      <w:rPr>
        <w:b/>
        <w:color w:val="000000"/>
        <w:sz w:val="14"/>
        <w:szCs w:val="1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FC7" w:rsidRDefault="00F45FC7">
    <w:pPr>
      <w:spacing w:after="0" w:line="240" w:lineRule="auto"/>
      <w:jc w:val="center"/>
    </w:pPr>
    <w:r>
      <w:rPr>
        <w:noProof/>
      </w:rPr>
      <w:drawing>
        <wp:anchor distT="0" distB="0" distL="114300" distR="114300" simplePos="0" relativeHeight="251659264" behindDoc="0" locked="0" layoutInCell="1" hidden="0" allowOverlap="1">
          <wp:simplePos x="0" y="0"/>
          <wp:positionH relativeFrom="column">
            <wp:posOffset>1792604</wp:posOffset>
          </wp:positionH>
          <wp:positionV relativeFrom="paragraph">
            <wp:posOffset>-450213</wp:posOffset>
          </wp:positionV>
          <wp:extent cx="5908040" cy="917196"/>
          <wp:effectExtent l="0" t="0" r="0" b="0"/>
          <wp:wrapNone/>
          <wp:docPr id="18" name="image1.png" descr="Macintosh HD:Users:angelicafernandasierrapolanco:Desktop:membrete4oct-02.png"/>
          <wp:cNvGraphicFramePr/>
          <a:graphic xmlns:a="http://schemas.openxmlformats.org/drawingml/2006/main">
            <a:graphicData uri="http://schemas.openxmlformats.org/drawingml/2006/picture">
              <pic:pic xmlns:pic="http://schemas.openxmlformats.org/drawingml/2006/picture">
                <pic:nvPicPr>
                  <pic:cNvPr id="0" name="image1.png" descr="Macintosh HD:Users:angelicafernandasierrapolanco:Desktop:membrete4oct-02.png"/>
                  <pic:cNvPicPr preferRelativeResize="0"/>
                </pic:nvPicPr>
                <pic:blipFill>
                  <a:blip r:embed="rId1"/>
                  <a:srcRect/>
                  <a:stretch>
                    <a:fillRect/>
                  </a:stretch>
                </pic:blipFill>
                <pic:spPr>
                  <a:xfrm>
                    <a:off x="0" y="0"/>
                    <a:ext cx="5908040" cy="917196"/>
                  </a:xfrm>
                  <a:prstGeom prst="rect">
                    <a:avLst/>
                  </a:prstGeom>
                  <a:ln/>
                </pic:spPr>
              </pic:pic>
            </a:graphicData>
          </a:graphic>
        </wp:anchor>
      </w:drawing>
    </w:r>
  </w:p>
  <w:p w:rsidR="00F45FC7" w:rsidRDefault="00F45FC7">
    <w:pPr>
      <w:pBdr>
        <w:top w:val="nil"/>
        <w:left w:val="nil"/>
        <w:bottom w:val="nil"/>
        <w:right w:val="nil"/>
        <w:between w:val="nil"/>
      </w:pBdr>
      <w:tabs>
        <w:tab w:val="center" w:pos="4419"/>
        <w:tab w:val="right" w:pos="8838"/>
      </w:tabs>
      <w:spacing w:after="0" w:line="240" w:lineRule="auto"/>
      <w:jc w:val="right"/>
      <w:rPr>
        <w:b/>
        <w:color w:val="000000"/>
      </w:rPr>
    </w:pPr>
    <w:r>
      <w:rPr>
        <w:color w:val="000000"/>
        <w:sz w:val="14"/>
        <w:szCs w:val="14"/>
      </w:rPr>
      <w:t xml:space="preserve">Página </w:t>
    </w:r>
    <w:r>
      <w:rPr>
        <w:b/>
        <w:color w:val="000000"/>
        <w:sz w:val="14"/>
        <w:szCs w:val="14"/>
      </w:rPr>
      <w:fldChar w:fldCharType="begin"/>
    </w:r>
    <w:r>
      <w:rPr>
        <w:b/>
        <w:color w:val="000000"/>
        <w:sz w:val="14"/>
        <w:szCs w:val="14"/>
      </w:rPr>
      <w:instrText>PAGE</w:instrText>
    </w:r>
    <w:r>
      <w:rPr>
        <w:b/>
        <w:color w:val="000000"/>
        <w:sz w:val="14"/>
        <w:szCs w:val="14"/>
      </w:rPr>
      <w:fldChar w:fldCharType="separate"/>
    </w:r>
    <w:r w:rsidR="005D5379">
      <w:rPr>
        <w:b/>
        <w:noProof/>
        <w:color w:val="000000"/>
        <w:sz w:val="14"/>
        <w:szCs w:val="14"/>
      </w:rPr>
      <w:t>1</w:t>
    </w:r>
    <w:r>
      <w:rPr>
        <w:b/>
        <w:color w:val="000000"/>
        <w:sz w:val="14"/>
        <w:szCs w:val="14"/>
      </w:rPr>
      <w:fldChar w:fldCharType="end"/>
    </w:r>
    <w:r>
      <w:rPr>
        <w:color w:val="000000"/>
        <w:sz w:val="14"/>
        <w:szCs w:val="14"/>
      </w:rPr>
      <w:t xml:space="preserve"> de </w:t>
    </w:r>
    <w:r>
      <w:rPr>
        <w:b/>
        <w:color w:val="000000"/>
        <w:sz w:val="14"/>
        <w:szCs w:val="14"/>
      </w:rPr>
      <w:fldChar w:fldCharType="begin"/>
    </w:r>
    <w:r>
      <w:rPr>
        <w:b/>
        <w:color w:val="000000"/>
        <w:sz w:val="14"/>
        <w:szCs w:val="14"/>
      </w:rPr>
      <w:instrText>NUMPAGES</w:instrText>
    </w:r>
    <w:r>
      <w:rPr>
        <w:b/>
        <w:color w:val="000000"/>
        <w:sz w:val="14"/>
        <w:szCs w:val="14"/>
      </w:rPr>
      <w:fldChar w:fldCharType="separate"/>
    </w:r>
    <w:r w:rsidR="005D5379">
      <w:rPr>
        <w:b/>
        <w:noProof/>
        <w:color w:val="000000"/>
        <w:sz w:val="14"/>
        <w:szCs w:val="14"/>
      </w:rPr>
      <w:t>16</w:t>
    </w:r>
    <w:r>
      <w:rPr>
        <w:b/>
        <w:color w:val="000000"/>
        <w:sz w:val="14"/>
        <w:szCs w:val="14"/>
      </w:rPr>
      <w:fldChar w:fldCharType="end"/>
    </w:r>
  </w:p>
  <w:p w:rsidR="00F45FC7" w:rsidRDefault="00F45FC7">
    <w:pPr>
      <w:pBdr>
        <w:top w:val="nil"/>
        <w:left w:val="nil"/>
        <w:bottom w:val="nil"/>
        <w:right w:val="nil"/>
        <w:between w:val="nil"/>
      </w:pBdr>
      <w:tabs>
        <w:tab w:val="center" w:pos="4419"/>
        <w:tab w:val="right" w:pos="8838"/>
      </w:tabs>
      <w:spacing w:after="0" w:line="240" w:lineRule="auto"/>
      <w:jc w:val="right"/>
      <w:rPr>
        <w:color w:val="000000"/>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C06C1"/>
    <w:multiLevelType w:val="multilevel"/>
    <w:tmpl w:val="90E638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F37077"/>
    <w:multiLevelType w:val="multilevel"/>
    <w:tmpl w:val="BB7E53D6"/>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5E0"/>
    <w:rsid w:val="00121816"/>
    <w:rsid w:val="0014507E"/>
    <w:rsid w:val="003D5582"/>
    <w:rsid w:val="005801EC"/>
    <w:rsid w:val="00595F9F"/>
    <w:rsid w:val="005D5379"/>
    <w:rsid w:val="00644CC7"/>
    <w:rsid w:val="007B35E0"/>
    <w:rsid w:val="008A5D24"/>
    <w:rsid w:val="00935D45"/>
    <w:rsid w:val="00B158DB"/>
    <w:rsid w:val="00C21EAE"/>
    <w:rsid w:val="00F17D61"/>
    <w:rsid w:val="00F45F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AD6876-8A8E-4A50-88E1-403D3131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434"/>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F14D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14D0D"/>
  </w:style>
  <w:style w:type="paragraph" w:styleId="Piedepgina">
    <w:name w:val="footer"/>
    <w:basedOn w:val="Normal"/>
    <w:link w:val="PiedepginaCar"/>
    <w:uiPriority w:val="99"/>
    <w:unhideWhenUsed/>
    <w:rsid w:val="00F14D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14D0D"/>
  </w:style>
  <w:style w:type="table" w:styleId="Tablaconcuadrcula">
    <w:name w:val="Table Grid"/>
    <w:basedOn w:val="Tablanormal"/>
    <w:uiPriority w:val="39"/>
    <w:rsid w:val="009D2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7434"/>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06111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1113"/>
    <w:rPr>
      <w:rFonts w:ascii="Segoe UI" w:hAnsi="Segoe UI" w:cs="Segoe UI"/>
      <w:sz w:val="18"/>
      <w:szCs w:val="18"/>
    </w:rPr>
  </w:style>
  <w:style w:type="paragraph" w:styleId="Sinespaciado">
    <w:name w:val="No Spacing"/>
    <w:qFormat/>
    <w:rsid w:val="00061113"/>
    <w:pPr>
      <w:spacing w:after="0" w:line="240" w:lineRule="auto"/>
    </w:pPr>
    <w:rPr>
      <w:rFonts w:cs="Times New Roman"/>
      <w:lang w:val="es-ES"/>
    </w:rPr>
  </w:style>
  <w:style w:type="character" w:customStyle="1" w:styleId="5yl5">
    <w:name w:val="_5yl5"/>
    <w:rsid w:val="00061113"/>
  </w:style>
  <w:style w:type="character" w:styleId="Refdecomentario">
    <w:name w:val="annotation reference"/>
    <w:basedOn w:val="Fuentedeprrafopredeter"/>
    <w:uiPriority w:val="99"/>
    <w:semiHidden/>
    <w:unhideWhenUsed/>
    <w:rsid w:val="007002B4"/>
    <w:rPr>
      <w:sz w:val="16"/>
      <w:szCs w:val="16"/>
    </w:rPr>
  </w:style>
  <w:style w:type="paragraph" w:styleId="Textocomentario">
    <w:name w:val="annotation text"/>
    <w:basedOn w:val="Normal"/>
    <w:link w:val="TextocomentarioCar"/>
    <w:uiPriority w:val="99"/>
    <w:semiHidden/>
    <w:unhideWhenUsed/>
    <w:rsid w:val="007002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002B4"/>
    <w:rPr>
      <w:sz w:val="20"/>
      <w:szCs w:val="20"/>
    </w:rPr>
  </w:style>
  <w:style w:type="character" w:styleId="Hipervnculo">
    <w:name w:val="Hyperlink"/>
    <w:basedOn w:val="Fuentedeprrafopredeter"/>
    <w:uiPriority w:val="99"/>
    <w:unhideWhenUsed/>
    <w:rsid w:val="007002B4"/>
    <w:rPr>
      <w:color w:val="0563C1"/>
      <w:u w:val="single"/>
    </w:rPr>
  </w:style>
  <w:style w:type="paragraph" w:styleId="NormalWeb">
    <w:name w:val="Normal (Web)"/>
    <w:basedOn w:val="Normal"/>
    <w:uiPriority w:val="99"/>
    <w:semiHidden/>
    <w:unhideWhenUsed/>
    <w:rsid w:val="00515B61"/>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3A22B3"/>
    <w:pPr>
      <w:ind w:left="720"/>
      <w:contextualSpacing/>
    </w:pPr>
  </w:style>
  <w:style w:type="character" w:styleId="Textoennegrita">
    <w:name w:val="Strong"/>
    <w:basedOn w:val="Fuentedeprrafopredeter"/>
    <w:uiPriority w:val="22"/>
    <w:qFormat/>
    <w:rsid w:val="00A34F4E"/>
    <w:rPr>
      <w:b/>
      <w:bCs/>
    </w:rPr>
  </w:style>
  <w:style w:type="paragraph" w:styleId="Textonotapie">
    <w:name w:val="footnote text"/>
    <w:basedOn w:val="Normal"/>
    <w:link w:val="TextonotapieCar"/>
    <w:uiPriority w:val="99"/>
    <w:semiHidden/>
    <w:unhideWhenUsed/>
    <w:rsid w:val="00B66D7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66D74"/>
    <w:rPr>
      <w:sz w:val="20"/>
      <w:szCs w:val="20"/>
    </w:rPr>
  </w:style>
  <w:style w:type="character" w:styleId="Refdenotaalpie">
    <w:name w:val="footnote reference"/>
    <w:basedOn w:val="Fuentedeprrafopredeter"/>
    <w:uiPriority w:val="99"/>
    <w:semiHidden/>
    <w:unhideWhenUsed/>
    <w:rsid w:val="00B66D74"/>
    <w:rPr>
      <w:vertAlign w:val="superscri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a">
    <w:basedOn w:val="TableNormal0"/>
    <w:pPr>
      <w:spacing w:after="0" w:line="240" w:lineRule="auto"/>
    </w:pPr>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e">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0">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1">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2">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3">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4">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5">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6">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7">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8">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9">
    <w:basedOn w:val="TableNormal0"/>
    <w:pPr>
      <w:spacing w:after="0" w:line="240" w:lineRule="auto"/>
    </w:pPr>
    <w:tblPr>
      <w:tblStyleRowBandSize w:val="1"/>
      <w:tblStyleColBandSize w:val="1"/>
      <w:tblCellMar>
        <w:left w:w="115" w:type="dxa"/>
        <w:right w:w="115" w:type="dxa"/>
      </w:tblCellMar>
    </w:tblPr>
    <w:tcPr>
      <w:shd w:val="clear" w:color="auto" w:fill="FFFFFF"/>
    </w:tcPr>
  </w:style>
  <w:style w:type="table" w:customStyle="1" w:styleId="afa">
    <w:basedOn w:val="TableNormal0"/>
    <w:pPr>
      <w:spacing w:after="0" w:line="240" w:lineRule="auto"/>
    </w:pPr>
    <w:tblPr>
      <w:tblStyleRowBandSize w:val="1"/>
      <w:tblStyleColBandSize w:val="1"/>
      <w:tblCellMar>
        <w:left w:w="115" w:type="dxa"/>
        <w:right w:w="115"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cienti.colciencias.gov.co:8081/cvlac/visualizador/generarCurriculoCv.do" TargetMode="External"/><Relationship Id="rId13" Type="http://schemas.openxmlformats.org/officeDocument/2006/relationships/hyperlink" Target="https://scienti.colciencias.gov.co/cvlac/visualizador/generarCurriculoCv.do?cod_rh=0000151229"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orcid.org/0000-0002-6277-245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omisiondelaverdad.co/images/documentos/plan-accion-2019.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enti.colciencias.gov.co:8081/cvlac/visualizador/generarCurriculoCv.do?cod_rh=0001091913" TargetMode="External"/><Relationship Id="rId5" Type="http://schemas.openxmlformats.org/officeDocument/2006/relationships/webSettings" Target="webSettings.xml"/><Relationship Id="rId15" Type="http://schemas.openxmlformats.org/officeDocument/2006/relationships/hyperlink" Target="https://scholar.google.es/citations?user=lJnRfNgAAAAJ&amp;hl=es" TargetMode="External"/><Relationship Id="rId23" Type="http://schemas.openxmlformats.org/officeDocument/2006/relationships/theme" Target="theme/theme1.xml"/><Relationship Id="rId10" Type="http://schemas.openxmlformats.org/officeDocument/2006/relationships/hyperlink" Target="https://scholar.google.com/citations?user=pxY-IcUAAAAJ&amp;hl=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cienti.colciencias.gov.co/cvlac/visualizador/generarCurriculoCv.do?cod_rh=0001684818" TargetMode="External"/><Relationship Id="rId14" Type="http://schemas.openxmlformats.org/officeDocument/2006/relationships/hyperlink" Target="https://orcid.org/0000-0001-7786-6804"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6D0bmgZLen8cAdCy09g52MgxgQ==">AMUW2mXZyLq4Dv+uy5h+MQiAwS8ol/JTT/b+bIuQVFzLQU5Yzhx5e/u4FZJpdC4GZI71iHs7pNddMv3RndhHsFnG2wzxLm2DhZMNHKz4hE/OjkBDq/HrqaV9e4jV20IqPMu2uYiiQxUS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16</Pages>
  <Words>10718</Words>
  <Characters>58953</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Docentes Unidad de Investigación</dc:creator>
  <cp:lastModifiedBy>Sala Docentes Humanidades</cp:lastModifiedBy>
  <cp:revision>5</cp:revision>
  <dcterms:created xsi:type="dcterms:W3CDTF">2019-08-09T20:08:00Z</dcterms:created>
  <dcterms:modified xsi:type="dcterms:W3CDTF">2019-08-09T21:00:00Z</dcterms:modified>
</cp:coreProperties>
</file>