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58C8BD78" w:rsidR="00BE1A9D" w:rsidRPr="006F454F" w:rsidRDefault="006F454F" w:rsidP="00CD2013">
      <w:pPr>
        <w:spacing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Equipo </w:t>
      </w:r>
      <w:proofErr w:type="spellStart"/>
      <w:r>
        <w:rPr>
          <w:rFonts w:ascii="Times New Roman" w:hAnsi="Times New Roman" w:cs="Times New Roman"/>
          <w:b/>
          <w:sz w:val="24"/>
          <w:szCs w:val="24"/>
        </w:rPr>
        <w:t>N°</w:t>
      </w:r>
      <w:proofErr w:type="spellEnd"/>
      <w:r>
        <w:rPr>
          <w:rFonts w:ascii="Times New Roman" w:hAnsi="Times New Roman" w:cs="Times New Roman"/>
          <w:b/>
          <w:sz w:val="24"/>
          <w:szCs w:val="24"/>
        </w:rPr>
        <w:t xml:space="preserve"> </w:t>
      </w:r>
      <w:r w:rsidR="00CD2013" w:rsidRPr="006F454F">
        <w:rPr>
          <w:rFonts w:ascii="Times New Roman" w:hAnsi="Times New Roman" w:cs="Times New Roman"/>
          <w:b/>
          <w:sz w:val="24"/>
          <w:szCs w:val="24"/>
        </w:rPr>
        <w:t>325</w:t>
      </w:r>
    </w:p>
    <w:p w14:paraId="00000002" w14:textId="77777777" w:rsidR="00BE1A9D" w:rsidRPr="006F454F" w:rsidRDefault="00BE1A9D" w:rsidP="00CD2013">
      <w:pPr>
        <w:spacing w:line="360" w:lineRule="auto"/>
        <w:rPr>
          <w:rFonts w:ascii="Times New Roman" w:hAnsi="Times New Roman" w:cs="Times New Roman"/>
          <w:b/>
          <w:sz w:val="24"/>
          <w:szCs w:val="24"/>
        </w:rPr>
      </w:pPr>
    </w:p>
    <w:p w14:paraId="6CF92137" w14:textId="77777777" w:rsidR="006F454F" w:rsidRPr="006F454F" w:rsidRDefault="00F86333" w:rsidP="00CD2013">
      <w:pPr>
        <w:spacing w:line="360" w:lineRule="auto"/>
        <w:jc w:val="center"/>
        <w:rPr>
          <w:rFonts w:ascii="Times New Roman" w:hAnsi="Times New Roman" w:cs="Times New Roman"/>
          <w:b/>
          <w:i/>
          <w:sz w:val="24"/>
          <w:szCs w:val="24"/>
        </w:rPr>
      </w:pPr>
      <w:r w:rsidRPr="006F454F">
        <w:rPr>
          <w:rFonts w:ascii="Times New Roman" w:hAnsi="Times New Roman" w:cs="Times New Roman"/>
          <w:b/>
          <w:sz w:val="24"/>
          <w:szCs w:val="24"/>
        </w:rPr>
        <w:br/>
      </w:r>
      <w:r w:rsidRPr="006F454F">
        <w:rPr>
          <w:rFonts w:ascii="Times New Roman" w:hAnsi="Times New Roman" w:cs="Times New Roman"/>
          <w:b/>
          <w:i/>
          <w:sz w:val="24"/>
          <w:szCs w:val="24"/>
        </w:rPr>
        <w:t xml:space="preserve">ANTE LA </w:t>
      </w:r>
    </w:p>
    <w:p w14:paraId="00000003" w14:textId="2C7C38B6"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CORTE INTERAMERICANA DE DERECHOS HUMANOS</w:t>
      </w:r>
    </w:p>
    <w:p w14:paraId="00000004"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05"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06"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07"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08"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09" w14:textId="77777777" w:rsidR="00BE1A9D" w:rsidRPr="006F454F" w:rsidRDefault="00BE1A9D" w:rsidP="00CD2013">
      <w:pPr>
        <w:spacing w:line="360" w:lineRule="auto"/>
        <w:jc w:val="center"/>
        <w:rPr>
          <w:rFonts w:ascii="Times New Roman" w:hAnsi="Times New Roman" w:cs="Times New Roman"/>
          <w:b/>
          <w:sz w:val="24"/>
          <w:szCs w:val="24"/>
        </w:rPr>
      </w:pPr>
    </w:p>
    <w:p w14:paraId="0000000A" w14:textId="77777777" w:rsidR="00BE1A9D" w:rsidRPr="006F454F" w:rsidRDefault="00BE1A9D" w:rsidP="00CD2013">
      <w:pPr>
        <w:spacing w:line="360" w:lineRule="auto"/>
        <w:jc w:val="center"/>
        <w:rPr>
          <w:rFonts w:ascii="Times New Roman" w:hAnsi="Times New Roman" w:cs="Times New Roman"/>
          <w:b/>
          <w:sz w:val="24"/>
          <w:szCs w:val="24"/>
        </w:rPr>
      </w:pPr>
    </w:p>
    <w:p w14:paraId="0000000B" w14:textId="77777777" w:rsidR="00BE1A9D" w:rsidRPr="006F454F" w:rsidRDefault="00BE1A9D" w:rsidP="00CD2013">
      <w:pPr>
        <w:spacing w:line="360" w:lineRule="auto"/>
        <w:jc w:val="center"/>
        <w:rPr>
          <w:rFonts w:ascii="Times New Roman" w:hAnsi="Times New Roman" w:cs="Times New Roman"/>
          <w:b/>
          <w:sz w:val="24"/>
          <w:szCs w:val="24"/>
        </w:rPr>
      </w:pPr>
    </w:p>
    <w:p w14:paraId="3B045C8F" w14:textId="77777777" w:rsidR="006F454F" w:rsidRPr="006F454F" w:rsidRDefault="00F86333" w:rsidP="00CD2013">
      <w:pPr>
        <w:spacing w:line="360" w:lineRule="auto"/>
        <w:jc w:val="center"/>
        <w:rPr>
          <w:rFonts w:ascii="Times New Roman" w:hAnsi="Times New Roman" w:cs="Times New Roman"/>
          <w:b/>
          <w:sz w:val="24"/>
          <w:szCs w:val="24"/>
          <w:u w:val="single"/>
        </w:rPr>
      </w:pPr>
      <w:r w:rsidRPr="006F454F">
        <w:rPr>
          <w:rFonts w:ascii="Times New Roman" w:hAnsi="Times New Roman" w:cs="Times New Roman"/>
          <w:b/>
          <w:sz w:val="24"/>
          <w:szCs w:val="24"/>
          <w:u w:val="single"/>
        </w:rPr>
        <w:t xml:space="preserve">CASO </w:t>
      </w:r>
    </w:p>
    <w:p w14:paraId="0000000C" w14:textId="79214B8A" w:rsidR="00BE1A9D" w:rsidRPr="006F454F" w:rsidRDefault="007703F4" w:rsidP="00CD201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EVARISTA CRISTÓBAL</w:t>
      </w:r>
      <w:r w:rsidR="00F86333" w:rsidRPr="006F454F">
        <w:rPr>
          <w:rFonts w:ascii="Times New Roman" w:hAnsi="Times New Roman" w:cs="Times New Roman"/>
          <w:b/>
          <w:sz w:val="24"/>
          <w:szCs w:val="24"/>
        </w:rPr>
        <w:t xml:space="preserve"> Y MARITZA GUERRA </w:t>
      </w:r>
      <w:r w:rsidR="00F86333" w:rsidRPr="006F454F">
        <w:rPr>
          <w:rFonts w:ascii="Times New Roman" w:hAnsi="Times New Roman" w:cs="Times New Roman"/>
          <w:b/>
          <w:sz w:val="24"/>
          <w:szCs w:val="24"/>
        </w:rPr>
        <w:br/>
        <w:t xml:space="preserve">VS </w:t>
      </w:r>
      <w:r w:rsidR="00F86333" w:rsidRPr="006F454F">
        <w:rPr>
          <w:rFonts w:ascii="Times New Roman" w:hAnsi="Times New Roman" w:cs="Times New Roman"/>
          <w:b/>
          <w:sz w:val="24"/>
          <w:szCs w:val="24"/>
        </w:rPr>
        <w:br/>
        <w:t>REPÚBLICA DE TRIBUTARIA.</w:t>
      </w:r>
    </w:p>
    <w:p w14:paraId="00000014" w14:textId="67B271A8" w:rsidR="00BE1A9D" w:rsidRPr="006F454F" w:rsidRDefault="00BE1A9D" w:rsidP="00CD2013">
      <w:pPr>
        <w:spacing w:line="360" w:lineRule="auto"/>
        <w:jc w:val="center"/>
        <w:rPr>
          <w:rFonts w:ascii="Times New Roman" w:hAnsi="Times New Roman" w:cs="Times New Roman"/>
          <w:b/>
          <w:sz w:val="24"/>
          <w:szCs w:val="24"/>
        </w:rPr>
      </w:pPr>
    </w:p>
    <w:p w14:paraId="00000015" w14:textId="77777777" w:rsidR="00BE1A9D" w:rsidRPr="006F454F" w:rsidRDefault="00BE1A9D" w:rsidP="00CD2013">
      <w:pPr>
        <w:spacing w:line="360" w:lineRule="auto"/>
        <w:jc w:val="center"/>
        <w:rPr>
          <w:rFonts w:ascii="Times New Roman" w:hAnsi="Times New Roman" w:cs="Times New Roman"/>
          <w:b/>
          <w:sz w:val="24"/>
          <w:szCs w:val="24"/>
        </w:rPr>
      </w:pPr>
    </w:p>
    <w:p w14:paraId="00000016" w14:textId="77777777" w:rsidR="00BE1A9D" w:rsidRPr="006F454F" w:rsidRDefault="00BE1A9D" w:rsidP="00CD2013">
      <w:pPr>
        <w:spacing w:line="360" w:lineRule="auto"/>
        <w:jc w:val="center"/>
        <w:rPr>
          <w:rFonts w:ascii="Times New Roman" w:hAnsi="Times New Roman" w:cs="Times New Roman"/>
          <w:b/>
          <w:sz w:val="24"/>
          <w:szCs w:val="24"/>
        </w:rPr>
      </w:pPr>
    </w:p>
    <w:p w14:paraId="00000017" w14:textId="77777777" w:rsidR="00BE1A9D" w:rsidRPr="006F454F" w:rsidRDefault="00BE1A9D" w:rsidP="00CD2013">
      <w:pPr>
        <w:spacing w:line="360" w:lineRule="auto"/>
        <w:jc w:val="center"/>
        <w:rPr>
          <w:rFonts w:ascii="Times New Roman" w:hAnsi="Times New Roman" w:cs="Times New Roman"/>
          <w:b/>
          <w:sz w:val="24"/>
          <w:szCs w:val="24"/>
        </w:rPr>
      </w:pPr>
    </w:p>
    <w:p w14:paraId="00000018"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00000019"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ESCRITO AUTÓNOMO DE SOLICITUDES, ARGUMENTOS Y PRUEBAS PRESENTADO POR:</w:t>
      </w:r>
    </w:p>
    <w:p w14:paraId="0000001A" w14:textId="77777777" w:rsidR="00BE1A9D"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 xml:space="preserve"> </w:t>
      </w:r>
    </w:p>
    <w:p w14:paraId="416CA7F1" w14:textId="77777777" w:rsidR="006F454F" w:rsidRPr="006F454F" w:rsidRDefault="006F454F" w:rsidP="00CD2013">
      <w:pPr>
        <w:spacing w:line="360" w:lineRule="auto"/>
        <w:jc w:val="center"/>
        <w:rPr>
          <w:rFonts w:ascii="Times New Roman" w:hAnsi="Times New Roman" w:cs="Times New Roman"/>
          <w:b/>
          <w:sz w:val="24"/>
          <w:szCs w:val="24"/>
        </w:rPr>
      </w:pPr>
    </w:p>
    <w:p w14:paraId="0000001B" w14:textId="77777777" w:rsidR="00BE1A9D" w:rsidRPr="006F454F" w:rsidRDefault="00F8633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REPRESENTANTES DE LAS VÍCTIMAS.</w:t>
      </w:r>
    </w:p>
    <w:p w14:paraId="1558B8F4" w14:textId="77777777" w:rsidR="00CD2013" w:rsidRDefault="00CD2013" w:rsidP="00CD2013">
      <w:pPr>
        <w:spacing w:line="360" w:lineRule="auto"/>
        <w:jc w:val="center"/>
        <w:rPr>
          <w:rFonts w:ascii="Times New Roman" w:hAnsi="Times New Roman" w:cs="Times New Roman"/>
          <w:b/>
          <w:sz w:val="24"/>
          <w:szCs w:val="24"/>
        </w:rPr>
      </w:pPr>
    </w:p>
    <w:p w14:paraId="007393C8" w14:textId="77777777" w:rsidR="006F454F" w:rsidRPr="006F454F" w:rsidRDefault="006F454F" w:rsidP="00CD2013">
      <w:pPr>
        <w:spacing w:line="360" w:lineRule="auto"/>
        <w:jc w:val="center"/>
        <w:rPr>
          <w:rFonts w:ascii="Times New Roman" w:hAnsi="Times New Roman" w:cs="Times New Roman"/>
          <w:b/>
          <w:sz w:val="24"/>
          <w:szCs w:val="24"/>
        </w:rPr>
      </w:pPr>
    </w:p>
    <w:p w14:paraId="07BC1EE4" w14:textId="56F9D7C9" w:rsidR="00CD2013" w:rsidRPr="006F454F" w:rsidRDefault="00CD2013" w:rsidP="00CD2013">
      <w:pPr>
        <w:spacing w:line="360" w:lineRule="auto"/>
        <w:jc w:val="center"/>
        <w:rPr>
          <w:rFonts w:ascii="Times New Roman" w:hAnsi="Times New Roman" w:cs="Times New Roman"/>
          <w:b/>
          <w:sz w:val="24"/>
          <w:szCs w:val="24"/>
        </w:rPr>
      </w:pPr>
      <w:r w:rsidRPr="006F454F">
        <w:rPr>
          <w:rFonts w:ascii="Times New Roman" w:hAnsi="Times New Roman" w:cs="Times New Roman"/>
          <w:b/>
          <w:sz w:val="24"/>
          <w:szCs w:val="24"/>
        </w:rPr>
        <w:t>2019</w:t>
      </w:r>
    </w:p>
    <w:p w14:paraId="0000001C" w14:textId="77777777" w:rsidR="00BE1A9D" w:rsidRPr="006F454F" w:rsidRDefault="00BE1A9D" w:rsidP="00CD2013">
      <w:pPr>
        <w:spacing w:line="360" w:lineRule="auto"/>
        <w:rPr>
          <w:rFonts w:ascii="Times New Roman" w:hAnsi="Times New Roman" w:cs="Times New Roman"/>
          <w:b/>
          <w:sz w:val="24"/>
          <w:szCs w:val="24"/>
        </w:rPr>
      </w:pPr>
    </w:p>
    <w:p w14:paraId="0000001D" w14:textId="77777777" w:rsidR="00BE1A9D" w:rsidRPr="00CD2013" w:rsidRDefault="00BE1A9D" w:rsidP="00CD2013">
      <w:pPr>
        <w:spacing w:line="360" w:lineRule="auto"/>
        <w:rPr>
          <w:rFonts w:ascii="Times New Roman" w:hAnsi="Times New Roman" w:cs="Times New Roman"/>
          <w:sz w:val="24"/>
          <w:szCs w:val="24"/>
        </w:rPr>
      </w:pPr>
    </w:p>
    <w:p w14:paraId="0000001E" w14:textId="77777777" w:rsidR="00BE1A9D" w:rsidRPr="00CD2013" w:rsidRDefault="00BE1A9D" w:rsidP="00CD2013">
      <w:pPr>
        <w:spacing w:line="360" w:lineRule="auto"/>
        <w:rPr>
          <w:rFonts w:ascii="Times New Roman" w:hAnsi="Times New Roman" w:cs="Times New Roman"/>
          <w:sz w:val="24"/>
          <w:szCs w:val="24"/>
        </w:rPr>
      </w:pPr>
    </w:p>
    <w:p w14:paraId="43BF1A17" w14:textId="77777777" w:rsidR="00CD2013" w:rsidRDefault="00CD2013" w:rsidP="00CD2013">
      <w:pPr>
        <w:spacing w:line="360" w:lineRule="auto"/>
        <w:jc w:val="both"/>
        <w:rPr>
          <w:rFonts w:ascii="Times New Roman" w:hAnsi="Times New Roman" w:cs="Times New Roman"/>
          <w:sz w:val="24"/>
          <w:szCs w:val="24"/>
        </w:rPr>
      </w:pPr>
    </w:p>
    <w:p w14:paraId="0000002B" w14:textId="77777777" w:rsidR="00BE1A9D" w:rsidRPr="00CD2013" w:rsidRDefault="00F86333" w:rsidP="006F454F">
      <w:pPr>
        <w:spacing w:line="360" w:lineRule="auto"/>
        <w:jc w:val="both"/>
        <w:rPr>
          <w:rFonts w:ascii="Times New Roman" w:hAnsi="Times New Roman" w:cs="Times New Roman"/>
          <w:b/>
          <w:sz w:val="24"/>
          <w:szCs w:val="24"/>
        </w:rPr>
      </w:pPr>
      <w:r w:rsidRPr="00CD2013">
        <w:rPr>
          <w:rFonts w:ascii="Times New Roman" w:hAnsi="Times New Roman" w:cs="Times New Roman"/>
          <w:b/>
          <w:sz w:val="24"/>
          <w:szCs w:val="24"/>
        </w:rPr>
        <w:lastRenderedPageBreak/>
        <w:t>APÉNDICE I: ABREVIATURAS.</w:t>
      </w:r>
    </w:p>
    <w:p w14:paraId="574D7A67" w14:textId="0CD349C3" w:rsid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A.E:</w:t>
      </w:r>
      <w:r w:rsidRPr="00CD2013">
        <w:rPr>
          <w:rFonts w:ascii="Times New Roman" w:eastAsia="Times New Roman" w:hAnsi="Times New Roman" w:cs="Times New Roman"/>
          <w:sz w:val="24"/>
          <w:szCs w:val="24"/>
        </w:rPr>
        <w:t xml:space="preserve"> Agencia de Empleo</w:t>
      </w:r>
    </w:p>
    <w:p w14:paraId="2203447B" w14:textId="77777777" w:rsidR="006F454F" w:rsidRPr="00CD2013" w:rsidRDefault="006F454F"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CADH:</w:t>
      </w:r>
      <w:r w:rsidRPr="00CD2013">
        <w:rPr>
          <w:rFonts w:ascii="Times New Roman" w:eastAsia="Times New Roman" w:hAnsi="Times New Roman" w:cs="Times New Roman"/>
          <w:sz w:val="24"/>
          <w:szCs w:val="24"/>
        </w:rPr>
        <w:t xml:space="preserve"> Convención Americana de Derechos Humanos</w:t>
      </w:r>
    </w:p>
    <w:p w14:paraId="3994F18B" w14:textId="047E2A4B" w:rsidR="006F454F" w:rsidRDefault="006F454F"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CEDAW:</w:t>
      </w:r>
      <w:r>
        <w:rPr>
          <w:rFonts w:ascii="Times New Roman" w:eastAsia="Times New Roman" w:hAnsi="Times New Roman" w:cs="Times New Roman"/>
          <w:sz w:val="24"/>
          <w:szCs w:val="24"/>
        </w:rPr>
        <w:t xml:space="preserve"> Comité para la Eliminación de la Discriminación contra la Mujer</w:t>
      </w:r>
    </w:p>
    <w:p w14:paraId="1715C322" w14:textId="0D9971B6" w:rsidR="006F454F" w:rsidRPr="006F454F" w:rsidRDefault="006F454F"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CEPAL:</w:t>
      </w:r>
      <w:r w:rsidRPr="00CD2013">
        <w:rPr>
          <w:rFonts w:ascii="Times New Roman" w:eastAsia="Times New Roman" w:hAnsi="Times New Roman" w:cs="Times New Roman"/>
          <w:sz w:val="24"/>
          <w:szCs w:val="24"/>
        </w:rPr>
        <w:t xml:space="preserve"> Comisión Económica para América Latina y el Caribe</w:t>
      </w:r>
    </w:p>
    <w:p w14:paraId="043241DF" w14:textId="219449F1" w:rsidR="006F454F" w:rsidRDefault="00F86333"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CIDH:</w:t>
      </w:r>
      <w:r w:rsidRPr="00CD2013">
        <w:rPr>
          <w:rFonts w:ascii="Times New Roman" w:eastAsia="Times New Roman" w:hAnsi="Times New Roman" w:cs="Times New Roman"/>
          <w:sz w:val="24"/>
          <w:szCs w:val="24"/>
        </w:rPr>
        <w:t xml:space="preserve"> Comisión Interamericana de derechos humanos.</w:t>
      </w:r>
    </w:p>
    <w:p w14:paraId="0000002D" w14:textId="77777777" w:rsidR="00BE1A9D" w:rsidRDefault="00F86333" w:rsidP="006F454F">
      <w:pPr>
        <w:numPr>
          <w:ilvl w:val="0"/>
          <w:numId w:val="2"/>
        </w:numPr>
        <w:spacing w:line="360" w:lineRule="auto"/>
        <w:jc w:val="both"/>
        <w:rPr>
          <w:rFonts w:ascii="Times New Roman" w:eastAsia="Times New Roman" w:hAnsi="Times New Roman" w:cs="Times New Roman"/>
          <w:sz w:val="24"/>
          <w:szCs w:val="24"/>
        </w:rPr>
      </w:pPr>
      <w:proofErr w:type="spellStart"/>
      <w:r w:rsidRPr="006F454F">
        <w:rPr>
          <w:rFonts w:ascii="Times New Roman" w:eastAsia="Times New Roman" w:hAnsi="Times New Roman" w:cs="Times New Roman"/>
          <w:b/>
          <w:sz w:val="24"/>
          <w:szCs w:val="24"/>
        </w:rPr>
        <w:t>CorteIDH</w:t>
      </w:r>
      <w:proofErr w:type="spellEnd"/>
      <w:r w:rsidRPr="006F454F">
        <w:rPr>
          <w:rFonts w:ascii="Times New Roman" w:eastAsia="Times New Roman" w:hAnsi="Times New Roman" w:cs="Times New Roman"/>
          <w:b/>
          <w:sz w:val="24"/>
          <w:szCs w:val="24"/>
        </w:rPr>
        <w:t>:</w:t>
      </w:r>
      <w:r w:rsidRPr="00CD2013">
        <w:rPr>
          <w:rFonts w:ascii="Times New Roman" w:eastAsia="Times New Roman" w:hAnsi="Times New Roman" w:cs="Times New Roman"/>
          <w:sz w:val="24"/>
          <w:szCs w:val="24"/>
        </w:rPr>
        <w:t xml:space="preserve"> Corte Interamericana de derechos humanos.</w:t>
      </w:r>
    </w:p>
    <w:p w14:paraId="5AD89C51" w14:textId="7DE04965" w:rsidR="006F454F" w:rsidRP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highlight w:val="white"/>
        </w:rPr>
        <w:t>CONVENCION DE BELEM DO PARA:</w:t>
      </w:r>
      <w:r w:rsidRPr="00CD2013">
        <w:rPr>
          <w:rFonts w:ascii="Times New Roman" w:eastAsia="Times New Roman" w:hAnsi="Times New Roman" w:cs="Times New Roman"/>
          <w:b/>
          <w:sz w:val="24"/>
          <w:szCs w:val="24"/>
          <w:highlight w:val="white"/>
        </w:rPr>
        <w:t xml:space="preserve"> </w:t>
      </w:r>
      <w:r w:rsidRPr="00CD2013">
        <w:rPr>
          <w:rFonts w:ascii="Times New Roman" w:hAnsi="Times New Roman" w:cs="Times New Roman"/>
          <w:b/>
          <w:color w:val="222222"/>
          <w:sz w:val="24"/>
          <w:szCs w:val="24"/>
          <w:highlight w:val="white"/>
        </w:rPr>
        <w:t>Convención Interamericana para Prevenir, Sancionar y Erradicar la Violencia contra la Mujer.</w:t>
      </w:r>
    </w:p>
    <w:p w14:paraId="57E0EB6F" w14:textId="75134948" w:rsidR="006F454F" w:rsidRP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C.P:</w:t>
      </w:r>
      <w:r w:rsidRPr="00CD2013">
        <w:rPr>
          <w:rFonts w:ascii="Times New Roman" w:eastAsia="Times New Roman" w:hAnsi="Times New Roman" w:cs="Times New Roman"/>
          <w:sz w:val="24"/>
          <w:szCs w:val="24"/>
        </w:rPr>
        <w:t xml:space="preserve"> </w:t>
      </w:r>
      <w:r w:rsidR="003F70BE" w:rsidRPr="00CD2013">
        <w:rPr>
          <w:rFonts w:ascii="Times New Roman" w:eastAsia="Times New Roman" w:hAnsi="Times New Roman" w:cs="Times New Roman"/>
          <w:sz w:val="24"/>
          <w:szCs w:val="24"/>
        </w:rPr>
        <w:t>Código</w:t>
      </w:r>
      <w:r w:rsidRPr="00CD2013">
        <w:rPr>
          <w:rFonts w:ascii="Times New Roman" w:eastAsia="Times New Roman" w:hAnsi="Times New Roman" w:cs="Times New Roman"/>
          <w:sz w:val="24"/>
          <w:szCs w:val="24"/>
        </w:rPr>
        <w:t xml:space="preserve"> Penal de la Republica de Tributaria.</w:t>
      </w:r>
    </w:p>
    <w:p w14:paraId="00000030" w14:textId="77777777" w:rsidR="00BE1A9D" w:rsidRDefault="00F86333"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CSDR:</w:t>
      </w:r>
      <w:r w:rsidRPr="00CD2013">
        <w:rPr>
          <w:rFonts w:ascii="Times New Roman" w:eastAsia="Times New Roman" w:hAnsi="Times New Roman" w:cs="Times New Roman"/>
          <w:sz w:val="24"/>
          <w:szCs w:val="24"/>
        </w:rPr>
        <w:t xml:space="preserve"> Corte Superior Del Departamento de Refugio.</w:t>
      </w:r>
    </w:p>
    <w:p w14:paraId="1E677621" w14:textId="4992E999" w:rsidR="006F454F" w:rsidRP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CST:</w:t>
      </w:r>
      <w:r w:rsidRPr="00CD2013">
        <w:rPr>
          <w:rFonts w:ascii="Times New Roman" w:eastAsia="Times New Roman" w:hAnsi="Times New Roman" w:cs="Times New Roman"/>
          <w:sz w:val="24"/>
          <w:szCs w:val="24"/>
        </w:rPr>
        <w:t xml:space="preserve"> Corte Superior de Tributaria.</w:t>
      </w:r>
    </w:p>
    <w:p w14:paraId="6EB59285" w14:textId="613D0ADA" w:rsidR="006F454F" w:rsidRP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DDHH:</w:t>
      </w:r>
      <w:r w:rsidRPr="00CD2013">
        <w:rPr>
          <w:rFonts w:ascii="Times New Roman" w:eastAsia="Times New Roman" w:hAnsi="Times New Roman" w:cs="Times New Roman"/>
          <w:sz w:val="24"/>
          <w:szCs w:val="24"/>
        </w:rPr>
        <w:t xml:space="preserve"> Derechos Humanos.</w:t>
      </w:r>
    </w:p>
    <w:p w14:paraId="6FF6B890" w14:textId="77777777" w:rsid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E.S.D:</w:t>
      </w:r>
      <w:r w:rsidRPr="00CD2013">
        <w:rPr>
          <w:rFonts w:ascii="Times New Roman" w:eastAsia="Times New Roman" w:hAnsi="Times New Roman" w:cs="Times New Roman"/>
          <w:sz w:val="24"/>
          <w:szCs w:val="24"/>
        </w:rPr>
        <w:t xml:space="preserve"> Estado Social de Derecho.</w:t>
      </w:r>
    </w:p>
    <w:p w14:paraId="370B8047" w14:textId="6D03F2FD" w:rsidR="006F454F" w:rsidRPr="006F454F" w:rsidRDefault="006F454F" w:rsidP="006F454F">
      <w:pPr>
        <w:numPr>
          <w:ilvl w:val="0"/>
          <w:numId w:val="2"/>
        </w:numPr>
        <w:spacing w:line="360" w:lineRule="auto"/>
        <w:rPr>
          <w:rFonts w:ascii="Times New Roman" w:hAnsi="Times New Roman" w:cs="Times New Roman"/>
          <w:color w:val="222222"/>
          <w:sz w:val="24"/>
          <w:szCs w:val="24"/>
          <w:highlight w:val="white"/>
        </w:rPr>
      </w:pPr>
      <w:r w:rsidRPr="006F454F">
        <w:rPr>
          <w:rFonts w:ascii="Times New Roman" w:hAnsi="Times New Roman" w:cs="Times New Roman"/>
          <w:b/>
          <w:color w:val="222222"/>
          <w:sz w:val="24"/>
          <w:szCs w:val="24"/>
          <w:highlight w:val="white"/>
        </w:rPr>
        <w:t>O.C:</w:t>
      </w:r>
      <w:r w:rsidRPr="00CD2013">
        <w:rPr>
          <w:rFonts w:ascii="Times New Roman" w:hAnsi="Times New Roman" w:cs="Times New Roman"/>
          <w:color w:val="222222"/>
          <w:sz w:val="24"/>
          <w:szCs w:val="24"/>
          <w:highlight w:val="white"/>
        </w:rPr>
        <w:t xml:space="preserve"> Opinión consultiva.</w:t>
      </w:r>
    </w:p>
    <w:p w14:paraId="05A1B6CC" w14:textId="2EFA28BF" w:rsidR="006F454F" w:rsidRPr="006F454F" w:rsidRDefault="006F454F" w:rsidP="006F454F">
      <w:pPr>
        <w:numPr>
          <w:ilvl w:val="0"/>
          <w:numId w:val="2"/>
        </w:numPr>
        <w:spacing w:line="360" w:lineRule="auto"/>
        <w:jc w:val="both"/>
        <w:rPr>
          <w:rFonts w:ascii="Times New Roman" w:eastAsia="Times New Roman" w:hAnsi="Times New Roman" w:cs="Times New Roman"/>
          <w:sz w:val="24"/>
          <w:szCs w:val="24"/>
        </w:rPr>
      </w:pPr>
      <w:proofErr w:type="spellStart"/>
      <w:r w:rsidRPr="006F454F">
        <w:rPr>
          <w:rFonts w:ascii="Times New Roman" w:eastAsia="Times New Roman" w:hAnsi="Times New Roman" w:cs="Times New Roman"/>
          <w:b/>
          <w:sz w:val="24"/>
          <w:szCs w:val="24"/>
        </w:rPr>
        <w:t>OIGs</w:t>
      </w:r>
      <w:proofErr w:type="spellEnd"/>
      <w:r w:rsidRPr="006F454F">
        <w:rPr>
          <w:rFonts w:ascii="Times New Roman" w:eastAsia="Times New Roman" w:hAnsi="Times New Roman" w:cs="Times New Roman"/>
          <w:b/>
          <w:sz w:val="24"/>
          <w:szCs w:val="24"/>
        </w:rPr>
        <w:t>:</w:t>
      </w:r>
      <w:r w:rsidRPr="00CD2013">
        <w:rPr>
          <w:rFonts w:ascii="Times New Roman" w:eastAsia="Times New Roman" w:hAnsi="Times New Roman" w:cs="Times New Roman"/>
          <w:sz w:val="24"/>
          <w:szCs w:val="24"/>
        </w:rPr>
        <w:t xml:space="preserve"> Organizaciones Internacionales Gubernamentales</w:t>
      </w:r>
    </w:p>
    <w:p w14:paraId="130FE6EB" w14:textId="46BE207F" w:rsidR="006F454F" w:rsidRPr="006F454F"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PEP:</w:t>
      </w:r>
      <w:r w:rsidRPr="00CD2013">
        <w:rPr>
          <w:rFonts w:ascii="Times New Roman" w:eastAsia="Times New Roman" w:hAnsi="Times New Roman" w:cs="Times New Roman"/>
          <w:sz w:val="24"/>
          <w:szCs w:val="24"/>
        </w:rPr>
        <w:t xml:space="preserve"> Permiso Especial de Trabajo. </w:t>
      </w:r>
    </w:p>
    <w:p w14:paraId="003DA5DD" w14:textId="77777777" w:rsidR="006F454F" w:rsidRPr="00CD2013" w:rsidRDefault="006F454F" w:rsidP="006F454F">
      <w:pPr>
        <w:numPr>
          <w:ilvl w:val="0"/>
          <w:numId w:val="2"/>
        </w:numPr>
        <w:spacing w:line="360" w:lineRule="auto"/>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PP:</w:t>
      </w:r>
      <w:r w:rsidRPr="00CD2013">
        <w:rPr>
          <w:rFonts w:ascii="Times New Roman" w:eastAsia="Times New Roman" w:hAnsi="Times New Roman" w:cs="Times New Roman"/>
          <w:sz w:val="24"/>
          <w:szCs w:val="24"/>
        </w:rPr>
        <w:t xml:space="preserve"> Protocolo de Palermo: Protocolo para prevenir, reprimir y sancionar la trata de personas, especialmente mujeres y niños, que complementa la Convención de las Naciones Unidas contra la Delincuencia Organizada Transnacional.</w:t>
      </w:r>
    </w:p>
    <w:p w14:paraId="7FB09846" w14:textId="77777777" w:rsidR="006F454F" w:rsidRPr="006F454F" w:rsidRDefault="006F454F" w:rsidP="006F454F">
      <w:pPr>
        <w:numPr>
          <w:ilvl w:val="0"/>
          <w:numId w:val="2"/>
        </w:numPr>
        <w:spacing w:after="240" w:line="360" w:lineRule="auto"/>
        <w:rPr>
          <w:rFonts w:ascii="Times New Roman" w:hAnsi="Times New Roman" w:cs="Times New Roman"/>
          <w:color w:val="222222"/>
          <w:sz w:val="24"/>
          <w:szCs w:val="24"/>
          <w:highlight w:val="white"/>
        </w:rPr>
      </w:pPr>
      <w:r w:rsidRPr="006F454F">
        <w:rPr>
          <w:rFonts w:ascii="Times New Roman" w:hAnsi="Times New Roman" w:cs="Times New Roman"/>
          <w:b/>
          <w:color w:val="222222"/>
          <w:sz w:val="24"/>
          <w:szCs w:val="24"/>
          <w:highlight w:val="white"/>
        </w:rPr>
        <w:t>PSS:</w:t>
      </w:r>
      <w:r w:rsidRPr="00CD2013">
        <w:rPr>
          <w:rFonts w:ascii="Times New Roman" w:hAnsi="Times New Roman" w:cs="Times New Roman"/>
          <w:color w:val="222222"/>
          <w:sz w:val="24"/>
          <w:szCs w:val="24"/>
          <w:highlight w:val="white"/>
        </w:rPr>
        <w:t xml:space="preserve"> Protocolo de San Salvador</w:t>
      </w:r>
    </w:p>
    <w:p w14:paraId="030EF5C2" w14:textId="78380948" w:rsidR="006F454F" w:rsidRPr="0050379C" w:rsidRDefault="006F454F" w:rsidP="006F454F">
      <w:pPr>
        <w:numPr>
          <w:ilvl w:val="0"/>
          <w:numId w:val="2"/>
        </w:numPr>
        <w:spacing w:after="240" w:line="360" w:lineRule="auto"/>
        <w:rPr>
          <w:rFonts w:ascii="Times New Roman" w:hAnsi="Times New Roman" w:cs="Times New Roman"/>
          <w:color w:val="222222"/>
          <w:sz w:val="24"/>
          <w:szCs w:val="24"/>
          <w:highlight w:val="white"/>
        </w:rPr>
      </w:pPr>
      <w:r w:rsidRPr="006F454F">
        <w:rPr>
          <w:rFonts w:ascii="Times New Roman" w:eastAsia="Times New Roman" w:hAnsi="Times New Roman" w:cs="Times New Roman"/>
          <w:b/>
          <w:sz w:val="24"/>
          <w:szCs w:val="24"/>
        </w:rPr>
        <w:t>R.I:</w:t>
      </w:r>
      <w:r>
        <w:rPr>
          <w:rFonts w:ascii="Times New Roman" w:eastAsia="Times New Roman" w:hAnsi="Times New Roman" w:cs="Times New Roman"/>
          <w:sz w:val="24"/>
          <w:szCs w:val="24"/>
        </w:rPr>
        <w:t xml:space="preserve"> Responsabilidad internacional.</w:t>
      </w:r>
    </w:p>
    <w:p w14:paraId="48AAF91A" w14:textId="7B82A739" w:rsidR="0050379C" w:rsidRPr="006F454F" w:rsidRDefault="0050379C" w:rsidP="006F454F">
      <w:pPr>
        <w:numPr>
          <w:ilvl w:val="0"/>
          <w:numId w:val="2"/>
        </w:numPr>
        <w:spacing w:after="240" w:line="360" w:lineRule="auto"/>
        <w:rPr>
          <w:rFonts w:ascii="Times New Roman" w:hAnsi="Times New Roman" w:cs="Times New Roman"/>
          <w:color w:val="222222"/>
          <w:sz w:val="24"/>
          <w:szCs w:val="24"/>
          <w:highlight w:val="white"/>
        </w:rPr>
      </w:pPr>
      <w:r>
        <w:rPr>
          <w:rFonts w:ascii="Times New Roman" w:eastAsia="Times New Roman" w:hAnsi="Times New Roman" w:cs="Times New Roman"/>
          <w:b/>
          <w:sz w:val="24"/>
          <w:szCs w:val="24"/>
        </w:rPr>
        <w:t>SIDH:</w:t>
      </w:r>
      <w:r>
        <w:rPr>
          <w:rFonts w:ascii="Times New Roman" w:hAnsi="Times New Roman" w:cs="Times New Roman"/>
          <w:color w:val="222222"/>
          <w:sz w:val="24"/>
          <w:szCs w:val="24"/>
          <w:highlight w:val="white"/>
        </w:rPr>
        <w:t xml:space="preserve"> Sistema Interamericano de Derechos Humanos</w:t>
      </w:r>
    </w:p>
    <w:p w14:paraId="00000031" w14:textId="77777777" w:rsidR="00BE1A9D" w:rsidRPr="00CD2013" w:rsidRDefault="00F86333" w:rsidP="006F454F">
      <w:pPr>
        <w:numPr>
          <w:ilvl w:val="0"/>
          <w:numId w:val="2"/>
        </w:numPr>
        <w:spacing w:line="360" w:lineRule="auto"/>
        <w:jc w:val="both"/>
        <w:rPr>
          <w:rFonts w:ascii="Times New Roman" w:eastAsia="Times New Roman" w:hAnsi="Times New Roman" w:cs="Times New Roman"/>
          <w:sz w:val="24"/>
          <w:szCs w:val="24"/>
        </w:rPr>
      </w:pPr>
      <w:r w:rsidRPr="006F454F">
        <w:rPr>
          <w:rFonts w:ascii="Times New Roman" w:eastAsia="Times New Roman" w:hAnsi="Times New Roman" w:cs="Times New Roman"/>
          <w:b/>
          <w:sz w:val="24"/>
          <w:szCs w:val="24"/>
        </w:rPr>
        <w:t>TCT:</w:t>
      </w:r>
      <w:r w:rsidRPr="00CD2013">
        <w:rPr>
          <w:rFonts w:ascii="Times New Roman" w:eastAsia="Times New Roman" w:hAnsi="Times New Roman" w:cs="Times New Roman"/>
          <w:sz w:val="24"/>
          <w:szCs w:val="24"/>
        </w:rPr>
        <w:t xml:space="preserve"> Tribunal Constitucional </w:t>
      </w:r>
      <w:proofErr w:type="spellStart"/>
      <w:r w:rsidRPr="00CD2013">
        <w:rPr>
          <w:rFonts w:ascii="Times New Roman" w:eastAsia="Times New Roman" w:hAnsi="Times New Roman" w:cs="Times New Roman"/>
          <w:sz w:val="24"/>
          <w:szCs w:val="24"/>
        </w:rPr>
        <w:t>Tributarista</w:t>
      </w:r>
      <w:proofErr w:type="spellEnd"/>
      <w:r w:rsidRPr="00CD2013">
        <w:rPr>
          <w:rFonts w:ascii="Times New Roman" w:eastAsia="Times New Roman" w:hAnsi="Times New Roman" w:cs="Times New Roman"/>
          <w:sz w:val="24"/>
          <w:szCs w:val="24"/>
        </w:rPr>
        <w:t>.</w:t>
      </w:r>
    </w:p>
    <w:p w14:paraId="0000003E" w14:textId="77777777" w:rsidR="00BE1A9D" w:rsidRPr="00CD2013" w:rsidRDefault="00BE1A9D" w:rsidP="00CD2013">
      <w:pPr>
        <w:spacing w:line="360" w:lineRule="auto"/>
        <w:ind w:left="720"/>
        <w:rPr>
          <w:rFonts w:ascii="Times New Roman" w:eastAsia="Times New Roman" w:hAnsi="Times New Roman" w:cs="Times New Roman"/>
          <w:sz w:val="24"/>
          <w:szCs w:val="24"/>
        </w:rPr>
      </w:pPr>
    </w:p>
    <w:p w14:paraId="0000003F"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0"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1"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2"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3"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4" w14:textId="77777777" w:rsidR="00BE1A9D" w:rsidRPr="00CD2013" w:rsidRDefault="00BE1A9D" w:rsidP="00CD2013">
      <w:pPr>
        <w:spacing w:line="360" w:lineRule="auto"/>
        <w:ind w:left="720"/>
        <w:jc w:val="both"/>
        <w:rPr>
          <w:rFonts w:ascii="Times New Roman" w:eastAsia="Times New Roman" w:hAnsi="Times New Roman" w:cs="Times New Roman"/>
          <w:sz w:val="24"/>
          <w:szCs w:val="24"/>
        </w:rPr>
      </w:pPr>
    </w:p>
    <w:p w14:paraId="0000004B" w14:textId="77777777" w:rsidR="00BE1A9D" w:rsidRPr="00CD2013" w:rsidRDefault="00BE1A9D" w:rsidP="00CD2013">
      <w:pPr>
        <w:spacing w:line="360" w:lineRule="auto"/>
        <w:jc w:val="both"/>
        <w:rPr>
          <w:rFonts w:ascii="Times New Roman" w:eastAsia="Times New Roman" w:hAnsi="Times New Roman" w:cs="Times New Roman"/>
          <w:b/>
          <w:sz w:val="24"/>
          <w:szCs w:val="24"/>
        </w:rPr>
      </w:pPr>
    </w:p>
    <w:p w14:paraId="0F0F1599" w14:textId="77777777" w:rsidR="00205AC3" w:rsidRDefault="00205AC3" w:rsidP="00205AC3">
      <w:pPr>
        <w:spacing w:line="360" w:lineRule="auto"/>
        <w:rPr>
          <w:rFonts w:ascii="Times New Roman" w:eastAsia="Times New Roman" w:hAnsi="Times New Roman" w:cs="Times New Roman"/>
          <w:b/>
          <w:sz w:val="24"/>
          <w:szCs w:val="24"/>
        </w:rPr>
      </w:pPr>
    </w:p>
    <w:p w14:paraId="50BC4D25" w14:textId="4A33F6C3" w:rsidR="00205AC3" w:rsidRDefault="00205AC3" w:rsidP="00205AC3">
      <w:pPr>
        <w:spacing w:line="360" w:lineRule="auto"/>
        <w:jc w:val="center"/>
        <w:rPr>
          <w:rFonts w:ascii="Times New Roman" w:eastAsia="Times New Roman" w:hAnsi="Times New Roman" w:cs="Times New Roman"/>
          <w:b/>
          <w:sz w:val="24"/>
          <w:szCs w:val="24"/>
          <w:u w:val="single"/>
        </w:rPr>
      </w:pPr>
      <w:r w:rsidRPr="00205AC3">
        <w:rPr>
          <w:rFonts w:ascii="Times New Roman" w:eastAsia="Times New Roman" w:hAnsi="Times New Roman" w:cs="Times New Roman"/>
          <w:b/>
          <w:sz w:val="24"/>
          <w:szCs w:val="24"/>
          <w:u w:val="single"/>
        </w:rPr>
        <w:t>ÍNDICE</w:t>
      </w:r>
    </w:p>
    <w:p w14:paraId="6877A076" w14:textId="6AE059E5" w:rsidR="0050379C" w:rsidRDefault="00205AC3" w:rsidP="003F70B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AP</w:t>
      </w:r>
      <w:r w:rsidR="0050379C">
        <w:rPr>
          <w:rFonts w:ascii="Times New Roman" w:eastAsia="Times New Roman" w:hAnsi="Times New Roman" w:cs="Times New Roman"/>
          <w:b/>
          <w:sz w:val="24"/>
          <w:szCs w:val="24"/>
        </w:rPr>
        <w:t>ÉNDICE I</w:t>
      </w:r>
    </w:p>
    <w:p w14:paraId="468E7A58" w14:textId="21B05042" w:rsidR="00205AC3"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w:t>
      </w:r>
      <w:r w:rsidR="00205AC3">
        <w:rPr>
          <w:rFonts w:ascii="Times New Roman" w:eastAsia="Times New Roman" w:hAnsi="Times New Roman" w:cs="Times New Roman"/>
          <w:b/>
          <w:sz w:val="24"/>
          <w:szCs w:val="24"/>
        </w:rPr>
        <w:t xml:space="preserve"> ABREVIATURA</w:t>
      </w:r>
      <w:r w:rsidR="003F70BE">
        <w:rPr>
          <w:rFonts w:ascii="Times New Roman" w:eastAsia="Times New Roman" w:hAnsi="Times New Roman" w:cs="Times New Roman"/>
          <w:b/>
          <w:sz w:val="24"/>
          <w:szCs w:val="24"/>
        </w:rPr>
        <w:t>S</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1</w:t>
      </w:r>
    </w:p>
    <w:p w14:paraId="6E28D762" w14:textId="54D4BFDD" w:rsidR="00205AC3" w:rsidRPr="003F70BE" w:rsidRDefault="00205AC3"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 BIBLIOGRAFÍA</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3</w:t>
      </w:r>
    </w:p>
    <w:p w14:paraId="716AA70D" w14:textId="15179965" w:rsidR="00205AC3" w:rsidRPr="003F70BE" w:rsidRDefault="00205AC3"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2.1.- Doctrina</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3</w:t>
      </w:r>
    </w:p>
    <w:p w14:paraId="63D619EE" w14:textId="456487A4" w:rsidR="00205AC3" w:rsidRPr="003F70BE" w:rsidRDefault="00205AC3"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2.2.-</w:t>
      </w:r>
      <w:r w:rsidR="0050379C">
        <w:rPr>
          <w:rFonts w:ascii="Times New Roman" w:eastAsia="Times New Roman" w:hAnsi="Times New Roman" w:cs="Times New Roman"/>
          <w:b/>
          <w:sz w:val="24"/>
          <w:szCs w:val="24"/>
        </w:rPr>
        <w:t xml:space="preserve"> Jurisprudencia </w:t>
      </w:r>
      <w:r w:rsidR="003F70BE">
        <w:rPr>
          <w:rFonts w:ascii="Times New Roman" w:eastAsia="Times New Roman" w:hAnsi="Times New Roman" w:cs="Times New Roman"/>
          <w:b/>
          <w:sz w:val="24"/>
          <w:szCs w:val="24"/>
        </w:rPr>
        <w:t>Internacional</w:t>
      </w:r>
      <w:r w:rsidR="003F70BE" w:rsidRPr="003F70BE">
        <w:rPr>
          <w:rFonts w:ascii="Times New Roman" w:eastAsia="Times New Roman" w:hAnsi="Times New Roman" w:cs="Times New Roman"/>
          <w:sz w:val="24"/>
          <w:szCs w:val="24"/>
        </w:rPr>
        <w:t>…</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xml:space="preserve"> 3</w:t>
      </w:r>
    </w:p>
    <w:p w14:paraId="3DD455CD" w14:textId="6294F87D"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2.3.- Jurisprudencia Tribunal Europeo de Derechos Humanos</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5</w:t>
      </w:r>
    </w:p>
    <w:p w14:paraId="37E369D0" w14:textId="630C06EC"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2.4.- Opiniones Consultivas e informes de la CIDH</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6</w:t>
      </w:r>
    </w:p>
    <w:p w14:paraId="42D8969B" w14:textId="33500EC1" w:rsidR="00F86333"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APENDICE II</w:t>
      </w:r>
      <w:r w:rsidR="00F86333">
        <w:rPr>
          <w:rFonts w:ascii="Times New Roman" w:eastAsia="Times New Roman" w:hAnsi="Times New Roman" w:cs="Times New Roman"/>
          <w:b/>
          <w:sz w:val="24"/>
          <w:szCs w:val="24"/>
        </w:rPr>
        <w:t>: OBJETO DEL CASO</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w:t>
      </w:r>
      <w:proofErr w:type="gramEnd"/>
      <w:r w:rsidR="00F03241">
        <w:rPr>
          <w:rFonts w:ascii="Times New Roman" w:eastAsia="Times New Roman" w:hAnsi="Times New Roman" w:cs="Times New Roman"/>
          <w:sz w:val="24"/>
          <w:szCs w:val="24"/>
        </w:rPr>
        <w:t>. 6</w:t>
      </w:r>
    </w:p>
    <w:p w14:paraId="3BE5A56C" w14:textId="67EA5892"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 EXPOSICIÓN DE LOS HECHOS</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xml:space="preserve">... 6 </w:t>
      </w:r>
    </w:p>
    <w:p w14:paraId="63FD0948" w14:textId="7CA3ABFB"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 xml:space="preserve">1.1.-Contexto de </w:t>
      </w:r>
      <w:proofErr w:type="spellStart"/>
      <w:r>
        <w:rPr>
          <w:rFonts w:ascii="Times New Roman" w:eastAsia="Times New Roman" w:hAnsi="Times New Roman" w:cs="Times New Roman"/>
          <w:b/>
          <w:sz w:val="24"/>
          <w:szCs w:val="24"/>
        </w:rPr>
        <w:t>Fangoria</w:t>
      </w:r>
      <w:proofErr w:type="spellEnd"/>
      <w:r>
        <w:rPr>
          <w:rFonts w:ascii="Times New Roman" w:eastAsia="Times New Roman" w:hAnsi="Times New Roman" w:cs="Times New Roman"/>
          <w:b/>
          <w:sz w:val="24"/>
          <w:szCs w:val="24"/>
        </w:rPr>
        <w:t>: Crisis y origen de la migración masiva</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6</w:t>
      </w:r>
    </w:p>
    <w:p w14:paraId="3409A0AA" w14:textId="430C1C10"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1.2.- Contexto de la República de Tributaria y acogida a la migración masiva</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xml:space="preserve"> 7</w:t>
      </w:r>
    </w:p>
    <w:p w14:paraId="71CC84AF" w14:textId="1B015D38" w:rsidR="0050379C" w:rsidRPr="003F70BE" w:rsidRDefault="0050379C" w:rsidP="003F70B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1.3.-Sobre </w:t>
      </w:r>
      <w:proofErr w:type="spellStart"/>
      <w:r>
        <w:rPr>
          <w:rFonts w:ascii="Times New Roman" w:eastAsia="Times New Roman" w:hAnsi="Times New Roman" w:cs="Times New Roman"/>
          <w:b/>
          <w:sz w:val="24"/>
          <w:szCs w:val="24"/>
        </w:rPr>
        <w:t>Evarista</w:t>
      </w:r>
      <w:proofErr w:type="spellEnd"/>
      <w:r>
        <w:rPr>
          <w:rFonts w:ascii="Times New Roman" w:eastAsia="Times New Roman" w:hAnsi="Times New Roman" w:cs="Times New Roman"/>
          <w:b/>
          <w:sz w:val="24"/>
          <w:szCs w:val="24"/>
        </w:rPr>
        <w:t xml:space="preserve"> Cristóbal, Maritza Guerra y la Agencia de empleos “La </w:t>
      </w:r>
      <w:proofErr w:type="gramStart"/>
      <w:r>
        <w:rPr>
          <w:rFonts w:ascii="Times New Roman" w:eastAsia="Times New Roman" w:hAnsi="Times New Roman" w:cs="Times New Roman"/>
          <w:b/>
          <w:sz w:val="24"/>
          <w:szCs w:val="24"/>
        </w:rPr>
        <w:t>Libertad”</w:t>
      </w:r>
      <w:r w:rsidR="003F70BE">
        <w:rPr>
          <w:rFonts w:ascii="Times New Roman" w:eastAsia="Times New Roman" w:hAnsi="Times New Roman" w:cs="Times New Roman"/>
          <w:sz w:val="24"/>
          <w:szCs w:val="24"/>
        </w:rPr>
        <w:t>…</w:t>
      </w:r>
      <w:proofErr w:type="gramEnd"/>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7</w:t>
      </w:r>
    </w:p>
    <w:p w14:paraId="7A2E22B7" w14:textId="2E592EAD" w:rsidR="0050379C" w:rsidRPr="003F70BE" w:rsidRDefault="0050379C" w:rsidP="003F70B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1.4.- Sobre la llegada de Maritza y </w:t>
      </w:r>
      <w:proofErr w:type="spellStart"/>
      <w:r>
        <w:rPr>
          <w:rFonts w:ascii="Times New Roman" w:eastAsia="Times New Roman" w:hAnsi="Times New Roman" w:cs="Times New Roman"/>
          <w:b/>
          <w:sz w:val="24"/>
          <w:szCs w:val="24"/>
        </w:rPr>
        <w:t>Evarista</w:t>
      </w:r>
      <w:proofErr w:type="spellEnd"/>
      <w:r>
        <w:rPr>
          <w:rFonts w:ascii="Times New Roman" w:eastAsia="Times New Roman" w:hAnsi="Times New Roman" w:cs="Times New Roman"/>
          <w:b/>
          <w:sz w:val="24"/>
          <w:szCs w:val="24"/>
        </w:rPr>
        <w:t xml:space="preserve"> a Tributaria y su estadía</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w:t>
      </w:r>
      <w:proofErr w:type="gramEnd"/>
      <w:r w:rsidR="00F03241">
        <w:rPr>
          <w:rFonts w:ascii="Times New Roman" w:eastAsia="Times New Roman" w:hAnsi="Times New Roman" w:cs="Times New Roman"/>
          <w:sz w:val="24"/>
          <w:szCs w:val="24"/>
        </w:rPr>
        <w:t>. 8</w:t>
      </w:r>
    </w:p>
    <w:p w14:paraId="55DA662E" w14:textId="4140FD6B" w:rsidR="0050379C" w:rsidRPr="003F70BE" w:rsidRDefault="0050379C" w:rsidP="003F70B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1.5.- Sobre el proceso penal contra </w:t>
      </w:r>
      <w:proofErr w:type="spellStart"/>
      <w:r>
        <w:rPr>
          <w:rFonts w:ascii="Times New Roman" w:eastAsia="Times New Roman" w:hAnsi="Times New Roman" w:cs="Times New Roman"/>
          <w:b/>
          <w:sz w:val="24"/>
          <w:szCs w:val="24"/>
        </w:rPr>
        <w:t>Evarista</w:t>
      </w:r>
      <w:proofErr w:type="spellEnd"/>
      <w:r>
        <w:rPr>
          <w:rFonts w:ascii="Times New Roman" w:eastAsia="Times New Roman" w:hAnsi="Times New Roman" w:cs="Times New Roman"/>
          <w:b/>
          <w:sz w:val="24"/>
          <w:szCs w:val="24"/>
        </w:rPr>
        <w:t xml:space="preserve"> y Maritza</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…9</w:t>
      </w:r>
    </w:p>
    <w:p w14:paraId="20D99CEC" w14:textId="48923A71" w:rsidR="0050379C" w:rsidRPr="003F70BE" w:rsidRDefault="0050379C" w:rsidP="003F70B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1.6.- Procedimiento ante el SIDH</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xml:space="preserve"> 10</w:t>
      </w:r>
    </w:p>
    <w:p w14:paraId="5E563010" w14:textId="2CD8EA40"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 COMPETENCIA DE LA CORTE INTERAMERICANA DE DERECHOS HUMANOS</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 xml:space="preserve"> 11</w:t>
      </w:r>
    </w:p>
    <w:p w14:paraId="642C52DB" w14:textId="5F73DB9E" w:rsidR="0050379C"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 </w:t>
      </w:r>
      <w:r w:rsidR="0050379C">
        <w:rPr>
          <w:rFonts w:ascii="Times New Roman" w:eastAsia="Times New Roman" w:hAnsi="Times New Roman" w:cs="Times New Roman"/>
          <w:b/>
          <w:sz w:val="24"/>
          <w:szCs w:val="24"/>
        </w:rPr>
        <w:t>OPOSICIÓN A LOS CUESTIONAMIENTOS DE ADMISIBILIDAD FORMULADOS POR EL ESTADO</w:t>
      </w:r>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11</w:t>
      </w:r>
    </w:p>
    <w:p w14:paraId="5381ECA7" w14:textId="27A60117"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3.1.- Sobre la falta de agotamiento de recursos internos</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F03241">
        <w:rPr>
          <w:rFonts w:ascii="Times New Roman" w:eastAsia="Times New Roman" w:hAnsi="Times New Roman" w:cs="Times New Roman"/>
          <w:sz w:val="24"/>
          <w:szCs w:val="24"/>
        </w:rPr>
        <w:t>.</w:t>
      </w:r>
      <w:proofErr w:type="gramEnd"/>
      <w:r w:rsidR="00F03241">
        <w:rPr>
          <w:rFonts w:ascii="Times New Roman" w:eastAsia="Times New Roman" w:hAnsi="Times New Roman" w:cs="Times New Roman"/>
          <w:sz w:val="24"/>
          <w:szCs w:val="24"/>
        </w:rPr>
        <w:t>11</w:t>
      </w:r>
    </w:p>
    <w:p w14:paraId="52456B49" w14:textId="2105A5B1"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3.2.- Sobre la presentación extemporánea de la petición ante la CIDH</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w:t>
      </w:r>
      <w:proofErr w:type="gramEnd"/>
      <w:r w:rsidR="00B90ED5">
        <w:rPr>
          <w:rFonts w:ascii="Times New Roman" w:eastAsia="Times New Roman" w:hAnsi="Times New Roman" w:cs="Times New Roman"/>
          <w:sz w:val="24"/>
          <w:szCs w:val="24"/>
        </w:rPr>
        <w:t>13</w:t>
      </w:r>
    </w:p>
    <w:p w14:paraId="096A0A66" w14:textId="1105CD1B"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3.3.- De la indebida inclusión del Art. 26 de la CADH</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15</w:t>
      </w:r>
    </w:p>
    <w:p w14:paraId="0EC032D0" w14:textId="198508C0" w:rsidR="0050379C"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 </w:t>
      </w:r>
      <w:r w:rsidR="0050379C">
        <w:rPr>
          <w:rFonts w:ascii="Times New Roman" w:eastAsia="Times New Roman" w:hAnsi="Times New Roman" w:cs="Times New Roman"/>
          <w:b/>
          <w:sz w:val="24"/>
          <w:szCs w:val="24"/>
        </w:rPr>
        <w:t>ALEGATOS Y FUNDAMENTOS DE DERECHO</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w:t>
      </w:r>
      <w:proofErr w:type="gramEnd"/>
      <w:r w:rsidR="00B90ED5">
        <w:rPr>
          <w:rFonts w:ascii="Times New Roman" w:eastAsia="Times New Roman" w:hAnsi="Times New Roman" w:cs="Times New Roman"/>
          <w:sz w:val="24"/>
          <w:szCs w:val="24"/>
        </w:rPr>
        <w:t>. 15</w:t>
      </w:r>
    </w:p>
    <w:p w14:paraId="62574998" w14:textId="70BC64D1" w:rsidR="0050379C" w:rsidRPr="003F70BE" w:rsidRDefault="0050379C" w:rsidP="003F70B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4.1.- Vulneración de la</w:t>
      </w:r>
      <w:r w:rsidR="00DF00A2">
        <w:rPr>
          <w:rFonts w:ascii="Times New Roman" w:eastAsia="Times New Roman" w:hAnsi="Times New Roman" w:cs="Times New Roman"/>
          <w:b/>
          <w:sz w:val="24"/>
          <w:szCs w:val="24"/>
        </w:rPr>
        <w:t xml:space="preserve"> CADH en perjuicio de </w:t>
      </w:r>
      <w:proofErr w:type="spellStart"/>
      <w:r w:rsidR="00DF00A2">
        <w:rPr>
          <w:rFonts w:ascii="Times New Roman" w:eastAsia="Times New Roman" w:hAnsi="Times New Roman" w:cs="Times New Roman"/>
          <w:b/>
          <w:sz w:val="24"/>
          <w:szCs w:val="24"/>
        </w:rPr>
        <w:t>Evarista</w:t>
      </w:r>
      <w:proofErr w:type="spellEnd"/>
      <w:r w:rsidR="00DF00A2">
        <w:rPr>
          <w:rFonts w:ascii="Times New Roman" w:eastAsia="Times New Roman" w:hAnsi="Times New Roman" w:cs="Times New Roman"/>
          <w:b/>
          <w:sz w:val="24"/>
          <w:szCs w:val="24"/>
        </w:rPr>
        <w:t xml:space="preserve"> Cristóbal</w:t>
      </w:r>
      <w:r>
        <w:rPr>
          <w:rFonts w:ascii="Times New Roman" w:eastAsia="Times New Roman" w:hAnsi="Times New Roman" w:cs="Times New Roman"/>
          <w:b/>
          <w:sz w:val="24"/>
          <w:szCs w:val="24"/>
        </w:rPr>
        <w:t xml:space="preserve"> y Maritza Guerra</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16</w:t>
      </w:r>
    </w:p>
    <w:p w14:paraId="21F57054" w14:textId="4DF1EDA8" w:rsidR="0050379C" w:rsidRPr="003F70BE" w:rsidRDefault="0050379C"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a)</w:t>
      </w:r>
      <w:r w:rsidR="00DF00A2">
        <w:rPr>
          <w:rFonts w:ascii="Times New Roman" w:eastAsia="Times New Roman" w:hAnsi="Times New Roman" w:cs="Times New Roman"/>
          <w:b/>
          <w:sz w:val="24"/>
          <w:szCs w:val="24"/>
        </w:rPr>
        <w:t xml:space="preserve"> Derecho a las </w:t>
      </w:r>
      <w:r w:rsidR="00F17FCF">
        <w:rPr>
          <w:rFonts w:ascii="Times New Roman" w:eastAsia="Times New Roman" w:hAnsi="Times New Roman" w:cs="Times New Roman"/>
          <w:b/>
          <w:sz w:val="24"/>
          <w:szCs w:val="24"/>
        </w:rPr>
        <w:t>garantías</w:t>
      </w:r>
      <w:r w:rsidR="00DF00A2">
        <w:rPr>
          <w:rFonts w:ascii="Times New Roman" w:eastAsia="Times New Roman" w:hAnsi="Times New Roman" w:cs="Times New Roman"/>
          <w:b/>
          <w:sz w:val="24"/>
          <w:szCs w:val="24"/>
        </w:rPr>
        <w:t xml:space="preserve"> judiciales y a la protección judicial</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w:t>
      </w:r>
      <w:proofErr w:type="gramEnd"/>
      <w:r w:rsidR="00B90ED5">
        <w:rPr>
          <w:rFonts w:ascii="Times New Roman" w:eastAsia="Times New Roman" w:hAnsi="Times New Roman" w:cs="Times New Roman"/>
          <w:sz w:val="24"/>
          <w:szCs w:val="24"/>
        </w:rPr>
        <w:t>.16</w:t>
      </w:r>
    </w:p>
    <w:p w14:paraId="1166782C" w14:textId="4013F6E8"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b) Derecho de igualdad ante la ley</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xml:space="preserve"> 19</w:t>
      </w:r>
    </w:p>
    <w:p w14:paraId="78B8BAE0" w14:textId="24BCD02F"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c) Derecho de libertad personal</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xml:space="preserve"> 21</w:t>
      </w:r>
    </w:p>
    <w:p w14:paraId="4CC28926" w14:textId="6DA2178F"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d) Principio de desarrollo progresivo</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22</w:t>
      </w:r>
    </w:p>
    <w:p w14:paraId="4E03E163" w14:textId="4D837AF9"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4.2.- Vulneración de los derechos en cabeza de Maritza Guerra</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23</w:t>
      </w:r>
    </w:p>
    <w:p w14:paraId="73945D58" w14:textId="7B8BE4A6"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a) Derecho de protección de la integridad personal, honra y dignidad</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24</w:t>
      </w:r>
    </w:p>
    <w:p w14:paraId="597C3EAD" w14:textId="38F7004E"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
        <w:t>b) Derecho a la protección de la familia</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26</w:t>
      </w:r>
    </w:p>
    <w:p w14:paraId="08AB5D50" w14:textId="49EED2E4"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c) Principio de legalidad y retroactividad</w:t>
      </w:r>
      <w:r w:rsidR="003F70BE">
        <w:rPr>
          <w:rFonts w:ascii="Times New Roman" w:eastAsia="Times New Roman" w:hAnsi="Times New Roman" w:cs="Times New Roman"/>
          <w:sz w:val="24"/>
          <w:szCs w:val="24"/>
        </w:rPr>
        <w:t>…………………………………</w:t>
      </w:r>
      <w:proofErr w:type="gramStart"/>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w:t>
      </w:r>
      <w:proofErr w:type="gramEnd"/>
      <w:r w:rsidR="00B90ED5">
        <w:rPr>
          <w:rFonts w:ascii="Times New Roman" w:eastAsia="Times New Roman" w:hAnsi="Times New Roman" w:cs="Times New Roman"/>
          <w:sz w:val="24"/>
          <w:szCs w:val="24"/>
        </w:rPr>
        <w:t xml:space="preserve">. 27 </w:t>
      </w:r>
    </w:p>
    <w:p w14:paraId="51A53DDB" w14:textId="7EA5634D"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 Vulneración de los derechos en cabeza de </w:t>
      </w:r>
      <w:proofErr w:type="spellStart"/>
      <w:r>
        <w:rPr>
          <w:rFonts w:ascii="Times New Roman" w:eastAsia="Times New Roman" w:hAnsi="Times New Roman" w:cs="Times New Roman"/>
          <w:b/>
          <w:sz w:val="24"/>
          <w:szCs w:val="24"/>
        </w:rPr>
        <w:t>Evarista</w:t>
      </w:r>
      <w:proofErr w:type="spellEnd"/>
      <w:r>
        <w:rPr>
          <w:rFonts w:ascii="Times New Roman" w:eastAsia="Times New Roman" w:hAnsi="Times New Roman" w:cs="Times New Roman"/>
          <w:b/>
          <w:sz w:val="24"/>
          <w:szCs w:val="24"/>
        </w:rPr>
        <w:t xml:space="preserve"> Cristóbal</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28</w:t>
      </w:r>
    </w:p>
    <w:p w14:paraId="52FBEE32" w14:textId="7A863A29" w:rsidR="00DF00A2" w:rsidRPr="003F70BE" w:rsidRDefault="00DF00A2"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t>a)</w:t>
      </w:r>
      <w:r w:rsidR="00F17FCF">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Derecho de protección a la honra y la dignidad</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xml:space="preserve"> 28</w:t>
      </w:r>
    </w:p>
    <w:p w14:paraId="036D898B" w14:textId="57FE0B2E" w:rsidR="00F17FCF" w:rsidRPr="003F70BE" w:rsidRDefault="00F17FCF" w:rsidP="003F70B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6.- Reparaciones</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29</w:t>
      </w:r>
    </w:p>
    <w:p w14:paraId="60CD23D5" w14:textId="7C7BD0E1" w:rsidR="00F03241" w:rsidRPr="00F03241" w:rsidRDefault="00F17FCF" w:rsidP="00F0324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 Petitorio</w:t>
      </w:r>
      <w:r w:rsidR="003F70BE">
        <w:rPr>
          <w:rFonts w:ascii="Times New Roman" w:eastAsia="Times New Roman" w:hAnsi="Times New Roman" w:cs="Times New Roman"/>
          <w:sz w:val="24"/>
          <w:szCs w:val="24"/>
        </w:rPr>
        <w:t>………………………………………………………………………………</w:t>
      </w:r>
      <w:r w:rsidR="00B90ED5">
        <w:rPr>
          <w:rFonts w:ascii="Times New Roman" w:eastAsia="Times New Roman" w:hAnsi="Times New Roman" w:cs="Times New Roman"/>
          <w:sz w:val="24"/>
          <w:szCs w:val="24"/>
        </w:rPr>
        <w:t>.... 30</w:t>
      </w:r>
    </w:p>
    <w:p w14:paraId="7EB98B75" w14:textId="2F280490" w:rsidR="00344907" w:rsidRPr="00205AC3" w:rsidRDefault="00205AC3" w:rsidP="00205AC3">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r w:rsidR="00F86333" w:rsidRPr="00CD2013">
        <w:rPr>
          <w:rFonts w:ascii="Times New Roman" w:eastAsia="Times New Roman" w:hAnsi="Times New Roman" w:cs="Times New Roman"/>
          <w:b/>
          <w:sz w:val="24"/>
          <w:szCs w:val="24"/>
        </w:rPr>
        <w:t xml:space="preserve"> BIBLIOGRAFÍA. </w:t>
      </w:r>
    </w:p>
    <w:p w14:paraId="00000074" w14:textId="34B6CB9A" w:rsidR="00BE1A9D" w:rsidRPr="00205AC3" w:rsidRDefault="00205AC3" w:rsidP="00205AC3">
      <w:pPr>
        <w:spacing w:line="360" w:lineRule="auto"/>
        <w:ind w:firstLine="720"/>
        <w:rPr>
          <w:rFonts w:ascii="Times New Roman" w:eastAsia="Times New Roman" w:hAnsi="Times New Roman" w:cs="Times New Roman"/>
          <w:b/>
          <w:sz w:val="24"/>
          <w:szCs w:val="24"/>
        </w:rPr>
      </w:pPr>
      <w:r w:rsidRPr="00205AC3">
        <w:rPr>
          <w:rFonts w:ascii="Times New Roman" w:eastAsia="Times New Roman" w:hAnsi="Times New Roman" w:cs="Times New Roman"/>
          <w:b/>
          <w:sz w:val="24"/>
          <w:szCs w:val="24"/>
        </w:rPr>
        <w:t xml:space="preserve">2.1.- </w:t>
      </w:r>
      <w:r>
        <w:rPr>
          <w:rFonts w:ascii="Times New Roman" w:eastAsia="Times New Roman" w:hAnsi="Times New Roman" w:cs="Times New Roman"/>
          <w:b/>
          <w:sz w:val="24"/>
          <w:szCs w:val="24"/>
        </w:rPr>
        <w:t>Doctrina</w:t>
      </w:r>
    </w:p>
    <w:p w14:paraId="00000075" w14:textId="18296C2D" w:rsidR="00BE1A9D" w:rsidRPr="00CD2013" w:rsidRDefault="00F86333" w:rsidP="00CD2013">
      <w:pPr>
        <w:numPr>
          <w:ilvl w:val="0"/>
          <w:numId w:val="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w:t>
      </w:r>
      <w:r w:rsidR="003F70BE" w:rsidRPr="00CD2013">
        <w:rPr>
          <w:rFonts w:ascii="Times New Roman" w:eastAsia="Times New Roman" w:hAnsi="Times New Roman" w:cs="Times New Roman"/>
          <w:sz w:val="24"/>
          <w:szCs w:val="24"/>
        </w:rPr>
        <w:t>Márquez</w:t>
      </w:r>
      <w:r w:rsidRPr="00CD2013">
        <w:rPr>
          <w:rFonts w:ascii="Times New Roman" w:eastAsia="Times New Roman" w:hAnsi="Times New Roman" w:cs="Times New Roman"/>
          <w:sz w:val="24"/>
          <w:szCs w:val="24"/>
        </w:rPr>
        <w:t xml:space="preserve"> Mendoza, E.E. (</w:t>
      </w:r>
      <w:proofErr w:type="gramStart"/>
      <w:r w:rsidRPr="00CD2013">
        <w:rPr>
          <w:rFonts w:ascii="Times New Roman" w:eastAsia="Times New Roman" w:hAnsi="Times New Roman" w:cs="Times New Roman"/>
          <w:sz w:val="24"/>
          <w:szCs w:val="24"/>
        </w:rPr>
        <w:t>S.F</w:t>
      </w:r>
      <w:proofErr w:type="gramEnd"/>
      <w:r w:rsidRPr="00CD2013">
        <w:rPr>
          <w:rFonts w:ascii="Times New Roman" w:eastAsia="Times New Roman" w:hAnsi="Times New Roman" w:cs="Times New Roman"/>
          <w:sz w:val="24"/>
          <w:szCs w:val="24"/>
        </w:rPr>
        <w:t>).El agotamiento de los recursos internos como requisito meramente formal o como requisito sustancial para acceder al sistema interamericano de derechos humanos. Recuperado de:</w:t>
      </w:r>
      <w:hyperlink r:id="rId8">
        <w:r w:rsidRPr="00CD2013">
          <w:rPr>
            <w:rFonts w:ascii="Times New Roman" w:eastAsia="Times New Roman" w:hAnsi="Times New Roman" w:cs="Times New Roman"/>
            <w:sz w:val="24"/>
            <w:szCs w:val="24"/>
          </w:rPr>
          <w:t xml:space="preserve"> </w:t>
        </w:r>
      </w:hyperlink>
      <w:hyperlink r:id="rId9">
        <w:r w:rsidRPr="00AB4372">
          <w:rPr>
            <w:rFonts w:ascii="Times New Roman" w:eastAsia="Times New Roman" w:hAnsi="Times New Roman" w:cs="Times New Roman"/>
            <w:sz w:val="24"/>
            <w:szCs w:val="24"/>
            <w:u w:val="single"/>
          </w:rPr>
          <w:t>https://repository.unilibre.edu.co/bitstream/handle/10901/11478/EL%20AGOTAMIENTO%20DE%20LOS%20RECURSOS%20INTERNOS%20COMO%20REQUISITO%20MERAMENTE%20FORMAL%20O%20COMO%20REQUISITO%20DE%20FONDO%20PARA%20ACCEDER%20AL%20SISTEMA%20INTERAMERICANO%20DE%20DERECHOS%20HUMANOS%20(1).pdf?sequence=1&amp;isAllowed=y</w:t>
        </w:r>
      </w:hyperlink>
    </w:p>
    <w:p w14:paraId="00000076" w14:textId="75CE431D" w:rsidR="00BE1A9D" w:rsidRPr="00CD2013" w:rsidRDefault="00F86333" w:rsidP="00CD2013">
      <w:pPr>
        <w:numPr>
          <w:ilvl w:val="0"/>
          <w:numId w:val="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Saavedra </w:t>
      </w:r>
      <w:r w:rsidR="003F70BE" w:rsidRPr="00CD2013">
        <w:rPr>
          <w:rFonts w:ascii="Times New Roman" w:eastAsia="Times New Roman" w:hAnsi="Times New Roman" w:cs="Times New Roman"/>
          <w:sz w:val="24"/>
          <w:szCs w:val="24"/>
        </w:rPr>
        <w:t>Álvarez</w:t>
      </w:r>
      <w:r w:rsidRPr="00CD2013">
        <w:rPr>
          <w:rFonts w:ascii="Times New Roman" w:eastAsia="Times New Roman" w:hAnsi="Times New Roman" w:cs="Times New Roman"/>
          <w:sz w:val="24"/>
          <w:szCs w:val="24"/>
        </w:rPr>
        <w:t>, Y. El trámite de casos individuales ante la Corte Interamericana de Derechos Humanos. Colección Sistema Interamericano de Derechos Humanos. México, 2011,</w:t>
      </w:r>
    </w:p>
    <w:p w14:paraId="00000077" w14:textId="69B45E8A" w:rsidR="00BE1A9D" w:rsidRPr="00CD2013" w:rsidRDefault="00F86333" w:rsidP="00CD2013">
      <w:pPr>
        <w:numPr>
          <w:ilvl w:val="0"/>
          <w:numId w:val="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Estrada </w:t>
      </w:r>
      <w:proofErr w:type="spellStart"/>
      <w:r w:rsidRPr="00CD2013">
        <w:rPr>
          <w:rFonts w:ascii="Times New Roman" w:eastAsia="Times New Roman" w:hAnsi="Times New Roman" w:cs="Times New Roman"/>
          <w:sz w:val="24"/>
          <w:szCs w:val="24"/>
        </w:rPr>
        <w:t>Tanck</w:t>
      </w:r>
      <w:proofErr w:type="spellEnd"/>
      <w:r w:rsidRPr="00CD2013">
        <w:rPr>
          <w:rFonts w:ascii="Times New Roman" w:eastAsia="Times New Roman" w:hAnsi="Times New Roman" w:cs="Times New Roman"/>
          <w:sz w:val="24"/>
          <w:szCs w:val="24"/>
        </w:rPr>
        <w:t xml:space="preserve">, D. (2018). El principio de igualdad ante la ley en el derecho internacional. </w:t>
      </w:r>
      <w:r w:rsidR="003F70BE" w:rsidRPr="00CD2013">
        <w:rPr>
          <w:rFonts w:ascii="Times New Roman" w:eastAsia="Times New Roman" w:hAnsi="Times New Roman" w:cs="Times New Roman"/>
          <w:sz w:val="24"/>
          <w:szCs w:val="24"/>
        </w:rPr>
        <w:t>Vol.</w:t>
      </w:r>
      <w:r w:rsidRPr="00CD2013">
        <w:rPr>
          <w:rFonts w:ascii="Times New Roman" w:eastAsia="Times New Roman" w:hAnsi="Times New Roman" w:cs="Times New Roman"/>
          <w:sz w:val="24"/>
          <w:szCs w:val="24"/>
        </w:rPr>
        <w:t xml:space="preserve"> 11, 322-339. DOI:</w:t>
      </w:r>
      <w:hyperlink r:id="rId10">
        <w:r w:rsidRPr="00CD2013">
          <w:rPr>
            <w:rFonts w:ascii="Times New Roman" w:eastAsia="Times New Roman" w:hAnsi="Times New Roman" w:cs="Times New Roman"/>
            <w:sz w:val="24"/>
            <w:szCs w:val="24"/>
          </w:rPr>
          <w:t xml:space="preserve"> </w:t>
        </w:r>
      </w:hyperlink>
      <w:hyperlink r:id="rId11">
        <w:r w:rsidRPr="00AB4372">
          <w:rPr>
            <w:rFonts w:ascii="Times New Roman" w:eastAsia="Times New Roman" w:hAnsi="Times New Roman" w:cs="Times New Roman"/>
            <w:sz w:val="24"/>
            <w:szCs w:val="24"/>
            <w:u w:val="single"/>
          </w:rPr>
          <w:t>https://doi.org/10.20318/cdt.2019.4622</w:t>
        </w:r>
      </w:hyperlink>
    </w:p>
    <w:p w14:paraId="00000078" w14:textId="7FA6F862" w:rsidR="00BE1A9D" w:rsidRPr="00CD2013" w:rsidRDefault="00F86333" w:rsidP="00CD2013">
      <w:pPr>
        <w:numPr>
          <w:ilvl w:val="0"/>
          <w:numId w:val="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CEDAW. Recomendación general </w:t>
      </w:r>
      <w:r w:rsidR="003F70BE" w:rsidRPr="00CD2013">
        <w:rPr>
          <w:rFonts w:ascii="Times New Roman" w:eastAsia="Times New Roman" w:hAnsi="Times New Roman" w:cs="Times New Roman"/>
          <w:sz w:val="24"/>
          <w:szCs w:val="24"/>
        </w:rPr>
        <w:t>núm.</w:t>
      </w:r>
      <w:r w:rsidRPr="00CD2013">
        <w:rPr>
          <w:rFonts w:ascii="Times New Roman" w:eastAsia="Times New Roman" w:hAnsi="Times New Roman" w:cs="Times New Roman"/>
          <w:sz w:val="24"/>
          <w:szCs w:val="24"/>
        </w:rPr>
        <w:t xml:space="preserve"> 35 sobre la violencia por razón de género contra la </w:t>
      </w:r>
      <w:r w:rsidR="003F70BE" w:rsidRPr="00CD2013">
        <w:rPr>
          <w:rFonts w:ascii="Times New Roman" w:eastAsia="Times New Roman" w:hAnsi="Times New Roman" w:cs="Times New Roman"/>
          <w:sz w:val="24"/>
          <w:szCs w:val="24"/>
        </w:rPr>
        <w:t>mujer. Julio</w:t>
      </w:r>
      <w:r w:rsidRPr="00CD2013">
        <w:rPr>
          <w:rFonts w:ascii="Times New Roman" w:eastAsia="Times New Roman" w:hAnsi="Times New Roman" w:cs="Times New Roman"/>
          <w:sz w:val="24"/>
          <w:szCs w:val="24"/>
        </w:rPr>
        <w:t xml:space="preserve"> 26 de 2017. </w:t>
      </w:r>
      <w:r w:rsidR="003F70BE" w:rsidRPr="00CD2013">
        <w:rPr>
          <w:rFonts w:ascii="Times New Roman" w:eastAsia="Times New Roman" w:hAnsi="Times New Roman" w:cs="Times New Roman"/>
          <w:sz w:val="24"/>
          <w:szCs w:val="24"/>
        </w:rPr>
        <w:t>párr.</w:t>
      </w:r>
      <w:r w:rsidRPr="00CD2013">
        <w:rPr>
          <w:rFonts w:ascii="Times New Roman" w:eastAsia="Times New Roman" w:hAnsi="Times New Roman" w:cs="Times New Roman"/>
          <w:sz w:val="24"/>
          <w:szCs w:val="24"/>
        </w:rPr>
        <w:t xml:space="preserve"> 13</w:t>
      </w:r>
    </w:p>
    <w:p w14:paraId="00000079" w14:textId="25869CEA" w:rsidR="00BE1A9D" w:rsidRPr="00CD2013" w:rsidRDefault="00F86333" w:rsidP="00CD2013">
      <w:pPr>
        <w:numPr>
          <w:ilvl w:val="0"/>
          <w:numId w:val="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Alonso Reguera. Enrique M</w:t>
      </w:r>
      <w:r w:rsidR="003F70BE" w:rsidRPr="00CD2013">
        <w:rPr>
          <w:rFonts w:ascii="Times New Roman" w:eastAsia="Times New Roman" w:hAnsi="Times New Roman" w:cs="Times New Roman"/>
          <w:sz w:val="24"/>
          <w:szCs w:val="24"/>
        </w:rPr>
        <w:t>. (</w:t>
      </w:r>
      <w:r w:rsidRPr="00CD2013">
        <w:rPr>
          <w:rFonts w:ascii="Times New Roman" w:eastAsia="Times New Roman" w:hAnsi="Times New Roman" w:cs="Times New Roman"/>
          <w:sz w:val="24"/>
          <w:szCs w:val="24"/>
        </w:rPr>
        <w:t>2013) Convención Americana de Derechos Humanos y su proyección en el Derecho Argentino. 1a- ed. Buenos Aires. La ley: Departamento de publicaciones de la Facultad de Derecho</w:t>
      </w:r>
    </w:p>
    <w:p w14:paraId="0000007A" w14:textId="434087A6" w:rsidR="00BE1A9D" w:rsidRPr="0050379C" w:rsidRDefault="00205AC3" w:rsidP="00205AC3">
      <w:pPr>
        <w:spacing w:line="360" w:lineRule="auto"/>
        <w:ind w:firstLine="720"/>
        <w:rPr>
          <w:rFonts w:ascii="Times New Roman" w:eastAsia="Times New Roman" w:hAnsi="Times New Roman" w:cs="Times New Roman"/>
          <w:b/>
          <w:sz w:val="24"/>
          <w:szCs w:val="24"/>
        </w:rPr>
      </w:pPr>
      <w:r w:rsidRPr="0050379C">
        <w:rPr>
          <w:rFonts w:ascii="Times New Roman" w:eastAsia="Times New Roman" w:hAnsi="Times New Roman" w:cs="Times New Roman"/>
          <w:b/>
          <w:sz w:val="24"/>
          <w:szCs w:val="24"/>
        </w:rPr>
        <w:t>2.2.-</w:t>
      </w:r>
      <w:r w:rsidR="0050379C" w:rsidRPr="0050379C">
        <w:rPr>
          <w:rFonts w:ascii="Times New Roman" w:eastAsia="Times New Roman" w:hAnsi="Times New Roman" w:cs="Times New Roman"/>
          <w:b/>
          <w:sz w:val="24"/>
          <w:szCs w:val="24"/>
        </w:rPr>
        <w:t xml:space="preserve"> </w:t>
      </w:r>
      <w:r w:rsidR="0050379C">
        <w:rPr>
          <w:rFonts w:ascii="Times New Roman" w:eastAsia="Times New Roman" w:hAnsi="Times New Roman" w:cs="Times New Roman"/>
          <w:b/>
          <w:sz w:val="24"/>
          <w:szCs w:val="24"/>
        </w:rPr>
        <w:t>Jurisprudencia internacional</w:t>
      </w:r>
    </w:p>
    <w:p w14:paraId="0000007B" w14:textId="77777777" w:rsidR="00BE1A9D" w:rsidRPr="00CD2013" w:rsidRDefault="00F86333" w:rsidP="00CD2013">
      <w:pPr>
        <w:numPr>
          <w:ilvl w:val="0"/>
          <w:numId w:val="10"/>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Jurisprudencia de la </w:t>
      </w:r>
      <w:proofErr w:type="spellStart"/>
      <w:r w:rsidRPr="00CD2013">
        <w:rPr>
          <w:rFonts w:ascii="Times New Roman" w:eastAsia="Times New Roman" w:hAnsi="Times New Roman" w:cs="Times New Roman"/>
          <w:sz w:val="24"/>
          <w:szCs w:val="24"/>
        </w:rPr>
        <w:t>CorteIDH</w:t>
      </w:r>
      <w:proofErr w:type="spellEnd"/>
    </w:p>
    <w:p w14:paraId="0000007C" w14:textId="29118BE5"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00A60D9B">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w:t>
      </w:r>
      <w:r w:rsidRPr="00A60D9B">
        <w:rPr>
          <w:rFonts w:ascii="Times New Roman" w:eastAsia="Times New Roman" w:hAnsi="Times New Roman" w:cs="Times New Roman"/>
          <w:i/>
          <w:sz w:val="24"/>
          <w:szCs w:val="24"/>
        </w:rPr>
        <w:t>Caso Velásquez Rodrí</w:t>
      </w:r>
      <w:r w:rsidR="00A60D9B" w:rsidRPr="00A60D9B">
        <w:rPr>
          <w:rFonts w:ascii="Times New Roman" w:eastAsia="Times New Roman" w:hAnsi="Times New Roman" w:cs="Times New Roman"/>
          <w:i/>
          <w:sz w:val="24"/>
          <w:szCs w:val="24"/>
        </w:rPr>
        <w:t>guez Vs. Honduras</w:t>
      </w:r>
      <w:r w:rsidR="00A60D9B">
        <w:rPr>
          <w:rFonts w:ascii="Times New Roman" w:eastAsia="Times New Roman" w:hAnsi="Times New Roman" w:cs="Times New Roman"/>
          <w:sz w:val="24"/>
          <w:szCs w:val="24"/>
        </w:rPr>
        <w:t>. Sentencia de</w:t>
      </w:r>
      <w:r w:rsidRPr="00CD2013">
        <w:rPr>
          <w:rFonts w:ascii="Times New Roman" w:eastAsia="Times New Roman" w:hAnsi="Times New Roman" w:cs="Times New Roman"/>
          <w:sz w:val="24"/>
          <w:szCs w:val="24"/>
        </w:rPr>
        <w:t xml:space="preserve"> 26 de junio de 1987</w:t>
      </w:r>
      <w:r w:rsidR="00A60D9B">
        <w:rPr>
          <w:rFonts w:ascii="Times New Roman" w:eastAsia="Times New Roman" w:hAnsi="Times New Roman" w:cs="Times New Roman"/>
          <w:sz w:val="24"/>
          <w:szCs w:val="24"/>
        </w:rPr>
        <w:t>.</w:t>
      </w:r>
    </w:p>
    <w:p w14:paraId="0000007D" w14:textId="1CCE153D"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w:t>
      </w:r>
      <w:r w:rsidR="00A60D9B" w:rsidRPr="00A60D9B">
        <w:rPr>
          <w:rFonts w:ascii="Times New Roman" w:eastAsia="Times New Roman" w:hAnsi="Times New Roman" w:cs="Times New Roman"/>
          <w:i/>
          <w:sz w:val="24"/>
          <w:szCs w:val="24"/>
        </w:rPr>
        <w:t>.</w:t>
      </w:r>
      <w:r w:rsidRPr="00A60D9B">
        <w:rPr>
          <w:rFonts w:ascii="Times New Roman" w:eastAsia="Times New Roman" w:hAnsi="Times New Roman" w:cs="Times New Roman"/>
          <w:i/>
          <w:sz w:val="24"/>
          <w:szCs w:val="24"/>
        </w:rPr>
        <w:t xml:space="preserve"> Caso </w:t>
      </w:r>
      <w:proofErr w:type="spellStart"/>
      <w:r w:rsidRPr="00A60D9B">
        <w:rPr>
          <w:rFonts w:ascii="Times New Roman" w:eastAsia="Times New Roman" w:hAnsi="Times New Roman" w:cs="Times New Roman"/>
          <w:i/>
          <w:sz w:val="24"/>
          <w:szCs w:val="24"/>
        </w:rPr>
        <w:t>Mémoli</w:t>
      </w:r>
      <w:proofErr w:type="spellEnd"/>
      <w:r w:rsidRPr="00A60D9B">
        <w:rPr>
          <w:rFonts w:ascii="Times New Roman" w:eastAsia="Times New Roman" w:hAnsi="Times New Roman" w:cs="Times New Roman"/>
          <w:i/>
          <w:sz w:val="24"/>
          <w:szCs w:val="24"/>
        </w:rPr>
        <w:t xml:space="preserve"> Vs. Argentina</w:t>
      </w:r>
      <w:r w:rsidRPr="00CD2013">
        <w:rPr>
          <w:rFonts w:ascii="Times New Roman" w:eastAsia="Times New Roman" w:hAnsi="Times New Roman" w:cs="Times New Roman"/>
          <w:sz w:val="24"/>
          <w:szCs w:val="24"/>
        </w:rPr>
        <w:t>. Sentencia de 22 de agosto de 2013.</w:t>
      </w:r>
    </w:p>
    <w:p w14:paraId="0000007E" w14:textId="2F607A93"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lastRenderedPageBreak/>
        <w:t xml:space="preserve"> Corte IDH</w:t>
      </w:r>
      <w:r w:rsidR="00A60D9B">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w:t>
      </w:r>
      <w:r w:rsidRPr="00BF4E9A">
        <w:rPr>
          <w:rFonts w:ascii="Times New Roman" w:eastAsia="Times New Roman" w:hAnsi="Times New Roman" w:cs="Times New Roman"/>
          <w:i/>
          <w:sz w:val="24"/>
          <w:szCs w:val="24"/>
        </w:rPr>
        <w:t>Caso Perozo y otros vs Venezuela</w:t>
      </w:r>
      <w:r w:rsidRPr="00CD2013">
        <w:rPr>
          <w:rFonts w:ascii="Times New Roman" w:eastAsia="Times New Roman" w:hAnsi="Times New Roman" w:cs="Times New Roman"/>
          <w:sz w:val="24"/>
          <w:szCs w:val="24"/>
        </w:rPr>
        <w:t>. Sentencia de 28 de enero de 2009</w:t>
      </w:r>
      <w:r w:rsidR="00BF4E9A">
        <w:rPr>
          <w:rFonts w:ascii="Times New Roman" w:eastAsia="Times New Roman" w:hAnsi="Times New Roman" w:cs="Times New Roman"/>
          <w:sz w:val="24"/>
          <w:szCs w:val="24"/>
        </w:rPr>
        <w:t>.</w:t>
      </w:r>
    </w:p>
    <w:p w14:paraId="0000007F" w14:textId="0BDCC439" w:rsidR="00BE1A9D" w:rsidRPr="00CD2013" w:rsidRDefault="00BF4E9A" w:rsidP="00CD2013">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Corte IDH. </w:t>
      </w:r>
      <w:r w:rsidR="00F86333" w:rsidRPr="00BF4E9A">
        <w:rPr>
          <w:rFonts w:ascii="Times New Roman" w:eastAsia="Times New Roman" w:hAnsi="Times New Roman" w:cs="Times New Roman"/>
          <w:i/>
          <w:sz w:val="24"/>
          <w:szCs w:val="24"/>
        </w:rPr>
        <w:t>Caso de personas dominicanas y haitianas expulsadas Vs. República Dominicana.</w:t>
      </w:r>
      <w:r w:rsidR="00F86333" w:rsidRPr="00CD2013">
        <w:rPr>
          <w:rFonts w:ascii="Times New Roman" w:eastAsia="Times New Roman" w:hAnsi="Times New Roman" w:cs="Times New Roman"/>
          <w:sz w:val="24"/>
          <w:szCs w:val="24"/>
        </w:rPr>
        <w:t xml:space="preserve"> Sentencia de</w:t>
      </w:r>
      <w:r>
        <w:rPr>
          <w:rFonts w:ascii="Times New Roman" w:eastAsia="Times New Roman" w:hAnsi="Times New Roman" w:cs="Times New Roman"/>
          <w:sz w:val="24"/>
          <w:szCs w:val="24"/>
        </w:rPr>
        <w:t xml:space="preserve"> 28 de agosto de 2014.</w:t>
      </w:r>
    </w:p>
    <w:p w14:paraId="00000080" w14:textId="234B3843" w:rsidR="00BE1A9D" w:rsidRPr="00CD2013" w:rsidRDefault="00BF4E9A" w:rsidP="00CD2013">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Corte IDH.</w:t>
      </w:r>
      <w:r w:rsidR="00F86333" w:rsidRPr="00CD2013">
        <w:rPr>
          <w:rFonts w:ascii="Times New Roman" w:eastAsia="Times New Roman" w:hAnsi="Times New Roman" w:cs="Times New Roman"/>
          <w:sz w:val="24"/>
          <w:szCs w:val="24"/>
        </w:rPr>
        <w:t xml:space="preserve"> </w:t>
      </w:r>
      <w:r w:rsidR="00F86333" w:rsidRPr="00BF4E9A">
        <w:rPr>
          <w:rFonts w:ascii="Times New Roman" w:eastAsia="Times New Roman" w:hAnsi="Times New Roman" w:cs="Times New Roman"/>
          <w:i/>
          <w:sz w:val="24"/>
          <w:szCs w:val="24"/>
        </w:rPr>
        <w:t>Caso Godínez Cruz vs Honduras</w:t>
      </w:r>
      <w:r>
        <w:rPr>
          <w:rFonts w:ascii="Times New Roman" w:eastAsia="Times New Roman" w:hAnsi="Times New Roman" w:cs="Times New Roman"/>
          <w:sz w:val="24"/>
          <w:szCs w:val="24"/>
        </w:rPr>
        <w:t xml:space="preserve">. </w:t>
      </w:r>
      <w:r w:rsidR="00F86333" w:rsidRPr="00CD2013">
        <w:rPr>
          <w:rFonts w:ascii="Times New Roman" w:eastAsia="Times New Roman" w:hAnsi="Times New Roman" w:cs="Times New Roman"/>
          <w:sz w:val="24"/>
          <w:szCs w:val="24"/>
        </w:rPr>
        <w:t>Sentencia de 20 de enero de 1989</w:t>
      </w:r>
      <w:r>
        <w:rPr>
          <w:rFonts w:ascii="Times New Roman" w:eastAsia="Times New Roman" w:hAnsi="Times New Roman" w:cs="Times New Roman"/>
          <w:sz w:val="24"/>
          <w:szCs w:val="24"/>
        </w:rPr>
        <w:t>.</w:t>
      </w:r>
    </w:p>
    <w:p w14:paraId="00000081" w14:textId="17BA3A89"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00BF4E9A">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w:t>
      </w:r>
      <w:r w:rsidRPr="00BF4E9A">
        <w:rPr>
          <w:rFonts w:ascii="Times New Roman" w:eastAsia="Times New Roman" w:hAnsi="Times New Roman" w:cs="Times New Roman"/>
          <w:i/>
          <w:sz w:val="24"/>
          <w:szCs w:val="24"/>
        </w:rPr>
        <w:t>Santo Domingo Vs. Colombia</w:t>
      </w:r>
      <w:r w:rsidRPr="00CD2013">
        <w:rPr>
          <w:rFonts w:ascii="Times New Roman" w:eastAsia="Times New Roman" w:hAnsi="Times New Roman" w:cs="Times New Roman"/>
          <w:sz w:val="24"/>
          <w:szCs w:val="24"/>
        </w:rPr>
        <w:t>. Sentencia de 30 de noviembre de 2012</w:t>
      </w:r>
      <w:r w:rsidR="00BF4E9A">
        <w:rPr>
          <w:rFonts w:ascii="Times New Roman" w:eastAsia="Times New Roman" w:hAnsi="Times New Roman" w:cs="Times New Roman"/>
          <w:sz w:val="24"/>
          <w:szCs w:val="24"/>
        </w:rPr>
        <w:t>.</w:t>
      </w:r>
    </w:p>
    <w:p w14:paraId="00000082" w14:textId="5E64453A"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w:t>
      </w:r>
      <w:r w:rsidR="00BF4E9A">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w:t>
      </w:r>
      <w:r w:rsidRPr="00BF4E9A">
        <w:rPr>
          <w:rFonts w:ascii="Times New Roman" w:eastAsia="Times New Roman" w:hAnsi="Times New Roman" w:cs="Times New Roman"/>
          <w:i/>
          <w:sz w:val="24"/>
          <w:szCs w:val="24"/>
        </w:rPr>
        <w:t xml:space="preserve">Caso Lagos del Campo vs Perú. </w:t>
      </w:r>
      <w:r w:rsidRPr="00CD2013">
        <w:rPr>
          <w:rFonts w:ascii="Times New Roman" w:eastAsia="Times New Roman" w:hAnsi="Times New Roman" w:cs="Times New Roman"/>
          <w:sz w:val="24"/>
          <w:szCs w:val="24"/>
        </w:rPr>
        <w:t>Sentencia del 31 de agosto de 2017</w:t>
      </w:r>
      <w:r w:rsidR="00BF4E9A">
        <w:rPr>
          <w:rFonts w:ascii="Times New Roman" w:eastAsia="Times New Roman" w:hAnsi="Times New Roman" w:cs="Times New Roman"/>
          <w:sz w:val="24"/>
          <w:szCs w:val="24"/>
        </w:rPr>
        <w:t>.</w:t>
      </w:r>
    </w:p>
    <w:p w14:paraId="00000083" w14:textId="47C0A965"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00BF4E9A">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w:t>
      </w:r>
      <w:r w:rsidRPr="00BF4E9A">
        <w:rPr>
          <w:rFonts w:ascii="Times New Roman" w:eastAsia="Times New Roman" w:hAnsi="Times New Roman" w:cs="Times New Roman"/>
          <w:i/>
          <w:sz w:val="24"/>
          <w:szCs w:val="24"/>
        </w:rPr>
        <w:t>Caso Yarce y otras vs Colombia</w:t>
      </w:r>
      <w:r w:rsidR="00BF4E9A">
        <w:rPr>
          <w:rFonts w:ascii="Times New Roman" w:eastAsia="Times New Roman" w:hAnsi="Times New Roman" w:cs="Times New Roman"/>
          <w:sz w:val="24"/>
          <w:szCs w:val="24"/>
        </w:rPr>
        <w:t>. S</w:t>
      </w:r>
      <w:r w:rsidRPr="00CD2013">
        <w:rPr>
          <w:rFonts w:ascii="Times New Roman" w:eastAsia="Times New Roman" w:hAnsi="Times New Roman" w:cs="Times New Roman"/>
          <w:sz w:val="24"/>
          <w:szCs w:val="24"/>
        </w:rPr>
        <w:t>entencia de 22 de noviembre de 2016</w:t>
      </w:r>
      <w:r w:rsidR="00BF4E9A">
        <w:rPr>
          <w:rFonts w:ascii="Times New Roman" w:eastAsia="Times New Roman" w:hAnsi="Times New Roman" w:cs="Times New Roman"/>
          <w:sz w:val="24"/>
          <w:szCs w:val="24"/>
        </w:rPr>
        <w:t>.</w:t>
      </w:r>
    </w:p>
    <w:p w14:paraId="00000084" w14:textId="48837022" w:rsidR="00BE1A9D" w:rsidRPr="00CD2013" w:rsidRDefault="00BF4E9A" w:rsidP="00CD2013">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Corte IDH. </w:t>
      </w:r>
      <w:r w:rsidR="00F86333" w:rsidRPr="00BF4E9A">
        <w:rPr>
          <w:rFonts w:ascii="Times New Roman" w:eastAsia="Times New Roman" w:hAnsi="Times New Roman" w:cs="Times New Roman"/>
          <w:i/>
          <w:sz w:val="24"/>
          <w:szCs w:val="24"/>
        </w:rPr>
        <w:t>Caso Maldonado Ordoñez vs Guatemala</w:t>
      </w:r>
      <w:r w:rsidR="00F86333" w:rsidRPr="00CD2013">
        <w:rPr>
          <w:rFonts w:ascii="Times New Roman" w:eastAsia="Times New Roman" w:hAnsi="Times New Roman" w:cs="Times New Roman"/>
          <w:sz w:val="24"/>
          <w:szCs w:val="24"/>
        </w:rPr>
        <w:t xml:space="preserve">. Sentencia 3 de </w:t>
      </w:r>
      <w:proofErr w:type="gramStart"/>
      <w:r w:rsidR="00F86333" w:rsidRPr="00CD2013">
        <w:rPr>
          <w:rFonts w:ascii="Times New Roman" w:eastAsia="Times New Roman" w:hAnsi="Times New Roman" w:cs="Times New Roman"/>
          <w:sz w:val="24"/>
          <w:szCs w:val="24"/>
        </w:rPr>
        <w:t>Mayo</w:t>
      </w:r>
      <w:proofErr w:type="gramEnd"/>
      <w:r w:rsidR="00F86333" w:rsidRPr="00CD2013">
        <w:rPr>
          <w:rFonts w:ascii="Times New Roman" w:eastAsia="Times New Roman" w:hAnsi="Times New Roman" w:cs="Times New Roman"/>
          <w:sz w:val="24"/>
          <w:szCs w:val="24"/>
        </w:rPr>
        <w:t xml:space="preserve"> de 2016.</w:t>
      </w:r>
    </w:p>
    <w:p w14:paraId="00000085"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Pr="00BF4E9A">
        <w:rPr>
          <w:rFonts w:ascii="Times New Roman" w:eastAsia="Times New Roman" w:hAnsi="Times New Roman" w:cs="Times New Roman"/>
          <w:i/>
          <w:sz w:val="24"/>
          <w:szCs w:val="24"/>
        </w:rPr>
        <w:t>. Caso Zegarra Marín Vs. Perú.</w:t>
      </w:r>
      <w:r w:rsidRPr="00CD2013">
        <w:rPr>
          <w:rFonts w:ascii="Times New Roman" w:eastAsia="Times New Roman" w:hAnsi="Times New Roman" w:cs="Times New Roman"/>
          <w:sz w:val="24"/>
          <w:szCs w:val="24"/>
        </w:rPr>
        <w:t xml:space="preserve"> Sentencia de 15 de febrero de 2017.</w:t>
      </w:r>
    </w:p>
    <w:p w14:paraId="00000086" w14:textId="7571B3A5"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BF4E9A">
        <w:rPr>
          <w:rFonts w:ascii="Times New Roman" w:eastAsia="Times New Roman" w:hAnsi="Times New Roman" w:cs="Times New Roman"/>
          <w:i/>
          <w:sz w:val="24"/>
          <w:szCs w:val="24"/>
        </w:rPr>
        <w:t>Caso Ruano Torres y otros Vs. El Salvador</w:t>
      </w:r>
      <w:r w:rsidRPr="00CD2013">
        <w:rPr>
          <w:rFonts w:ascii="Times New Roman" w:eastAsia="Times New Roman" w:hAnsi="Times New Roman" w:cs="Times New Roman"/>
          <w:sz w:val="24"/>
          <w:szCs w:val="24"/>
        </w:rPr>
        <w:t>. Sentencia de 5 de octubre de 2015</w:t>
      </w:r>
      <w:r w:rsidR="00BF4E9A">
        <w:rPr>
          <w:rFonts w:ascii="Times New Roman" w:eastAsia="Times New Roman" w:hAnsi="Times New Roman" w:cs="Times New Roman"/>
          <w:sz w:val="24"/>
          <w:szCs w:val="24"/>
        </w:rPr>
        <w:t>.</w:t>
      </w:r>
    </w:p>
    <w:p w14:paraId="00000087"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BF4E9A">
        <w:rPr>
          <w:rFonts w:ascii="Times New Roman" w:eastAsia="Times New Roman" w:hAnsi="Times New Roman" w:cs="Times New Roman"/>
          <w:i/>
          <w:sz w:val="24"/>
          <w:szCs w:val="24"/>
        </w:rPr>
        <w:t>Caso López Álvarez vs Honduras</w:t>
      </w:r>
      <w:r w:rsidRPr="00CD2013">
        <w:rPr>
          <w:rFonts w:ascii="Times New Roman" w:eastAsia="Times New Roman" w:hAnsi="Times New Roman" w:cs="Times New Roman"/>
          <w:sz w:val="24"/>
          <w:szCs w:val="24"/>
        </w:rPr>
        <w:t>. Sentencia de 1 de febrero de 2006.</w:t>
      </w:r>
    </w:p>
    <w:p w14:paraId="00000088"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Pr="00BF4E9A">
        <w:rPr>
          <w:rFonts w:ascii="Times New Roman" w:eastAsia="Times New Roman" w:hAnsi="Times New Roman" w:cs="Times New Roman"/>
          <w:i/>
          <w:sz w:val="24"/>
          <w:szCs w:val="24"/>
        </w:rPr>
        <w:t>. Caso trabajadores de la hacienda Brasil Verde Vs. Brasil</w:t>
      </w:r>
      <w:r w:rsidRPr="00CD2013">
        <w:rPr>
          <w:rFonts w:ascii="Times New Roman" w:eastAsia="Times New Roman" w:hAnsi="Times New Roman" w:cs="Times New Roman"/>
          <w:sz w:val="24"/>
          <w:szCs w:val="24"/>
        </w:rPr>
        <w:t>. Sentencia de 20 de octubre de 2016.</w:t>
      </w:r>
    </w:p>
    <w:p w14:paraId="00000089" w14:textId="62F68DAC"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proofErr w:type="gramStart"/>
      <w:r w:rsidRPr="00BF4E9A">
        <w:rPr>
          <w:rFonts w:ascii="Times New Roman" w:eastAsia="Times New Roman" w:hAnsi="Times New Roman" w:cs="Times New Roman"/>
          <w:i/>
          <w:sz w:val="24"/>
          <w:szCs w:val="24"/>
        </w:rPr>
        <w:t>Caso  Masacres</w:t>
      </w:r>
      <w:proofErr w:type="gramEnd"/>
      <w:r w:rsidRPr="00BF4E9A">
        <w:rPr>
          <w:rFonts w:ascii="Times New Roman" w:eastAsia="Times New Roman" w:hAnsi="Times New Roman" w:cs="Times New Roman"/>
          <w:i/>
          <w:sz w:val="24"/>
          <w:szCs w:val="24"/>
        </w:rPr>
        <w:t xml:space="preserve"> de Rio negro Vs. Guatemala</w:t>
      </w:r>
      <w:r w:rsidRPr="00CD2013">
        <w:rPr>
          <w:rFonts w:ascii="Times New Roman" w:eastAsia="Times New Roman" w:hAnsi="Times New Roman" w:cs="Times New Roman"/>
          <w:sz w:val="24"/>
          <w:szCs w:val="24"/>
        </w:rPr>
        <w:t>. Sentencia 4 de septiembre de 2012</w:t>
      </w:r>
      <w:r w:rsidR="00BF4E9A">
        <w:rPr>
          <w:rFonts w:ascii="Times New Roman" w:eastAsia="Times New Roman" w:hAnsi="Times New Roman" w:cs="Times New Roman"/>
          <w:sz w:val="24"/>
          <w:szCs w:val="24"/>
        </w:rPr>
        <w:t>.</w:t>
      </w:r>
    </w:p>
    <w:p w14:paraId="0000008A" w14:textId="27A5DE92"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 </w:t>
      </w:r>
      <w:r w:rsidRPr="00BF4E9A">
        <w:rPr>
          <w:rFonts w:ascii="Times New Roman" w:eastAsia="Times New Roman" w:hAnsi="Times New Roman" w:cs="Times New Roman"/>
          <w:i/>
          <w:sz w:val="24"/>
          <w:szCs w:val="24"/>
        </w:rPr>
        <w:t xml:space="preserve">Caso Arrom </w:t>
      </w:r>
      <w:proofErr w:type="spellStart"/>
      <w:r w:rsidRPr="00BF4E9A">
        <w:rPr>
          <w:rFonts w:ascii="Times New Roman" w:eastAsia="Times New Roman" w:hAnsi="Times New Roman" w:cs="Times New Roman"/>
          <w:i/>
          <w:sz w:val="24"/>
          <w:szCs w:val="24"/>
        </w:rPr>
        <w:t>Suhurt</w:t>
      </w:r>
      <w:proofErr w:type="spellEnd"/>
      <w:r w:rsidRPr="00BF4E9A">
        <w:rPr>
          <w:rFonts w:ascii="Times New Roman" w:eastAsia="Times New Roman" w:hAnsi="Times New Roman" w:cs="Times New Roman"/>
          <w:i/>
          <w:sz w:val="24"/>
          <w:szCs w:val="24"/>
        </w:rPr>
        <w:t xml:space="preserve"> y otros Vs. Paraguay</w:t>
      </w:r>
      <w:r w:rsidRPr="00CD2013">
        <w:rPr>
          <w:rFonts w:ascii="Times New Roman" w:eastAsia="Times New Roman" w:hAnsi="Times New Roman" w:cs="Times New Roman"/>
          <w:sz w:val="24"/>
          <w:szCs w:val="24"/>
        </w:rPr>
        <w:t>. Sentencia 13 de mayo de 2019</w:t>
      </w:r>
      <w:r w:rsidR="00BF4E9A">
        <w:rPr>
          <w:rFonts w:ascii="Times New Roman" w:eastAsia="Times New Roman" w:hAnsi="Times New Roman" w:cs="Times New Roman"/>
          <w:sz w:val="24"/>
          <w:szCs w:val="24"/>
        </w:rPr>
        <w:t>.</w:t>
      </w:r>
    </w:p>
    <w:p w14:paraId="0000008B"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 </w:t>
      </w:r>
      <w:r w:rsidRPr="00BF4E9A">
        <w:rPr>
          <w:rFonts w:ascii="Times New Roman" w:eastAsia="Times New Roman" w:hAnsi="Times New Roman" w:cs="Times New Roman"/>
          <w:i/>
          <w:sz w:val="24"/>
          <w:szCs w:val="24"/>
        </w:rPr>
        <w:t>Caso Velásquez Paiz y otros vs Guatemala</w:t>
      </w:r>
      <w:r w:rsidRPr="00CD2013">
        <w:rPr>
          <w:rFonts w:ascii="Times New Roman" w:eastAsia="Times New Roman" w:hAnsi="Times New Roman" w:cs="Times New Roman"/>
          <w:sz w:val="24"/>
          <w:szCs w:val="24"/>
        </w:rPr>
        <w:t>. Sentencia de 19 de noviembre de 2015.</w:t>
      </w:r>
    </w:p>
    <w:p w14:paraId="0000008C" w14:textId="21584DC6"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 </w:t>
      </w:r>
      <w:r w:rsidRPr="00BF4E9A">
        <w:rPr>
          <w:rFonts w:ascii="Times New Roman" w:eastAsia="Times New Roman" w:hAnsi="Times New Roman" w:cs="Times New Roman"/>
          <w:i/>
          <w:sz w:val="24"/>
          <w:szCs w:val="24"/>
        </w:rPr>
        <w:t xml:space="preserve">Caso </w:t>
      </w:r>
      <w:proofErr w:type="spellStart"/>
      <w:r w:rsidRPr="00BF4E9A">
        <w:rPr>
          <w:rFonts w:ascii="Times New Roman" w:eastAsia="Times New Roman" w:hAnsi="Times New Roman" w:cs="Times New Roman"/>
          <w:i/>
          <w:sz w:val="24"/>
          <w:szCs w:val="24"/>
        </w:rPr>
        <w:t>Furlan</w:t>
      </w:r>
      <w:proofErr w:type="spellEnd"/>
      <w:r w:rsidRPr="00BF4E9A">
        <w:rPr>
          <w:rFonts w:ascii="Times New Roman" w:eastAsia="Times New Roman" w:hAnsi="Times New Roman" w:cs="Times New Roman"/>
          <w:i/>
          <w:sz w:val="24"/>
          <w:szCs w:val="24"/>
        </w:rPr>
        <w:t xml:space="preserve"> y Familiares Vs. Argentina</w:t>
      </w:r>
      <w:r w:rsidRPr="00CD2013">
        <w:rPr>
          <w:rFonts w:ascii="Times New Roman" w:eastAsia="Times New Roman" w:hAnsi="Times New Roman" w:cs="Times New Roman"/>
          <w:sz w:val="24"/>
          <w:szCs w:val="24"/>
        </w:rPr>
        <w:t>. Sentencia de 31 de agosto de 2012</w:t>
      </w:r>
      <w:r w:rsidR="00BF4E9A">
        <w:rPr>
          <w:rFonts w:ascii="Times New Roman" w:eastAsia="Times New Roman" w:hAnsi="Times New Roman" w:cs="Times New Roman"/>
          <w:sz w:val="24"/>
          <w:szCs w:val="24"/>
        </w:rPr>
        <w:t>.</w:t>
      </w:r>
    </w:p>
    <w:p w14:paraId="0000008D" w14:textId="53AC6A63"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w:t>
      </w:r>
      <w:r w:rsidRPr="00CD2013">
        <w:rPr>
          <w:rFonts w:ascii="Times New Roman" w:eastAsia="Times New Roman" w:hAnsi="Times New Roman" w:cs="Times New Roman"/>
          <w:i/>
          <w:sz w:val="24"/>
          <w:szCs w:val="24"/>
        </w:rPr>
        <w:t xml:space="preserve"> </w:t>
      </w:r>
      <w:r w:rsidRPr="00BF4E9A">
        <w:rPr>
          <w:rFonts w:ascii="Times New Roman" w:eastAsia="Times New Roman" w:hAnsi="Times New Roman" w:cs="Times New Roman"/>
          <w:i/>
          <w:sz w:val="24"/>
          <w:szCs w:val="24"/>
        </w:rPr>
        <w:t xml:space="preserve">Caso </w:t>
      </w:r>
      <w:proofErr w:type="spellStart"/>
      <w:r w:rsidRPr="00BF4E9A">
        <w:rPr>
          <w:rFonts w:ascii="Times New Roman" w:eastAsia="Times New Roman" w:hAnsi="Times New Roman" w:cs="Times New Roman"/>
          <w:i/>
          <w:sz w:val="24"/>
          <w:szCs w:val="24"/>
        </w:rPr>
        <w:t>Amrhein</w:t>
      </w:r>
      <w:proofErr w:type="spellEnd"/>
      <w:r w:rsidRPr="00BF4E9A">
        <w:rPr>
          <w:rFonts w:ascii="Times New Roman" w:eastAsia="Times New Roman" w:hAnsi="Times New Roman" w:cs="Times New Roman"/>
          <w:i/>
          <w:sz w:val="24"/>
          <w:szCs w:val="24"/>
        </w:rPr>
        <w:t xml:space="preserve"> y otros Vs. Costa Rica</w:t>
      </w:r>
      <w:r w:rsidR="003F70BE" w:rsidRPr="00BF4E9A">
        <w:rPr>
          <w:rFonts w:ascii="Times New Roman" w:eastAsia="Times New Roman" w:hAnsi="Times New Roman" w:cs="Times New Roman"/>
          <w:i/>
          <w:sz w:val="24"/>
          <w:szCs w:val="24"/>
        </w:rPr>
        <w:t>.</w:t>
      </w:r>
      <w:r w:rsidRPr="00CD2013">
        <w:rPr>
          <w:rFonts w:ascii="Times New Roman" w:eastAsia="Times New Roman" w:hAnsi="Times New Roman" w:cs="Times New Roman"/>
          <w:sz w:val="24"/>
          <w:szCs w:val="24"/>
        </w:rPr>
        <w:t xml:space="preserve"> Sentencia de 35 de abril de 2018</w:t>
      </w:r>
      <w:r w:rsidR="00BF4E9A">
        <w:rPr>
          <w:rFonts w:ascii="Times New Roman" w:eastAsia="Times New Roman" w:hAnsi="Times New Roman" w:cs="Times New Roman"/>
          <w:sz w:val="24"/>
          <w:szCs w:val="24"/>
        </w:rPr>
        <w:t>.</w:t>
      </w:r>
    </w:p>
    <w:p w14:paraId="0000008E" w14:textId="187A406B"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 </w:t>
      </w:r>
      <w:r w:rsidRPr="00BF4E9A">
        <w:rPr>
          <w:rFonts w:ascii="Times New Roman" w:eastAsia="Times New Roman" w:hAnsi="Times New Roman" w:cs="Times New Roman"/>
          <w:i/>
          <w:sz w:val="24"/>
          <w:szCs w:val="24"/>
        </w:rPr>
        <w:t xml:space="preserve">Caso </w:t>
      </w:r>
      <w:proofErr w:type="spellStart"/>
      <w:r w:rsidRPr="00BF4E9A">
        <w:rPr>
          <w:rFonts w:ascii="Times New Roman" w:eastAsia="Times New Roman" w:hAnsi="Times New Roman" w:cs="Times New Roman"/>
          <w:i/>
          <w:sz w:val="24"/>
          <w:szCs w:val="24"/>
        </w:rPr>
        <w:t>Gangaram</w:t>
      </w:r>
      <w:proofErr w:type="spellEnd"/>
      <w:r w:rsidRPr="00BF4E9A">
        <w:rPr>
          <w:rFonts w:ascii="Times New Roman" w:eastAsia="Times New Roman" w:hAnsi="Times New Roman" w:cs="Times New Roman"/>
          <w:i/>
          <w:sz w:val="24"/>
          <w:szCs w:val="24"/>
        </w:rPr>
        <w:t xml:space="preserve"> </w:t>
      </w:r>
      <w:proofErr w:type="spellStart"/>
      <w:r w:rsidRPr="00BF4E9A">
        <w:rPr>
          <w:rFonts w:ascii="Times New Roman" w:eastAsia="Times New Roman" w:hAnsi="Times New Roman" w:cs="Times New Roman"/>
          <w:i/>
          <w:sz w:val="24"/>
          <w:szCs w:val="24"/>
        </w:rPr>
        <w:t>Panday</w:t>
      </w:r>
      <w:proofErr w:type="spellEnd"/>
      <w:r w:rsidRPr="00BF4E9A">
        <w:rPr>
          <w:rFonts w:ascii="Times New Roman" w:eastAsia="Times New Roman" w:hAnsi="Times New Roman" w:cs="Times New Roman"/>
          <w:i/>
          <w:sz w:val="24"/>
          <w:szCs w:val="24"/>
        </w:rPr>
        <w:t xml:space="preserve"> Vs. Surinam</w:t>
      </w:r>
      <w:r w:rsidRPr="00CD2013">
        <w:rPr>
          <w:rFonts w:ascii="Times New Roman" w:eastAsia="Times New Roman" w:hAnsi="Times New Roman" w:cs="Times New Roman"/>
          <w:sz w:val="24"/>
          <w:szCs w:val="24"/>
        </w:rPr>
        <w:t>. Sentencia de 21 de enero de 1994</w:t>
      </w:r>
      <w:r w:rsidR="00BF4E9A">
        <w:rPr>
          <w:rFonts w:ascii="Times New Roman" w:eastAsia="Times New Roman" w:hAnsi="Times New Roman" w:cs="Times New Roman"/>
          <w:sz w:val="24"/>
          <w:szCs w:val="24"/>
        </w:rPr>
        <w:t>.</w:t>
      </w:r>
    </w:p>
    <w:p w14:paraId="0000008F" w14:textId="693032C2"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lastRenderedPageBreak/>
        <w:t xml:space="preserve">Corte IDH. </w:t>
      </w:r>
      <w:r w:rsidRPr="00CD2013">
        <w:rPr>
          <w:rFonts w:ascii="Times New Roman" w:eastAsia="Times New Roman" w:hAnsi="Times New Roman" w:cs="Times New Roman"/>
          <w:i/>
          <w:sz w:val="24"/>
          <w:szCs w:val="24"/>
        </w:rPr>
        <w:t xml:space="preserve">Caso </w:t>
      </w:r>
      <w:r w:rsidR="003F70BE" w:rsidRPr="00CD2013">
        <w:rPr>
          <w:rFonts w:ascii="Times New Roman" w:eastAsia="Times New Roman" w:hAnsi="Times New Roman" w:cs="Times New Roman"/>
          <w:i/>
          <w:sz w:val="24"/>
          <w:szCs w:val="24"/>
        </w:rPr>
        <w:t>Vélez</w:t>
      </w:r>
      <w:r w:rsidRPr="00CD2013">
        <w:rPr>
          <w:rFonts w:ascii="Times New Roman" w:eastAsia="Times New Roman" w:hAnsi="Times New Roman" w:cs="Times New Roman"/>
          <w:i/>
          <w:sz w:val="24"/>
          <w:szCs w:val="24"/>
        </w:rPr>
        <w:t xml:space="preserve"> Loor Vs. Panamá</w:t>
      </w:r>
      <w:r w:rsidRPr="00CD2013">
        <w:rPr>
          <w:rFonts w:ascii="Times New Roman" w:eastAsia="Times New Roman" w:hAnsi="Times New Roman" w:cs="Times New Roman"/>
          <w:sz w:val="24"/>
          <w:szCs w:val="24"/>
        </w:rPr>
        <w:t>. Sentencia de 23 de noviembre de 2010.</w:t>
      </w:r>
    </w:p>
    <w:p w14:paraId="00000090" w14:textId="300B05D6"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Pr="00CD2013">
        <w:rPr>
          <w:rFonts w:ascii="Times New Roman" w:eastAsia="Times New Roman" w:hAnsi="Times New Roman" w:cs="Times New Roman"/>
          <w:i/>
          <w:sz w:val="24"/>
          <w:szCs w:val="24"/>
        </w:rPr>
        <w:t xml:space="preserve"> Caso Acevedo </w:t>
      </w:r>
      <w:r w:rsidR="003F70BE" w:rsidRPr="00CD2013">
        <w:rPr>
          <w:rFonts w:ascii="Times New Roman" w:eastAsia="Times New Roman" w:hAnsi="Times New Roman" w:cs="Times New Roman"/>
          <w:i/>
          <w:sz w:val="24"/>
          <w:szCs w:val="24"/>
        </w:rPr>
        <w:t>Buendía</w:t>
      </w:r>
      <w:r w:rsidRPr="00CD2013">
        <w:rPr>
          <w:rFonts w:ascii="Times New Roman" w:eastAsia="Times New Roman" w:hAnsi="Times New Roman" w:cs="Times New Roman"/>
          <w:i/>
          <w:sz w:val="24"/>
          <w:szCs w:val="24"/>
        </w:rPr>
        <w:t xml:space="preserve"> y otros Vs. Perú.</w:t>
      </w:r>
      <w:r w:rsidRPr="00CD2013">
        <w:rPr>
          <w:rFonts w:ascii="Times New Roman" w:eastAsia="Times New Roman" w:hAnsi="Times New Roman" w:cs="Times New Roman"/>
          <w:sz w:val="24"/>
          <w:szCs w:val="24"/>
        </w:rPr>
        <w:t xml:space="preserve"> Sentencia de 1 de Julio de 2009</w:t>
      </w:r>
    </w:p>
    <w:p w14:paraId="00000091" w14:textId="487F90FA"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 Caso </w:t>
      </w:r>
      <w:proofErr w:type="spellStart"/>
      <w:r w:rsidRPr="00CD2013">
        <w:rPr>
          <w:rFonts w:ascii="Times New Roman" w:eastAsia="Times New Roman" w:hAnsi="Times New Roman" w:cs="Times New Roman"/>
          <w:sz w:val="24"/>
          <w:szCs w:val="24"/>
        </w:rPr>
        <w:t>Cuscul</w:t>
      </w:r>
      <w:proofErr w:type="spellEnd"/>
      <w:r w:rsidRPr="00CD2013">
        <w:rPr>
          <w:rFonts w:ascii="Times New Roman" w:eastAsia="Times New Roman" w:hAnsi="Times New Roman" w:cs="Times New Roman"/>
          <w:sz w:val="24"/>
          <w:szCs w:val="24"/>
        </w:rPr>
        <w:t xml:space="preserve"> </w:t>
      </w:r>
      <w:proofErr w:type="spellStart"/>
      <w:r w:rsidRPr="00CD2013">
        <w:rPr>
          <w:rFonts w:ascii="Times New Roman" w:eastAsia="Times New Roman" w:hAnsi="Times New Roman" w:cs="Times New Roman"/>
          <w:sz w:val="24"/>
          <w:szCs w:val="24"/>
        </w:rPr>
        <w:t>Piraval</w:t>
      </w:r>
      <w:proofErr w:type="spellEnd"/>
      <w:r w:rsidRPr="00CD2013">
        <w:rPr>
          <w:rFonts w:ascii="Times New Roman" w:eastAsia="Times New Roman" w:hAnsi="Times New Roman" w:cs="Times New Roman"/>
          <w:sz w:val="24"/>
          <w:szCs w:val="24"/>
        </w:rPr>
        <w:t xml:space="preserve"> y otros Vs. Guatemala. </w:t>
      </w:r>
      <w:r w:rsidR="003F70BE" w:rsidRPr="00CD2013">
        <w:rPr>
          <w:rFonts w:ascii="Times New Roman" w:eastAsia="Times New Roman" w:hAnsi="Times New Roman" w:cs="Times New Roman"/>
          <w:sz w:val="24"/>
          <w:szCs w:val="24"/>
        </w:rPr>
        <w:t>Sentencia</w:t>
      </w:r>
      <w:r w:rsidRPr="00CD2013">
        <w:rPr>
          <w:rFonts w:ascii="Times New Roman" w:eastAsia="Times New Roman" w:hAnsi="Times New Roman" w:cs="Times New Roman"/>
          <w:sz w:val="24"/>
          <w:szCs w:val="24"/>
        </w:rPr>
        <w:t xml:space="preserve"> de 23 de agosto de 2018.</w:t>
      </w:r>
    </w:p>
    <w:p w14:paraId="00000092"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Pr="00CD2013">
        <w:rPr>
          <w:rFonts w:ascii="Times New Roman" w:eastAsia="Times New Roman" w:hAnsi="Times New Roman" w:cs="Times New Roman"/>
          <w:i/>
          <w:sz w:val="24"/>
          <w:szCs w:val="24"/>
        </w:rPr>
        <w:t xml:space="preserve"> Caso </w:t>
      </w:r>
      <w:proofErr w:type="spellStart"/>
      <w:r w:rsidRPr="00CD2013">
        <w:rPr>
          <w:rFonts w:ascii="Times New Roman" w:eastAsia="Times New Roman" w:hAnsi="Times New Roman" w:cs="Times New Roman"/>
          <w:i/>
          <w:sz w:val="24"/>
          <w:szCs w:val="24"/>
        </w:rPr>
        <w:t>Yatama</w:t>
      </w:r>
      <w:proofErr w:type="spellEnd"/>
      <w:r w:rsidRPr="00CD2013">
        <w:rPr>
          <w:rFonts w:ascii="Times New Roman" w:eastAsia="Times New Roman" w:hAnsi="Times New Roman" w:cs="Times New Roman"/>
          <w:i/>
          <w:sz w:val="24"/>
          <w:szCs w:val="24"/>
        </w:rPr>
        <w:t xml:space="preserve"> Vs. Nicaragua</w:t>
      </w:r>
      <w:r w:rsidRPr="00CD2013">
        <w:rPr>
          <w:rFonts w:ascii="Times New Roman" w:eastAsia="Times New Roman" w:hAnsi="Times New Roman" w:cs="Times New Roman"/>
          <w:sz w:val="24"/>
          <w:szCs w:val="24"/>
        </w:rPr>
        <w:t>. Sentencia de 23 de junio de 2005. Párr. 184</w:t>
      </w:r>
    </w:p>
    <w:p w14:paraId="00000093" w14:textId="78BB6C22"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Caso </w:t>
      </w:r>
      <w:proofErr w:type="spellStart"/>
      <w:r w:rsidRPr="00CD2013">
        <w:rPr>
          <w:rFonts w:ascii="Times New Roman" w:eastAsia="Times New Roman" w:hAnsi="Times New Roman" w:cs="Times New Roman"/>
          <w:sz w:val="24"/>
          <w:szCs w:val="24"/>
        </w:rPr>
        <w:t>Cuscul</w:t>
      </w:r>
      <w:proofErr w:type="spellEnd"/>
      <w:r w:rsidRPr="00CD2013">
        <w:rPr>
          <w:rFonts w:ascii="Times New Roman" w:eastAsia="Times New Roman" w:hAnsi="Times New Roman" w:cs="Times New Roman"/>
          <w:sz w:val="24"/>
          <w:szCs w:val="24"/>
        </w:rPr>
        <w:t xml:space="preserve"> </w:t>
      </w:r>
      <w:proofErr w:type="spellStart"/>
      <w:r w:rsidRPr="00CD2013">
        <w:rPr>
          <w:rFonts w:ascii="Times New Roman" w:eastAsia="Times New Roman" w:hAnsi="Times New Roman" w:cs="Times New Roman"/>
          <w:sz w:val="24"/>
          <w:szCs w:val="24"/>
        </w:rPr>
        <w:t>Piraval</w:t>
      </w:r>
      <w:proofErr w:type="spellEnd"/>
      <w:r w:rsidRPr="00CD2013">
        <w:rPr>
          <w:rFonts w:ascii="Times New Roman" w:eastAsia="Times New Roman" w:hAnsi="Times New Roman" w:cs="Times New Roman"/>
          <w:sz w:val="24"/>
          <w:szCs w:val="24"/>
        </w:rPr>
        <w:t xml:space="preserve"> y otros Vs. Guatemala. </w:t>
      </w:r>
      <w:r w:rsidR="003F70BE" w:rsidRPr="00CD2013">
        <w:rPr>
          <w:rFonts w:ascii="Times New Roman" w:eastAsia="Times New Roman" w:hAnsi="Times New Roman" w:cs="Times New Roman"/>
          <w:sz w:val="24"/>
          <w:szCs w:val="24"/>
        </w:rPr>
        <w:t>Sentencia</w:t>
      </w:r>
      <w:r w:rsidRPr="00CD2013">
        <w:rPr>
          <w:rFonts w:ascii="Times New Roman" w:eastAsia="Times New Roman" w:hAnsi="Times New Roman" w:cs="Times New Roman"/>
          <w:sz w:val="24"/>
          <w:szCs w:val="24"/>
        </w:rPr>
        <w:t xml:space="preserve"> de 23 de agosto de 2018</w:t>
      </w:r>
    </w:p>
    <w:p w14:paraId="00000094"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Corte IDH.</w:t>
      </w:r>
      <w:r w:rsidRPr="00CD2013">
        <w:rPr>
          <w:rFonts w:ascii="Times New Roman" w:eastAsia="Times New Roman" w:hAnsi="Times New Roman" w:cs="Times New Roman"/>
          <w:i/>
          <w:sz w:val="24"/>
          <w:szCs w:val="24"/>
        </w:rPr>
        <w:t xml:space="preserve"> Caso </w:t>
      </w:r>
      <w:proofErr w:type="spellStart"/>
      <w:r w:rsidRPr="00CD2013">
        <w:rPr>
          <w:rFonts w:ascii="Times New Roman" w:eastAsia="Times New Roman" w:hAnsi="Times New Roman" w:cs="Times New Roman"/>
          <w:i/>
          <w:sz w:val="24"/>
          <w:szCs w:val="24"/>
        </w:rPr>
        <w:t>Yatama</w:t>
      </w:r>
      <w:proofErr w:type="spellEnd"/>
      <w:r w:rsidRPr="00CD2013">
        <w:rPr>
          <w:rFonts w:ascii="Times New Roman" w:eastAsia="Times New Roman" w:hAnsi="Times New Roman" w:cs="Times New Roman"/>
          <w:i/>
          <w:sz w:val="24"/>
          <w:szCs w:val="24"/>
        </w:rPr>
        <w:t xml:space="preserve"> Vs. Nicaragua</w:t>
      </w:r>
      <w:r w:rsidRPr="00CD2013">
        <w:rPr>
          <w:rFonts w:ascii="Times New Roman" w:eastAsia="Times New Roman" w:hAnsi="Times New Roman" w:cs="Times New Roman"/>
          <w:sz w:val="24"/>
          <w:szCs w:val="24"/>
        </w:rPr>
        <w:t>. Sentencia de 23 de junio de 2005</w:t>
      </w:r>
    </w:p>
    <w:p w14:paraId="00000095"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Pr="00CD2013">
        <w:rPr>
          <w:rFonts w:ascii="Times New Roman" w:eastAsia="Times New Roman" w:hAnsi="Times New Roman" w:cs="Times New Roman"/>
          <w:i/>
          <w:sz w:val="24"/>
          <w:szCs w:val="24"/>
        </w:rPr>
        <w:t xml:space="preserve"> Caso Bueno Alves vs Argentina</w:t>
      </w:r>
      <w:r w:rsidRPr="00CD2013">
        <w:rPr>
          <w:rFonts w:ascii="Times New Roman" w:eastAsia="Times New Roman" w:hAnsi="Times New Roman" w:cs="Times New Roman"/>
          <w:sz w:val="24"/>
          <w:szCs w:val="24"/>
        </w:rPr>
        <w:t>. Sentencia de 11 de mayo de 2007.</w:t>
      </w:r>
    </w:p>
    <w:p w14:paraId="00000096"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 xml:space="preserve">Caso </w:t>
      </w:r>
      <w:proofErr w:type="spellStart"/>
      <w:r w:rsidRPr="00CD2013">
        <w:rPr>
          <w:rFonts w:ascii="Times New Roman" w:eastAsia="Times New Roman" w:hAnsi="Times New Roman" w:cs="Times New Roman"/>
          <w:i/>
          <w:sz w:val="24"/>
          <w:szCs w:val="24"/>
        </w:rPr>
        <w:t>Goiburú</w:t>
      </w:r>
      <w:proofErr w:type="spellEnd"/>
      <w:r w:rsidRPr="00CD2013">
        <w:rPr>
          <w:rFonts w:ascii="Times New Roman" w:eastAsia="Times New Roman" w:hAnsi="Times New Roman" w:cs="Times New Roman"/>
          <w:i/>
          <w:sz w:val="24"/>
          <w:szCs w:val="24"/>
        </w:rPr>
        <w:t xml:space="preserve"> vs Paraguay</w:t>
      </w:r>
      <w:r w:rsidRPr="00CD2013">
        <w:rPr>
          <w:rFonts w:ascii="Times New Roman" w:eastAsia="Times New Roman" w:hAnsi="Times New Roman" w:cs="Times New Roman"/>
          <w:sz w:val="24"/>
          <w:szCs w:val="24"/>
        </w:rPr>
        <w:t>. Sentencia de 22 de septiembre de 2006</w:t>
      </w:r>
    </w:p>
    <w:p w14:paraId="00000097"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Caso Fernández Ortega y otros vs. México.</w:t>
      </w:r>
    </w:p>
    <w:p w14:paraId="00000098" w14:textId="48381921"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 xml:space="preserve">Caso Favela Nova </w:t>
      </w:r>
      <w:r w:rsidR="003F70BE" w:rsidRPr="00CD2013">
        <w:rPr>
          <w:rFonts w:ascii="Times New Roman" w:eastAsia="Times New Roman" w:hAnsi="Times New Roman" w:cs="Times New Roman"/>
          <w:i/>
          <w:sz w:val="24"/>
          <w:szCs w:val="24"/>
        </w:rPr>
        <w:t>Brasilia</w:t>
      </w:r>
      <w:r w:rsidRPr="00CD2013">
        <w:rPr>
          <w:rFonts w:ascii="Times New Roman" w:eastAsia="Times New Roman" w:hAnsi="Times New Roman" w:cs="Times New Roman"/>
          <w:i/>
          <w:sz w:val="24"/>
          <w:szCs w:val="24"/>
        </w:rPr>
        <w:t xml:space="preserve"> Vs. Brasil</w:t>
      </w:r>
      <w:r w:rsidR="003F70BE" w:rsidRPr="00CD2013">
        <w:rPr>
          <w:rFonts w:ascii="Times New Roman" w:eastAsia="Times New Roman" w:hAnsi="Times New Roman" w:cs="Times New Roman"/>
          <w:sz w:val="24"/>
          <w:szCs w:val="24"/>
        </w:rPr>
        <w:t>...</w:t>
      </w:r>
      <w:r w:rsidRPr="00CD2013">
        <w:rPr>
          <w:rFonts w:ascii="Times New Roman" w:eastAsia="Times New Roman" w:hAnsi="Times New Roman" w:cs="Times New Roman"/>
          <w:sz w:val="24"/>
          <w:szCs w:val="24"/>
        </w:rPr>
        <w:t xml:space="preserve"> Sentencia de 16 de febrero de 2017. </w:t>
      </w:r>
    </w:p>
    <w:p w14:paraId="00000099"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Caso Almonacid Arellano y otros Vs. Chile</w:t>
      </w:r>
      <w:r w:rsidRPr="00CD2013">
        <w:rPr>
          <w:rFonts w:ascii="Times New Roman" w:eastAsia="Times New Roman" w:hAnsi="Times New Roman" w:cs="Times New Roman"/>
          <w:sz w:val="24"/>
          <w:szCs w:val="24"/>
        </w:rPr>
        <w:t>. Sentencia de 26 de septiembre de 2016.</w:t>
      </w:r>
    </w:p>
    <w:p w14:paraId="0000009A" w14:textId="14D84768"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 xml:space="preserve">Caso Ramírez Escobar y otros Vs. Guatemala. </w:t>
      </w:r>
      <w:r w:rsidRPr="00CD2013">
        <w:rPr>
          <w:rFonts w:ascii="Times New Roman" w:eastAsia="Times New Roman" w:hAnsi="Times New Roman" w:cs="Times New Roman"/>
          <w:sz w:val="24"/>
          <w:szCs w:val="24"/>
        </w:rPr>
        <w:t>Sentencia de 09 de marzo de 2018</w:t>
      </w:r>
      <w:r w:rsidR="00BF4E9A">
        <w:rPr>
          <w:rFonts w:ascii="Times New Roman" w:eastAsia="Times New Roman" w:hAnsi="Times New Roman" w:cs="Times New Roman"/>
          <w:sz w:val="24"/>
          <w:szCs w:val="24"/>
        </w:rPr>
        <w:t>.</w:t>
      </w:r>
    </w:p>
    <w:p w14:paraId="0000009C" w14:textId="0F56ED3F" w:rsidR="00BE1A9D" w:rsidRPr="00BF4E9A" w:rsidRDefault="00F86333" w:rsidP="00BF4E9A">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Corte IDH.</w:t>
      </w:r>
      <w:r w:rsidR="003F70BE">
        <w:rPr>
          <w:rFonts w:ascii="Times New Roman" w:eastAsia="Times New Roman" w:hAnsi="Times New Roman" w:cs="Times New Roman"/>
          <w:sz w:val="24"/>
          <w:szCs w:val="24"/>
        </w:rPr>
        <w:t xml:space="preserve"> </w:t>
      </w:r>
      <w:r w:rsidRPr="00CD2013">
        <w:rPr>
          <w:rFonts w:ascii="Times New Roman" w:eastAsia="Times New Roman" w:hAnsi="Times New Roman" w:cs="Times New Roman"/>
          <w:i/>
          <w:sz w:val="24"/>
          <w:szCs w:val="24"/>
        </w:rPr>
        <w:t>Caso De La Cruz Flores Vs. Perú</w:t>
      </w:r>
      <w:r w:rsidRPr="00CD2013">
        <w:rPr>
          <w:rFonts w:ascii="Times New Roman" w:eastAsia="Times New Roman" w:hAnsi="Times New Roman" w:cs="Times New Roman"/>
          <w:sz w:val="24"/>
          <w:szCs w:val="24"/>
        </w:rPr>
        <w:t xml:space="preserve">. Sentencia de 18 de noviembre de </w:t>
      </w:r>
      <w:r w:rsidRPr="00BF4E9A">
        <w:rPr>
          <w:rFonts w:ascii="Times New Roman" w:eastAsia="Times New Roman" w:hAnsi="Times New Roman" w:cs="Times New Roman"/>
          <w:sz w:val="24"/>
          <w:szCs w:val="24"/>
        </w:rPr>
        <w:t>2004.</w:t>
      </w:r>
    </w:p>
    <w:p w14:paraId="0000009D" w14:textId="77777777"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w:t>
      </w:r>
      <w:proofErr w:type="spellStart"/>
      <w:r w:rsidRPr="00CD2013">
        <w:rPr>
          <w:rFonts w:ascii="Times New Roman" w:eastAsia="Times New Roman" w:hAnsi="Times New Roman" w:cs="Times New Roman"/>
          <w:sz w:val="24"/>
          <w:szCs w:val="24"/>
        </w:rPr>
        <w:t>IDH.</w:t>
      </w:r>
      <w:r w:rsidRPr="00CD2013">
        <w:rPr>
          <w:rFonts w:ascii="Times New Roman" w:eastAsia="Times New Roman" w:hAnsi="Times New Roman" w:cs="Times New Roman"/>
          <w:i/>
          <w:sz w:val="24"/>
          <w:szCs w:val="24"/>
        </w:rPr>
        <w:t>Caso</w:t>
      </w:r>
      <w:proofErr w:type="spellEnd"/>
      <w:r w:rsidRPr="00CD2013">
        <w:rPr>
          <w:rFonts w:ascii="Times New Roman" w:eastAsia="Times New Roman" w:hAnsi="Times New Roman" w:cs="Times New Roman"/>
          <w:i/>
          <w:sz w:val="24"/>
          <w:szCs w:val="24"/>
        </w:rPr>
        <w:t xml:space="preserve"> </w:t>
      </w:r>
      <w:proofErr w:type="spellStart"/>
      <w:r w:rsidRPr="00CD2013">
        <w:rPr>
          <w:rFonts w:ascii="Times New Roman" w:eastAsia="Times New Roman" w:hAnsi="Times New Roman" w:cs="Times New Roman"/>
          <w:i/>
          <w:sz w:val="24"/>
          <w:szCs w:val="24"/>
        </w:rPr>
        <w:t>liakat</w:t>
      </w:r>
      <w:proofErr w:type="spellEnd"/>
      <w:r w:rsidRPr="00CD2013">
        <w:rPr>
          <w:rFonts w:ascii="Times New Roman" w:eastAsia="Times New Roman" w:hAnsi="Times New Roman" w:cs="Times New Roman"/>
          <w:i/>
          <w:sz w:val="24"/>
          <w:szCs w:val="24"/>
        </w:rPr>
        <w:t xml:space="preserve"> </w:t>
      </w:r>
      <w:proofErr w:type="spellStart"/>
      <w:r w:rsidRPr="00CD2013">
        <w:rPr>
          <w:rFonts w:ascii="Times New Roman" w:eastAsia="Times New Roman" w:hAnsi="Times New Roman" w:cs="Times New Roman"/>
          <w:i/>
          <w:sz w:val="24"/>
          <w:szCs w:val="24"/>
        </w:rPr>
        <w:t>ali</w:t>
      </w:r>
      <w:proofErr w:type="spellEnd"/>
      <w:r w:rsidRPr="00CD2013">
        <w:rPr>
          <w:rFonts w:ascii="Times New Roman" w:eastAsia="Times New Roman" w:hAnsi="Times New Roman" w:cs="Times New Roman"/>
          <w:i/>
          <w:sz w:val="24"/>
          <w:szCs w:val="24"/>
        </w:rPr>
        <w:t xml:space="preserve"> </w:t>
      </w:r>
      <w:proofErr w:type="spellStart"/>
      <w:r w:rsidRPr="00CD2013">
        <w:rPr>
          <w:rFonts w:ascii="Times New Roman" w:eastAsia="Times New Roman" w:hAnsi="Times New Roman" w:cs="Times New Roman"/>
          <w:i/>
          <w:sz w:val="24"/>
          <w:szCs w:val="24"/>
        </w:rPr>
        <w:t>alibux</w:t>
      </w:r>
      <w:proofErr w:type="spellEnd"/>
      <w:r w:rsidRPr="00CD2013">
        <w:rPr>
          <w:rFonts w:ascii="Times New Roman" w:eastAsia="Times New Roman" w:hAnsi="Times New Roman" w:cs="Times New Roman"/>
          <w:i/>
          <w:sz w:val="24"/>
          <w:szCs w:val="24"/>
        </w:rPr>
        <w:t xml:space="preserve"> VS. </w:t>
      </w:r>
      <w:proofErr w:type="spellStart"/>
      <w:r w:rsidRPr="00CD2013">
        <w:rPr>
          <w:rFonts w:ascii="Times New Roman" w:eastAsia="Times New Roman" w:hAnsi="Times New Roman" w:cs="Times New Roman"/>
          <w:i/>
          <w:sz w:val="24"/>
          <w:szCs w:val="24"/>
        </w:rPr>
        <w:t>suriname</w:t>
      </w:r>
      <w:proofErr w:type="spellEnd"/>
      <w:r w:rsidRPr="00CD2013">
        <w:rPr>
          <w:rFonts w:ascii="Times New Roman" w:eastAsia="Times New Roman" w:hAnsi="Times New Roman" w:cs="Times New Roman"/>
          <w:i/>
          <w:sz w:val="24"/>
          <w:szCs w:val="24"/>
        </w:rPr>
        <w:t xml:space="preserve">. </w:t>
      </w:r>
      <w:r w:rsidRPr="00CD2013">
        <w:rPr>
          <w:rFonts w:ascii="Times New Roman" w:eastAsia="Times New Roman" w:hAnsi="Times New Roman" w:cs="Times New Roman"/>
          <w:sz w:val="24"/>
          <w:szCs w:val="24"/>
        </w:rPr>
        <w:t>Sentencia de 30 de enero de 2014</w:t>
      </w:r>
      <w:r w:rsidRPr="00CD2013">
        <w:rPr>
          <w:rFonts w:ascii="Times New Roman" w:eastAsia="Times New Roman" w:hAnsi="Times New Roman" w:cs="Times New Roman"/>
          <w:i/>
          <w:sz w:val="24"/>
          <w:szCs w:val="24"/>
        </w:rPr>
        <w:t>.</w:t>
      </w:r>
    </w:p>
    <w:p w14:paraId="0000009E" w14:textId="6C339565" w:rsidR="00BE1A9D" w:rsidRPr="00CD2013" w:rsidRDefault="00F86333" w:rsidP="00CD2013">
      <w:pPr>
        <w:numPr>
          <w:ilvl w:val="0"/>
          <w:numId w:val="4"/>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Corte IDH. </w:t>
      </w:r>
      <w:r w:rsidRPr="00CD2013">
        <w:rPr>
          <w:rFonts w:ascii="Times New Roman" w:eastAsia="Times New Roman" w:hAnsi="Times New Roman" w:cs="Times New Roman"/>
          <w:i/>
          <w:sz w:val="24"/>
          <w:szCs w:val="24"/>
        </w:rPr>
        <w:t xml:space="preserve">Caso Favela Nova </w:t>
      </w:r>
      <w:r w:rsidR="003F70BE" w:rsidRPr="00CD2013">
        <w:rPr>
          <w:rFonts w:ascii="Times New Roman" w:eastAsia="Times New Roman" w:hAnsi="Times New Roman" w:cs="Times New Roman"/>
          <w:i/>
          <w:sz w:val="24"/>
          <w:szCs w:val="24"/>
        </w:rPr>
        <w:t>Brasilia</w:t>
      </w:r>
      <w:r w:rsidRPr="00CD2013">
        <w:rPr>
          <w:rFonts w:ascii="Times New Roman" w:eastAsia="Times New Roman" w:hAnsi="Times New Roman" w:cs="Times New Roman"/>
          <w:i/>
          <w:sz w:val="24"/>
          <w:szCs w:val="24"/>
        </w:rPr>
        <w:t xml:space="preserve"> Vs Brasil. </w:t>
      </w:r>
      <w:r w:rsidRPr="00CD2013">
        <w:rPr>
          <w:rFonts w:ascii="Times New Roman" w:eastAsia="Times New Roman" w:hAnsi="Times New Roman" w:cs="Times New Roman"/>
          <w:sz w:val="24"/>
          <w:szCs w:val="24"/>
        </w:rPr>
        <w:t>Sent</w:t>
      </w:r>
      <w:r w:rsidR="0050379C">
        <w:rPr>
          <w:rFonts w:ascii="Times New Roman" w:eastAsia="Times New Roman" w:hAnsi="Times New Roman" w:cs="Times New Roman"/>
          <w:sz w:val="24"/>
          <w:szCs w:val="24"/>
        </w:rPr>
        <w:t>encia de 16 de febrero de 2017.</w:t>
      </w:r>
    </w:p>
    <w:p w14:paraId="0000009F" w14:textId="1F969AA2" w:rsidR="00BE1A9D" w:rsidRPr="0050379C" w:rsidRDefault="0050379C" w:rsidP="0050379C">
      <w:pPr>
        <w:spacing w:line="360" w:lineRule="auto"/>
        <w:ind w:firstLine="720"/>
        <w:rPr>
          <w:rFonts w:ascii="Times New Roman" w:eastAsia="Times New Roman" w:hAnsi="Times New Roman" w:cs="Times New Roman"/>
          <w:b/>
          <w:sz w:val="24"/>
          <w:szCs w:val="24"/>
        </w:rPr>
      </w:pPr>
      <w:r w:rsidRPr="0050379C">
        <w:rPr>
          <w:rFonts w:ascii="Times New Roman" w:eastAsia="Times New Roman" w:hAnsi="Times New Roman" w:cs="Times New Roman"/>
          <w:b/>
          <w:sz w:val="24"/>
          <w:szCs w:val="24"/>
        </w:rPr>
        <w:t xml:space="preserve">2.3.- </w:t>
      </w:r>
      <w:r w:rsidR="00F86333" w:rsidRPr="0050379C">
        <w:rPr>
          <w:rFonts w:ascii="Times New Roman" w:eastAsia="Times New Roman" w:hAnsi="Times New Roman" w:cs="Times New Roman"/>
          <w:b/>
          <w:sz w:val="24"/>
          <w:szCs w:val="24"/>
        </w:rPr>
        <w:t>Jurisprudencia del Tribunal Europeo de Derechos Humanos.</w:t>
      </w:r>
    </w:p>
    <w:p w14:paraId="000000A0" w14:textId="77777777" w:rsidR="00BE1A9D" w:rsidRPr="00CD2013" w:rsidRDefault="00F86333" w:rsidP="00CD2013">
      <w:pPr>
        <w:numPr>
          <w:ilvl w:val="0"/>
          <w:numId w:val="13"/>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TEDH, </w:t>
      </w:r>
      <w:proofErr w:type="spellStart"/>
      <w:r w:rsidRPr="00CD2013">
        <w:rPr>
          <w:rFonts w:ascii="Times New Roman" w:eastAsia="Times New Roman" w:hAnsi="Times New Roman" w:cs="Times New Roman"/>
          <w:sz w:val="24"/>
          <w:szCs w:val="24"/>
        </w:rPr>
        <w:t>Rantsev</w:t>
      </w:r>
      <w:proofErr w:type="spellEnd"/>
      <w:r w:rsidRPr="00CD2013">
        <w:rPr>
          <w:rFonts w:ascii="Times New Roman" w:eastAsia="Times New Roman" w:hAnsi="Times New Roman" w:cs="Times New Roman"/>
          <w:sz w:val="24"/>
          <w:szCs w:val="24"/>
        </w:rPr>
        <w:t xml:space="preserve"> Vs. Chipre y Rusia. No. 25965/04. Sentencia de 7 de enero de 2010</w:t>
      </w:r>
    </w:p>
    <w:p w14:paraId="000000A1" w14:textId="3BA4AF3C" w:rsidR="00BE1A9D" w:rsidRPr="0050379C" w:rsidRDefault="0050379C" w:rsidP="0050379C">
      <w:pPr>
        <w:spacing w:line="360" w:lineRule="auto"/>
        <w:ind w:firstLine="720"/>
        <w:rPr>
          <w:rFonts w:ascii="Times New Roman" w:eastAsia="Times New Roman" w:hAnsi="Times New Roman" w:cs="Times New Roman"/>
          <w:b/>
          <w:sz w:val="24"/>
          <w:szCs w:val="24"/>
        </w:rPr>
      </w:pPr>
      <w:r w:rsidRPr="0050379C">
        <w:rPr>
          <w:rFonts w:ascii="Times New Roman" w:eastAsia="Times New Roman" w:hAnsi="Times New Roman" w:cs="Times New Roman"/>
          <w:b/>
          <w:sz w:val="24"/>
          <w:szCs w:val="24"/>
        </w:rPr>
        <w:t>2.4.-</w:t>
      </w:r>
      <w:r w:rsidR="00F86333" w:rsidRPr="0050379C">
        <w:rPr>
          <w:rFonts w:ascii="Times New Roman" w:eastAsia="Times New Roman" w:hAnsi="Times New Roman" w:cs="Times New Roman"/>
          <w:b/>
          <w:sz w:val="24"/>
          <w:szCs w:val="24"/>
        </w:rPr>
        <w:t xml:space="preserve"> Opiniones Consultivas e informes de la </w:t>
      </w:r>
      <w:proofErr w:type="spellStart"/>
      <w:r w:rsidR="00F86333" w:rsidRPr="0050379C">
        <w:rPr>
          <w:rFonts w:ascii="Times New Roman" w:eastAsia="Times New Roman" w:hAnsi="Times New Roman" w:cs="Times New Roman"/>
          <w:b/>
          <w:sz w:val="24"/>
          <w:szCs w:val="24"/>
        </w:rPr>
        <w:t>CorteIDH</w:t>
      </w:r>
      <w:proofErr w:type="spellEnd"/>
      <w:r w:rsidR="00F86333" w:rsidRPr="0050379C">
        <w:rPr>
          <w:rFonts w:ascii="Times New Roman" w:eastAsia="Times New Roman" w:hAnsi="Times New Roman" w:cs="Times New Roman"/>
          <w:b/>
          <w:sz w:val="24"/>
          <w:szCs w:val="24"/>
        </w:rPr>
        <w:t xml:space="preserve">. </w:t>
      </w:r>
    </w:p>
    <w:p w14:paraId="000000A2" w14:textId="77777777" w:rsidR="00BE1A9D" w:rsidRPr="00CD2013" w:rsidRDefault="00F86333" w:rsidP="00CD2013">
      <w:pPr>
        <w:numPr>
          <w:ilvl w:val="0"/>
          <w:numId w:val="11"/>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lastRenderedPageBreak/>
        <w:t>Informe de Admisibilidad No. 69/08, Petición 681-00 Guillermo Patricio Lynn (Argentina), 16 de octubre de 2008</w:t>
      </w:r>
    </w:p>
    <w:p w14:paraId="000000A3" w14:textId="77777777" w:rsidR="00BE1A9D" w:rsidRPr="00CD2013" w:rsidRDefault="00F86333" w:rsidP="00CD2013">
      <w:pPr>
        <w:numPr>
          <w:ilvl w:val="0"/>
          <w:numId w:val="11"/>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Opinión Consultiva OC-24/17 de 24 de noviembre de 2017. Serie A No. 247</w:t>
      </w:r>
    </w:p>
    <w:p w14:paraId="000000A4" w14:textId="77777777" w:rsidR="00BE1A9D" w:rsidRPr="00CD2013" w:rsidRDefault="00BE1A9D" w:rsidP="00CD2013">
      <w:pPr>
        <w:spacing w:line="360" w:lineRule="auto"/>
        <w:rPr>
          <w:rFonts w:ascii="Times New Roman" w:eastAsia="Times New Roman" w:hAnsi="Times New Roman" w:cs="Times New Roman"/>
          <w:sz w:val="24"/>
          <w:szCs w:val="24"/>
        </w:rPr>
      </w:pPr>
    </w:p>
    <w:p w14:paraId="000000BB" w14:textId="2D43C1EF" w:rsidR="00BE1A9D"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ab/>
      </w:r>
      <w:r w:rsidRPr="00CD2013">
        <w:rPr>
          <w:rFonts w:ascii="Times New Roman" w:eastAsia="Times New Roman" w:hAnsi="Times New Roman" w:cs="Times New Roman"/>
          <w:b/>
          <w:sz w:val="24"/>
          <w:szCs w:val="24"/>
        </w:rPr>
        <w:tab/>
      </w:r>
    </w:p>
    <w:p w14:paraId="1B73BB74" w14:textId="41EB0B83" w:rsidR="00344907" w:rsidRDefault="00344907" w:rsidP="00CD2013">
      <w:pPr>
        <w:spacing w:line="360" w:lineRule="auto"/>
        <w:rPr>
          <w:rFonts w:ascii="Times New Roman" w:eastAsia="Times New Roman" w:hAnsi="Times New Roman" w:cs="Times New Roman"/>
          <w:b/>
          <w:sz w:val="24"/>
          <w:szCs w:val="24"/>
        </w:rPr>
      </w:pPr>
    </w:p>
    <w:p w14:paraId="7125672B" w14:textId="42F3E0DF" w:rsidR="00344907" w:rsidRDefault="00344907" w:rsidP="00CD2013">
      <w:pPr>
        <w:spacing w:line="360" w:lineRule="auto"/>
        <w:rPr>
          <w:rFonts w:ascii="Times New Roman" w:eastAsia="Times New Roman" w:hAnsi="Times New Roman" w:cs="Times New Roman"/>
          <w:b/>
          <w:sz w:val="24"/>
          <w:szCs w:val="24"/>
        </w:rPr>
      </w:pPr>
    </w:p>
    <w:p w14:paraId="2106956B" w14:textId="149EEB83" w:rsidR="00344907" w:rsidRDefault="00344907" w:rsidP="00CD2013">
      <w:pPr>
        <w:spacing w:line="360" w:lineRule="auto"/>
        <w:rPr>
          <w:rFonts w:ascii="Times New Roman" w:eastAsia="Times New Roman" w:hAnsi="Times New Roman" w:cs="Times New Roman"/>
          <w:b/>
          <w:sz w:val="24"/>
          <w:szCs w:val="24"/>
        </w:rPr>
      </w:pPr>
    </w:p>
    <w:p w14:paraId="2FBDB890" w14:textId="1C5E3A17" w:rsidR="00344907" w:rsidRDefault="00344907" w:rsidP="00CD2013">
      <w:pPr>
        <w:spacing w:line="360" w:lineRule="auto"/>
        <w:rPr>
          <w:rFonts w:ascii="Times New Roman" w:eastAsia="Times New Roman" w:hAnsi="Times New Roman" w:cs="Times New Roman"/>
          <w:b/>
          <w:sz w:val="24"/>
          <w:szCs w:val="24"/>
        </w:rPr>
      </w:pPr>
    </w:p>
    <w:p w14:paraId="65E74CA9" w14:textId="7574D418" w:rsidR="00344907" w:rsidRDefault="00344907" w:rsidP="00CD2013">
      <w:pPr>
        <w:spacing w:line="360" w:lineRule="auto"/>
        <w:rPr>
          <w:rFonts w:ascii="Times New Roman" w:eastAsia="Times New Roman" w:hAnsi="Times New Roman" w:cs="Times New Roman"/>
          <w:b/>
          <w:sz w:val="24"/>
          <w:szCs w:val="24"/>
        </w:rPr>
      </w:pPr>
    </w:p>
    <w:p w14:paraId="1DF9A1B8" w14:textId="0CBDD335" w:rsidR="00344907" w:rsidRDefault="00344907" w:rsidP="00CD2013">
      <w:pPr>
        <w:spacing w:line="360" w:lineRule="auto"/>
        <w:rPr>
          <w:rFonts w:ascii="Times New Roman" w:eastAsia="Times New Roman" w:hAnsi="Times New Roman" w:cs="Times New Roman"/>
          <w:b/>
          <w:sz w:val="24"/>
          <w:szCs w:val="24"/>
        </w:rPr>
      </w:pPr>
    </w:p>
    <w:p w14:paraId="695C570B" w14:textId="16842315" w:rsidR="00344907" w:rsidRDefault="00344907" w:rsidP="00CD2013">
      <w:pPr>
        <w:spacing w:line="360" w:lineRule="auto"/>
        <w:rPr>
          <w:rFonts w:ascii="Times New Roman" w:eastAsia="Times New Roman" w:hAnsi="Times New Roman" w:cs="Times New Roman"/>
          <w:b/>
          <w:sz w:val="24"/>
          <w:szCs w:val="24"/>
        </w:rPr>
      </w:pPr>
    </w:p>
    <w:p w14:paraId="66428730" w14:textId="21491CDF" w:rsidR="00344907" w:rsidRDefault="00344907" w:rsidP="00CD2013">
      <w:pPr>
        <w:spacing w:line="360" w:lineRule="auto"/>
        <w:rPr>
          <w:rFonts w:ascii="Times New Roman" w:eastAsia="Times New Roman" w:hAnsi="Times New Roman" w:cs="Times New Roman"/>
          <w:b/>
          <w:sz w:val="24"/>
          <w:szCs w:val="24"/>
        </w:rPr>
      </w:pPr>
    </w:p>
    <w:p w14:paraId="0CE56816" w14:textId="57D6DBFF" w:rsidR="00344907" w:rsidRDefault="00344907" w:rsidP="00CD2013">
      <w:pPr>
        <w:spacing w:line="360" w:lineRule="auto"/>
        <w:rPr>
          <w:rFonts w:ascii="Times New Roman" w:eastAsia="Times New Roman" w:hAnsi="Times New Roman" w:cs="Times New Roman"/>
          <w:b/>
          <w:sz w:val="24"/>
          <w:szCs w:val="24"/>
        </w:rPr>
      </w:pPr>
    </w:p>
    <w:p w14:paraId="68C2B4D4" w14:textId="10A01823" w:rsidR="00344907" w:rsidRDefault="00344907" w:rsidP="00CD2013">
      <w:pPr>
        <w:spacing w:line="360" w:lineRule="auto"/>
        <w:rPr>
          <w:rFonts w:ascii="Times New Roman" w:eastAsia="Times New Roman" w:hAnsi="Times New Roman" w:cs="Times New Roman"/>
          <w:b/>
          <w:sz w:val="24"/>
          <w:szCs w:val="24"/>
        </w:rPr>
      </w:pPr>
    </w:p>
    <w:p w14:paraId="68CAB880" w14:textId="4414F2C5" w:rsidR="00344907" w:rsidRDefault="00344907" w:rsidP="00CD2013">
      <w:pPr>
        <w:spacing w:line="360" w:lineRule="auto"/>
        <w:rPr>
          <w:rFonts w:ascii="Times New Roman" w:eastAsia="Times New Roman" w:hAnsi="Times New Roman" w:cs="Times New Roman"/>
          <w:b/>
          <w:sz w:val="24"/>
          <w:szCs w:val="24"/>
        </w:rPr>
      </w:pPr>
    </w:p>
    <w:p w14:paraId="72B25B76" w14:textId="3F6BAD49" w:rsidR="00344907" w:rsidRDefault="00344907" w:rsidP="00CD2013">
      <w:pPr>
        <w:spacing w:line="360" w:lineRule="auto"/>
        <w:rPr>
          <w:rFonts w:ascii="Times New Roman" w:eastAsia="Times New Roman" w:hAnsi="Times New Roman" w:cs="Times New Roman"/>
          <w:b/>
          <w:sz w:val="24"/>
          <w:szCs w:val="24"/>
        </w:rPr>
      </w:pPr>
    </w:p>
    <w:p w14:paraId="20E3A742" w14:textId="58944B5E" w:rsidR="00344907" w:rsidRDefault="00344907" w:rsidP="00CD2013">
      <w:pPr>
        <w:spacing w:line="360" w:lineRule="auto"/>
        <w:rPr>
          <w:rFonts w:ascii="Times New Roman" w:eastAsia="Times New Roman" w:hAnsi="Times New Roman" w:cs="Times New Roman"/>
          <w:b/>
          <w:sz w:val="24"/>
          <w:szCs w:val="24"/>
        </w:rPr>
      </w:pPr>
    </w:p>
    <w:p w14:paraId="4C1C3E6C" w14:textId="729396F0" w:rsidR="00344907" w:rsidRDefault="00344907" w:rsidP="00CD2013">
      <w:pPr>
        <w:spacing w:line="360" w:lineRule="auto"/>
        <w:rPr>
          <w:rFonts w:ascii="Times New Roman" w:eastAsia="Times New Roman" w:hAnsi="Times New Roman" w:cs="Times New Roman"/>
          <w:b/>
          <w:sz w:val="24"/>
          <w:szCs w:val="24"/>
        </w:rPr>
      </w:pPr>
    </w:p>
    <w:p w14:paraId="23126FFF" w14:textId="155F5864" w:rsidR="00344907" w:rsidRDefault="00344907" w:rsidP="00CD2013">
      <w:pPr>
        <w:spacing w:line="360" w:lineRule="auto"/>
        <w:rPr>
          <w:rFonts w:ascii="Times New Roman" w:eastAsia="Times New Roman" w:hAnsi="Times New Roman" w:cs="Times New Roman"/>
          <w:b/>
          <w:sz w:val="24"/>
          <w:szCs w:val="24"/>
        </w:rPr>
      </w:pPr>
    </w:p>
    <w:p w14:paraId="05CEA423" w14:textId="637B81D8" w:rsidR="00344907" w:rsidRDefault="00344907" w:rsidP="00CD2013">
      <w:pPr>
        <w:spacing w:line="360" w:lineRule="auto"/>
        <w:rPr>
          <w:rFonts w:ascii="Times New Roman" w:eastAsia="Times New Roman" w:hAnsi="Times New Roman" w:cs="Times New Roman"/>
          <w:b/>
          <w:sz w:val="24"/>
          <w:szCs w:val="24"/>
        </w:rPr>
      </w:pPr>
    </w:p>
    <w:p w14:paraId="14311EFA" w14:textId="3B7E18B0" w:rsidR="00344907" w:rsidRDefault="00344907" w:rsidP="00CD2013">
      <w:pPr>
        <w:spacing w:line="360" w:lineRule="auto"/>
        <w:rPr>
          <w:rFonts w:ascii="Times New Roman" w:eastAsia="Times New Roman" w:hAnsi="Times New Roman" w:cs="Times New Roman"/>
          <w:b/>
          <w:sz w:val="24"/>
          <w:szCs w:val="24"/>
        </w:rPr>
      </w:pPr>
    </w:p>
    <w:p w14:paraId="6F85F6CB" w14:textId="0159C84E" w:rsidR="00344907" w:rsidRDefault="00344907" w:rsidP="00CD2013">
      <w:pPr>
        <w:spacing w:line="360" w:lineRule="auto"/>
        <w:rPr>
          <w:rFonts w:ascii="Times New Roman" w:eastAsia="Times New Roman" w:hAnsi="Times New Roman" w:cs="Times New Roman"/>
          <w:b/>
          <w:sz w:val="24"/>
          <w:szCs w:val="24"/>
        </w:rPr>
      </w:pPr>
    </w:p>
    <w:p w14:paraId="6C6603DE" w14:textId="20AF49F2" w:rsidR="00344907" w:rsidRDefault="00344907" w:rsidP="00CD2013">
      <w:pPr>
        <w:spacing w:line="360" w:lineRule="auto"/>
        <w:rPr>
          <w:rFonts w:ascii="Times New Roman" w:eastAsia="Times New Roman" w:hAnsi="Times New Roman" w:cs="Times New Roman"/>
          <w:b/>
          <w:sz w:val="24"/>
          <w:szCs w:val="24"/>
        </w:rPr>
      </w:pPr>
    </w:p>
    <w:p w14:paraId="7FB49650" w14:textId="4DF76D41" w:rsidR="00344907" w:rsidRDefault="00344907" w:rsidP="00CD2013">
      <w:pPr>
        <w:spacing w:line="360" w:lineRule="auto"/>
        <w:rPr>
          <w:rFonts w:ascii="Times New Roman" w:eastAsia="Times New Roman" w:hAnsi="Times New Roman" w:cs="Times New Roman"/>
          <w:b/>
          <w:sz w:val="24"/>
          <w:szCs w:val="24"/>
        </w:rPr>
      </w:pPr>
    </w:p>
    <w:p w14:paraId="28272990" w14:textId="01722FB7" w:rsidR="00344907" w:rsidRDefault="00344907" w:rsidP="00CD2013">
      <w:pPr>
        <w:spacing w:line="360" w:lineRule="auto"/>
        <w:rPr>
          <w:rFonts w:ascii="Times New Roman" w:eastAsia="Times New Roman" w:hAnsi="Times New Roman" w:cs="Times New Roman"/>
          <w:b/>
          <w:sz w:val="24"/>
          <w:szCs w:val="24"/>
        </w:rPr>
      </w:pPr>
    </w:p>
    <w:p w14:paraId="149D2E04" w14:textId="6CFAFB36" w:rsidR="00344907" w:rsidRDefault="00344907" w:rsidP="00CD2013">
      <w:pPr>
        <w:spacing w:line="360" w:lineRule="auto"/>
        <w:rPr>
          <w:rFonts w:ascii="Times New Roman" w:eastAsia="Times New Roman" w:hAnsi="Times New Roman" w:cs="Times New Roman"/>
          <w:b/>
          <w:sz w:val="24"/>
          <w:szCs w:val="24"/>
        </w:rPr>
      </w:pPr>
    </w:p>
    <w:p w14:paraId="73842EF4" w14:textId="310A3144" w:rsidR="00344907" w:rsidRDefault="00344907" w:rsidP="00CD2013">
      <w:pPr>
        <w:spacing w:line="360" w:lineRule="auto"/>
        <w:rPr>
          <w:rFonts w:ascii="Times New Roman" w:eastAsia="Times New Roman" w:hAnsi="Times New Roman" w:cs="Times New Roman"/>
          <w:b/>
          <w:sz w:val="24"/>
          <w:szCs w:val="24"/>
        </w:rPr>
      </w:pPr>
    </w:p>
    <w:p w14:paraId="6F10C375" w14:textId="712763D3" w:rsidR="00344907" w:rsidRDefault="00344907" w:rsidP="00CD2013">
      <w:pPr>
        <w:spacing w:line="360" w:lineRule="auto"/>
        <w:rPr>
          <w:rFonts w:ascii="Times New Roman" w:eastAsia="Times New Roman" w:hAnsi="Times New Roman" w:cs="Times New Roman"/>
          <w:b/>
          <w:sz w:val="24"/>
          <w:szCs w:val="24"/>
        </w:rPr>
      </w:pPr>
    </w:p>
    <w:p w14:paraId="0F2D8D77" w14:textId="6198D2CA" w:rsidR="00344907" w:rsidRDefault="00344907" w:rsidP="00CD2013">
      <w:pPr>
        <w:spacing w:line="360" w:lineRule="auto"/>
        <w:rPr>
          <w:rFonts w:ascii="Times New Roman" w:eastAsia="Times New Roman" w:hAnsi="Times New Roman" w:cs="Times New Roman"/>
          <w:b/>
          <w:sz w:val="24"/>
          <w:szCs w:val="24"/>
        </w:rPr>
      </w:pPr>
    </w:p>
    <w:p w14:paraId="3EDB70F1" w14:textId="03889410" w:rsidR="00344907" w:rsidRDefault="00344907" w:rsidP="00CD2013">
      <w:pPr>
        <w:spacing w:line="360" w:lineRule="auto"/>
        <w:rPr>
          <w:rFonts w:ascii="Times New Roman" w:eastAsia="Times New Roman" w:hAnsi="Times New Roman" w:cs="Times New Roman"/>
          <w:b/>
          <w:sz w:val="24"/>
          <w:szCs w:val="24"/>
        </w:rPr>
      </w:pPr>
    </w:p>
    <w:p w14:paraId="29A4DA5E" w14:textId="345A1699" w:rsidR="00344907" w:rsidRDefault="00344907" w:rsidP="00CD2013">
      <w:pPr>
        <w:spacing w:line="360" w:lineRule="auto"/>
        <w:rPr>
          <w:rFonts w:ascii="Times New Roman" w:eastAsia="Times New Roman" w:hAnsi="Times New Roman" w:cs="Times New Roman"/>
          <w:b/>
          <w:sz w:val="24"/>
          <w:szCs w:val="24"/>
        </w:rPr>
      </w:pPr>
    </w:p>
    <w:p w14:paraId="7F21CC3C" w14:textId="77777777" w:rsidR="00344907" w:rsidRPr="00CD2013" w:rsidRDefault="00344907" w:rsidP="00CD2013">
      <w:pPr>
        <w:spacing w:line="360" w:lineRule="auto"/>
        <w:rPr>
          <w:rFonts w:ascii="Times New Roman" w:eastAsia="Times New Roman" w:hAnsi="Times New Roman" w:cs="Times New Roman"/>
          <w:b/>
          <w:sz w:val="24"/>
          <w:szCs w:val="24"/>
        </w:rPr>
      </w:pPr>
    </w:p>
    <w:p w14:paraId="000000BC" w14:textId="1C58C2D4" w:rsidR="00BE1A9D" w:rsidRPr="00F86333" w:rsidRDefault="00F86333" w:rsidP="00F86333">
      <w:pPr>
        <w:spacing w:line="360" w:lineRule="auto"/>
        <w:jc w:val="center"/>
        <w:rPr>
          <w:rFonts w:ascii="Times New Roman" w:eastAsia="Times New Roman" w:hAnsi="Times New Roman" w:cs="Times New Roman"/>
          <w:b/>
          <w:sz w:val="24"/>
          <w:szCs w:val="24"/>
          <w:u w:val="single"/>
        </w:rPr>
      </w:pPr>
      <w:r w:rsidRPr="00F86333">
        <w:rPr>
          <w:rFonts w:ascii="Times New Roman" w:eastAsia="Times New Roman" w:hAnsi="Times New Roman" w:cs="Times New Roman"/>
          <w:b/>
          <w:sz w:val="24"/>
          <w:szCs w:val="24"/>
          <w:u w:val="single"/>
        </w:rPr>
        <w:lastRenderedPageBreak/>
        <w:t xml:space="preserve">OBJETO DEL </w:t>
      </w:r>
      <w:bookmarkStart w:id="0" w:name="_GoBack"/>
      <w:bookmarkEnd w:id="0"/>
      <w:r w:rsidRPr="00F86333">
        <w:rPr>
          <w:rFonts w:ascii="Times New Roman" w:eastAsia="Times New Roman" w:hAnsi="Times New Roman" w:cs="Times New Roman"/>
          <w:b/>
          <w:sz w:val="24"/>
          <w:szCs w:val="24"/>
          <w:u w:val="single"/>
        </w:rPr>
        <w:t>CASO</w:t>
      </w:r>
    </w:p>
    <w:p w14:paraId="000000BD" w14:textId="1C47E037" w:rsidR="00BE1A9D" w:rsidRPr="00CD2013" w:rsidRDefault="00AB4372" w:rsidP="00AB4372">
      <w:pPr>
        <w:spacing w:before="240" w:line="360" w:lineRule="auto"/>
        <w:ind w:left="141" w:firstLine="579"/>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w:t>
      </w:r>
      <w:r w:rsidR="00F86333" w:rsidRPr="00CD2013">
        <w:rPr>
          <w:rFonts w:ascii="Times New Roman" w:eastAsia="Times New Roman" w:hAnsi="Times New Roman" w:cs="Times New Roman"/>
          <w:sz w:val="24"/>
          <w:szCs w:val="24"/>
        </w:rPr>
        <w:t xml:space="preserve">La representación de las víctimas somete a consideración de la Honorable Corte el presente escrito de solicitudes, argumentos y pruebas (en adelante “el presente escrito”) de conformidad con lo establecido en el artículo 36 del Reglamento de este Tribunal y con base en los fundamentos de hecho mencionados por la CIDH y en este escrito. </w:t>
      </w:r>
    </w:p>
    <w:p w14:paraId="000000BE" w14:textId="75260674" w:rsidR="00BE1A9D" w:rsidRPr="00CD2013" w:rsidRDefault="00AB4372" w:rsidP="00AB4372">
      <w:pPr>
        <w:spacing w:line="360" w:lineRule="auto"/>
        <w:ind w:left="141" w:firstLine="579"/>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2.-</w:t>
      </w:r>
      <w:r>
        <w:rPr>
          <w:rFonts w:ascii="Times New Roman" w:eastAsia="Times New Roman" w:hAnsi="Times New Roman" w:cs="Times New Roman"/>
          <w:sz w:val="24"/>
          <w:szCs w:val="24"/>
        </w:rPr>
        <w:t xml:space="preserve"> </w:t>
      </w:r>
      <w:r w:rsidR="00F86333" w:rsidRPr="00CD2013">
        <w:rPr>
          <w:rFonts w:ascii="Times New Roman" w:eastAsia="Times New Roman" w:hAnsi="Times New Roman" w:cs="Times New Roman"/>
          <w:sz w:val="24"/>
          <w:szCs w:val="24"/>
        </w:rPr>
        <w:t xml:space="preserve">En relación con el presente caso, de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Cristóbal y Maritza Guerra vs El Estado de Tributaria, solicitamos a la Corte que declare la responsabilidad internacional del Estado de Tributaria, por el incumplimiento de sus obligaciones internacionales al haber incurrido, en detrimento de las víctimas mencionadas, en la violación de los artículos 5 (derecho a la integridad personal), 7 (derecho a la libertad personal), 8 (garantías judiciales), 9 (principio de legalidad y de retroactividad), 11 (protección de la honra y la dignidad), 17 (protección a la familia), 24 (igualdad ante la ley), 25 (protección judicial) y 26 (desarrollo progresivo) de la Convención Americana de Derechos Humanos, todos ellos en relación con los artículos 1.1 (obligación de respetar los derechos) y 2 (deber de adoptar disposiciones de derecho interno) del mismo instrumento internacional, y del artículo 7 de la Convención de Belém do Pará relativo a los deberes de los Estados para prevenir, sancionar y erradicar la violencia contra la mujer, en perjuicio de las víctimas anteriormente mencionadas.</w:t>
      </w:r>
    </w:p>
    <w:p w14:paraId="000000BF" w14:textId="7DE17E55" w:rsidR="00BE1A9D" w:rsidRPr="00CD2013" w:rsidRDefault="00AB4372" w:rsidP="00AB4372">
      <w:pPr>
        <w:spacing w:line="360" w:lineRule="auto"/>
        <w:ind w:left="141" w:firstLine="579"/>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 </w:t>
      </w:r>
      <w:r w:rsidR="00F86333" w:rsidRPr="00CD2013">
        <w:rPr>
          <w:rFonts w:ascii="Times New Roman" w:eastAsia="Times New Roman" w:hAnsi="Times New Roman" w:cs="Times New Roman"/>
          <w:sz w:val="24"/>
          <w:szCs w:val="24"/>
        </w:rPr>
        <w:t xml:space="preserve">En este escrito presentamos de manera autónoma argumentos con el objeto de resaltar algunos aspectos fundamentales del caso de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Cristóbal y Maritza Guerra. Pues como quedará demostrado, en el presente caso, agentes del Estado de Tributaria participaron en la vulneración de los derechos de las peticionarias, razón por la cual el objeto principal de este escrito es dejar en claro la responsabilidad del Estado anteriormente mencionado.</w:t>
      </w:r>
    </w:p>
    <w:p w14:paraId="000000C1" w14:textId="16393D96" w:rsidR="00BE1A9D" w:rsidRDefault="00AB4372" w:rsidP="00AB4372">
      <w:pPr>
        <w:spacing w:line="360" w:lineRule="auto"/>
        <w:ind w:left="141" w:firstLine="579"/>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 </w:t>
      </w:r>
      <w:r w:rsidR="00F86333" w:rsidRPr="00CD2013">
        <w:rPr>
          <w:rFonts w:ascii="Times New Roman" w:eastAsia="Times New Roman" w:hAnsi="Times New Roman" w:cs="Times New Roman"/>
          <w:sz w:val="24"/>
          <w:szCs w:val="24"/>
        </w:rPr>
        <w:t xml:space="preserve">Adicionalmente, la presente representación busca que la Honorable Corte ordene al Estado de Tributaria la adopción de las medidas necesarias para reparar, en debida forma, el enorme daño causado por los hechos a </w:t>
      </w:r>
      <w:proofErr w:type="gramStart"/>
      <w:r w:rsidR="00F86333" w:rsidRPr="00CD2013">
        <w:rPr>
          <w:rFonts w:ascii="Times New Roman" w:eastAsia="Times New Roman" w:hAnsi="Times New Roman" w:cs="Times New Roman"/>
          <w:sz w:val="24"/>
          <w:szCs w:val="24"/>
        </w:rPr>
        <w:t>la víctimas</w:t>
      </w:r>
      <w:proofErr w:type="gramEnd"/>
      <w:r w:rsidR="00F86333" w:rsidRPr="00CD2013">
        <w:rPr>
          <w:rFonts w:ascii="Times New Roman" w:eastAsia="Times New Roman" w:hAnsi="Times New Roman" w:cs="Times New Roman"/>
          <w:sz w:val="24"/>
          <w:szCs w:val="24"/>
        </w:rPr>
        <w:t>, narrados a continuación.</w:t>
      </w:r>
    </w:p>
    <w:p w14:paraId="05EAF814" w14:textId="77777777" w:rsidR="00AB4372" w:rsidRPr="00F03241" w:rsidRDefault="00AB4372" w:rsidP="00AB4372">
      <w:pPr>
        <w:spacing w:line="360" w:lineRule="auto"/>
        <w:ind w:left="141" w:firstLine="579"/>
        <w:rPr>
          <w:rFonts w:ascii="Times New Roman" w:eastAsia="Times New Roman" w:hAnsi="Times New Roman" w:cs="Times New Roman"/>
          <w:sz w:val="24"/>
          <w:szCs w:val="24"/>
        </w:rPr>
      </w:pPr>
    </w:p>
    <w:p w14:paraId="000000C2" w14:textId="1BC7AD2D" w:rsidR="00BE1A9D" w:rsidRPr="00CD2013" w:rsidRDefault="00F03241" w:rsidP="00CD2013">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 </w:t>
      </w:r>
      <w:r w:rsidR="00F86333" w:rsidRPr="00CD2013">
        <w:rPr>
          <w:rFonts w:ascii="Times New Roman" w:eastAsia="Times New Roman" w:hAnsi="Times New Roman" w:cs="Times New Roman"/>
          <w:b/>
          <w:sz w:val="24"/>
          <w:szCs w:val="24"/>
        </w:rPr>
        <w:t>EXPOSICIÓN DE LOS HECHOS.</w:t>
      </w:r>
    </w:p>
    <w:p w14:paraId="000000C3" w14:textId="02B708C8" w:rsidR="00BE1A9D" w:rsidRPr="00AB4372" w:rsidRDefault="00F86333" w:rsidP="00F86333">
      <w:pPr>
        <w:spacing w:line="360" w:lineRule="auto"/>
        <w:ind w:firstLine="720"/>
        <w:rPr>
          <w:rFonts w:ascii="Times New Roman" w:eastAsia="Times New Roman" w:hAnsi="Times New Roman" w:cs="Times New Roman"/>
          <w:b/>
          <w:sz w:val="24"/>
          <w:szCs w:val="24"/>
        </w:rPr>
      </w:pPr>
      <w:r w:rsidRPr="00AB4372">
        <w:rPr>
          <w:rFonts w:ascii="Times New Roman" w:eastAsia="Times New Roman" w:hAnsi="Times New Roman" w:cs="Times New Roman"/>
          <w:b/>
          <w:sz w:val="24"/>
          <w:szCs w:val="24"/>
        </w:rPr>
        <w:t xml:space="preserve">1.1.- Contexto de </w:t>
      </w:r>
      <w:proofErr w:type="spellStart"/>
      <w:r w:rsidRPr="00AB4372">
        <w:rPr>
          <w:rFonts w:ascii="Times New Roman" w:eastAsia="Times New Roman" w:hAnsi="Times New Roman" w:cs="Times New Roman"/>
          <w:b/>
          <w:sz w:val="24"/>
          <w:szCs w:val="24"/>
        </w:rPr>
        <w:t>Fangoria</w:t>
      </w:r>
      <w:proofErr w:type="spellEnd"/>
      <w:r w:rsidRPr="00AB4372">
        <w:rPr>
          <w:rFonts w:ascii="Times New Roman" w:eastAsia="Times New Roman" w:hAnsi="Times New Roman" w:cs="Times New Roman"/>
          <w:b/>
          <w:sz w:val="24"/>
          <w:szCs w:val="24"/>
        </w:rPr>
        <w:t>: Crisis y origen de la migración masiva.</w:t>
      </w:r>
    </w:p>
    <w:p w14:paraId="000000C4" w14:textId="672B5F11" w:rsidR="00BE1A9D" w:rsidRPr="00CD2013" w:rsidRDefault="00AB4372" w:rsidP="00AB437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 </w:t>
      </w:r>
      <w:r w:rsidR="00F86333" w:rsidRPr="00CD2013">
        <w:rPr>
          <w:rFonts w:ascii="Times New Roman" w:eastAsia="Times New Roman" w:hAnsi="Times New Roman" w:cs="Times New Roman"/>
          <w:sz w:val="24"/>
          <w:szCs w:val="24"/>
        </w:rPr>
        <w:t xml:space="preserve">La República de </w:t>
      </w:r>
      <w:proofErr w:type="spellStart"/>
      <w:r w:rsidR="00F86333" w:rsidRPr="00CD2013">
        <w:rPr>
          <w:rFonts w:ascii="Times New Roman" w:eastAsia="Times New Roman" w:hAnsi="Times New Roman" w:cs="Times New Roman"/>
          <w:sz w:val="24"/>
          <w:szCs w:val="24"/>
        </w:rPr>
        <w:t>Fangoria</w:t>
      </w:r>
      <w:proofErr w:type="spellEnd"/>
      <w:r w:rsidR="00F86333" w:rsidRPr="00CD2013">
        <w:rPr>
          <w:rFonts w:ascii="Times New Roman" w:eastAsia="Times New Roman" w:hAnsi="Times New Roman" w:cs="Times New Roman"/>
          <w:sz w:val="24"/>
          <w:szCs w:val="24"/>
        </w:rPr>
        <w:t xml:space="preserve"> es un Estado centroamericano que limita con la República de Tributaria. Es una República unitaria, democrática y presidencialista. Su actual presidente es Álvaro Fría Arteaga, quien detenta este cargo por segundo periodo consecutivo.</w:t>
      </w:r>
    </w:p>
    <w:p w14:paraId="000000C5" w14:textId="1ABE4FB7" w:rsidR="00BE1A9D" w:rsidRPr="00CD2013" w:rsidRDefault="00F86333" w:rsidP="00CD2013">
      <w:pPr>
        <w:spacing w:line="360" w:lineRule="auto"/>
        <w:ind w:firstLine="720"/>
        <w:rPr>
          <w:rFonts w:ascii="Times New Roman" w:eastAsia="Times New Roman" w:hAnsi="Times New Roman" w:cs="Times New Roman"/>
          <w:sz w:val="24"/>
          <w:szCs w:val="24"/>
        </w:rPr>
      </w:pPr>
      <w:r w:rsidRPr="00CD2013">
        <w:rPr>
          <w:rFonts w:ascii="Times New Roman" w:eastAsia="Times New Roman" w:hAnsi="Times New Roman" w:cs="Times New Roman"/>
          <w:b/>
          <w:sz w:val="24"/>
          <w:szCs w:val="24"/>
        </w:rPr>
        <w:lastRenderedPageBreak/>
        <w:t>6.</w:t>
      </w:r>
      <w:r w:rsidRPr="00CD2013">
        <w:rPr>
          <w:rFonts w:ascii="Times New Roman" w:eastAsia="Times New Roman" w:hAnsi="Times New Roman" w:cs="Times New Roman"/>
          <w:b/>
          <w:i/>
          <w:sz w:val="24"/>
          <w:szCs w:val="24"/>
        </w:rPr>
        <w:t>-</w:t>
      </w:r>
      <w:r w:rsidRPr="00CD2013">
        <w:rPr>
          <w:rFonts w:ascii="Times New Roman" w:eastAsia="Times New Roman" w:hAnsi="Times New Roman" w:cs="Times New Roman"/>
          <w:sz w:val="24"/>
          <w:szCs w:val="24"/>
        </w:rPr>
        <w:t xml:space="preserve"> A partir del año 2010, la prensa internacional en conjunto con </w:t>
      </w:r>
      <w:proofErr w:type="spellStart"/>
      <w:r w:rsidRPr="00CD2013">
        <w:rPr>
          <w:rFonts w:ascii="Times New Roman" w:eastAsia="Times New Roman" w:hAnsi="Times New Roman" w:cs="Times New Roman"/>
          <w:sz w:val="24"/>
          <w:szCs w:val="24"/>
        </w:rPr>
        <w:t>OIGs</w:t>
      </w:r>
      <w:proofErr w:type="spellEnd"/>
      <w:r w:rsidRPr="00CD2013">
        <w:rPr>
          <w:rFonts w:ascii="Times New Roman" w:eastAsia="Times New Roman" w:hAnsi="Times New Roman" w:cs="Times New Roman"/>
          <w:sz w:val="24"/>
          <w:szCs w:val="24"/>
        </w:rPr>
        <w:t xml:space="preserve">, como la Comisión Económica para América Latina y el Caribe (CEPAL), han señalado que existe un proceso de desinstitucionalización y debilitamiento de la democracia allí, lo que se ha reflejado en un exponencial aumento de los índices de inseguridad y violencia, con un enfoque diferenciado frente a la mujer </w:t>
      </w:r>
      <w:proofErr w:type="spellStart"/>
      <w:r w:rsidRPr="00CD2013">
        <w:rPr>
          <w:rFonts w:ascii="Times New Roman" w:eastAsia="Times New Roman" w:hAnsi="Times New Roman" w:cs="Times New Roman"/>
          <w:sz w:val="24"/>
          <w:szCs w:val="24"/>
        </w:rPr>
        <w:t>fangori</w:t>
      </w:r>
      <w:r>
        <w:rPr>
          <w:rFonts w:ascii="Times New Roman" w:eastAsia="Times New Roman" w:hAnsi="Times New Roman" w:cs="Times New Roman"/>
          <w:sz w:val="24"/>
          <w:szCs w:val="24"/>
        </w:rPr>
        <w:t>n</w:t>
      </w:r>
      <w:r w:rsidRPr="00CD2013">
        <w:rPr>
          <w:rFonts w:ascii="Times New Roman" w:eastAsia="Times New Roman" w:hAnsi="Times New Roman" w:cs="Times New Roman"/>
          <w:sz w:val="24"/>
          <w:szCs w:val="24"/>
        </w:rPr>
        <w:t>a</w:t>
      </w:r>
      <w:proofErr w:type="spellEnd"/>
      <w:r w:rsidRPr="00CD2013">
        <w:rPr>
          <w:rFonts w:ascii="Times New Roman" w:eastAsia="Times New Roman" w:hAnsi="Times New Roman" w:cs="Times New Roman"/>
          <w:sz w:val="24"/>
          <w:szCs w:val="24"/>
        </w:rPr>
        <w:t xml:space="preserve">. Esta situación, sumado a un proceso de hiperinflación causó un grave impacto en la </w:t>
      </w:r>
      <w:proofErr w:type="gramStart"/>
      <w:r w:rsidRPr="00CD2013">
        <w:rPr>
          <w:rFonts w:ascii="Times New Roman" w:eastAsia="Times New Roman" w:hAnsi="Times New Roman" w:cs="Times New Roman"/>
          <w:sz w:val="24"/>
          <w:szCs w:val="24"/>
        </w:rPr>
        <w:t>calidad  de</w:t>
      </w:r>
      <w:proofErr w:type="gramEnd"/>
      <w:r w:rsidRPr="00CD2013">
        <w:rPr>
          <w:rFonts w:ascii="Times New Roman" w:eastAsia="Times New Roman" w:hAnsi="Times New Roman" w:cs="Times New Roman"/>
          <w:sz w:val="24"/>
          <w:szCs w:val="24"/>
        </w:rPr>
        <w:t xml:space="preserve"> la población </w:t>
      </w:r>
      <w:proofErr w:type="spellStart"/>
      <w:r w:rsidRPr="00CD2013">
        <w:rPr>
          <w:rFonts w:ascii="Times New Roman" w:eastAsia="Times New Roman" w:hAnsi="Times New Roman" w:cs="Times New Roman"/>
          <w:sz w:val="24"/>
          <w:szCs w:val="24"/>
        </w:rPr>
        <w:t>fangoriana</w:t>
      </w:r>
      <w:proofErr w:type="spellEnd"/>
      <w:r w:rsidRPr="00CD2013">
        <w:rPr>
          <w:rFonts w:ascii="Times New Roman" w:eastAsia="Times New Roman" w:hAnsi="Times New Roman" w:cs="Times New Roman"/>
          <w:sz w:val="24"/>
          <w:szCs w:val="24"/>
        </w:rPr>
        <w:t>,  que obligó a muchos de ellos a migrar a la República de Tributaria, a partir del año 2012.</w:t>
      </w:r>
    </w:p>
    <w:p w14:paraId="000000C6" w14:textId="6DAD7614" w:rsidR="00BE1A9D" w:rsidRPr="00CD2013" w:rsidRDefault="00F86333" w:rsidP="00F86333">
      <w:pPr>
        <w:spacing w:line="360" w:lineRule="auto"/>
        <w:ind w:firstLine="720"/>
        <w:rPr>
          <w:rFonts w:ascii="Times New Roman" w:eastAsia="Times New Roman" w:hAnsi="Times New Roman" w:cs="Times New Roman"/>
          <w:b/>
          <w:i/>
          <w:sz w:val="24"/>
          <w:szCs w:val="24"/>
        </w:rPr>
      </w:pPr>
      <w:r w:rsidRPr="00AB4372">
        <w:rPr>
          <w:rFonts w:ascii="Times New Roman" w:eastAsia="Times New Roman" w:hAnsi="Times New Roman" w:cs="Times New Roman"/>
          <w:b/>
          <w:sz w:val="24"/>
          <w:szCs w:val="24"/>
        </w:rPr>
        <w:t>1.2.- Contexto de la República de Tributaria y Acogida a la migración masiva</w:t>
      </w:r>
      <w:r w:rsidRPr="00CD2013">
        <w:rPr>
          <w:rFonts w:ascii="Times New Roman" w:eastAsia="Times New Roman" w:hAnsi="Times New Roman" w:cs="Times New Roman"/>
          <w:b/>
          <w:i/>
          <w:sz w:val="24"/>
          <w:szCs w:val="24"/>
        </w:rPr>
        <w:t xml:space="preserve">. </w:t>
      </w:r>
    </w:p>
    <w:p w14:paraId="000000C7" w14:textId="77777777" w:rsidR="00BE1A9D" w:rsidRPr="00CD2013" w:rsidRDefault="00F86333" w:rsidP="00CD2013">
      <w:pPr>
        <w:spacing w:line="360" w:lineRule="auto"/>
        <w:ind w:firstLine="720"/>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7.-</w:t>
      </w:r>
      <w:r w:rsidRPr="00CD2013">
        <w:rPr>
          <w:rFonts w:ascii="Times New Roman" w:eastAsia="Times New Roman" w:hAnsi="Times New Roman" w:cs="Times New Roman"/>
          <w:sz w:val="24"/>
          <w:szCs w:val="24"/>
        </w:rPr>
        <w:t xml:space="preserve"> La república de Tributaria (En adelante Tributaria) se concibe constitucionalmente como un E.S.D, Pluralista, democrático, unitario y descentralizado. Se divide en 8 departamentos, entre estos Refugio, fronterizo a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w:t>
      </w:r>
    </w:p>
    <w:p w14:paraId="000000C8" w14:textId="77777777" w:rsidR="00BE1A9D" w:rsidRPr="00CD2013" w:rsidRDefault="00F86333" w:rsidP="00CD2013">
      <w:pPr>
        <w:spacing w:line="360" w:lineRule="auto"/>
        <w:ind w:firstLine="720"/>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8.-</w:t>
      </w:r>
      <w:r w:rsidRPr="00CD2013">
        <w:rPr>
          <w:rFonts w:ascii="Times New Roman" w:eastAsia="Times New Roman" w:hAnsi="Times New Roman" w:cs="Times New Roman"/>
          <w:b/>
          <w:sz w:val="24"/>
          <w:szCs w:val="24"/>
        </w:rPr>
        <w:t xml:space="preserve"> </w:t>
      </w:r>
      <w:r w:rsidRPr="00CD2013">
        <w:rPr>
          <w:rFonts w:ascii="Times New Roman" w:eastAsia="Times New Roman" w:hAnsi="Times New Roman" w:cs="Times New Roman"/>
          <w:sz w:val="24"/>
          <w:szCs w:val="24"/>
        </w:rPr>
        <w:t xml:space="preserve">Debido a la crisis de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 xml:space="preserve">, a partir del año 2012 Tributaria empezó a recibir una migración masiva, que se acentuó el departamento de Refugio en la ciudad de </w:t>
      </w:r>
      <w:proofErr w:type="spellStart"/>
      <w:r w:rsidRPr="00CD2013">
        <w:rPr>
          <w:rFonts w:ascii="Times New Roman" w:eastAsia="Times New Roman" w:hAnsi="Times New Roman" w:cs="Times New Roman"/>
          <w:sz w:val="24"/>
          <w:szCs w:val="24"/>
        </w:rPr>
        <w:t>Ovomaltina</w:t>
      </w:r>
      <w:proofErr w:type="spellEnd"/>
      <w:r w:rsidRPr="00CD2013">
        <w:rPr>
          <w:rFonts w:ascii="Times New Roman" w:eastAsia="Times New Roman" w:hAnsi="Times New Roman" w:cs="Times New Roman"/>
          <w:sz w:val="24"/>
          <w:szCs w:val="24"/>
        </w:rPr>
        <w:t xml:space="preserve">, ciudad que para solventar la fuerte migración expidió la Ordenanza del 27 de octubre de 2013, mediante la Cual creó </w:t>
      </w:r>
      <w:proofErr w:type="gramStart"/>
      <w:r w:rsidRPr="00CD2013">
        <w:rPr>
          <w:rFonts w:ascii="Times New Roman" w:eastAsia="Times New Roman" w:hAnsi="Times New Roman" w:cs="Times New Roman"/>
          <w:sz w:val="24"/>
          <w:szCs w:val="24"/>
        </w:rPr>
        <w:t>el  Programa</w:t>
      </w:r>
      <w:proofErr w:type="gramEnd"/>
      <w:r w:rsidRPr="00CD2013">
        <w:rPr>
          <w:rFonts w:ascii="Times New Roman" w:eastAsia="Times New Roman" w:hAnsi="Times New Roman" w:cs="Times New Roman"/>
          <w:sz w:val="24"/>
          <w:szCs w:val="24"/>
        </w:rPr>
        <w:t xml:space="preserve"> Especial para brindar permisos temporales de trabajo (PEP). </w:t>
      </w:r>
    </w:p>
    <w:p w14:paraId="000000C9" w14:textId="77777777" w:rsidR="00BE1A9D" w:rsidRPr="00CD2013" w:rsidRDefault="00F86333" w:rsidP="00CD2013">
      <w:pPr>
        <w:spacing w:line="360" w:lineRule="auto"/>
        <w:ind w:firstLine="720"/>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9.-</w:t>
      </w:r>
      <w:r w:rsidRPr="00CD2013">
        <w:rPr>
          <w:rFonts w:ascii="Times New Roman" w:eastAsia="Times New Roman" w:hAnsi="Times New Roman" w:cs="Times New Roman"/>
          <w:b/>
          <w:i/>
          <w:sz w:val="24"/>
          <w:szCs w:val="24"/>
        </w:rPr>
        <w:t xml:space="preserve"> </w:t>
      </w:r>
      <w:r w:rsidRPr="00CD2013">
        <w:rPr>
          <w:rFonts w:ascii="Times New Roman" w:eastAsia="Times New Roman" w:hAnsi="Times New Roman" w:cs="Times New Roman"/>
          <w:sz w:val="24"/>
          <w:szCs w:val="24"/>
        </w:rPr>
        <w:t xml:space="preserve">Este PEP se otorgaba por un año, renovable a los </w:t>
      </w:r>
      <w:proofErr w:type="spellStart"/>
      <w:r w:rsidRPr="00CD2013">
        <w:rPr>
          <w:rFonts w:ascii="Times New Roman" w:eastAsia="Times New Roman" w:hAnsi="Times New Roman" w:cs="Times New Roman"/>
          <w:sz w:val="24"/>
          <w:szCs w:val="24"/>
        </w:rPr>
        <w:t>fangorianos</w:t>
      </w:r>
      <w:proofErr w:type="spellEnd"/>
      <w:r w:rsidRPr="00CD2013">
        <w:rPr>
          <w:rFonts w:ascii="Times New Roman" w:eastAsia="Times New Roman" w:hAnsi="Times New Roman" w:cs="Times New Roman"/>
          <w:sz w:val="24"/>
          <w:szCs w:val="24"/>
        </w:rPr>
        <w:t xml:space="preserve"> que acrediten su condición de migración forzada de su Estado. Debido a esta intensa migración, en Tributaria se despertó una actitud generalizada de xenofobia con énfasis en las mujeres </w:t>
      </w:r>
      <w:proofErr w:type="spellStart"/>
      <w:r w:rsidRPr="00CD2013">
        <w:rPr>
          <w:rFonts w:ascii="Times New Roman" w:eastAsia="Times New Roman" w:hAnsi="Times New Roman" w:cs="Times New Roman"/>
          <w:sz w:val="24"/>
          <w:szCs w:val="24"/>
        </w:rPr>
        <w:t>fangorianas</w:t>
      </w:r>
      <w:proofErr w:type="spellEnd"/>
      <w:r w:rsidRPr="00CD2013">
        <w:rPr>
          <w:rFonts w:ascii="Times New Roman" w:eastAsia="Times New Roman" w:hAnsi="Times New Roman" w:cs="Times New Roman"/>
          <w:sz w:val="24"/>
          <w:szCs w:val="24"/>
        </w:rPr>
        <w:t xml:space="preserve">, expresado en estereotipos basados en su </w:t>
      </w:r>
      <w:proofErr w:type="spellStart"/>
      <w:r w:rsidRPr="00CD2013">
        <w:rPr>
          <w:rFonts w:ascii="Times New Roman" w:eastAsia="Times New Roman" w:hAnsi="Times New Roman" w:cs="Times New Roman"/>
          <w:sz w:val="24"/>
          <w:szCs w:val="24"/>
        </w:rPr>
        <w:t>hipersexualizacion</w:t>
      </w:r>
      <w:proofErr w:type="spellEnd"/>
      <w:r w:rsidRPr="00CD2013">
        <w:rPr>
          <w:rFonts w:ascii="Times New Roman" w:eastAsia="Times New Roman" w:hAnsi="Times New Roman" w:cs="Times New Roman"/>
          <w:sz w:val="24"/>
          <w:szCs w:val="24"/>
        </w:rPr>
        <w:t xml:space="preserve">. </w:t>
      </w:r>
    </w:p>
    <w:p w14:paraId="000000CA" w14:textId="77777777" w:rsidR="00BE1A9D" w:rsidRPr="00CD2013" w:rsidRDefault="00F86333" w:rsidP="00CD2013">
      <w:pPr>
        <w:spacing w:line="360" w:lineRule="auto"/>
        <w:ind w:firstLine="720"/>
        <w:rPr>
          <w:rFonts w:ascii="Times New Roman" w:eastAsia="Times New Roman" w:hAnsi="Times New Roman" w:cs="Times New Roman"/>
          <w:sz w:val="24"/>
          <w:szCs w:val="24"/>
        </w:rPr>
      </w:pPr>
      <w:r w:rsidRPr="00AB4372">
        <w:rPr>
          <w:rFonts w:ascii="Times New Roman" w:eastAsia="Times New Roman" w:hAnsi="Times New Roman" w:cs="Times New Roman"/>
          <w:b/>
          <w:sz w:val="24"/>
          <w:szCs w:val="24"/>
        </w:rPr>
        <w:t>10.-</w:t>
      </w:r>
      <w:r w:rsidRPr="00CD2013">
        <w:rPr>
          <w:rFonts w:ascii="Times New Roman" w:eastAsia="Times New Roman" w:hAnsi="Times New Roman" w:cs="Times New Roman"/>
          <w:b/>
          <w:i/>
          <w:sz w:val="24"/>
          <w:szCs w:val="24"/>
        </w:rPr>
        <w:t xml:space="preserve"> </w:t>
      </w:r>
      <w:r w:rsidRPr="00CD2013">
        <w:rPr>
          <w:rFonts w:ascii="Times New Roman" w:eastAsia="Times New Roman" w:hAnsi="Times New Roman" w:cs="Times New Roman"/>
          <w:sz w:val="24"/>
          <w:szCs w:val="24"/>
        </w:rPr>
        <w:t>En el año 2017, mediante la ley 4269 se despenalizó el delito de prostitución, que estaba tipificado en el art 222 del C.P de Tributaria. Esta ley terminó su control automático de constitucionalidad en el año 2019</w:t>
      </w:r>
      <w:r w:rsidRPr="00CD2013">
        <w:rPr>
          <w:rFonts w:ascii="Times New Roman" w:eastAsia="Times New Roman" w:hAnsi="Times New Roman" w:cs="Times New Roman"/>
          <w:sz w:val="24"/>
          <w:szCs w:val="24"/>
          <w:vertAlign w:val="superscript"/>
        </w:rPr>
        <w:footnoteReference w:id="1"/>
      </w:r>
      <w:r w:rsidRPr="00CD2013">
        <w:rPr>
          <w:rFonts w:ascii="Times New Roman" w:eastAsia="Times New Roman" w:hAnsi="Times New Roman" w:cs="Times New Roman"/>
          <w:sz w:val="24"/>
          <w:szCs w:val="24"/>
        </w:rPr>
        <w:t xml:space="preserve">, en donde el TCT, declaró su constitucionalidad. </w:t>
      </w:r>
    </w:p>
    <w:p w14:paraId="000000CB" w14:textId="41A3DA9A" w:rsidR="00BE1A9D" w:rsidRPr="00AB4372" w:rsidRDefault="00F86333" w:rsidP="00F86333">
      <w:pPr>
        <w:spacing w:line="360" w:lineRule="auto"/>
        <w:ind w:firstLine="720"/>
        <w:rPr>
          <w:rFonts w:ascii="Times New Roman" w:eastAsia="Times New Roman" w:hAnsi="Times New Roman" w:cs="Times New Roman"/>
          <w:b/>
          <w:sz w:val="24"/>
          <w:szCs w:val="24"/>
        </w:rPr>
      </w:pPr>
      <w:r w:rsidRPr="00AB4372">
        <w:rPr>
          <w:rFonts w:ascii="Times New Roman" w:eastAsia="Times New Roman" w:hAnsi="Times New Roman" w:cs="Times New Roman"/>
          <w:b/>
          <w:sz w:val="24"/>
          <w:szCs w:val="24"/>
        </w:rPr>
        <w:t xml:space="preserve">1.3.- Sobre </w:t>
      </w:r>
      <w:proofErr w:type="spellStart"/>
      <w:r w:rsidRPr="00AB4372">
        <w:rPr>
          <w:rFonts w:ascii="Times New Roman" w:eastAsia="Times New Roman" w:hAnsi="Times New Roman" w:cs="Times New Roman"/>
          <w:b/>
          <w:sz w:val="24"/>
          <w:szCs w:val="24"/>
        </w:rPr>
        <w:t>Evarista</w:t>
      </w:r>
      <w:proofErr w:type="spellEnd"/>
      <w:r w:rsidRPr="00AB4372">
        <w:rPr>
          <w:rFonts w:ascii="Times New Roman" w:eastAsia="Times New Roman" w:hAnsi="Times New Roman" w:cs="Times New Roman"/>
          <w:b/>
          <w:sz w:val="24"/>
          <w:szCs w:val="24"/>
        </w:rPr>
        <w:t xml:space="preserve"> Cristóbal, Maritza </w:t>
      </w:r>
      <w:r w:rsidR="007703F4">
        <w:rPr>
          <w:rFonts w:ascii="Times New Roman" w:eastAsia="Times New Roman" w:hAnsi="Times New Roman" w:cs="Times New Roman"/>
          <w:b/>
          <w:sz w:val="24"/>
          <w:szCs w:val="24"/>
        </w:rPr>
        <w:t>Guerra</w:t>
      </w:r>
      <w:r w:rsidRPr="00AB4372">
        <w:rPr>
          <w:rFonts w:ascii="Times New Roman" w:eastAsia="Times New Roman" w:hAnsi="Times New Roman" w:cs="Times New Roman"/>
          <w:b/>
          <w:sz w:val="24"/>
          <w:szCs w:val="24"/>
        </w:rPr>
        <w:t xml:space="preserve"> y la Agencia de empleos “La libertad”.</w:t>
      </w:r>
    </w:p>
    <w:p w14:paraId="000000CC" w14:textId="2FA64035" w:rsidR="00BE1A9D" w:rsidRPr="00CD2013" w:rsidRDefault="00AB4372" w:rsidP="00AB437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y Maritza, son dos mujeres </w:t>
      </w:r>
      <w:proofErr w:type="spellStart"/>
      <w:r w:rsidR="00F86333" w:rsidRPr="00CD2013">
        <w:rPr>
          <w:rFonts w:ascii="Times New Roman" w:eastAsia="Times New Roman" w:hAnsi="Times New Roman" w:cs="Times New Roman"/>
          <w:sz w:val="24"/>
          <w:szCs w:val="24"/>
        </w:rPr>
        <w:t>Fangorianas</w:t>
      </w:r>
      <w:proofErr w:type="spellEnd"/>
      <w:r w:rsidR="00F86333" w:rsidRPr="00CD2013">
        <w:rPr>
          <w:rFonts w:ascii="Times New Roman" w:eastAsia="Times New Roman" w:hAnsi="Times New Roman" w:cs="Times New Roman"/>
          <w:sz w:val="24"/>
          <w:szCs w:val="24"/>
        </w:rPr>
        <w:t xml:space="preserve">, estaban radicadas en la ciudad de Santo Sepulcro.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nació el 18 de julio de 1993, en una familia de clase media, su proyecto de vida se encaminaba hacia danza, disciplina que estudiaba danza en </w:t>
      </w:r>
      <w:proofErr w:type="spellStart"/>
      <w:r w:rsidR="00F86333" w:rsidRPr="00CD2013">
        <w:rPr>
          <w:rFonts w:ascii="Times New Roman" w:eastAsia="Times New Roman" w:hAnsi="Times New Roman" w:cs="Times New Roman"/>
          <w:sz w:val="24"/>
          <w:szCs w:val="24"/>
        </w:rPr>
        <w:t>Fangoria</w:t>
      </w:r>
      <w:proofErr w:type="spellEnd"/>
      <w:r w:rsidR="00F86333" w:rsidRPr="00CD2013">
        <w:rPr>
          <w:rFonts w:ascii="Times New Roman" w:eastAsia="Times New Roman" w:hAnsi="Times New Roman" w:cs="Times New Roman"/>
          <w:sz w:val="24"/>
          <w:szCs w:val="24"/>
        </w:rPr>
        <w:t xml:space="preserve">, estudios que no pudo continuar por la crisis de su país. Por su parte, Maritza nació huérfana el 20 de junio de 1992, buscaba ser religiosa de la Congregación de las Siervas Sumisas, en </w:t>
      </w:r>
      <w:r w:rsidR="00F86333" w:rsidRPr="00CD2013">
        <w:rPr>
          <w:rFonts w:ascii="Times New Roman" w:eastAsia="Times New Roman" w:hAnsi="Times New Roman" w:cs="Times New Roman"/>
          <w:sz w:val="24"/>
          <w:szCs w:val="24"/>
        </w:rPr>
        <w:lastRenderedPageBreak/>
        <w:t xml:space="preserve">donde trabajaba, para lo que se le exigía terminar sus estudios de secundaria, que estaba cursando, y que por la crisis </w:t>
      </w:r>
      <w:proofErr w:type="gramStart"/>
      <w:r w:rsidR="00F86333" w:rsidRPr="00CD2013">
        <w:rPr>
          <w:rFonts w:ascii="Times New Roman" w:eastAsia="Times New Roman" w:hAnsi="Times New Roman" w:cs="Times New Roman"/>
          <w:sz w:val="24"/>
          <w:szCs w:val="24"/>
        </w:rPr>
        <w:t>relatada  no</w:t>
      </w:r>
      <w:proofErr w:type="gramEnd"/>
      <w:r w:rsidR="00F86333" w:rsidRPr="00CD2013">
        <w:rPr>
          <w:rFonts w:ascii="Times New Roman" w:eastAsia="Times New Roman" w:hAnsi="Times New Roman" w:cs="Times New Roman"/>
          <w:sz w:val="24"/>
          <w:szCs w:val="24"/>
        </w:rPr>
        <w:t xml:space="preserve"> pudo continuar.</w:t>
      </w:r>
    </w:p>
    <w:p w14:paraId="000000CD" w14:textId="17FA05C7" w:rsidR="00BE1A9D" w:rsidRPr="00CD2013" w:rsidRDefault="00AB4372" w:rsidP="00AB437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12.-</w:t>
      </w:r>
      <w:r w:rsidR="00F86333" w:rsidRPr="00CD2013">
        <w:rPr>
          <w:rFonts w:ascii="Times New Roman" w:eastAsia="Times New Roman" w:hAnsi="Times New Roman" w:cs="Times New Roman"/>
          <w:sz w:val="24"/>
          <w:szCs w:val="24"/>
        </w:rPr>
        <w:t xml:space="preserve">La hermana Sor Modesta recomendó a Maritza acudir a la A.E la libertad en Santo Sepulcro, de la cual su primo Parménides era socio, para que migrara a Tributaria, en donde podría terminar sus estudios, y trabajar para su primo en la cocina. Por otro </w:t>
      </w:r>
      <w:proofErr w:type="gramStart"/>
      <w:r w:rsidR="00F86333" w:rsidRPr="00CD2013">
        <w:rPr>
          <w:rFonts w:ascii="Times New Roman" w:eastAsia="Times New Roman" w:hAnsi="Times New Roman" w:cs="Times New Roman"/>
          <w:sz w:val="24"/>
          <w:szCs w:val="24"/>
        </w:rPr>
        <w:t>lado</w:t>
      </w:r>
      <w:proofErr w:type="gramEnd"/>
      <w:r w:rsidR="00F86333" w:rsidRPr="00CD2013">
        <w:rPr>
          <w:rFonts w:ascii="Times New Roman" w:eastAsia="Times New Roman" w:hAnsi="Times New Roman" w:cs="Times New Roman"/>
          <w:sz w:val="24"/>
          <w:szCs w:val="24"/>
        </w:rPr>
        <w:t xml:space="preserv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acudió a esta misma agencia, de la cual había escuchada referencias, para poder continuar sus estudios de danza en Tributaria</w:t>
      </w:r>
    </w:p>
    <w:p w14:paraId="000000CE" w14:textId="6DBC5292"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AB4372" w:rsidRPr="00AB4372">
        <w:rPr>
          <w:rFonts w:ascii="Times New Roman" w:eastAsia="Times New Roman" w:hAnsi="Times New Roman" w:cs="Times New Roman"/>
          <w:b/>
          <w:sz w:val="24"/>
          <w:szCs w:val="24"/>
        </w:rPr>
        <w:t>13.-</w:t>
      </w:r>
      <w:r w:rsidRPr="00CD2013">
        <w:rPr>
          <w:rFonts w:ascii="Times New Roman" w:eastAsia="Times New Roman" w:hAnsi="Times New Roman" w:cs="Times New Roman"/>
          <w:sz w:val="24"/>
          <w:szCs w:val="24"/>
        </w:rPr>
        <w:t xml:space="preserve">La agencia ofrece dos servicios para facilitar la migración de </w:t>
      </w:r>
      <w:proofErr w:type="spellStart"/>
      <w:r w:rsidRPr="00CD2013">
        <w:rPr>
          <w:rFonts w:ascii="Times New Roman" w:eastAsia="Times New Roman" w:hAnsi="Times New Roman" w:cs="Times New Roman"/>
          <w:sz w:val="24"/>
          <w:szCs w:val="24"/>
        </w:rPr>
        <w:t>Fangorianos</w:t>
      </w:r>
      <w:proofErr w:type="spellEnd"/>
      <w:r w:rsidRPr="00CD2013">
        <w:rPr>
          <w:rFonts w:ascii="Times New Roman" w:eastAsia="Times New Roman" w:hAnsi="Times New Roman" w:cs="Times New Roman"/>
          <w:sz w:val="24"/>
          <w:szCs w:val="24"/>
        </w:rPr>
        <w:t xml:space="preserve"> hacía Tributaria; La veloz, en donde la agencia se encarga del trámite documental y la búsqueda de empleo y el Emprendedor, en donde solo asume el trámite documental. Maritza optó por esta última, ya que trabajaría con Parménides, en la cocina. Contrario a ella, Maritza adquirió el plan veloz, bajo el cual la agencia le consiguió una oferta laboral como Bailarina en un bar de entretenimiento para adultos, que aceptó.</w:t>
      </w:r>
    </w:p>
    <w:p w14:paraId="000000CF" w14:textId="0E561536" w:rsidR="00BE1A9D" w:rsidRPr="00CD2013" w:rsidRDefault="00F86333" w:rsidP="00F86333">
      <w:pPr>
        <w:spacing w:line="360" w:lineRule="auto"/>
        <w:ind w:firstLine="72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1.4.- </w:t>
      </w:r>
      <w:r w:rsidRPr="00CD2013">
        <w:rPr>
          <w:rFonts w:ascii="Times New Roman" w:eastAsia="Times New Roman" w:hAnsi="Times New Roman" w:cs="Times New Roman"/>
          <w:b/>
          <w:i/>
          <w:sz w:val="24"/>
          <w:szCs w:val="24"/>
        </w:rPr>
        <w:t xml:space="preserve">Sobre la llegada de Maritza y </w:t>
      </w:r>
      <w:proofErr w:type="spellStart"/>
      <w:r w:rsidRPr="00CD2013">
        <w:rPr>
          <w:rFonts w:ascii="Times New Roman" w:eastAsia="Times New Roman" w:hAnsi="Times New Roman" w:cs="Times New Roman"/>
          <w:b/>
          <w:i/>
          <w:sz w:val="24"/>
          <w:szCs w:val="24"/>
        </w:rPr>
        <w:t>Evarista</w:t>
      </w:r>
      <w:proofErr w:type="spellEnd"/>
      <w:r w:rsidRPr="00CD2013">
        <w:rPr>
          <w:rFonts w:ascii="Times New Roman" w:eastAsia="Times New Roman" w:hAnsi="Times New Roman" w:cs="Times New Roman"/>
          <w:b/>
          <w:i/>
          <w:sz w:val="24"/>
          <w:szCs w:val="24"/>
        </w:rPr>
        <w:t xml:space="preserve"> a Tributaria y su estadía.</w:t>
      </w:r>
    </w:p>
    <w:p w14:paraId="000000D0" w14:textId="2A6C4AE8"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14.- </w:t>
      </w:r>
      <w:r w:rsidR="00F86333" w:rsidRPr="00CD2013">
        <w:rPr>
          <w:rFonts w:ascii="Times New Roman" w:eastAsia="Times New Roman" w:hAnsi="Times New Roman" w:cs="Times New Roman"/>
          <w:sz w:val="24"/>
          <w:szCs w:val="24"/>
        </w:rPr>
        <w:t xml:space="preserve">Antes de partir a </w:t>
      </w:r>
      <w:proofErr w:type="spellStart"/>
      <w:r w:rsidR="00F86333" w:rsidRPr="00CD2013">
        <w:rPr>
          <w:rFonts w:ascii="Times New Roman" w:eastAsia="Times New Roman" w:hAnsi="Times New Roman" w:cs="Times New Roman"/>
          <w:sz w:val="24"/>
          <w:szCs w:val="24"/>
        </w:rPr>
        <w:t>Fangoria</w:t>
      </w:r>
      <w:proofErr w:type="spellEnd"/>
      <w:r w:rsidR="00F86333" w:rsidRPr="00CD2013">
        <w:rPr>
          <w:rFonts w:ascii="Times New Roman" w:eastAsia="Times New Roman" w:hAnsi="Times New Roman" w:cs="Times New Roman"/>
          <w:sz w:val="24"/>
          <w:szCs w:val="24"/>
        </w:rPr>
        <w:t xml:space="preserve">, ambas mujeres coincidieron en la agencia, en donde entablaron una amistad. Las dos fueron advertidas que </w:t>
      </w:r>
      <w:proofErr w:type="gramStart"/>
      <w:r w:rsidR="00F86333" w:rsidRPr="00CD2013">
        <w:rPr>
          <w:rFonts w:ascii="Times New Roman" w:eastAsia="Times New Roman" w:hAnsi="Times New Roman" w:cs="Times New Roman"/>
          <w:sz w:val="24"/>
          <w:szCs w:val="24"/>
        </w:rPr>
        <w:t>en  frontera</w:t>
      </w:r>
      <w:proofErr w:type="gramEnd"/>
      <w:r w:rsidR="00F86333" w:rsidRPr="00CD2013">
        <w:rPr>
          <w:rFonts w:ascii="Times New Roman" w:eastAsia="Times New Roman" w:hAnsi="Times New Roman" w:cs="Times New Roman"/>
          <w:sz w:val="24"/>
          <w:szCs w:val="24"/>
        </w:rPr>
        <w:t xml:space="preserve"> debían solicitar el PEP y bajo ningún motivo solicitar el reconocimiento como refugiadas, ya que serían sometidas a detención y luego deportadas. Así, el 25 de </w:t>
      </w:r>
      <w:proofErr w:type="gramStart"/>
      <w:r w:rsidR="00F86333" w:rsidRPr="00CD2013">
        <w:rPr>
          <w:rFonts w:ascii="Times New Roman" w:eastAsia="Times New Roman" w:hAnsi="Times New Roman" w:cs="Times New Roman"/>
          <w:sz w:val="24"/>
          <w:szCs w:val="24"/>
        </w:rPr>
        <w:t>Diciembre</w:t>
      </w:r>
      <w:proofErr w:type="gramEnd"/>
      <w:r w:rsidR="00F86333" w:rsidRPr="00CD2013">
        <w:rPr>
          <w:rFonts w:ascii="Times New Roman" w:eastAsia="Times New Roman" w:hAnsi="Times New Roman" w:cs="Times New Roman"/>
          <w:sz w:val="24"/>
          <w:szCs w:val="24"/>
        </w:rPr>
        <w:t xml:space="preserve"> llegaron a la frontera en donde tuvieron cada una entrevista al oficial de migraciones, a quien le solicitaron el PEP, y luego entraron al territorio Tributario. </w:t>
      </w:r>
    </w:p>
    <w:p w14:paraId="28774A12" w14:textId="77777777" w:rsidR="00744C29"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15.- </w:t>
      </w:r>
      <w:r w:rsidR="00F86333" w:rsidRPr="00CD2013">
        <w:rPr>
          <w:rFonts w:ascii="Times New Roman" w:eastAsia="Times New Roman" w:hAnsi="Times New Roman" w:cs="Times New Roman"/>
          <w:sz w:val="24"/>
          <w:szCs w:val="24"/>
        </w:rPr>
        <w:t xml:space="preserve">En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rPr>
        <w:t xml:space="preserve">, dentro de la ciudad de </w:t>
      </w:r>
      <w:proofErr w:type="spellStart"/>
      <w:r w:rsidR="00F86333" w:rsidRPr="00CD2013">
        <w:rPr>
          <w:rFonts w:ascii="Times New Roman" w:eastAsia="Times New Roman" w:hAnsi="Times New Roman" w:cs="Times New Roman"/>
          <w:sz w:val="24"/>
          <w:szCs w:val="24"/>
        </w:rPr>
        <w:t>Ovomaltina</w:t>
      </w:r>
      <w:proofErr w:type="spellEnd"/>
      <w:r w:rsidR="00F86333" w:rsidRPr="00CD2013">
        <w:rPr>
          <w:rFonts w:ascii="Times New Roman" w:eastAsia="Times New Roman" w:hAnsi="Times New Roman" w:cs="Times New Roman"/>
          <w:sz w:val="24"/>
          <w:szCs w:val="24"/>
        </w:rPr>
        <w:t xml:space="preserve"> las recibió el primo de Sor Modesta, don Parménides, quien hospedaría a Maritza. A partir de ese mismo día y por el siguiente año Maritza fue obligada a tomar tranquilizantes y tener relaciones sexuales con varios hombres, o. Por su parte,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se hospedó en un barrio vecino. </w:t>
      </w:r>
    </w:p>
    <w:p w14:paraId="000000D2" w14:textId="39B8338D" w:rsidR="00BE1A9D" w:rsidRPr="00CD2013"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16.-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trabajaría para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en el bar de entretenimiento para adultos, en el cual tenía el nombre artístico de “Eva Luna”. Luego de su primer año bailando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le comento que podría ejercer servicios sexuales, como lo hacían otras bailarinas e incluso meseras, pero que debía pagarle el 50% del precio a él. Maritza aceptó uno que otro servicio, si se sentía cómoda y confiada con la propuesta. </w:t>
      </w:r>
    </w:p>
    <w:p w14:paraId="000000D3" w14:textId="5CD99E07"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17.- </w:t>
      </w:r>
      <w:r w:rsidR="00F86333" w:rsidRPr="00CD2013">
        <w:rPr>
          <w:rFonts w:ascii="Times New Roman" w:eastAsia="Times New Roman" w:hAnsi="Times New Roman" w:cs="Times New Roman"/>
          <w:sz w:val="24"/>
          <w:szCs w:val="24"/>
        </w:rPr>
        <w:t xml:space="preserve">En este mismo año, el panorama para Maritza fue denigrante, estuvo encerrada en la casa de Parménides y obligada a tener relaciones sexuales con diferentes hombres, entre estos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quien tenía cierto gusto por ella, por lo que no se protegía al violarla </w:t>
      </w:r>
      <w:proofErr w:type="gramStart"/>
      <w:r w:rsidR="00F86333" w:rsidRPr="00CD2013">
        <w:rPr>
          <w:rFonts w:ascii="Times New Roman" w:eastAsia="Times New Roman" w:hAnsi="Times New Roman" w:cs="Times New Roman"/>
          <w:sz w:val="24"/>
          <w:szCs w:val="24"/>
        </w:rPr>
        <w:t>y  se</w:t>
      </w:r>
      <w:proofErr w:type="gramEnd"/>
      <w:r w:rsidR="00F86333" w:rsidRPr="00CD2013">
        <w:rPr>
          <w:rFonts w:ascii="Times New Roman" w:eastAsia="Times New Roman" w:hAnsi="Times New Roman" w:cs="Times New Roman"/>
          <w:sz w:val="24"/>
          <w:szCs w:val="24"/>
        </w:rPr>
        <w:t xml:space="preserve"> encargaba de que un médico la mantuviera con apariencia saludable. Dentro de este tiempo, </w:t>
      </w:r>
      <w:r w:rsidR="00F86333" w:rsidRPr="00CD2013">
        <w:rPr>
          <w:rFonts w:ascii="Times New Roman" w:eastAsia="Times New Roman" w:hAnsi="Times New Roman" w:cs="Times New Roman"/>
          <w:sz w:val="24"/>
          <w:szCs w:val="24"/>
        </w:rPr>
        <w:lastRenderedPageBreak/>
        <w:t xml:space="preserve">un día, fue sometida por más 24 horas a violaciones sexuales por parte de Parménides,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y Maquiavelo.</w:t>
      </w:r>
    </w:p>
    <w:p w14:paraId="000000D4" w14:textId="7427E23E"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18.- </w:t>
      </w:r>
      <w:r w:rsidR="00F86333" w:rsidRPr="00CD2013">
        <w:rPr>
          <w:rFonts w:ascii="Times New Roman" w:eastAsia="Times New Roman" w:hAnsi="Times New Roman" w:cs="Times New Roman"/>
          <w:sz w:val="24"/>
          <w:szCs w:val="24"/>
        </w:rPr>
        <w:t xml:space="preserve">El día 13 de noviembre de 2015, la Policía de Tributaria adelantó la operación cupido en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rPr>
        <w:t xml:space="preserve"> para desmantelar una red de trata de blancas, en donde encontró a 25 mujeres, 8 trabajando en la cocina,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y otras 5 mujeres en la zona de entretenimiento bailando, 10 mujeres encerradas con signos de maltrato y uso de estupefacientes y a Maritza, quien la hallaron sola y encerrada en la casa de Parménides. Todas las mujeres fueron llevadas a la comisaría, en donde cada una fue sometida a un examen médico, por un personal de sexo masculino y a un interrogatorio.</w:t>
      </w:r>
    </w:p>
    <w:p w14:paraId="000000D5" w14:textId="391F52F8"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19.-</w:t>
      </w:r>
      <w:r w:rsidR="00F86333" w:rsidRPr="00CD2013">
        <w:rPr>
          <w:rFonts w:ascii="Times New Roman" w:eastAsia="Times New Roman" w:hAnsi="Times New Roman" w:cs="Times New Roman"/>
          <w:sz w:val="24"/>
          <w:szCs w:val="24"/>
        </w:rPr>
        <w:t xml:space="preserve">En los interrogatorios les impidió a las mujeres contar con un abogado, aun cuando lo solicitaron. En este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manifestó que no conocía de la red de trata de mujeres, que se dedicaba a los bailar, y que de vez en cuando tenía relaciones sexuales con el fin de ganar más dinero, ya que su empleador,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no le había comentado que tal conducta era un delito.</w:t>
      </w:r>
    </w:p>
    <w:p w14:paraId="000000D6" w14:textId="0E73AC92"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20.- </w:t>
      </w:r>
      <w:r w:rsidR="00F86333" w:rsidRPr="00CD2013">
        <w:rPr>
          <w:rFonts w:ascii="Times New Roman" w:eastAsia="Times New Roman" w:hAnsi="Times New Roman" w:cs="Times New Roman"/>
          <w:sz w:val="24"/>
          <w:szCs w:val="24"/>
        </w:rPr>
        <w:t xml:space="preserve">Maritza por su parte manifestó todos los vejámenes y torturas a las que fue sometida, las condiciones de su encierro y las visitas del médico ordenadas por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En este mismo sentido, las 10 mujeres que fueron encontradas encerradas, señalaron a este mismo sujeto, a Parménides y Maquiavelo como los culpables del trato inhumano que recibieron, así como dos guardaespaldas del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que eran policías de Tributaria.</w:t>
      </w:r>
    </w:p>
    <w:p w14:paraId="000000D7" w14:textId="2C6DB582"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21.- </w:t>
      </w:r>
      <w:r w:rsidR="00F86333" w:rsidRPr="00CD2013">
        <w:rPr>
          <w:rFonts w:ascii="Times New Roman" w:eastAsia="Times New Roman" w:hAnsi="Times New Roman" w:cs="Times New Roman"/>
          <w:sz w:val="24"/>
          <w:szCs w:val="24"/>
        </w:rPr>
        <w:t xml:space="preserve">Luego de los interrogatorios la fiscal ordenó la liberación de las 5 mujeres que al igual que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fueron encontradas bailando, pero no ordenó la libertad de ella. </w:t>
      </w:r>
    </w:p>
    <w:p w14:paraId="000000D8" w14:textId="3349630C" w:rsidR="00BE1A9D" w:rsidRPr="00F86333" w:rsidRDefault="00F86333" w:rsidP="00F86333">
      <w:pPr>
        <w:pStyle w:val="Prrafodelista"/>
        <w:spacing w:line="36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1.5.-</w:t>
      </w:r>
      <w:r w:rsidRPr="00F86333">
        <w:rPr>
          <w:rFonts w:ascii="Times New Roman" w:eastAsia="Times New Roman" w:hAnsi="Times New Roman" w:cs="Times New Roman"/>
          <w:b/>
          <w:i/>
          <w:sz w:val="24"/>
          <w:szCs w:val="24"/>
        </w:rPr>
        <w:t xml:space="preserve">Sobre el proceso penal contra </w:t>
      </w:r>
      <w:proofErr w:type="spellStart"/>
      <w:r w:rsidRPr="00F86333">
        <w:rPr>
          <w:rFonts w:ascii="Times New Roman" w:eastAsia="Times New Roman" w:hAnsi="Times New Roman" w:cs="Times New Roman"/>
          <w:b/>
          <w:i/>
          <w:sz w:val="24"/>
          <w:szCs w:val="24"/>
        </w:rPr>
        <w:t>Evarista</w:t>
      </w:r>
      <w:proofErr w:type="spellEnd"/>
      <w:r w:rsidRPr="00F86333">
        <w:rPr>
          <w:rFonts w:ascii="Times New Roman" w:eastAsia="Times New Roman" w:hAnsi="Times New Roman" w:cs="Times New Roman"/>
          <w:b/>
          <w:i/>
          <w:sz w:val="24"/>
          <w:szCs w:val="24"/>
        </w:rPr>
        <w:t xml:space="preserve"> y Maritza.</w:t>
      </w:r>
    </w:p>
    <w:p w14:paraId="000000D9" w14:textId="2B649C0D"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44C29">
        <w:rPr>
          <w:rFonts w:ascii="Times New Roman" w:eastAsia="Times New Roman" w:hAnsi="Times New Roman" w:cs="Times New Roman"/>
          <w:b/>
          <w:sz w:val="24"/>
          <w:szCs w:val="24"/>
        </w:rPr>
        <w:t xml:space="preserve">22.- </w:t>
      </w:r>
      <w:r w:rsidRPr="00CD2013">
        <w:rPr>
          <w:rFonts w:ascii="Times New Roman" w:eastAsia="Times New Roman" w:hAnsi="Times New Roman" w:cs="Times New Roman"/>
          <w:sz w:val="24"/>
          <w:szCs w:val="24"/>
        </w:rPr>
        <w:t xml:space="preserve">El 14 de noviembre de 2015, la fiscal transfirió a estas dos mujeres a la celda de la comisaría y solicitó al juzgado 1 penal de </w:t>
      </w:r>
      <w:proofErr w:type="spellStart"/>
      <w:r w:rsidRPr="00CD2013">
        <w:rPr>
          <w:rFonts w:ascii="Times New Roman" w:eastAsia="Times New Roman" w:hAnsi="Times New Roman" w:cs="Times New Roman"/>
          <w:sz w:val="24"/>
          <w:szCs w:val="24"/>
        </w:rPr>
        <w:t>Ovomaltina</w:t>
      </w:r>
      <w:proofErr w:type="spellEnd"/>
      <w:r w:rsidRPr="00CD2013">
        <w:rPr>
          <w:rFonts w:ascii="Times New Roman" w:eastAsia="Times New Roman" w:hAnsi="Times New Roman" w:cs="Times New Roman"/>
          <w:sz w:val="24"/>
          <w:szCs w:val="24"/>
        </w:rPr>
        <w:t xml:space="preserve"> su prisión preventiva, en el caso de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por su reconocimiento de comisión del art. 222 del C.P y por parte de Maritza, ya que por el examen médico no tenía signos de violencia física, por lo que se trataba de una “prostituta de lujo”, y que era necesaria tal custodia por el latente peligro de fuga. Ese mismo día se ordenó la prisión preventiva de ambas mujeres.</w:t>
      </w:r>
    </w:p>
    <w:p w14:paraId="000000DA" w14:textId="5D70EF71"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23.- </w:t>
      </w:r>
      <w:r w:rsidR="00F86333" w:rsidRPr="00CD2013">
        <w:rPr>
          <w:rFonts w:ascii="Times New Roman" w:eastAsia="Times New Roman" w:hAnsi="Times New Roman" w:cs="Times New Roman"/>
          <w:sz w:val="24"/>
          <w:szCs w:val="24"/>
        </w:rPr>
        <w:t>Se asignó la representación de oficio a ambas mujeres, la cual interpuso un Habeas Corpus ese mismo día solicitando su excarcelación, el cual se negó por la CSDR el 2 de diciembre del mismo año y se confirmó el 14 de diciembre de 2015 por el TCT. Paralelo a esto Maritza solicitó el 3 de diciembre de 2015 al Juzgado penal 1, la interrupción de embarazo, la cual fue negada porque pese a que se encontraba dentro de los 3 meses que permite la legislación nacional, este no fue producto de una violación sexual.</w:t>
      </w:r>
    </w:p>
    <w:p w14:paraId="000000DB" w14:textId="72A0CB09"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24.- </w:t>
      </w:r>
      <w:r w:rsidR="00F86333" w:rsidRPr="00CD2013">
        <w:rPr>
          <w:rFonts w:ascii="Times New Roman" w:eastAsia="Times New Roman" w:hAnsi="Times New Roman" w:cs="Times New Roman"/>
          <w:sz w:val="24"/>
          <w:szCs w:val="24"/>
        </w:rPr>
        <w:t xml:space="preserve">El 15 de enero de 2016 la fiscal formuló cargos contra las dos mujeres por el delito de prostitución ante el Juzgado 3 penal de </w:t>
      </w:r>
      <w:proofErr w:type="spellStart"/>
      <w:r w:rsidR="00F86333" w:rsidRPr="00CD2013">
        <w:rPr>
          <w:rFonts w:ascii="Times New Roman" w:eastAsia="Times New Roman" w:hAnsi="Times New Roman" w:cs="Times New Roman"/>
          <w:sz w:val="24"/>
          <w:szCs w:val="24"/>
        </w:rPr>
        <w:t>Ovomaltina</w:t>
      </w:r>
      <w:proofErr w:type="spellEnd"/>
      <w:r w:rsidR="00F86333" w:rsidRPr="00CD2013">
        <w:rPr>
          <w:rFonts w:ascii="Times New Roman" w:eastAsia="Times New Roman" w:hAnsi="Times New Roman" w:cs="Times New Roman"/>
          <w:sz w:val="24"/>
          <w:szCs w:val="24"/>
        </w:rPr>
        <w:t xml:space="preserve">. Maritza volvió a solicitar la interrupción de su </w:t>
      </w:r>
      <w:proofErr w:type="gramStart"/>
      <w:r w:rsidR="00F86333" w:rsidRPr="00CD2013">
        <w:rPr>
          <w:rFonts w:ascii="Times New Roman" w:eastAsia="Times New Roman" w:hAnsi="Times New Roman" w:cs="Times New Roman"/>
          <w:sz w:val="24"/>
          <w:szCs w:val="24"/>
        </w:rPr>
        <w:t>embarazo,  la</w:t>
      </w:r>
      <w:proofErr w:type="gramEnd"/>
      <w:r w:rsidR="00F86333" w:rsidRPr="00CD2013">
        <w:rPr>
          <w:rFonts w:ascii="Times New Roman" w:eastAsia="Times New Roman" w:hAnsi="Times New Roman" w:cs="Times New Roman"/>
          <w:sz w:val="24"/>
          <w:szCs w:val="24"/>
        </w:rPr>
        <w:t xml:space="preserve"> cual de nuevo fue negada. El 14 de abril la Representación de estas mujeres solicitó el sobreseimiento del proceso y solicitó a su vez su liberación. Tal pedido fue negado en primera instancia el 29 de abril de 2016 y se confirmó en segunda instancia el 5 de julio de 2016.</w:t>
      </w:r>
    </w:p>
    <w:p w14:paraId="000000DC" w14:textId="3BCF09F3"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25.- </w:t>
      </w:r>
      <w:r w:rsidR="00F86333" w:rsidRPr="00CD2013">
        <w:rPr>
          <w:rFonts w:ascii="Times New Roman" w:eastAsia="Times New Roman" w:hAnsi="Times New Roman" w:cs="Times New Roman"/>
          <w:sz w:val="24"/>
          <w:szCs w:val="24"/>
        </w:rPr>
        <w:t xml:space="preserve">El 10 de julio de 2016 nació James, el hijo de Maritza. Quien sería apartado de ella el 11 de diciembre de 2016. Entre el 17 y 20 de agosto de 2016 se llevaron a cabo los correspondientes juicios orales, en donde con base al interrogatorio que rindió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ante la fiscal, fue condenada a 3 años de reclusión. Maritza, fue sentenciada a 4 años de prisión, ya que a partir del interrogatorio que se le realizó y de su buen estado de salud en el examen médico, se encontró el juez encontró probado que ejercía la prostitución. Tal sentencia fue apelada el 26 y 29 de </w:t>
      </w:r>
      <w:proofErr w:type="gramStart"/>
      <w:r w:rsidR="00F86333" w:rsidRPr="00CD2013">
        <w:rPr>
          <w:rFonts w:ascii="Times New Roman" w:eastAsia="Times New Roman" w:hAnsi="Times New Roman" w:cs="Times New Roman"/>
          <w:sz w:val="24"/>
          <w:szCs w:val="24"/>
        </w:rPr>
        <w:t>Agosto</w:t>
      </w:r>
      <w:proofErr w:type="gramEnd"/>
      <w:r w:rsidR="00F86333" w:rsidRPr="00CD2013">
        <w:rPr>
          <w:rFonts w:ascii="Times New Roman" w:eastAsia="Times New Roman" w:hAnsi="Times New Roman" w:cs="Times New Roman"/>
          <w:sz w:val="24"/>
          <w:szCs w:val="24"/>
        </w:rPr>
        <w:t xml:space="preserve"> de 2016, respectivamente.</w:t>
      </w:r>
    </w:p>
    <w:p w14:paraId="000000DD" w14:textId="4FE95099"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44C29">
        <w:rPr>
          <w:rFonts w:ascii="Times New Roman" w:eastAsia="Times New Roman" w:hAnsi="Times New Roman" w:cs="Times New Roman"/>
          <w:b/>
          <w:sz w:val="24"/>
          <w:szCs w:val="24"/>
        </w:rPr>
        <w:t xml:space="preserve">26.- </w:t>
      </w:r>
      <w:r w:rsidRPr="00CD2013">
        <w:rPr>
          <w:rFonts w:ascii="Times New Roman" w:eastAsia="Times New Roman" w:hAnsi="Times New Roman" w:cs="Times New Roman"/>
          <w:sz w:val="24"/>
          <w:szCs w:val="24"/>
        </w:rPr>
        <w:t xml:space="preserve">El 20 de diciembre de 2016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 xml:space="preserve"> notificó a Tributaria que Sor Modesta confesó que Maritza había sido víctima de la Red de trata de mujeres para la cual trabajaba la religiosa. Por esto la fiscalía s</w:t>
      </w:r>
      <w:r>
        <w:rPr>
          <w:rFonts w:ascii="Times New Roman" w:eastAsia="Times New Roman" w:hAnsi="Times New Roman" w:cs="Times New Roman"/>
          <w:sz w:val="24"/>
          <w:szCs w:val="24"/>
        </w:rPr>
        <w:t>olicita la absolución de Maritza</w:t>
      </w:r>
      <w:r w:rsidRPr="00CD2013">
        <w:rPr>
          <w:rFonts w:ascii="Times New Roman" w:eastAsia="Times New Roman" w:hAnsi="Times New Roman" w:cs="Times New Roman"/>
          <w:sz w:val="24"/>
          <w:szCs w:val="24"/>
        </w:rPr>
        <w:t xml:space="preserve">. Dicha solicitud sería respondida el 2 de enero de 2017, cuando la CSDR resolvió la apelación de las sentencias condenatorias, en donde confirmó la sentencia de 3 años frente a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y absolvió a Maritza.</w:t>
      </w:r>
    </w:p>
    <w:p w14:paraId="000000DE" w14:textId="776CDECE"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27.- </w:t>
      </w:r>
      <w:r w:rsidR="00F86333" w:rsidRPr="00CD2013">
        <w:rPr>
          <w:rFonts w:ascii="Times New Roman" w:eastAsia="Times New Roman" w:hAnsi="Times New Roman" w:cs="Times New Roman"/>
          <w:sz w:val="24"/>
          <w:szCs w:val="24"/>
        </w:rPr>
        <w:t xml:space="preserve">El 5 de enero de 2017, el defensor de oficio de Maritza interpuso una acción de daños y perjuicios ante el Juzgado 2 Contencioso Administrativo de </w:t>
      </w:r>
      <w:proofErr w:type="spellStart"/>
      <w:r w:rsidR="00F86333" w:rsidRPr="00CD2013">
        <w:rPr>
          <w:rFonts w:ascii="Times New Roman" w:eastAsia="Times New Roman" w:hAnsi="Times New Roman" w:cs="Times New Roman"/>
          <w:sz w:val="24"/>
          <w:szCs w:val="24"/>
        </w:rPr>
        <w:t>Ovomaltina</w:t>
      </w:r>
      <w:proofErr w:type="spellEnd"/>
      <w:r w:rsidR="00F86333" w:rsidRPr="00CD2013">
        <w:rPr>
          <w:rFonts w:ascii="Times New Roman" w:eastAsia="Times New Roman" w:hAnsi="Times New Roman" w:cs="Times New Roman"/>
          <w:sz w:val="24"/>
          <w:szCs w:val="24"/>
        </w:rPr>
        <w:t xml:space="preserve"> por los daños sufridos por ella y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la cual fue declarada improcedente en primera instancia, decisión que fue apelada. </w:t>
      </w:r>
    </w:p>
    <w:p w14:paraId="000000DF" w14:textId="26AC7E12"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28.-</w:t>
      </w:r>
      <w:r w:rsidR="00F86333" w:rsidRPr="00CD2013">
        <w:rPr>
          <w:rFonts w:ascii="Times New Roman" w:eastAsia="Times New Roman" w:hAnsi="Times New Roman" w:cs="Times New Roman"/>
          <w:sz w:val="24"/>
          <w:szCs w:val="24"/>
        </w:rPr>
        <w:t>Evarista obtuvo la libertad provisional el 13 de noviembre de 2017, luego el 3 de enero de 2018 cumplió con su condena, por lo que solicito de nuevo el PEP teniendo en cuenta la ley 4269 de 2017 tal solicitud fue negada.</w:t>
      </w:r>
    </w:p>
    <w:p w14:paraId="000000E0" w14:textId="35180FB6" w:rsidR="00BE1A9D" w:rsidRPr="00F86333" w:rsidRDefault="00F86333" w:rsidP="00F86333">
      <w:pPr>
        <w:pStyle w:val="Prrafodelista"/>
        <w:numPr>
          <w:ilvl w:val="1"/>
          <w:numId w:val="30"/>
        </w:numPr>
        <w:spacing w:line="36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 </w:t>
      </w:r>
      <w:r w:rsidRPr="00F86333">
        <w:rPr>
          <w:rFonts w:ascii="Times New Roman" w:eastAsia="Times New Roman" w:hAnsi="Times New Roman" w:cs="Times New Roman"/>
          <w:b/>
          <w:i/>
          <w:sz w:val="24"/>
          <w:szCs w:val="24"/>
        </w:rPr>
        <w:t>El procedimiento ante el SIDH</w:t>
      </w:r>
    </w:p>
    <w:p w14:paraId="000000E1" w14:textId="511E5506"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29.- </w:t>
      </w:r>
      <w:r w:rsidR="00F86333" w:rsidRPr="00CD2013">
        <w:rPr>
          <w:rFonts w:ascii="Times New Roman" w:eastAsia="Times New Roman" w:hAnsi="Times New Roman" w:cs="Times New Roman"/>
          <w:sz w:val="24"/>
          <w:szCs w:val="24"/>
        </w:rPr>
        <w:t>El 10 de enero de 2017 la CIDH recibió por correo postal la petición de fecha de 5 de enero de 2017 presentada por la presente representación, alegando la R.I de Tributaria por la vulneración de los artículos 5, 7, 8, 9, 11, 17, 24,15 y 26 de la CADH, en relación con el art 1.1 y 2 de la misma convención y el Art 7 de la Convención Belém do Pará.</w:t>
      </w:r>
      <w:r w:rsidR="00F86333" w:rsidRPr="00CD2013">
        <w:rPr>
          <w:rFonts w:ascii="Times New Roman" w:eastAsia="Times New Roman" w:hAnsi="Times New Roman" w:cs="Times New Roman"/>
          <w:sz w:val="24"/>
          <w:szCs w:val="24"/>
        </w:rPr>
        <w:br/>
      </w:r>
      <w:r w:rsidR="00F86333" w:rsidRPr="00CD2013">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30.- </w:t>
      </w:r>
      <w:r w:rsidR="00F86333" w:rsidRPr="00CD2013">
        <w:rPr>
          <w:rFonts w:ascii="Times New Roman" w:eastAsia="Times New Roman" w:hAnsi="Times New Roman" w:cs="Times New Roman"/>
          <w:sz w:val="24"/>
          <w:szCs w:val="24"/>
        </w:rPr>
        <w:t xml:space="preserve">LA CIDH el 5 de marzo de 2017 traslado la peticiona Tributaria, luego, el 2 de Febrero emitió el Informe de admisibilidad N 46/18. El 5 de </w:t>
      </w:r>
      <w:proofErr w:type="gramStart"/>
      <w:r w:rsidR="00F86333" w:rsidRPr="00CD2013">
        <w:rPr>
          <w:rFonts w:ascii="Times New Roman" w:eastAsia="Times New Roman" w:hAnsi="Times New Roman" w:cs="Times New Roman"/>
          <w:sz w:val="24"/>
          <w:szCs w:val="24"/>
        </w:rPr>
        <w:t>Febrero</w:t>
      </w:r>
      <w:proofErr w:type="gramEnd"/>
      <w:r w:rsidR="00F86333" w:rsidRPr="00CD2013">
        <w:rPr>
          <w:rFonts w:ascii="Times New Roman" w:eastAsia="Times New Roman" w:hAnsi="Times New Roman" w:cs="Times New Roman"/>
          <w:sz w:val="24"/>
          <w:szCs w:val="24"/>
        </w:rPr>
        <w:t xml:space="preserve"> de 2019 emitió informe de fondo 29/29, en donde la CIDH concluyó que Tributaria violó los derechos alegados por la </w:t>
      </w:r>
      <w:r w:rsidR="00F86333" w:rsidRPr="00CD2013">
        <w:rPr>
          <w:rFonts w:ascii="Times New Roman" w:eastAsia="Times New Roman" w:hAnsi="Times New Roman" w:cs="Times New Roman"/>
          <w:sz w:val="24"/>
          <w:szCs w:val="24"/>
        </w:rPr>
        <w:lastRenderedPageBreak/>
        <w:t xml:space="preserve">representación de las víctimas y sumó la vulneración del Art 26 de la CADH, en este mismo adoptó una serie de recomendaciones. El 3 de junio de 2019 la CIDH presentó el caso a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quien convocó el 28 de octubre de 2019 a las partes a audiencia pública del 25 a 29 de noviembre de 2019.</w:t>
      </w:r>
    </w:p>
    <w:p w14:paraId="000000E2" w14:textId="13B0B793" w:rsidR="00BE1A9D" w:rsidRPr="00CD2013" w:rsidRDefault="00F86333" w:rsidP="00F8633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 </w:t>
      </w:r>
      <w:r w:rsidRPr="00CD2013">
        <w:rPr>
          <w:rFonts w:ascii="Times New Roman" w:eastAsia="Times New Roman" w:hAnsi="Times New Roman" w:cs="Times New Roman"/>
          <w:b/>
          <w:sz w:val="24"/>
          <w:szCs w:val="24"/>
        </w:rPr>
        <w:t>COMPETENCIA DE LA CORTE INTERAMERICANA DE DERECHOS HUMANOS.</w:t>
      </w:r>
      <w:r w:rsidRPr="00CD2013">
        <w:rPr>
          <w:rFonts w:ascii="Times New Roman" w:eastAsia="Times New Roman" w:hAnsi="Times New Roman" w:cs="Times New Roman"/>
          <w:b/>
          <w:sz w:val="24"/>
          <w:szCs w:val="24"/>
        </w:rPr>
        <w:br/>
      </w:r>
      <w:r w:rsidRPr="00CD2013">
        <w:rPr>
          <w:rFonts w:ascii="Times New Roman" w:eastAsia="Times New Roman" w:hAnsi="Times New Roman" w:cs="Times New Roman"/>
          <w:b/>
          <w:sz w:val="24"/>
          <w:szCs w:val="24"/>
        </w:rPr>
        <w:tab/>
      </w:r>
      <w:r w:rsidR="00744C29" w:rsidRPr="00744C29">
        <w:rPr>
          <w:rFonts w:ascii="Times New Roman" w:eastAsia="Times New Roman" w:hAnsi="Times New Roman" w:cs="Times New Roman"/>
          <w:b/>
          <w:sz w:val="24"/>
          <w:szCs w:val="24"/>
        </w:rPr>
        <w:t>31.-</w:t>
      </w:r>
      <w:r w:rsidRPr="00CD2013">
        <w:rPr>
          <w:rFonts w:ascii="Times New Roman" w:eastAsia="Times New Roman" w:hAnsi="Times New Roman" w:cs="Times New Roman"/>
          <w:sz w:val="24"/>
          <w:szCs w:val="24"/>
        </w:rPr>
        <w:t xml:space="preserve">Este Tribunal es competente </w:t>
      </w:r>
      <w:proofErr w:type="spellStart"/>
      <w:r w:rsidRPr="00CD2013">
        <w:rPr>
          <w:rFonts w:ascii="Times New Roman" w:eastAsia="Times New Roman" w:hAnsi="Times New Roman" w:cs="Times New Roman"/>
          <w:b/>
          <w:i/>
          <w:sz w:val="24"/>
          <w:szCs w:val="24"/>
        </w:rPr>
        <w:t>rati</w:t>
      </w:r>
      <w:r>
        <w:rPr>
          <w:rFonts w:ascii="Times New Roman" w:eastAsia="Times New Roman" w:hAnsi="Times New Roman" w:cs="Times New Roman"/>
          <w:b/>
          <w:i/>
          <w:sz w:val="24"/>
          <w:szCs w:val="24"/>
        </w:rPr>
        <w:t>o</w:t>
      </w:r>
      <w:r w:rsidRPr="00CD2013">
        <w:rPr>
          <w:rFonts w:ascii="Times New Roman" w:eastAsia="Times New Roman" w:hAnsi="Times New Roman" w:cs="Times New Roman"/>
          <w:b/>
          <w:i/>
          <w:sz w:val="24"/>
          <w:szCs w:val="24"/>
        </w:rPr>
        <w:t>ne</w:t>
      </w:r>
      <w:proofErr w:type="spellEnd"/>
      <w:r w:rsidRPr="00CD2013">
        <w:rPr>
          <w:rFonts w:ascii="Times New Roman" w:eastAsia="Times New Roman" w:hAnsi="Times New Roman" w:cs="Times New Roman"/>
          <w:b/>
          <w:i/>
          <w:sz w:val="24"/>
          <w:szCs w:val="24"/>
        </w:rPr>
        <w:t xml:space="preserve"> </w:t>
      </w:r>
      <w:proofErr w:type="spellStart"/>
      <w:r w:rsidRPr="00CD2013">
        <w:rPr>
          <w:rFonts w:ascii="Times New Roman" w:eastAsia="Times New Roman" w:hAnsi="Times New Roman" w:cs="Times New Roman"/>
          <w:b/>
          <w:i/>
          <w:sz w:val="24"/>
          <w:szCs w:val="24"/>
        </w:rPr>
        <w:t>personae</w:t>
      </w:r>
      <w:proofErr w:type="spellEnd"/>
      <w:r w:rsidRPr="00CD2013">
        <w:rPr>
          <w:rFonts w:ascii="Times New Roman" w:eastAsia="Times New Roman" w:hAnsi="Times New Roman" w:cs="Times New Roman"/>
          <w:b/>
          <w:i/>
          <w:sz w:val="24"/>
          <w:szCs w:val="24"/>
          <w:vertAlign w:val="superscript"/>
        </w:rPr>
        <w:footnoteReference w:id="2"/>
      </w:r>
      <w:r w:rsidRPr="00CD2013">
        <w:rPr>
          <w:rFonts w:ascii="Times New Roman" w:eastAsia="Times New Roman" w:hAnsi="Times New Roman" w:cs="Times New Roman"/>
          <w:b/>
          <w:i/>
          <w:sz w:val="24"/>
          <w:szCs w:val="24"/>
        </w:rPr>
        <w:t>,</w:t>
      </w:r>
      <w:r w:rsidRPr="00CD2013">
        <w:rPr>
          <w:rFonts w:ascii="Times New Roman" w:eastAsia="Times New Roman" w:hAnsi="Times New Roman" w:cs="Times New Roman"/>
          <w:sz w:val="24"/>
          <w:szCs w:val="24"/>
        </w:rPr>
        <w:t xml:space="preserve"> ya que la CIDH goza de legitimación activa en los términos del artículo 61.1 de la CADH para someter un caso a decisión del Tribunal Interamericano que involucre violación a los DDHH; asimismo, la República de Tributaria, sujeto pasivo en los términos del artículo 62.1 del mismo instrumento, en virtud de que aceptó como obligatoria y de pleno derecho la competencia contenciosa de la jurisdicción interamericana. </w:t>
      </w:r>
    </w:p>
    <w:p w14:paraId="68F98FEA" w14:textId="7D7F478F" w:rsidR="00F86333" w:rsidRDefault="00744C29" w:rsidP="00744C29">
      <w:pPr>
        <w:spacing w:line="360" w:lineRule="auto"/>
        <w:ind w:firstLine="720"/>
        <w:rPr>
          <w:rFonts w:ascii="Times New Roman" w:eastAsia="Times New Roman" w:hAnsi="Times New Roman" w:cs="Times New Roman"/>
          <w:b/>
          <w:sz w:val="24"/>
          <w:szCs w:val="24"/>
        </w:rPr>
      </w:pPr>
      <w:r w:rsidRPr="00744C29">
        <w:rPr>
          <w:rFonts w:ascii="Times New Roman" w:eastAsia="Times New Roman" w:hAnsi="Times New Roman" w:cs="Times New Roman"/>
          <w:b/>
          <w:sz w:val="24"/>
          <w:szCs w:val="24"/>
        </w:rPr>
        <w:t>32.-</w:t>
      </w:r>
      <w:r w:rsidR="00F86333" w:rsidRPr="00CD2013">
        <w:rPr>
          <w:rFonts w:ascii="Times New Roman" w:eastAsia="Times New Roman" w:hAnsi="Times New Roman" w:cs="Times New Roman"/>
          <w:b/>
          <w:i/>
          <w:sz w:val="24"/>
          <w:szCs w:val="24"/>
        </w:rPr>
        <w:t xml:space="preserve">Ratione </w:t>
      </w:r>
      <w:proofErr w:type="spellStart"/>
      <w:r w:rsidR="00F86333" w:rsidRPr="00CD2013">
        <w:rPr>
          <w:rFonts w:ascii="Times New Roman" w:eastAsia="Times New Roman" w:hAnsi="Times New Roman" w:cs="Times New Roman"/>
          <w:b/>
          <w:i/>
          <w:sz w:val="24"/>
          <w:szCs w:val="24"/>
        </w:rPr>
        <w:t>materiae</w:t>
      </w:r>
      <w:proofErr w:type="spellEnd"/>
      <w:r w:rsidR="00F86333" w:rsidRPr="00CD2013">
        <w:rPr>
          <w:rFonts w:ascii="Times New Roman" w:eastAsia="Times New Roman" w:hAnsi="Times New Roman" w:cs="Times New Roman"/>
          <w:b/>
          <w:i/>
          <w:sz w:val="24"/>
          <w:szCs w:val="24"/>
          <w:vertAlign w:val="superscript"/>
        </w:rPr>
        <w:footnoteReference w:id="3"/>
      </w:r>
      <w:r w:rsidR="00F86333" w:rsidRPr="00CD2013">
        <w:rPr>
          <w:rFonts w:ascii="Times New Roman" w:eastAsia="Times New Roman" w:hAnsi="Times New Roman" w:cs="Times New Roman"/>
          <w:sz w:val="24"/>
          <w:szCs w:val="24"/>
        </w:rPr>
        <w:t xml:space="preserve">, debido a que las vulneraciones de DDHH contenidas en el informe de fondo 29/19 del 5 de febrero de 2019, versan sobre preceptos jurídicos protegidos por la CADH y el reconocimiento de la cláusula de aceptación de competencia; </w:t>
      </w:r>
      <w:proofErr w:type="spellStart"/>
      <w:r w:rsidR="00F86333" w:rsidRPr="00CD2013">
        <w:rPr>
          <w:rFonts w:ascii="Times New Roman" w:eastAsia="Times New Roman" w:hAnsi="Times New Roman" w:cs="Times New Roman"/>
          <w:b/>
          <w:i/>
          <w:sz w:val="24"/>
          <w:szCs w:val="24"/>
        </w:rPr>
        <w:t>ratione</w:t>
      </w:r>
      <w:proofErr w:type="spellEnd"/>
      <w:r w:rsidR="00F86333" w:rsidRPr="00CD2013">
        <w:rPr>
          <w:rFonts w:ascii="Times New Roman" w:eastAsia="Times New Roman" w:hAnsi="Times New Roman" w:cs="Times New Roman"/>
          <w:b/>
          <w:i/>
          <w:sz w:val="24"/>
          <w:szCs w:val="24"/>
        </w:rPr>
        <w:t xml:space="preserve"> </w:t>
      </w:r>
      <w:proofErr w:type="spellStart"/>
      <w:r w:rsidR="00F86333" w:rsidRPr="00CD2013">
        <w:rPr>
          <w:rFonts w:ascii="Times New Roman" w:eastAsia="Times New Roman" w:hAnsi="Times New Roman" w:cs="Times New Roman"/>
          <w:b/>
          <w:i/>
          <w:sz w:val="24"/>
          <w:szCs w:val="24"/>
        </w:rPr>
        <w:t>temporis</w:t>
      </w:r>
      <w:proofErr w:type="spellEnd"/>
      <w:r w:rsidR="00F86333" w:rsidRPr="00CD2013">
        <w:rPr>
          <w:rFonts w:ascii="Times New Roman" w:eastAsia="Times New Roman" w:hAnsi="Times New Roman" w:cs="Times New Roman"/>
          <w:b/>
          <w:i/>
          <w:sz w:val="24"/>
          <w:szCs w:val="24"/>
          <w:vertAlign w:val="superscript"/>
        </w:rPr>
        <w:footnoteReference w:id="4"/>
      </w:r>
      <w:r w:rsidR="00F86333" w:rsidRPr="00CD2013">
        <w:rPr>
          <w:rFonts w:ascii="Times New Roman" w:eastAsia="Times New Roman" w:hAnsi="Times New Roman" w:cs="Times New Roman"/>
          <w:b/>
          <w:i/>
          <w:sz w:val="24"/>
          <w:szCs w:val="24"/>
        </w:rPr>
        <w:t xml:space="preserve">, </w:t>
      </w:r>
      <w:r w:rsidR="00F86333" w:rsidRPr="00CD2013">
        <w:rPr>
          <w:rFonts w:ascii="Times New Roman" w:eastAsia="Times New Roman" w:hAnsi="Times New Roman" w:cs="Times New Roman"/>
          <w:sz w:val="24"/>
          <w:szCs w:val="24"/>
        </w:rPr>
        <w:t xml:space="preserve">en virtud que las transgresiones ocurrieron con posterioridad a la ratificación de la CADH y el reconocimiento de la cláusula de aceptación de la competencia contenciosa de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y; finalmente,</w:t>
      </w:r>
      <w:r w:rsidR="00F86333" w:rsidRPr="00CD2013">
        <w:rPr>
          <w:rFonts w:ascii="Times New Roman" w:eastAsia="Times New Roman" w:hAnsi="Times New Roman" w:cs="Times New Roman"/>
          <w:b/>
          <w:i/>
          <w:sz w:val="24"/>
          <w:szCs w:val="24"/>
        </w:rPr>
        <w:t xml:space="preserve"> </w:t>
      </w:r>
      <w:proofErr w:type="spellStart"/>
      <w:r w:rsidR="00F86333" w:rsidRPr="00CD2013">
        <w:rPr>
          <w:rFonts w:ascii="Times New Roman" w:eastAsia="Times New Roman" w:hAnsi="Times New Roman" w:cs="Times New Roman"/>
          <w:b/>
          <w:i/>
          <w:sz w:val="24"/>
          <w:szCs w:val="24"/>
        </w:rPr>
        <w:t>ratione</w:t>
      </w:r>
      <w:proofErr w:type="spellEnd"/>
      <w:r w:rsidR="00F86333" w:rsidRPr="00CD2013">
        <w:rPr>
          <w:rFonts w:ascii="Times New Roman" w:eastAsia="Times New Roman" w:hAnsi="Times New Roman" w:cs="Times New Roman"/>
          <w:b/>
          <w:i/>
          <w:sz w:val="24"/>
          <w:szCs w:val="24"/>
        </w:rPr>
        <w:t xml:space="preserve"> loci</w:t>
      </w:r>
      <w:r w:rsidR="00F86333" w:rsidRPr="00CD2013">
        <w:rPr>
          <w:rFonts w:ascii="Times New Roman" w:eastAsia="Times New Roman" w:hAnsi="Times New Roman" w:cs="Times New Roman"/>
          <w:b/>
          <w:i/>
          <w:sz w:val="24"/>
          <w:szCs w:val="24"/>
          <w:vertAlign w:val="superscript"/>
        </w:rPr>
        <w:footnoteReference w:id="5"/>
      </w:r>
      <w:r w:rsidR="00F86333" w:rsidRPr="00CD2013">
        <w:rPr>
          <w:rFonts w:ascii="Times New Roman" w:eastAsia="Times New Roman" w:hAnsi="Times New Roman" w:cs="Times New Roman"/>
          <w:sz w:val="24"/>
          <w:szCs w:val="24"/>
        </w:rPr>
        <w:t>, ya que el hecho ilícito internacional imputado al Estado tuvo lugar dentro de la circunscripción territorial del Estado demandado.</w:t>
      </w:r>
    </w:p>
    <w:p w14:paraId="000000E4" w14:textId="5A9B59DD" w:rsidR="00BE1A9D" w:rsidRPr="00F86333" w:rsidRDefault="00F86333" w:rsidP="00F8633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 </w:t>
      </w:r>
      <w:r w:rsidRPr="00CD2013">
        <w:rPr>
          <w:rFonts w:ascii="Times New Roman" w:eastAsia="Times New Roman" w:hAnsi="Times New Roman" w:cs="Times New Roman"/>
          <w:b/>
          <w:sz w:val="24"/>
          <w:szCs w:val="24"/>
        </w:rPr>
        <w:t>OPOSICIÓN A LOS CUESTIONAMIENTOS DE ADMISIBILIDAD FORMULADOS POR EL ESTADO.</w:t>
      </w:r>
    </w:p>
    <w:p w14:paraId="000000E5" w14:textId="38B4FC7C" w:rsidR="00BE1A9D" w:rsidRPr="00CD2013" w:rsidRDefault="00F86333" w:rsidP="00F86333">
      <w:pPr>
        <w:spacing w:line="360" w:lineRule="auto"/>
        <w:ind w:firstLine="72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3.1.- </w:t>
      </w:r>
      <w:r w:rsidRPr="00CD2013">
        <w:rPr>
          <w:rFonts w:ascii="Times New Roman" w:eastAsia="Times New Roman" w:hAnsi="Times New Roman" w:cs="Times New Roman"/>
          <w:b/>
          <w:i/>
          <w:sz w:val="24"/>
          <w:szCs w:val="24"/>
        </w:rPr>
        <w:t xml:space="preserve">Sobre la falta de agotamiento de recursos internos. </w:t>
      </w:r>
    </w:p>
    <w:p w14:paraId="000000E6" w14:textId="16E92BE4"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33.-</w:t>
      </w:r>
      <w:r w:rsidR="00F86333" w:rsidRPr="00CD2013">
        <w:rPr>
          <w:rFonts w:ascii="Times New Roman" w:eastAsia="Times New Roman" w:hAnsi="Times New Roman" w:cs="Times New Roman"/>
          <w:sz w:val="24"/>
          <w:szCs w:val="24"/>
        </w:rPr>
        <w:t>El previo agotamiento de recursos internos en el SIDH no solo se constituye como un requisito de admisibilidad contemplado por el artículo 46 de la CADH, sino que paralelo a esto, a la luz de la Corte IDH se consolida como una obligación de los Estados que han suscrito la CADH de contemplar y disponer en su ordenamiento jurídico interno de recursos judiciales adecuados y efectivos para las víctimas de violación de Derechos humanos, cuyo trámite por parte de las autoridades judiciales se ajuste a las reglas del debido proceso legal</w:t>
      </w:r>
      <w:r w:rsidR="00F86333" w:rsidRPr="00CD2013">
        <w:rPr>
          <w:rFonts w:ascii="Times New Roman" w:eastAsia="Times New Roman" w:hAnsi="Times New Roman" w:cs="Times New Roman"/>
          <w:sz w:val="24"/>
          <w:szCs w:val="24"/>
          <w:vertAlign w:val="superscript"/>
        </w:rPr>
        <w:footnoteReference w:id="6"/>
      </w:r>
      <w:r w:rsidR="00F86333" w:rsidRPr="00CD2013">
        <w:rPr>
          <w:rFonts w:ascii="Times New Roman" w:eastAsia="Times New Roman" w:hAnsi="Times New Roman" w:cs="Times New Roman"/>
          <w:sz w:val="24"/>
          <w:szCs w:val="24"/>
        </w:rPr>
        <w:t xml:space="preserve"> .</w:t>
      </w:r>
    </w:p>
    <w:p w14:paraId="000000E7" w14:textId="174DEE69"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34.-</w:t>
      </w:r>
      <w:r w:rsidR="00F86333" w:rsidRPr="00CD2013">
        <w:rPr>
          <w:rFonts w:ascii="Times New Roman" w:eastAsia="Times New Roman" w:hAnsi="Times New Roman" w:cs="Times New Roman"/>
          <w:sz w:val="24"/>
          <w:szCs w:val="24"/>
        </w:rPr>
        <w:t xml:space="preserve">Así mismo, toda vez que un Estado alega la excepción preliminar de falta de agotamiento de recursos internos por parte de </w:t>
      </w:r>
      <w:proofErr w:type="gramStart"/>
      <w:r w:rsidR="00F86333" w:rsidRPr="00CD2013">
        <w:rPr>
          <w:rFonts w:ascii="Times New Roman" w:eastAsia="Times New Roman" w:hAnsi="Times New Roman" w:cs="Times New Roman"/>
          <w:sz w:val="24"/>
          <w:szCs w:val="24"/>
        </w:rPr>
        <w:t>las peticionarios</w:t>
      </w:r>
      <w:proofErr w:type="gramEnd"/>
      <w:r w:rsidR="00F86333" w:rsidRPr="00CD2013">
        <w:rPr>
          <w:rFonts w:ascii="Times New Roman" w:eastAsia="Times New Roman" w:hAnsi="Times New Roman" w:cs="Times New Roman"/>
          <w:sz w:val="24"/>
          <w:szCs w:val="24"/>
        </w:rPr>
        <w:t>, esto no solo le implica la obligación de presentarla en el momento procesal oportuno</w:t>
      </w:r>
      <w:r w:rsidR="00F86333" w:rsidRPr="00CD2013">
        <w:rPr>
          <w:rFonts w:ascii="Times New Roman" w:eastAsia="Times New Roman" w:hAnsi="Times New Roman" w:cs="Times New Roman"/>
          <w:sz w:val="24"/>
          <w:szCs w:val="24"/>
          <w:vertAlign w:val="superscript"/>
        </w:rPr>
        <w:footnoteReference w:id="7"/>
      </w:r>
      <w:r w:rsidR="00F86333" w:rsidRPr="00CD2013">
        <w:rPr>
          <w:rFonts w:ascii="Times New Roman" w:eastAsia="Times New Roman" w:hAnsi="Times New Roman" w:cs="Times New Roman"/>
          <w:sz w:val="24"/>
          <w:szCs w:val="24"/>
        </w:rPr>
        <w:t>, también lo obliga a señalar con precisión cuáles recursos debieron agotarse por parte de las víctimas, además de establecer el carácter adecuado y efectivo de los mismos frente a su situación fáctica</w:t>
      </w:r>
      <w:r w:rsidR="00F86333" w:rsidRPr="00CD2013">
        <w:rPr>
          <w:rFonts w:ascii="Times New Roman" w:eastAsia="Times New Roman" w:hAnsi="Times New Roman" w:cs="Times New Roman"/>
          <w:sz w:val="24"/>
          <w:szCs w:val="24"/>
          <w:vertAlign w:val="superscript"/>
        </w:rPr>
        <w:footnoteReference w:id="8"/>
      </w:r>
      <w:r w:rsidR="00F86333" w:rsidRPr="00CD2013">
        <w:rPr>
          <w:rFonts w:ascii="Times New Roman" w:eastAsia="Times New Roman" w:hAnsi="Times New Roman" w:cs="Times New Roman"/>
          <w:sz w:val="24"/>
          <w:szCs w:val="24"/>
        </w:rPr>
        <w:t>.</w:t>
      </w:r>
    </w:p>
    <w:p w14:paraId="000000E8" w14:textId="1845637B"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35.- </w:t>
      </w:r>
      <w:r w:rsidR="00F86333" w:rsidRPr="00CD2013">
        <w:rPr>
          <w:rFonts w:ascii="Times New Roman" w:eastAsia="Times New Roman" w:hAnsi="Times New Roman" w:cs="Times New Roman"/>
          <w:sz w:val="24"/>
          <w:szCs w:val="24"/>
        </w:rPr>
        <w:t>En este sentido, pese a que el Estado es quien corre con el deber de especificar los recursos internos que considera no se han agotado, y demostrar que estos recursos se encontraban disponibles y eran adecuados, idóneos y efectivos</w:t>
      </w:r>
      <w:r w:rsidR="00F86333" w:rsidRPr="00CD2013">
        <w:rPr>
          <w:rFonts w:ascii="Times New Roman" w:eastAsia="Times New Roman" w:hAnsi="Times New Roman" w:cs="Times New Roman"/>
          <w:sz w:val="24"/>
          <w:szCs w:val="24"/>
          <w:vertAlign w:val="superscript"/>
        </w:rPr>
        <w:footnoteReference w:id="9"/>
      </w:r>
      <w:r w:rsidR="00F86333" w:rsidRPr="00CD2013">
        <w:rPr>
          <w:rFonts w:ascii="Times New Roman" w:eastAsia="Times New Roman" w:hAnsi="Times New Roman" w:cs="Times New Roman"/>
          <w:sz w:val="24"/>
          <w:szCs w:val="24"/>
        </w:rPr>
        <w:t>. La presente Representación se adelanta a señalar cuáles recursos se encontraban disponibles para la protección de los derechos vulnerados</w:t>
      </w:r>
    </w:p>
    <w:p w14:paraId="000000E9" w14:textId="3DD15F99"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36.- </w:t>
      </w:r>
      <w:r w:rsidR="00F86333" w:rsidRPr="00CD2013">
        <w:rPr>
          <w:rFonts w:ascii="Times New Roman" w:eastAsia="Times New Roman" w:hAnsi="Times New Roman" w:cs="Times New Roman"/>
          <w:sz w:val="24"/>
          <w:szCs w:val="24"/>
        </w:rPr>
        <w:t xml:space="preserve">Dicho lo anterior, se señala que como expresan los hechos anteriormente relatados las víctimas agotaron el Habeas Corpus, que fue negado en primera instancia y confirmado en segunda instancia. Particularmente frente a Maritza, se interpusieron dos peticiones solicitando la interrupción de su embarazo en correspondencia con la violación a la que fue sometida y a la ley Nacional, estas fueron rechazadas en ambas oportunidades. Así mismo se apeló la sentencia condenatoria de ambas mujeres y el sobreseimiento del proceso penal </w:t>
      </w:r>
      <w:proofErr w:type="gramStart"/>
      <w:r w:rsidR="00F86333" w:rsidRPr="00CD2013">
        <w:rPr>
          <w:rFonts w:ascii="Times New Roman" w:eastAsia="Times New Roman" w:hAnsi="Times New Roman" w:cs="Times New Roman"/>
          <w:sz w:val="24"/>
          <w:szCs w:val="24"/>
        </w:rPr>
        <w:t>y</w:t>
      </w:r>
      <w:proofErr w:type="gramEnd"/>
      <w:r w:rsidR="00F86333" w:rsidRPr="00CD2013">
        <w:rPr>
          <w:rFonts w:ascii="Times New Roman" w:eastAsia="Times New Roman" w:hAnsi="Times New Roman" w:cs="Times New Roman"/>
          <w:sz w:val="24"/>
          <w:szCs w:val="24"/>
        </w:rPr>
        <w:t xml:space="preserve"> por último, se interpuso una acción de daños y perjuicios que fue rechazada. </w:t>
      </w:r>
    </w:p>
    <w:p w14:paraId="000000EA" w14:textId="41194657"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37.- </w:t>
      </w:r>
      <w:r w:rsidR="00F86333" w:rsidRPr="00CD2013">
        <w:rPr>
          <w:rFonts w:ascii="Times New Roman" w:eastAsia="Times New Roman" w:hAnsi="Times New Roman" w:cs="Times New Roman"/>
          <w:sz w:val="24"/>
          <w:szCs w:val="24"/>
        </w:rPr>
        <w:t xml:space="preserve">Ahora bien,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reiterado que los recursos que deben ser agotados deben estar dotados del carácter de adecuados y efectivos</w:t>
      </w:r>
      <w:r w:rsidR="00F86333" w:rsidRPr="00CD2013">
        <w:rPr>
          <w:rFonts w:ascii="Times New Roman" w:eastAsia="Times New Roman" w:hAnsi="Times New Roman" w:cs="Times New Roman"/>
          <w:sz w:val="24"/>
          <w:szCs w:val="24"/>
          <w:vertAlign w:val="superscript"/>
        </w:rPr>
        <w:footnoteReference w:id="10"/>
      </w:r>
      <w:r w:rsidR="00F86333" w:rsidRPr="00CD2013">
        <w:rPr>
          <w:rFonts w:ascii="Times New Roman" w:eastAsia="Times New Roman" w:hAnsi="Times New Roman" w:cs="Times New Roman"/>
          <w:sz w:val="24"/>
          <w:szCs w:val="24"/>
        </w:rPr>
        <w:t>. Y que en la medida no tengan tales características no resulta necesario agotarlos, ya que el Estado está vulnerando las obligaciones que ha contraído a raíz de la CADH</w:t>
      </w:r>
      <w:r w:rsidR="00F86333" w:rsidRPr="00CD2013">
        <w:rPr>
          <w:rFonts w:ascii="Times New Roman" w:eastAsia="Times New Roman" w:hAnsi="Times New Roman" w:cs="Times New Roman"/>
          <w:sz w:val="24"/>
          <w:szCs w:val="24"/>
          <w:vertAlign w:val="superscript"/>
        </w:rPr>
        <w:footnoteReference w:id="11"/>
      </w:r>
      <w:r w:rsidR="00F86333" w:rsidRPr="00CD2013">
        <w:rPr>
          <w:rFonts w:ascii="Times New Roman" w:eastAsia="Times New Roman" w:hAnsi="Times New Roman" w:cs="Times New Roman"/>
          <w:sz w:val="24"/>
          <w:szCs w:val="24"/>
        </w:rPr>
        <w:t xml:space="preserve"> al no contemplar recursos efectivos en su ordenamiento jurídico interno, lo que ubica a las víctimas en un estado de indefensión</w:t>
      </w:r>
      <w:r w:rsidR="00F86333" w:rsidRPr="00CD2013">
        <w:rPr>
          <w:rFonts w:ascii="Times New Roman" w:eastAsia="Times New Roman" w:hAnsi="Times New Roman" w:cs="Times New Roman"/>
          <w:sz w:val="24"/>
          <w:szCs w:val="24"/>
          <w:vertAlign w:val="superscript"/>
        </w:rPr>
        <w:footnoteReference w:id="12"/>
      </w:r>
      <w:r w:rsidR="00F86333" w:rsidRPr="00CD2013">
        <w:rPr>
          <w:rFonts w:ascii="Times New Roman" w:eastAsia="Times New Roman" w:hAnsi="Times New Roman" w:cs="Times New Roman"/>
          <w:sz w:val="24"/>
          <w:szCs w:val="24"/>
        </w:rPr>
        <w:t xml:space="preserve"> e implica la necesidad de un pronunciamiento de fondo por parte de la Honorable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sobre esta excepción.</w:t>
      </w:r>
    </w:p>
    <w:p w14:paraId="000000EB" w14:textId="4D2A3827"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38.- </w:t>
      </w:r>
      <w:r w:rsidR="00F86333" w:rsidRPr="00CD2013">
        <w:rPr>
          <w:rFonts w:ascii="Times New Roman" w:eastAsia="Times New Roman" w:hAnsi="Times New Roman" w:cs="Times New Roman"/>
          <w:sz w:val="24"/>
          <w:szCs w:val="24"/>
        </w:rPr>
        <w:t xml:space="preserve">La presente Representación de las víctimas evidencia que a pesar de que se agotaron los recursos mencionados en párrafos anteriores, estos recursos no resultaban ser efectivos en el caso en concreto. Cabe señalar que la efectividad se refiere, al tenor del Art 25 </w:t>
      </w:r>
      <w:r w:rsidR="00F86333" w:rsidRPr="00CD2013">
        <w:rPr>
          <w:rFonts w:ascii="Times New Roman" w:eastAsia="Times New Roman" w:hAnsi="Times New Roman" w:cs="Times New Roman"/>
          <w:sz w:val="24"/>
          <w:szCs w:val="24"/>
        </w:rPr>
        <w:lastRenderedPageBreak/>
        <w:t xml:space="preserve">de la CADH, a que este sea capaz de concebir aquellos efectos para los que se ha </w:t>
      </w:r>
      <w:proofErr w:type="gramStart"/>
      <w:r w:rsidR="00F86333" w:rsidRPr="00CD2013">
        <w:rPr>
          <w:rFonts w:ascii="Times New Roman" w:eastAsia="Times New Roman" w:hAnsi="Times New Roman" w:cs="Times New Roman"/>
          <w:sz w:val="24"/>
          <w:szCs w:val="24"/>
        </w:rPr>
        <w:t>concebido</w:t>
      </w:r>
      <w:proofErr w:type="gramEnd"/>
      <w:r w:rsidR="00F86333" w:rsidRPr="00CD2013">
        <w:rPr>
          <w:rFonts w:ascii="Times New Roman" w:eastAsia="Times New Roman" w:hAnsi="Times New Roman" w:cs="Times New Roman"/>
          <w:sz w:val="24"/>
          <w:szCs w:val="24"/>
        </w:rPr>
        <w:t xml:space="preserve"> es decir, garantizar el respeto y protección de los derechos humanos.</w:t>
      </w:r>
    </w:p>
    <w:p w14:paraId="000000EC" w14:textId="3F85A5A1"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39.- </w:t>
      </w:r>
      <w:r w:rsidR="00F86333" w:rsidRPr="00CD2013">
        <w:rPr>
          <w:rFonts w:ascii="Times New Roman" w:eastAsia="Times New Roman" w:hAnsi="Times New Roman" w:cs="Times New Roman"/>
          <w:sz w:val="24"/>
          <w:szCs w:val="24"/>
        </w:rPr>
        <w:t xml:space="preserve">En este sentido los recursos agotados en su trámite y decisión no garantizaron el debido proceso, en la medida que se fundaron en el interrogatorio que se les realizó a las dos mujeres sin la presencia de un abogado, vulnerando las garantías judiciales, como el derecho de defensa y a no auto incriminarse amparados por el art. 8.2. </w:t>
      </w:r>
    </w:p>
    <w:p w14:paraId="000000ED" w14:textId="17E883C5"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40.- </w:t>
      </w:r>
      <w:r w:rsidR="00F86333" w:rsidRPr="00CD2013">
        <w:rPr>
          <w:rFonts w:ascii="Times New Roman" w:eastAsia="Times New Roman" w:hAnsi="Times New Roman" w:cs="Times New Roman"/>
          <w:sz w:val="24"/>
          <w:szCs w:val="24"/>
        </w:rPr>
        <w:t>Ya que todas las decisiones se tomaron con fundamento en tal actuación ilegal (interrogatorio), los recursos resultaban ineficaces. En este sentido, no resultaba necesario esperar la decisión de la segunda instancia de la Acción de daños y Perjuicios que fue declarada improcedente, ya que aunado a lo ocurrido con los demás recursos agotados, es viable concluir que “si la víctima decidiera agotarlo, esta no contaría con las garantías judiciales mínimas que se deben tener cuando se hace parte de un proceso judicial”</w:t>
      </w:r>
      <w:r w:rsidR="00F86333" w:rsidRPr="00CD2013">
        <w:rPr>
          <w:rFonts w:ascii="Times New Roman" w:eastAsia="Times New Roman" w:hAnsi="Times New Roman" w:cs="Times New Roman"/>
          <w:sz w:val="24"/>
          <w:szCs w:val="24"/>
          <w:vertAlign w:val="superscript"/>
        </w:rPr>
        <w:footnoteReference w:id="13"/>
      </w:r>
    </w:p>
    <w:p w14:paraId="000000EE" w14:textId="4E13EBFD"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41.-</w:t>
      </w:r>
      <w:r w:rsidR="00F86333" w:rsidRPr="00CD2013">
        <w:rPr>
          <w:rFonts w:ascii="Times New Roman" w:eastAsia="Times New Roman" w:hAnsi="Times New Roman" w:cs="Times New Roman"/>
          <w:sz w:val="24"/>
          <w:szCs w:val="24"/>
        </w:rPr>
        <w:t xml:space="preserve">Dicho todo lo anterior, es evidente que las dos mujeres, ambas víctimas del delito de trata de personas, de estereotipos, y por parte de Maritza, el sufrimiento de tortura y violencia sexual, no encontraron que la legislación interna de Tributaria adelantara los recursos que interpusieron con arreglo del debido proceso y las garantías judiciales, dejándolas en una situación de indefensión, que las llevó a acudir a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con la esperanza de que se surta un trámite, por lo menos, con respeto del debido proceso y las mencionadas garantías.</w:t>
      </w:r>
    </w:p>
    <w:p w14:paraId="000000EF" w14:textId="56DE292F" w:rsidR="00BE1A9D" w:rsidRPr="00CD2013" w:rsidRDefault="00F86333" w:rsidP="00F86333">
      <w:pPr>
        <w:spacing w:line="360" w:lineRule="auto"/>
        <w:ind w:left="72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3.2.- </w:t>
      </w:r>
      <w:r w:rsidRPr="00CD2013">
        <w:rPr>
          <w:rFonts w:ascii="Times New Roman" w:eastAsia="Times New Roman" w:hAnsi="Times New Roman" w:cs="Times New Roman"/>
          <w:b/>
          <w:i/>
          <w:sz w:val="24"/>
          <w:szCs w:val="24"/>
        </w:rPr>
        <w:t>Sobre la presentación extemporánea de la petición ante la Comisión Interamericana</w:t>
      </w:r>
    </w:p>
    <w:p w14:paraId="000000F0" w14:textId="5FC84DBA"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42.- </w:t>
      </w:r>
      <w:r w:rsidR="00F86333" w:rsidRPr="00CD2013">
        <w:rPr>
          <w:rFonts w:ascii="Times New Roman" w:eastAsia="Times New Roman" w:hAnsi="Times New Roman" w:cs="Times New Roman"/>
          <w:sz w:val="24"/>
          <w:szCs w:val="24"/>
        </w:rPr>
        <w:t xml:space="preserve">El 10 de enero de 2017 la Comisión recibió por correo postal la petición presentada por los defensores de oficio de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y Maritza con fecha del 5 de enero de 2017, alegando responsabilidad internacional del Estado de Tributaria por la violación de los derechos mencionados en el objeto de esta demanda. </w:t>
      </w:r>
    </w:p>
    <w:p w14:paraId="000000F1" w14:textId="0E75210F"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43.- </w:t>
      </w:r>
      <w:r w:rsidR="00F86333" w:rsidRPr="00CD2013">
        <w:rPr>
          <w:rFonts w:ascii="Times New Roman" w:eastAsia="Times New Roman" w:hAnsi="Times New Roman" w:cs="Times New Roman"/>
          <w:sz w:val="24"/>
          <w:szCs w:val="24"/>
        </w:rPr>
        <w:t>Sin embargo, el Estado planteó como excepción preliminar la presentación extemporánea de esta petición en tanto que el artículo 46, b) de la CADH establece que la petición debe ser presentada dentro del plazo de seis meses a partir de la fecha en que el presunto lesionado en sus derechos haya sido notificado de la decisión definitiva.</w:t>
      </w:r>
    </w:p>
    <w:p w14:paraId="000000F2" w14:textId="1A56E357" w:rsidR="00BE1A9D" w:rsidRPr="00CD2013" w:rsidRDefault="00F86333" w:rsidP="00CD2013">
      <w:pPr>
        <w:spacing w:line="360" w:lineRule="auto"/>
        <w:ind w:firstLine="720"/>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w:t>
      </w:r>
      <w:r w:rsidR="00744C29">
        <w:rPr>
          <w:rFonts w:ascii="Times New Roman" w:eastAsia="Times New Roman" w:hAnsi="Times New Roman" w:cs="Times New Roman"/>
          <w:b/>
          <w:sz w:val="24"/>
          <w:szCs w:val="24"/>
        </w:rPr>
        <w:t xml:space="preserve">44.- </w:t>
      </w:r>
      <w:r w:rsidRPr="00CD2013">
        <w:rPr>
          <w:rFonts w:ascii="Times New Roman" w:eastAsia="Times New Roman" w:hAnsi="Times New Roman" w:cs="Times New Roman"/>
          <w:sz w:val="24"/>
          <w:szCs w:val="24"/>
        </w:rPr>
        <w:t xml:space="preserve">Como indican los hechos del caso  la última pronunciación de la Corte Superior del departamento de Refugio respecto de la medida privativa de la libertad de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y </w:t>
      </w:r>
      <w:r w:rsidRPr="00CD2013">
        <w:rPr>
          <w:rFonts w:ascii="Times New Roman" w:eastAsia="Times New Roman" w:hAnsi="Times New Roman" w:cs="Times New Roman"/>
          <w:sz w:val="24"/>
          <w:szCs w:val="24"/>
        </w:rPr>
        <w:lastRenderedPageBreak/>
        <w:t>Maritza fue el 2 de enero de 2017, razón por la cual la representación de las víctimas no encuentra razón alguna para que sea admitida esta excepción preliminar del Estado, ya que la CADH es muy clara al decir,  que se debe presentar la petición ante la Comisión dentro del plazo de seis meses a partir de la decisión definitiva.</w:t>
      </w:r>
    </w:p>
    <w:p w14:paraId="000000F3" w14:textId="79043BBE" w:rsidR="00BE1A9D" w:rsidRPr="00CD2013" w:rsidRDefault="00F86333" w:rsidP="00CD2013">
      <w:pPr>
        <w:spacing w:line="360" w:lineRule="auto"/>
        <w:ind w:firstLine="720"/>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w:t>
      </w:r>
      <w:r w:rsidR="00744C29">
        <w:rPr>
          <w:rFonts w:ascii="Times New Roman" w:eastAsia="Times New Roman" w:hAnsi="Times New Roman" w:cs="Times New Roman"/>
          <w:b/>
          <w:sz w:val="24"/>
          <w:szCs w:val="24"/>
        </w:rPr>
        <w:t xml:space="preserve">45.- </w:t>
      </w:r>
      <w:r w:rsidRPr="00CD2013">
        <w:rPr>
          <w:rFonts w:ascii="Times New Roman" w:eastAsia="Times New Roman" w:hAnsi="Times New Roman" w:cs="Times New Roman"/>
          <w:sz w:val="24"/>
          <w:szCs w:val="24"/>
        </w:rPr>
        <w:t xml:space="preserve">Esto nos lleva a precisar </w:t>
      </w:r>
      <w:proofErr w:type="gramStart"/>
      <w:r w:rsidRPr="00CD2013">
        <w:rPr>
          <w:rFonts w:ascii="Times New Roman" w:eastAsia="Times New Roman" w:hAnsi="Times New Roman" w:cs="Times New Roman"/>
          <w:sz w:val="24"/>
          <w:szCs w:val="24"/>
        </w:rPr>
        <w:t>que  la</w:t>
      </w:r>
      <w:proofErr w:type="gramEnd"/>
      <w:r w:rsidRPr="00CD2013">
        <w:rPr>
          <w:rFonts w:ascii="Times New Roman" w:eastAsia="Times New Roman" w:hAnsi="Times New Roman" w:cs="Times New Roman"/>
          <w:sz w:val="24"/>
          <w:szCs w:val="24"/>
        </w:rPr>
        <w:t xml:space="preserve"> representación de las víctimas presentó dicha petición el 5 de enero de 2017, es decir, solo 3 días después de la última notificación de la decisión definitiva. En este punto cabe señalar que la presentación individual de cada derecho alegado por la representación de las víctimas se tratará a continuación.</w:t>
      </w:r>
    </w:p>
    <w:p w14:paraId="000000F4" w14:textId="48B6198F"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46.- </w:t>
      </w:r>
      <w:r w:rsidR="00F86333" w:rsidRPr="00CD2013">
        <w:rPr>
          <w:rFonts w:ascii="Times New Roman" w:eastAsia="Times New Roman" w:hAnsi="Times New Roman" w:cs="Times New Roman"/>
          <w:sz w:val="24"/>
          <w:szCs w:val="24"/>
        </w:rPr>
        <w:t>En primer lugar debe decirse que respecto de los derechos contenidos en los artículos 5, 7, 8, 11 y 25 de la CADH la petición no fue presentada extemporáneamente, pues en el caso de la Sra. Maritza el Estado como se tratará más adelante vulneró su integridad personal, honra y dignidad, libertad personal, garantías judiciales y protección judicial desde el momento en que se ordena su prisión preventiva el día 14 de noviembre de  2015 hasta que es liberada después de ser absuelta de los cargos imputados por la Fiscalía en el Estado de Tributaria el 2 de enero de 2017.</w:t>
      </w:r>
    </w:p>
    <w:p w14:paraId="000000F5" w14:textId="6D378748" w:rsidR="00BE1A9D" w:rsidRPr="00CD2013"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47.- </w:t>
      </w:r>
      <w:r w:rsidR="00F86333" w:rsidRPr="00CD2013">
        <w:rPr>
          <w:rFonts w:ascii="Times New Roman" w:eastAsia="Times New Roman" w:hAnsi="Times New Roman" w:cs="Times New Roman"/>
          <w:sz w:val="24"/>
          <w:szCs w:val="24"/>
        </w:rPr>
        <w:t xml:space="preserve">Continuando con la idea del párrafo anterior se entiende que a partir de la última actuación judicial en el Estado de Tributaria el lapso que transcurrió hasta el momento de presentación de la petición ante la CIDH fue de 3 días, pues se presentó el 5 de enero de 2017. Igualmente el Estado de Tributaria vulneró el artículo 17 de la CADH relativo a la protección de la familia, en tanto que desde el 11 de diciembre de 2016 fue separada de su hijo, pues fue trasladado a un instituto de protección a la niñez hasta el 3 de enero de </w:t>
      </w:r>
      <w:proofErr w:type="gramStart"/>
      <w:r w:rsidR="00F86333" w:rsidRPr="00CD2013">
        <w:rPr>
          <w:rFonts w:ascii="Times New Roman" w:eastAsia="Times New Roman" w:hAnsi="Times New Roman" w:cs="Times New Roman"/>
          <w:sz w:val="24"/>
          <w:szCs w:val="24"/>
        </w:rPr>
        <w:t>2017,  tras</w:t>
      </w:r>
      <w:proofErr w:type="gramEnd"/>
      <w:r w:rsidR="00F86333" w:rsidRPr="00CD2013">
        <w:rPr>
          <w:rFonts w:ascii="Times New Roman" w:eastAsia="Times New Roman" w:hAnsi="Times New Roman" w:cs="Times New Roman"/>
          <w:sz w:val="24"/>
          <w:szCs w:val="24"/>
        </w:rPr>
        <w:t xml:space="preserve"> recuperar su libertad y custodia de James, después de que la CST reformará la sentencia que la condenaba y la absolviera de todos los cargos</w:t>
      </w:r>
    </w:p>
    <w:p w14:paraId="000000F6" w14:textId="48A496BC" w:rsidR="00BE1A9D" w:rsidRPr="00CD2013"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48.-</w:t>
      </w:r>
      <w:r w:rsidR="00F86333" w:rsidRPr="00CD2013">
        <w:rPr>
          <w:rFonts w:ascii="Times New Roman" w:eastAsia="Times New Roman" w:hAnsi="Times New Roman" w:cs="Times New Roman"/>
          <w:sz w:val="24"/>
          <w:szCs w:val="24"/>
        </w:rPr>
        <w:t xml:space="preserve"> En segundo lugar, la vulneración de  los artículo 7, 8,11 y 25 de la CADH respecto de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y cómo será alegado por esta representación el Estado vulneró su derecho a la honra y dignidad, libertad personal, garantías judiciales y protección judicial al igual que como sucedió con la Sra. Maritza desde el 14 de noviembre de 2015, fecha en las que se ordenó su prisión preventiva hasta después de que es confirmada su sentencia el 2 de enero de 2017,fecha de la última actuación judicial.</w:t>
      </w:r>
    </w:p>
    <w:p w14:paraId="000000F7" w14:textId="6FA382C2"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49.- </w:t>
      </w:r>
      <w:r w:rsidR="00F86333" w:rsidRPr="00CD2013">
        <w:rPr>
          <w:rFonts w:ascii="Times New Roman" w:eastAsia="Times New Roman" w:hAnsi="Times New Roman" w:cs="Times New Roman"/>
          <w:sz w:val="24"/>
          <w:szCs w:val="24"/>
        </w:rPr>
        <w:t>Hay que advertir que esta representación no encuentra cabida a la excepción preliminar de extemporaneidad propuesta por el Estado en tanto que la petición para que se reconozca la responsabilidad del Estado ha sido presentada dentro del término establecido por la CADH en el artículo 46.1, inciso b.</w:t>
      </w:r>
    </w:p>
    <w:p w14:paraId="000000F8" w14:textId="151499EC"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50.- </w:t>
      </w:r>
      <w:r w:rsidR="00F86333" w:rsidRPr="00CD2013">
        <w:rPr>
          <w:rFonts w:ascii="Times New Roman" w:eastAsia="Times New Roman" w:hAnsi="Times New Roman" w:cs="Times New Roman"/>
          <w:sz w:val="24"/>
          <w:szCs w:val="24"/>
        </w:rPr>
        <w:t xml:space="preserve">Por lo anterior, se le solicita a la Corte considerar lo dicho en múltiples oportunidades por la Comisión respecto a la presentación extemporánea de la petición </w:t>
      </w:r>
      <w:proofErr w:type="gramStart"/>
      <w:r w:rsidR="00F86333" w:rsidRPr="00CD2013">
        <w:rPr>
          <w:rFonts w:ascii="Times New Roman" w:eastAsia="Times New Roman" w:hAnsi="Times New Roman" w:cs="Times New Roman"/>
          <w:sz w:val="24"/>
          <w:szCs w:val="24"/>
        </w:rPr>
        <w:t>pues  ha</w:t>
      </w:r>
      <w:proofErr w:type="gramEnd"/>
      <w:r w:rsidR="00F86333" w:rsidRPr="00CD2013">
        <w:rPr>
          <w:rFonts w:ascii="Times New Roman" w:eastAsia="Times New Roman" w:hAnsi="Times New Roman" w:cs="Times New Roman"/>
          <w:sz w:val="24"/>
          <w:szCs w:val="24"/>
        </w:rPr>
        <w:t xml:space="preserve"> dicho que presumiendo los días que transcurrieron mientras la petición estuvo en correo postal, se considera que la petición fue presentada de forma oportuna</w:t>
      </w:r>
      <w:r w:rsidR="00F86333" w:rsidRPr="00CD2013">
        <w:rPr>
          <w:rFonts w:ascii="Times New Roman" w:eastAsia="Times New Roman" w:hAnsi="Times New Roman" w:cs="Times New Roman"/>
          <w:sz w:val="24"/>
          <w:szCs w:val="24"/>
          <w:vertAlign w:val="superscript"/>
        </w:rPr>
        <w:footnoteReference w:id="14"/>
      </w:r>
      <w:r w:rsidR="00F86333" w:rsidRPr="00CD2013">
        <w:rPr>
          <w:rFonts w:ascii="Times New Roman" w:eastAsia="Times New Roman" w:hAnsi="Times New Roman" w:cs="Times New Roman"/>
          <w:sz w:val="24"/>
          <w:szCs w:val="24"/>
        </w:rPr>
        <w:t>.</w:t>
      </w:r>
    </w:p>
    <w:p w14:paraId="000000F9" w14:textId="206F5EBB" w:rsidR="00BE1A9D" w:rsidRPr="00F86333" w:rsidRDefault="00F86333" w:rsidP="00F86333">
      <w:pPr>
        <w:spacing w:line="360" w:lineRule="auto"/>
        <w:ind w:left="72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3.3.- </w:t>
      </w:r>
      <w:r w:rsidRPr="00F86333">
        <w:rPr>
          <w:rFonts w:ascii="Times New Roman" w:eastAsia="Times New Roman" w:hAnsi="Times New Roman" w:cs="Times New Roman"/>
          <w:b/>
          <w:i/>
          <w:sz w:val="24"/>
          <w:szCs w:val="24"/>
        </w:rPr>
        <w:t>De la indebida inclusión del artículo 26 de Convención Americana en el informe de fondo</w:t>
      </w:r>
    </w:p>
    <w:p w14:paraId="000000FA" w14:textId="09C199CE"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51.- </w:t>
      </w:r>
      <w:r w:rsidR="00F86333" w:rsidRPr="00CD2013">
        <w:rPr>
          <w:rFonts w:ascii="Times New Roman" w:eastAsia="Times New Roman" w:hAnsi="Times New Roman" w:cs="Times New Roman"/>
          <w:sz w:val="24"/>
          <w:szCs w:val="24"/>
        </w:rPr>
        <w:t>Respecto de la inclusión del artículo 26 de la CADH en el informe de fondo emitido por la Comisión debe recalcarse que la CIDH ha dicho en su jurisprudencia que la inclusión por parte de la Comisión de nuevos derechos en este informe, que no hayan sido indicados previamente en el Informe de Admisibilidad es posible, toda vez que los artículos 46 y 47 de la Convención únicamente establecen los requisitos  por los cuales una petición puede ser declarada admisible o inadmisible, mas no impone a la Comisión la obligación de determinar los derechos que han sido presuntamente vulnerados, objeto del trámite</w:t>
      </w:r>
      <w:r w:rsidR="00F86333" w:rsidRPr="00CD2013">
        <w:rPr>
          <w:rFonts w:ascii="Times New Roman" w:eastAsia="Times New Roman" w:hAnsi="Times New Roman" w:cs="Times New Roman"/>
          <w:sz w:val="24"/>
          <w:szCs w:val="24"/>
          <w:vertAlign w:val="superscript"/>
        </w:rPr>
        <w:footnoteReference w:id="15"/>
      </w:r>
      <w:r w:rsidR="00F86333" w:rsidRPr="00CD2013">
        <w:rPr>
          <w:rFonts w:ascii="Times New Roman" w:eastAsia="Times New Roman" w:hAnsi="Times New Roman" w:cs="Times New Roman"/>
          <w:sz w:val="24"/>
          <w:szCs w:val="24"/>
        </w:rPr>
        <w:t>.</w:t>
      </w:r>
    </w:p>
    <w:p w14:paraId="000000FB" w14:textId="326918E3"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52.- </w:t>
      </w:r>
      <w:r w:rsidR="00F86333" w:rsidRPr="00CD2013">
        <w:rPr>
          <w:rFonts w:ascii="Times New Roman" w:eastAsia="Times New Roman" w:hAnsi="Times New Roman" w:cs="Times New Roman"/>
          <w:sz w:val="24"/>
          <w:szCs w:val="24"/>
        </w:rPr>
        <w:t xml:space="preserve">De igual manera, hay que decir </w:t>
      </w:r>
      <w:proofErr w:type="gramStart"/>
      <w:r w:rsidR="00F86333" w:rsidRPr="00CD2013">
        <w:rPr>
          <w:rFonts w:ascii="Times New Roman" w:eastAsia="Times New Roman" w:hAnsi="Times New Roman" w:cs="Times New Roman"/>
          <w:sz w:val="24"/>
          <w:szCs w:val="24"/>
        </w:rPr>
        <w:t>que  los</w:t>
      </w:r>
      <w:proofErr w:type="gramEnd"/>
      <w:r w:rsidR="00F86333" w:rsidRPr="00CD2013">
        <w:rPr>
          <w:rFonts w:ascii="Times New Roman" w:eastAsia="Times New Roman" w:hAnsi="Times New Roman" w:cs="Times New Roman"/>
          <w:sz w:val="24"/>
          <w:szCs w:val="24"/>
        </w:rPr>
        <w:t xml:space="preserve"> derechos indicados en el Informe de Admisibilidad son el resultado de un examen preliminar de la petición que se encuentra en curso, por lo que no limita la posibilidad de que en etapas posteriores puedan incluirse otros</w:t>
      </w:r>
      <w:r w:rsidR="00CD2013">
        <w:rPr>
          <w:rFonts w:ascii="Times New Roman" w:eastAsia="Times New Roman" w:hAnsi="Times New Roman" w:cs="Times New Roman"/>
          <w:sz w:val="24"/>
          <w:szCs w:val="24"/>
        </w:rPr>
        <w:t xml:space="preserve"> </w:t>
      </w:r>
      <w:r w:rsidR="00F86333" w:rsidRPr="00CD2013">
        <w:rPr>
          <w:rFonts w:ascii="Times New Roman" w:eastAsia="Times New Roman" w:hAnsi="Times New Roman" w:cs="Times New Roman"/>
          <w:sz w:val="24"/>
          <w:szCs w:val="24"/>
        </w:rPr>
        <w:t>derechos que presuntamente se hayan vulnerado, siempre que se respete el derecho de defensa del Estado</w:t>
      </w:r>
      <w:r w:rsidR="00F86333" w:rsidRPr="00CD2013">
        <w:rPr>
          <w:rFonts w:ascii="Times New Roman" w:eastAsia="Times New Roman" w:hAnsi="Times New Roman" w:cs="Times New Roman"/>
          <w:sz w:val="24"/>
          <w:szCs w:val="24"/>
          <w:vertAlign w:val="superscript"/>
        </w:rPr>
        <w:footnoteReference w:id="16"/>
      </w:r>
      <w:r w:rsidR="00F86333" w:rsidRPr="00CD2013">
        <w:rPr>
          <w:rFonts w:ascii="Times New Roman" w:eastAsia="Times New Roman" w:hAnsi="Times New Roman" w:cs="Times New Roman"/>
          <w:sz w:val="24"/>
          <w:szCs w:val="24"/>
        </w:rPr>
        <w:t>.</w:t>
      </w:r>
    </w:p>
    <w:p w14:paraId="000000FC" w14:textId="019A13AB" w:rsidR="00BE1A9D" w:rsidRPr="00CD2013" w:rsidRDefault="00744C29"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53.- </w:t>
      </w:r>
      <w:r w:rsidR="00F86333" w:rsidRPr="00CD2013">
        <w:rPr>
          <w:rFonts w:ascii="Times New Roman" w:eastAsia="Times New Roman" w:hAnsi="Times New Roman" w:cs="Times New Roman"/>
          <w:sz w:val="24"/>
          <w:szCs w:val="24"/>
        </w:rPr>
        <w:t>Así mismo, la Corte ha establecido su competencia para conocer y resolver controversias relativas al artículo 26 de la CADH, como parte integrante de los derechos enumerados en el mismo instrumento, respecto de los cuales el artículo 1.1 confiere obligaciones generales de respeto y garantía a los Estados.</w:t>
      </w:r>
    </w:p>
    <w:p w14:paraId="31DA336C" w14:textId="59337C4E" w:rsidR="00F86333"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54.- </w:t>
      </w:r>
      <w:r w:rsidR="00F86333" w:rsidRPr="00CD2013">
        <w:rPr>
          <w:rFonts w:ascii="Times New Roman" w:eastAsia="Times New Roman" w:hAnsi="Times New Roman" w:cs="Times New Roman"/>
          <w:sz w:val="24"/>
          <w:szCs w:val="24"/>
        </w:rPr>
        <w:t>Dicho esto, el Estado de Tributaria tiene la obligación de adoptar medidas de protección de los derechos que se encuentran consagrados en el Protocolo de San Salvador, en este caso, debió tomar medidas con el fin de garantizar el ejercicio de los derechos que se enuncian, sin discriminación por motivos de origen nacional, tal como lo contempla el artículo 3 del instrumento anteriormente citado.</w:t>
      </w:r>
    </w:p>
    <w:p w14:paraId="000000FE" w14:textId="1AF37507" w:rsidR="00BE1A9D" w:rsidRPr="00F86333" w:rsidRDefault="00F86333" w:rsidP="00F86333">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 </w:t>
      </w:r>
      <w:r w:rsidRPr="00CD2013">
        <w:rPr>
          <w:rFonts w:ascii="Times New Roman" w:eastAsia="Times New Roman" w:hAnsi="Times New Roman" w:cs="Times New Roman"/>
          <w:b/>
          <w:sz w:val="24"/>
          <w:szCs w:val="24"/>
        </w:rPr>
        <w:t>ALEGATOS Y FUNDAMENTOS DE DERECHO.</w:t>
      </w:r>
    </w:p>
    <w:p w14:paraId="000000FF" w14:textId="36F95662" w:rsidR="00BE1A9D" w:rsidRPr="00F86333" w:rsidRDefault="00F86333" w:rsidP="00F86333">
      <w:pPr>
        <w:spacing w:line="360" w:lineRule="auto"/>
        <w:ind w:left="360"/>
        <w:rPr>
          <w:rFonts w:ascii="Times New Roman" w:eastAsia="Times New Roman" w:hAnsi="Times New Roman" w:cs="Times New Roman"/>
          <w:b/>
          <w:sz w:val="24"/>
          <w:szCs w:val="24"/>
        </w:rPr>
      </w:pPr>
      <w:r w:rsidRPr="00F86333">
        <w:rPr>
          <w:rFonts w:ascii="Times New Roman" w:eastAsia="Times New Roman" w:hAnsi="Times New Roman" w:cs="Times New Roman"/>
          <w:b/>
          <w:sz w:val="24"/>
          <w:szCs w:val="24"/>
        </w:rPr>
        <w:lastRenderedPageBreak/>
        <w:t xml:space="preserve">4.1.- De la vulneración en perjuicio de </w:t>
      </w:r>
      <w:proofErr w:type="spellStart"/>
      <w:r w:rsidRPr="00F86333">
        <w:rPr>
          <w:rFonts w:ascii="Times New Roman" w:eastAsia="Times New Roman" w:hAnsi="Times New Roman" w:cs="Times New Roman"/>
          <w:b/>
          <w:sz w:val="24"/>
          <w:szCs w:val="24"/>
        </w:rPr>
        <w:t>Evarista</w:t>
      </w:r>
      <w:proofErr w:type="spellEnd"/>
      <w:r w:rsidRPr="00F86333">
        <w:rPr>
          <w:rFonts w:ascii="Times New Roman" w:eastAsia="Times New Roman" w:hAnsi="Times New Roman" w:cs="Times New Roman"/>
          <w:b/>
          <w:sz w:val="24"/>
          <w:szCs w:val="24"/>
        </w:rPr>
        <w:t xml:space="preserve"> Cristóbal y Maritza </w:t>
      </w:r>
      <w:r w:rsidR="007703F4">
        <w:rPr>
          <w:rFonts w:ascii="Times New Roman" w:eastAsia="Times New Roman" w:hAnsi="Times New Roman" w:cs="Times New Roman"/>
          <w:b/>
          <w:sz w:val="24"/>
          <w:szCs w:val="24"/>
        </w:rPr>
        <w:t>Guerra</w:t>
      </w:r>
      <w:r w:rsidRPr="00F86333">
        <w:rPr>
          <w:rFonts w:ascii="Times New Roman" w:eastAsia="Times New Roman" w:hAnsi="Times New Roman" w:cs="Times New Roman"/>
          <w:b/>
          <w:sz w:val="24"/>
          <w:szCs w:val="24"/>
        </w:rPr>
        <w:t xml:space="preserve"> por parte de Tributaria.</w:t>
      </w:r>
    </w:p>
    <w:p w14:paraId="00000100" w14:textId="219483A7" w:rsidR="00BE1A9D" w:rsidRPr="00F86333" w:rsidRDefault="00F86333" w:rsidP="00F86333">
      <w:pPr>
        <w:pStyle w:val="Prrafodelista"/>
        <w:numPr>
          <w:ilvl w:val="0"/>
          <w:numId w:val="27"/>
        </w:numPr>
        <w:spacing w:line="36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V</w:t>
      </w:r>
      <w:r w:rsidRPr="00F86333">
        <w:rPr>
          <w:rFonts w:ascii="Times New Roman" w:eastAsia="Times New Roman" w:hAnsi="Times New Roman" w:cs="Times New Roman"/>
          <w:b/>
          <w:i/>
          <w:sz w:val="24"/>
          <w:szCs w:val="24"/>
        </w:rPr>
        <w:t xml:space="preserve">ulneración a las garantías judiciales y protección judicial, Art 8 y 25 CADH en relación con el Art 7 de la Convención Belem </w:t>
      </w:r>
      <w:proofErr w:type="spellStart"/>
      <w:r w:rsidRPr="00F86333">
        <w:rPr>
          <w:rFonts w:ascii="Times New Roman" w:eastAsia="Times New Roman" w:hAnsi="Times New Roman" w:cs="Times New Roman"/>
          <w:b/>
          <w:i/>
          <w:sz w:val="24"/>
          <w:szCs w:val="24"/>
        </w:rPr>
        <w:t>Dó</w:t>
      </w:r>
      <w:proofErr w:type="spellEnd"/>
      <w:r w:rsidRPr="00F86333">
        <w:rPr>
          <w:rFonts w:ascii="Times New Roman" w:eastAsia="Times New Roman" w:hAnsi="Times New Roman" w:cs="Times New Roman"/>
          <w:b/>
          <w:i/>
          <w:sz w:val="24"/>
          <w:szCs w:val="24"/>
        </w:rPr>
        <w:t xml:space="preserve"> Pará.</w:t>
      </w:r>
    </w:p>
    <w:p w14:paraId="00000101" w14:textId="6D8DBE2C" w:rsidR="00BE1A9D" w:rsidRPr="00CD2013" w:rsidRDefault="00744C29" w:rsidP="00744C2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55.-</w:t>
      </w:r>
      <w:r w:rsidR="00F86333" w:rsidRPr="00CD2013">
        <w:rPr>
          <w:rFonts w:ascii="Times New Roman" w:eastAsia="Times New Roman" w:hAnsi="Times New Roman" w:cs="Times New Roman"/>
          <w:sz w:val="24"/>
          <w:szCs w:val="24"/>
        </w:rPr>
        <w:t>El derecho de protección judicial y garantías judiciales se encuentra contemp</w:t>
      </w:r>
      <w:r>
        <w:rPr>
          <w:rFonts w:ascii="Times New Roman" w:eastAsia="Times New Roman" w:hAnsi="Times New Roman" w:cs="Times New Roman"/>
          <w:sz w:val="24"/>
          <w:szCs w:val="24"/>
        </w:rPr>
        <w:t xml:space="preserve">lado </w:t>
      </w:r>
      <w:r w:rsidR="00F86333" w:rsidRPr="00CD2013">
        <w:rPr>
          <w:rFonts w:ascii="Times New Roman" w:eastAsia="Times New Roman" w:hAnsi="Times New Roman" w:cs="Times New Roman"/>
          <w:sz w:val="24"/>
          <w:szCs w:val="24"/>
        </w:rPr>
        <w:t>en los artículos 8 y 25 de la CADH, sobre estos, la honorable Corte IDH ha señalado en reiterada jurisprudencia que los estados partes están obligados a contar con recursos efectivos para la defensa de violaciones de DDHH, los cuales deben tramitarse con arreglo del debido proceso legal, con miras a garantizar el pleno ejercicio de los derechos reconocidos en la Convención, a quien se encuentre bajo su jurisdicción</w:t>
      </w:r>
      <w:r w:rsidR="00F86333" w:rsidRPr="00CD2013">
        <w:rPr>
          <w:rFonts w:ascii="Times New Roman" w:eastAsia="Times New Roman" w:hAnsi="Times New Roman" w:cs="Times New Roman"/>
          <w:sz w:val="24"/>
          <w:szCs w:val="24"/>
          <w:vertAlign w:val="superscript"/>
        </w:rPr>
        <w:footnoteReference w:id="17"/>
      </w:r>
      <w:r w:rsidR="00F86333" w:rsidRPr="00CD2013">
        <w:rPr>
          <w:rFonts w:ascii="Times New Roman" w:eastAsia="Times New Roman" w:hAnsi="Times New Roman" w:cs="Times New Roman"/>
          <w:sz w:val="24"/>
          <w:szCs w:val="24"/>
        </w:rPr>
        <w:t>.</w:t>
      </w:r>
    </w:p>
    <w:p w14:paraId="00000102" w14:textId="411999D0"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44C29">
        <w:rPr>
          <w:rFonts w:ascii="Times New Roman" w:eastAsia="Times New Roman" w:hAnsi="Times New Roman" w:cs="Times New Roman"/>
          <w:b/>
          <w:sz w:val="24"/>
          <w:szCs w:val="24"/>
        </w:rPr>
        <w:t xml:space="preserve">56.- </w:t>
      </w:r>
      <w:r w:rsidRPr="00CD2013">
        <w:rPr>
          <w:rFonts w:ascii="Times New Roman" w:eastAsia="Times New Roman" w:hAnsi="Times New Roman" w:cs="Times New Roman"/>
          <w:sz w:val="24"/>
          <w:szCs w:val="24"/>
        </w:rPr>
        <w:t xml:space="preserve">Ahora bien, cabe resaltar que no puede reducirse las garantías judiciales a la existencia de recursos por parte del ordenamiento jurídico interno, por lo </w:t>
      </w:r>
      <w:proofErr w:type="gramStart"/>
      <w:r w:rsidRPr="00CD2013">
        <w:rPr>
          <w:rFonts w:ascii="Times New Roman" w:eastAsia="Times New Roman" w:hAnsi="Times New Roman" w:cs="Times New Roman"/>
          <w:sz w:val="24"/>
          <w:szCs w:val="24"/>
        </w:rPr>
        <w:t>contrario</w:t>
      </w:r>
      <w:proofErr w:type="gramEnd"/>
      <w:r w:rsidRPr="00CD2013">
        <w:rPr>
          <w:rFonts w:ascii="Times New Roman" w:eastAsia="Times New Roman" w:hAnsi="Times New Roman" w:cs="Times New Roman"/>
          <w:sz w:val="24"/>
          <w:szCs w:val="24"/>
        </w:rPr>
        <w:t xml:space="preserve"> aparte de esto implica la obligación de los Estados parte de la CADH de garantizar que cualquier recurso, sea judicial o administrativo, se tramite por sus respectivas autoridades con arreglo y completo respeto del debido proceso legal y que conforme a este también se determinen sus decisiones y actuaciones.</w:t>
      </w:r>
      <w:r w:rsidRPr="00CD2013">
        <w:rPr>
          <w:rFonts w:ascii="Times New Roman" w:eastAsia="Times New Roman" w:hAnsi="Times New Roman" w:cs="Times New Roman"/>
          <w:sz w:val="24"/>
          <w:szCs w:val="24"/>
          <w:vertAlign w:val="superscript"/>
        </w:rPr>
        <w:footnoteReference w:id="18"/>
      </w:r>
    </w:p>
    <w:p w14:paraId="00000103" w14:textId="2A62500F"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44C29">
        <w:rPr>
          <w:rFonts w:ascii="Times New Roman" w:eastAsia="Times New Roman" w:hAnsi="Times New Roman" w:cs="Times New Roman"/>
          <w:b/>
          <w:sz w:val="24"/>
          <w:szCs w:val="24"/>
        </w:rPr>
        <w:t xml:space="preserve">57.- </w:t>
      </w:r>
      <w:r w:rsidRPr="00CD2013">
        <w:rPr>
          <w:rFonts w:ascii="Times New Roman" w:eastAsia="Times New Roman" w:hAnsi="Times New Roman" w:cs="Times New Roman"/>
          <w:sz w:val="24"/>
          <w:szCs w:val="24"/>
        </w:rPr>
        <w:t xml:space="preserve">Llegado este punto, toda vez que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y Maritza han sido víctimas de violencia contra la mujer</w:t>
      </w:r>
      <w:r w:rsidRPr="00CD2013">
        <w:rPr>
          <w:rFonts w:ascii="Times New Roman" w:eastAsia="Times New Roman" w:hAnsi="Times New Roman" w:cs="Times New Roman"/>
          <w:sz w:val="24"/>
          <w:szCs w:val="24"/>
          <w:vertAlign w:val="superscript"/>
        </w:rPr>
        <w:footnoteReference w:id="19"/>
      </w:r>
      <w:r w:rsidRPr="00CD2013">
        <w:rPr>
          <w:rFonts w:ascii="Times New Roman" w:eastAsia="Times New Roman" w:hAnsi="Times New Roman" w:cs="Times New Roman"/>
          <w:sz w:val="24"/>
          <w:szCs w:val="24"/>
        </w:rPr>
        <w:t xml:space="preserve">, que se manifestó bajo los delitos de tortura y violación sexual respecto de Maritza, y Trata de personas en perjuicio de ambas, en la medida que las dos mujeres migraron por la crisis económica de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 xml:space="preserve"> a Tributaria, en donde fueron </w:t>
      </w:r>
      <w:proofErr w:type="spellStart"/>
      <w:r w:rsidRPr="00CD2013">
        <w:rPr>
          <w:rFonts w:ascii="Times New Roman" w:eastAsia="Times New Roman" w:hAnsi="Times New Roman" w:cs="Times New Roman"/>
          <w:sz w:val="24"/>
          <w:szCs w:val="24"/>
        </w:rPr>
        <w:t>recepcionadas</w:t>
      </w:r>
      <w:proofErr w:type="spellEnd"/>
      <w:r w:rsidRPr="00CD2013">
        <w:rPr>
          <w:rFonts w:ascii="Times New Roman" w:eastAsia="Times New Roman" w:hAnsi="Times New Roman" w:cs="Times New Roman"/>
          <w:sz w:val="24"/>
          <w:szCs w:val="24"/>
        </w:rPr>
        <w:t xml:space="preserve"> por el </w:t>
      </w:r>
      <w:proofErr w:type="spellStart"/>
      <w:r w:rsidRPr="00CD2013">
        <w:rPr>
          <w:rFonts w:ascii="Times New Roman" w:eastAsia="Times New Roman" w:hAnsi="Times New Roman" w:cs="Times New Roman"/>
          <w:sz w:val="24"/>
          <w:szCs w:val="24"/>
        </w:rPr>
        <w:t>Führer</w:t>
      </w:r>
      <w:proofErr w:type="spellEnd"/>
      <w:r w:rsidRPr="00CD2013">
        <w:rPr>
          <w:rFonts w:ascii="Times New Roman" w:eastAsia="Times New Roman" w:hAnsi="Times New Roman" w:cs="Times New Roman"/>
          <w:sz w:val="24"/>
          <w:szCs w:val="24"/>
        </w:rPr>
        <w:t xml:space="preserve"> para explotarlas sexualmente. Situación fáctica que encuentra una relación directa por la definición del delito de trata de personas ofrecida por el Art 3.A del Protocolo de Palermo</w:t>
      </w:r>
      <w:r w:rsidRPr="00CD2013">
        <w:rPr>
          <w:rFonts w:ascii="Times New Roman" w:eastAsia="Times New Roman" w:hAnsi="Times New Roman" w:cs="Times New Roman"/>
          <w:sz w:val="24"/>
          <w:szCs w:val="24"/>
          <w:vertAlign w:val="superscript"/>
        </w:rPr>
        <w:footnoteReference w:id="20"/>
      </w:r>
      <w:r w:rsidRPr="00CD2013">
        <w:rPr>
          <w:rFonts w:ascii="Times New Roman" w:eastAsia="Times New Roman" w:hAnsi="Times New Roman" w:cs="Times New Roman"/>
          <w:sz w:val="24"/>
          <w:szCs w:val="24"/>
        </w:rPr>
        <w:t>.</w:t>
      </w:r>
    </w:p>
    <w:p w14:paraId="00000104" w14:textId="39D58A31"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44C29">
        <w:rPr>
          <w:rFonts w:ascii="Times New Roman" w:eastAsia="Times New Roman" w:hAnsi="Times New Roman" w:cs="Times New Roman"/>
          <w:b/>
          <w:sz w:val="24"/>
          <w:szCs w:val="24"/>
        </w:rPr>
        <w:t xml:space="preserve">58.- </w:t>
      </w:r>
      <w:r w:rsidRPr="00CD2013">
        <w:rPr>
          <w:rFonts w:ascii="Times New Roman" w:eastAsia="Times New Roman" w:hAnsi="Times New Roman" w:cs="Times New Roman"/>
          <w:sz w:val="24"/>
          <w:szCs w:val="24"/>
        </w:rPr>
        <w:t>Así el respeto y garantía de los derechos de los artículos 8 y 25 por parte del Estado para el presente caso, deben analizarse bajo la estrecha relación que existe con la Convención Belém do pará en su Art 7 y el Protocolo de Palermo, en el sentido que las víctimas que acuden al SIDH, son mujeres, que se vieron forzadas a migrar por la crisis de su Estado de origen, y que en el Estado al que arribaron fueron víctimas del Delito de trata de personas.</w:t>
      </w:r>
    </w:p>
    <w:p w14:paraId="00000105" w14:textId="776BFF50"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lastRenderedPageBreak/>
        <w:tab/>
      </w:r>
      <w:r w:rsidR="00744C29">
        <w:rPr>
          <w:rFonts w:ascii="Times New Roman" w:eastAsia="Times New Roman" w:hAnsi="Times New Roman" w:cs="Times New Roman"/>
          <w:b/>
          <w:sz w:val="24"/>
          <w:szCs w:val="24"/>
        </w:rPr>
        <w:t xml:space="preserve">59.- </w:t>
      </w:r>
      <w:r w:rsidRPr="00CD2013">
        <w:rPr>
          <w:rFonts w:ascii="Times New Roman" w:eastAsia="Times New Roman" w:hAnsi="Times New Roman" w:cs="Times New Roman"/>
          <w:sz w:val="24"/>
          <w:szCs w:val="24"/>
        </w:rPr>
        <w:t xml:space="preserve">En primer lugar a las víctimas les fue vulnerada las garantías judiciales, en el sentido que no se respetó el derecho de presunción de inocencia y derecho de defensa en el interrogatorio contenidos en el Art 8.2 y 8.2.d, en el cual se les impidió la posibilidad de contar con un abogado siquiera de oficio, el cual sería la base para la imputación de cargas de las dos mujeres y su condena por parte del juzgado 3 penal, vulnerando así el debido proceso. </w:t>
      </w:r>
    </w:p>
    <w:p w14:paraId="00000106" w14:textId="61420183" w:rsidR="00BE1A9D" w:rsidRPr="00CD2013" w:rsidRDefault="00744C29" w:rsidP="00CD2013">
      <w:pPr>
        <w:spacing w:line="360" w:lineRule="auto"/>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rPr>
        <w:t xml:space="preserve">60.- </w:t>
      </w:r>
      <w:r w:rsidR="00F86333" w:rsidRPr="00CD2013">
        <w:rPr>
          <w:rFonts w:ascii="Times New Roman" w:eastAsia="Times New Roman" w:hAnsi="Times New Roman" w:cs="Times New Roman"/>
          <w:sz w:val="24"/>
          <w:szCs w:val="24"/>
        </w:rPr>
        <w:t>Respecto de la presunción de inocencia, esta se configura como un eje rector en el juicio</w:t>
      </w:r>
      <w:r w:rsidR="00F86333" w:rsidRPr="00CD2013">
        <w:rPr>
          <w:rFonts w:ascii="Times New Roman" w:eastAsia="Times New Roman" w:hAnsi="Times New Roman" w:cs="Times New Roman"/>
          <w:sz w:val="24"/>
          <w:szCs w:val="24"/>
          <w:vertAlign w:val="superscript"/>
        </w:rPr>
        <w:footnoteReference w:id="21"/>
      </w:r>
      <w:r w:rsidR="00F86333" w:rsidRPr="00CD2013">
        <w:rPr>
          <w:rFonts w:ascii="Times New Roman" w:eastAsia="Times New Roman" w:hAnsi="Times New Roman" w:cs="Times New Roman"/>
          <w:sz w:val="24"/>
          <w:szCs w:val="24"/>
        </w:rPr>
        <w:t xml:space="preserve">, cuando una persona ha sido imputada por un delito, debe en primer momento el Estado y sus órganos que administran  justicia, bajo los criterios internacionales establecidos por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tratar al imputado como una persona inocente hasta que se pruebe lo contrario de manera legal</w:t>
      </w:r>
      <w:r w:rsidR="00F86333" w:rsidRPr="00CD2013">
        <w:rPr>
          <w:rFonts w:ascii="Times New Roman" w:eastAsia="Times New Roman" w:hAnsi="Times New Roman" w:cs="Times New Roman"/>
          <w:sz w:val="24"/>
          <w:szCs w:val="24"/>
          <w:vertAlign w:val="superscript"/>
        </w:rPr>
        <w:footnoteReference w:id="22"/>
      </w:r>
      <w:r w:rsidR="00F86333" w:rsidRPr="00CD2013">
        <w:rPr>
          <w:rFonts w:ascii="Times New Roman" w:eastAsia="Times New Roman" w:hAnsi="Times New Roman" w:cs="Times New Roman"/>
          <w:sz w:val="24"/>
          <w:szCs w:val="24"/>
        </w:rPr>
        <w:t>.</w:t>
      </w:r>
      <w:r w:rsidR="00F86333" w:rsidRPr="00CD2013">
        <w:rPr>
          <w:rFonts w:ascii="Times New Roman" w:eastAsia="Times New Roman" w:hAnsi="Times New Roman" w:cs="Times New Roman"/>
          <w:sz w:val="24"/>
          <w:szCs w:val="24"/>
        </w:rPr>
        <w:br/>
      </w:r>
      <w:r w:rsidR="00F86333" w:rsidRPr="00CD2013">
        <w:rPr>
          <w:rFonts w:ascii="Times New Roman" w:eastAsia="Times New Roman" w:hAnsi="Times New Roman" w:cs="Times New Roman"/>
          <w:sz w:val="24"/>
          <w:szCs w:val="24"/>
        </w:rPr>
        <w:tab/>
      </w:r>
      <w:r>
        <w:rPr>
          <w:rFonts w:ascii="Times New Roman" w:eastAsia="Times New Roman" w:hAnsi="Times New Roman" w:cs="Times New Roman"/>
          <w:b/>
          <w:sz w:val="24"/>
          <w:szCs w:val="24"/>
        </w:rPr>
        <w:t>61.-</w:t>
      </w:r>
      <w:r w:rsidR="00F86333" w:rsidRPr="00CD2013">
        <w:rPr>
          <w:rFonts w:ascii="Times New Roman" w:eastAsia="Times New Roman" w:hAnsi="Times New Roman" w:cs="Times New Roman"/>
          <w:sz w:val="24"/>
          <w:szCs w:val="24"/>
        </w:rPr>
        <w:t>Esto implica que los juzgadores corran con la carga de la prueba,  y no inicien el proceso con una idea preconcebida de culpabilidad</w:t>
      </w:r>
      <w:r w:rsidR="00F86333" w:rsidRPr="00CD2013">
        <w:rPr>
          <w:rFonts w:ascii="Times New Roman" w:eastAsia="Times New Roman" w:hAnsi="Times New Roman" w:cs="Times New Roman"/>
          <w:sz w:val="24"/>
          <w:szCs w:val="24"/>
          <w:vertAlign w:val="superscript"/>
        </w:rPr>
        <w:footnoteReference w:id="23"/>
      </w:r>
      <w:r w:rsidR="00F86333" w:rsidRPr="00CD2013">
        <w:rPr>
          <w:rFonts w:ascii="Times New Roman" w:eastAsia="Times New Roman" w:hAnsi="Times New Roman" w:cs="Times New Roman"/>
          <w:sz w:val="24"/>
          <w:szCs w:val="24"/>
        </w:rPr>
        <w:t xml:space="preserve">. </w:t>
      </w:r>
      <w:r w:rsidR="00F86333" w:rsidRPr="00CD2013">
        <w:rPr>
          <w:rFonts w:ascii="Times New Roman" w:eastAsia="Times New Roman" w:hAnsi="Times New Roman" w:cs="Times New Roman"/>
          <w:color w:val="333333"/>
          <w:sz w:val="24"/>
          <w:szCs w:val="24"/>
        </w:rPr>
        <w:t xml:space="preserve">Situación que ocurrió con las víctimas, dejándolas en un estado de indefensión en la que se encontraron </w:t>
      </w:r>
      <w:proofErr w:type="spellStart"/>
      <w:r w:rsidR="00F86333" w:rsidRPr="00CD2013">
        <w:rPr>
          <w:rFonts w:ascii="Times New Roman" w:eastAsia="Times New Roman" w:hAnsi="Times New Roman" w:cs="Times New Roman"/>
          <w:color w:val="333333"/>
          <w:sz w:val="24"/>
          <w:szCs w:val="24"/>
        </w:rPr>
        <w:t>Evarista</w:t>
      </w:r>
      <w:proofErr w:type="spellEnd"/>
      <w:r w:rsidR="00F86333" w:rsidRPr="00CD2013">
        <w:rPr>
          <w:rFonts w:ascii="Times New Roman" w:eastAsia="Times New Roman" w:hAnsi="Times New Roman" w:cs="Times New Roman"/>
          <w:color w:val="333333"/>
          <w:sz w:val="24"/>
          <w:szCs w:val="24"/>
        </w:rPr>
        <w:t xml:space="preserve"> y Maritza, puesto a partir mencionado interrogatorio fueron señaladas por la Fiscalía como “Prostitutas de lujo”</w:t>
      </w:r>
      <w:r w:rsidR="00F86333" w:rsidRPr="00CD2013">
        <w:rPr>
          <w:rFonts w:ascii="Times New Roman" w:eastAsia="Times New Roman" w:hAnsi="Times New Roman" w:cs="Times New Roman"/>
          <w:color w:val="333333"/>
          <w:sz w:val="24"/>
          <w:szCs w:val="24"/>
          <w:vertAlign w:val="superscript"/>
        </w:rPr>
        <w:footnoteReference w:id="24"/>
      </w:r>
      <w:r w:rsidR="00F86333" w:rsidRPr="00CD2013">
        <w:rPr>
          <w:rFonts w:ascii="Times New Roman" w:eastAsia="Times New Roman" w:hAnsi="Times New Roman" w:cs="Times New Roman"/>
          <w:sz w:val="24"/>
          <w:szCs w:val="24"/>
        </w:rPr>
        <w:br/>
      </w:r>
      <w:r w:rsidR="00F86333" w:rsidRPr="00CD2013">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62.- </w:t>
      </w:r>
      <w:r w:rsidR="00F86333" w:rsidRPr="00CD2013">
        <w:rPr>
          <w:rFonts w:ascii="Times New Roman" w:eastAsia="Times New Roman" w:hAnsi="Times New Roman" w:cs="Times New Roman"/>
          <w:sz w:val="24"/>
          <w:szCs w:val="24"/>
        </w:rPr>
        <w:t xml:space="preserve">Sobre el derecho de defensa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señala que este se desarrolla en dos sentidos, primero en los actos del inculpado, en tanto la posibilidad de rendir declaración de manera libre y por otro lado, que en esta diligencia se garantice la defensa técnica, ejercida por un Abogado, que asesore al investigado sobre sus derechos y deberes y adelante</w:t>
      </w:r>
      <w:r w:rsidR="00F86333" w:rsidRPr="00CD2013">
        <w:rPr>
          <w:rFonts w:ascii="Times New Roman" w:eastAsia="Times New Roman" w:hAnsi="Times New Roman" w:cs="Times New Roman"/>
          <w:color w:val="333333"/>
          <w:sz w:val="24"/>
          <w:szCs w:val="24"/>
          <w:highlight w:val="white"/>
        </w:rPr>
        <w:t>, un control crítico y de legalidad en la producción de pruebas</w:t>
      </w:r>
      <w:r w:rsidR="00F86333" w:rsidRPr="00CD2013">
        <w:rPr>
          <w:rFonts w:ascii="Times New Roman" w:eastAsia="Times New Roman" w:hAnsi="Times New Roman" w:cs="Times New Roman"/>
          <w:color w:val="333333"/>
          <w:sz w:val="24"/>
          <w:szCs w:val="24"/>
          <w:highlight w:val="white"/>
          <w:vertAlign w:val="superscript"/>
        </w:rPr>
        <w:footnoteReference w:id="25"/>
      </w:r>
      <w:r w:rsidR="00F86333" w:rsidRPr="00CD2013">
        <w:rPr>
          <w:rFonts w:ascii="Times New Roman" w:eastAsia="Times New Roman" w:hAnsi="Times New Roman" w:cs="Times New Roman"/>
          <w:color w:val="333333"/>
          <w:sz w:val="24"/>
          <w:szCs w:val="24"/>
          <w:highlight w:val="white"/>
        </w:rPr>
        <w:t>.</w:t>
      </w:r>
    </w:p>
    <w:p w14:paraId="00000107" w14:textId="23AF6C9A" w:rsidR="00BE1A9D" w:rsidRPr="00CD2013" w:rsidRDefault="00F86333" w:rsidP="00CD2013">
      <w:pPr>
        <w:spacing w:line="360" w:lineRule="auto"/>
        <w:rPr>
          <w:rFonts w:ascii="Times New Roman" w:eastAsia="Times New Roman" w:hAnsi="Times New Roman" w:cs="Times New Roman"/>
          <w:color w:val="333333"/>
          <w:sz w:val="24"/>
          <w:szCs w:val="24"/>
          <w:highlight w:val="white"/>
        </w:rPr>
      </w:pPr>
      <w:r w:rsidRPr="00CD2013">
        <w:rPr>
          <w:rFonts w:ascii="Times New Roman" w:eastAsia="Times New Roman" w:hAnsi="Times New Roman" w:cs="Times New Roman"/>
          <w:color w:val="333333"/>
          <w:sz w:val="24"/>
          <w:szCs w:val="24"/>
          <w:highlight w:val="white"/>
        </w:rPr>
        <w:tab/>
      </w:r>
      <w:r w:rsidR="00744C29">
        <w:rPr>
          <w:rFonts w:ascii="Times New Roman" w:eastAsia="Times New Roman" w:hAnsi="Times New Roman" w:cs="Times New Roman"/>
          <w:b/>
          <w:color w:val="333333"/>
          <w:sz w:val="24"/>
          <w:szCs w:val="24"/>
          <w:highlight w:val="white"/>
        </w:rPr>
        <w:t xml:space="preserve">63.- </w:t>
      </w:r>
      <w:r w:rsidRPr="00CD2013">
        <w:rPr>
          <w:rFonts w:ascii="Times New Roman" w:eastAsia="Times New Roman" w:hAnsi="Times New Roman" w:cs="Times New Roman"/>
          <w:color w:val="333333"/>
          <w:sz w:val="24"/>
          <w:szCs w:val="24"/>
          <w:highlight w:val="white"/>
        </w:rPr>
        <w:t xml:space="preserve">Por lo cual de acuerdo con el Art 8, las mujeres debían contar con un profesional del derecho al momento de su interrogatorio, que las asesorara sobre sus derechos y deberes en el desarrollo de tal diligencia y a su vez garantizara la legalidad de este interrogatorio como medio de prueba que sería parte del proceso penal que se surtió, sin </w:t>
      </w:r>
      <w:proofErr w:type="gramStart"/>
      <w:r w:rsidRPr="00CD2013">
        <w:rPr>
          <w:rFonts w:ascii="Times New Roman" w:eastAsia="Times New Roman" w:hAnsi="Times New Roman" w:cs="Times New Roman"/>
          <w:color w:val="333333"/>
          <w:sz w:val="24"/>
          <w:szCs w:val="24"/>
          <w:highlight w:val="white"/>
        </w:rPr>
        <w:t>embargo</w:t>
      </w:r>
      <w:proofErr w:type="gramEnd"/>
      <w:r w:rsidRPr="00CD2013">
        <w:rPr>
          <w:rFonts w:ascii="Times New Roman" w:eastAsia="Times New Roman" w:hAnsi="Times New Roman" w:cs="Times New Roman"/>
          <w:color w:val="333333"/>
          <w:sz w:val="24"/>
          <w:szCs w:val="24"/>
          <w:highlight w:val="white"/>
        </w:rPr>
        <w:t xml:space="preserve"> las autoridades de Tributaria no garantizaron su defensa en el anterior entendido.</w:t>
      </w:r>
    </w:p>
    <w:p w14:paraId="00000108" w14:textId="65A78F2B" w:rsidR="00BE1A9D" w:rsidRPr="00CD2013" w:rsidRDefault="00F86333" w:rsidP="00CD2013">
      <w:pPr>
        <w:spacing w:line="360" w:lineRule="auto"/>
        <w:rPr>
          <w:rFonts w:ascii="Times New Roman" w:eastAsia="Times New Roman" w:hAnsi="Times New Roman" w:cs="Times New Roman"/>
          <w:color w:val="333333"/>
          <w:sz w:val="24"/>
          <w:szCs w:val="24"/>
          <w:highlight w:val="white"/>
        </w:rPr>
      </w:pPr>
      <w:r w:rsidRPr="00CD2013">
        <w:rPr>
          <w:rFonts w:ascii="Times New Roman" w:eastAsia="Times New Roman" w:hAnsi="Times New Roman" w:cs="Times New Roman"/>
          <w:color w:val="333333"/>
          <w:sz w:val="24"/>
          <w:szCs w:val="24"/>
          <w:highlight w:val="white"/>
        </w:rPr>
        <w:tab/>
      </w:r>
      <w:r w:rsidR="00744C29">
        <w:rPr>
          <w:rFonts w:ascii="Times New Roman" w:eastAsia="Times New Roman" w:hAnsi="Times New Roman" w:cs="Times New Roman"/>
          <w:b/>
          <w:color w:val="333333"/>
          <w:sz w:val="24"/>
          <w:szCs w:val="24"/>
          <w:highlight w:val="white"/>
        </w:rPr>
        <w:t xml:space="preserve">64.- </w:t>
      </w:r>
      <w:r w:rsidRPr="00CD2013">
        <w:rPr>
          <w:rFonts w:ascii="Times New Roman" w:eastAsia="Times New Roman" w:hAnsi="Times New Roman" w:cs="Times New Roman"/>
          <w:color w:val="333333"/>
          <w:sz w:val="24"/>
          <w:szCs w:val="24"/>
          <w:highlight w:val="white"/>
        </w:rPr>
        <w:t>Así y todo, es necesario reiterar que cuando una persona no tuvo la oportunidad de contar con un abogado, siquiera de oficio, en el momento en el cual se le sometió a rendir indagatoria, se entiende que se vulnera el derecho a la defensa, lo que a su vez implica la vulneración de las garantías judiciales</w:t>
      </w:r>
      <w:r w:rsidRPr="00CD2013">
        <w:rPr>
          <w:rFonts w:ascii="Times New Roman" w:eastAsia="Times New Roman" w:hAnsi="Times New Roman" w:cs="Times New Roman"/>
          <w:color w:val="333333"/>
          <w:sz w:val="24"/>
          <w:szCs w:val="24"/>
          <w:highlight w:val="white"/>
          <w:vertAlign w:val="superscript"/>
        </w:rPr>
        <w:footnoteReference w:id="26"/>
      </w:r>
      <w:r w:rsidRPr="00CD2013">
        <w:rPr>
          <w:rFonts w:ascii="Times New Roman" w:eastAsia="Times New Roman" w:hAnsi="Times New Roman" w:cs="Times New Roman"/>
          <w:color w:val="333333"/>
          <w:sz w:val="24"/>
          <w:szCs w:val="24"/>
          <w:highlight w:val="white"/>
        </w:rPr>
        <w:t xml:space="preserve">, esto significa que tal interrogatorio es violatorio del debido proceso y desconoce las mencionadas garantías, por lo cual no debió ser empleado por </w:t>
      </w:r>
      <w:r w:rsidRPr="00CD2013">
        <w:rPr>
          <w:rFonts w:ascii="Times New Roman" w:eastAsia="Times New Roman" w:hAnsi="Times New Roman" w:cs="Times New Roman"/>
          <w:color w:val="333333"/>
          <w:sz w:val="24"/>
          <w:szCs w:val="24"/>
          <w:highlight w:val="white"/>
        </w:rPr>
        <w:lastRenderedPageBreak/>
        <w:t xml:space="preserve">la Fiscal para alegar la comisión del delito del Art 222 del Código penal y mucho menos valorado por parte del juez para tomar la decisión condenatoria. </w:t>
      </w:r>
    </w:p>
    <w:p w14:paraId="00000109" w14:textId="05425C96" w:rsidR="00BE1A9D" w:rsidRPr="00CD2013" w:rsidRDefault="00F86333" w:rsidP="00CD2013">
      <w:pPr>
        <w:spacing w:line="360" w:lineRule="auto"/>
        <w:rPr>
          <w:rFonts w:ascii="Times New Roman" w:eastAsia="Times New Roman" w:hAnsi="Times New Roman" w:cs="Times New Roman"/>
          <w:color w:val="333333"/>
          <w:sz w:val="24"/>
          <w:szCs w:val="24"/>
          <w:highlight w:val="white"/>
        </w:rPr>
      </w:pPr>
      <w:r w:rsidRPr="00CD2013">
        <w:rPr>
          <w:rFonts w:ascii="Times New Roman" w:eastAsia="Times New Roman" w:hAnsi="Times New Roman" w:cs="Times New Roman"/>
          <w:color w:val="333333"/>
          <w:sz w:val="24"/>
          <w:szCs w:val="24"/>
          <w:highlight w:val="white"/>
        </w:rPr>
        <w:tab/>
      </w:r>
      <w:r w:rsidR="00744C29">
        <w:rPr>
          <w:rFonts w:ascii="Times New Roman" w:eastAsia="Times New Roman" w:hAnsi="Times New Roman" w:cs="Times New Roman"/>
          <w:b/>
          <w:color w:val="333333"/>
          <w:sz w:val="24"/>
          <w:szCs w:val="24"/>
          <w:highlight w:val="white"/>
        </w:rPr>
        <w:t xml:space="preserve">65.- </w:t>
      </w:r>
      <w:r w:rsidRPr="00CD2013">
        <w:rPr>
          <w:rFonts w:ascii="Times New Roman" w:eastAsia="Times New Roman" w:hAnsi="Times New Roman" w:cs="Times New Roman"/>
          <w:color w:val="333333"/>
          <w:sz w:val="24"/>
          <w:szCs w:val="24"/>
          <w:highlight w:val="white"/>
        </w:rPr>
        <w:t>Por otro lado, en relación con la protección y garantías judiciales en aquellos casos en los que el Estado tiene conocimiento de la posible comisión del delito de trata de personas, este debe actuar con debida diligencia con el fin de evitar que los hechos constitutivos de este delito queden en una situación de impunidad</w:t>
      </w:r>
      <w:r w:rsidRPr="00CD2013">
        <w:rPr>
          <w:rFonts w:ascii="Times New Roman" w:eastAsia="Times New Roman" w:hAnsi="Times New Roman" w:cs="Times New Roman"/>
          <w:color w:val="333333"/>
          <w:sz w:val="24"/>
          <w:szCs w:val="24"/>
          <w:highlight w:val="white"/>
          <w:vertAlign w:val="superscript"/>
        </w:rPr>
        <w:footnoteReference w:id="27"/>
      </w:r>
      <w:r w:rsidRPr="00CD2013">
        <w:rPr>
          <w:rFonts w:ascii="Times New Roman" w:eastAsia="Times New Roman" w:hAnsi="Times New Roman" w:cs="Times New Roman"/>
          <w:color w:val="333333"/>
          <w:sz w:val="24"/>
          <w:szCs w:val="24"/>
          <w:highlight w:val="white"/>
        </w:rPr>
        <w:t>. Así, desde el momento en que las autoridades de Tributaria conocen de la posible comisión de este delito, debieron iniciar una investigación de oficio encaminada a la verdad y establecer las responsabilidades individuales correspondientes</w:t>
      </w:r>
      <w:r w:rsidRPr="00CD2013">
        <w:rPr>
          <w:rFonts w:ascii="Times New Roman" w:eastAsia="Times New Roman" w:hAnsi="Times New Roman" w:cs="Times New Roman"/>
          <w:color w:val="333333"/>
          <w:sz w:val="24"/>
          <w:szCs w:val="24"/>
          <w:highlight w:val="white"/>
          <w:vertAlign w:val="superscript"/>
        </w:rPr>
        <w:footnoteReference w:id="28"/>
      </w:r>
      <w:r w:rsidRPr="00CD2013">
        <w:rPr>
          <w:rFonts w:ascii="Times New Roman" w:eastAsia="Times New Roman" w:hAnsi="Times New Roman" w:cs="Times New Roman"/>
          <w:color w:val="333333"/>
          <w:sz w:val="24"/>
          <w:szCs w:val="24"/>
          <w:highlight w:val="white"/>
        </w:rPr>
        <w:t xml:space="preserve">. </w:t>
      </w:r>
    </w:p>
    <w:p w14:paraId="0000010A" w14:textId="710CC384" w:rsidR="00BE1A9D" w:rsidRPr="00CD2013" w:rsidRDefault="00F86333" w:rsidP="00CD2013">
      <w:pPr>
        <w:spacing w:line="360" w:lineRule="auto"/>
        <w:rPr>
          <w:rFonts w:ascii="Times New Roman" w:eastAsia="Times New Roman" w:hAnsi="Times New Roman" w:cs="Times New Roman"/>
          <w:i/>
          <w:color w:val="333333"/>
          <w:sz w:val="24"/>
          <w:szCs w:val="24"/>
          <w:highlight w:val="white"/>
        </w:rPr>
      </w:pPr>
      <w:r w:rsidRPr="00CD2013">
        <w:rPr>
          <w:rFonts w:ascii="Times New Roman" w:eastAsia="Times New Roman" w:hAnsi="Times New Roman" w:cs="Times New Roman"/>
          <w:color w:val="333333"/>
          <w:sz w:val="24"/>
          <w:szCs w:val="24"/>
          <w:highlight w:val="white"/>
        </w:rPr>
        <w:t xml:space="preserve"> </w:t>
      </w:r>
      <w:r w:rsidRPr="00CD2013">
        <w:rPr>
          <w:rFonts w:ascii="Times New Roman" w:eastAsia="Times New Roman" w:hAnsi="Times New Roman" w:cs="Times New Roman"/>
          <w:color w:val="333333"/>
          <w:sz w:val="24"/>
          <w:szCs w:val="24"/>
          <w:highlight w:val="white"/>
        </w:rPr>
        <w:tab/>
      </w:r>
      <w:r w:rsidR="00744C29">
        <w:rPr>
          <w:rFonts w:ascii="Times New Roman" w:eastAsia="Times New Roman" w:hAnsi="Times New Roman" w:cs="Times New Roman"/>
          <w:b/>
          <w:color w:val="333333"/>
          <w:sz w:val="24"/>
          <w:szCs w:val="24"/>
          <w:highlight w:val="white"/>
        </w:rPr>
        <w:t xml:space="preserve">66.- </w:t>
      </w:r>
      <w:r w:rsidRPr="00CD2013">
        <w:rPr>
          <w:rFonts w:ascii="Times New Roman" w:eastAsia="Times New Roman" w:hAnsi="Times New Roman" w:cs="Times New Roman"/>
          <w:color w:val="333333"/>
          <w:sz w:val="24"/>
          <w:szCs w:val="24"/>
          <w:highlight w:val="white"/>
        </w:rPr>
        <w:t xml:space="preserve">Sobre este mismo deber de diligencia y en coherencia con la </w:t>
      </w:r>
      <w:proofErr w:type="spellStart"/>
      <w:r w:rsidRPr="00CD2013">
        <w:rPr>
          <w:rFonts w:ascii="Times New Roman" w:eastAsia="Times New Roman" w:hAnsi="Times New Roman" w:cs="Times New Roman"/>
          <w:color w:val="333333"/>
          <w:sz w:val="24"/>
          <w:szCs w:val="24"/>
          <w:highlight w:val="white"/>
        </w:rPr>
        <w:t>CorteIDH</w:t>
      </w:r>
      <w:proofErr w:type="spellEnd"/>
      <w:r w:rsidRPr="00CD2013">
        <w:rPr>
          <w:rFonts w:ascii="Times New Roman" w:eastAsia="Times New Roman" w:hAnsi="Times New Roman" w:cs="Times New Roman"/>
          <w:color w:val="333333"/>
          <w:sz w:val="24"/>
          <w:szCs w:val="24"/>
          <w:highlight w:val="white"/>
        </w:rPr>
        <w:t>, en aquellos casos concretos de trata de personas, el TEDH ha señalado que “</w:t>
      </w:r>
      <w:r w:rsidRPr="00CD2013">
        <w:rPr>
          <w:rFonts w:ascii="Times New Roman" w:eastAsia="Times New Roman" w:hAnsi="Times New Roman" w:cs="Times New Roman"/>
          <w:i/>
          <w:color w:val="333333"/>
          <w:sz w:val="24"/>
          <w:szCs w:val="24"/>
          <w:highlight w:val="white"/>
        </w:rPr>
        <w:t>la obligación de investigar la trata de personas no debe depender de una denuncia, sino que una vez que las autoridades toman conocimiento de la situación debe actuar de oficio”</w:t>
      </w:r>
      <w:r w:rsidRPr="00CD2013">
        <w:rPr>
          <w:rFonts w:ascii="Times New Roman" w:eastAsia="Times New Roman" w:hAnsi="Times New Roman" w:cs="Times New Roman"/>
          <w:i/>
          <w:color w:val="333333"/>
          <w:sz w:val="24"/>
          <w:szCs w:val="24"/>
          <w:highlight w:val="white"/>
          <w:vertAlign w:val="superscript"/>
        </w:rPr>
        <w:footnoteReference w:id="29"/>
      </w:r>
      <w:r w:rsidRPr="00CD2013">
        <w:rPr>
          <w:rFonts w:ascii="Times New Roman" w:eastAsia="Times New Roman" w:hAnsi="Times New Roman" w:cs="Times New Roman"/>
          <w:i/>
          <w:color w:val="333333"/>
          <w:sz w:val="24"/>
          <w:szCs w:val="24"/>
          <w:highlight w:val="white"/>
        </w:rPr>
        <w:t xml:space="preserve">. </w:t>
      </w:r>
    </w:p>
    <w:p w14:paraId="0000010B" w14:textId="7D26900A" w:rsidR="00BE1A9D" w:rsidRPr="00CD2013" w:rsidRDefault="00F86333" w:rsidP="00CD2013">
      <w:pPr>
        <w:spacing w:line="360" w:lineRule="auto"/>
        <w:rPr>
          <w:rFonts w:ascii="Times New Roman" w:eastAsia="Times New Roman" w:hAnsi="Times New Roman" w:cs="Times New Roman"/>
          <w:color w:val="333333"/>
          <w:sz w:val="24"/>
          <w:szCs w:val="24"/>
          <w:highlight w:val="white"/>
        </w:rPr>
      </w:pPr>
      <w:r w:rsidRPr="00CD2013">
        <w:rPr>
          <w:rFonts w:ascii="Times New Roman" w:eastAsia="Times New Roman" w:hAnsi="Times New Roman" w:cs="Times New Roman"/>
          <w:i/>
          <w:color w:val="333333"/>
          <w:sz w:val="24"/>
          <w:szCs w:val="24"/>
          <w:highlight w:val="white"/>
        </w:rPr>
        <w:tab/>
      </w:r>
      <w:r w:rsidR="00744C29">
        <w:rPr>
          <w:rFonts w:ascii="Times New Roman" w:eastAsia="Times New Roman" w:hAnsi="Times New Roman" w:cs="Times New Roman"/>
          <w:b/>
          <w:color w:val="333333"/>
          <w:sz w:val="24"/>
          <w:szCs w:val="24"/>
          <w:highlight w:val="white"/>
        </w:rPr>
        <w:t xml:space="preserve">67.- </w:t>
      </w:r>
      <w:r w:rsidRPr="00CD2013">
        <w:rPr>
          <w:rFonts w:ascii="Times New Roman" w:eastAsia="Times New Roman" w:hAnsi="Times New Roman" w:cs="Times New Roman"/>
          <w:color w:val="333333"/>
          <w:sz w:val="24"/>
          <w:szCs w:val="24"/>
          <w:highlight w:val="white"/>
        </w:rPr>
        <w:t xml:space="preserve">En coherencia con todo lo anterior es evidente que el Estado de Tributaria debió iniciar el trámite de las correspondientes investigaciones con el fin de responsabilizar a el </w:t>
      </w:r>
      <w:proofErr w:type="spellStart"/>
      <w:r w:rsidRPr="00CD2013">
        <w:rPr>
          <w:rFonts w:ascii="Times New Roman" w:eastAsia="Times New Roman" w:hAnsi="Times New Roman" w:cs="Times New Roman"/>
          <w:color w:val="333333"/>
          <w:sz w:val="24"/>
          <w:szCs w:val="24"/>
          <w:highlight w:val="white"/>
        </w:rPr>
        <w:t>Führer</w:t>
      </w:r>
      <w:proofErr w:type="spellEnd"/>
      <w:r w:rsidRPr="00CD2013">
        <w:rPr>
          <w:rFonts w:ascii="Times New Roman" w:eastAsia="Times New Roman" w:hAnsi="Times New Roman" w:cs="Times New Roman"/>
          <w:color w:val="333333"/>
          <w:sz w:val="24"/>
          <w:szCs w:val="24"/>
          <w:highlight w:val="white"/>
        </w:rPr>
        <w:t>, Parménides y Maquiavelo por delitos como trata de personas, tortura y violación sexual y además adelantar con debida diligencia, con la que no ha cumplido Tributaria, ya que aunque abrió tal investigación desde el 13 de noviembre de 2015, y cuatro años después, esta no ha superado siquiera su etapa preliminar.</w:t>
      </w:r>
    </w:p>
    <w:p w14:paraId="0000010C" w14:textId="572D511D" w:rsidR="00BE1A9D" w:rsidRPr="00CD2013" w:rsidRDefault="00744C29" w:rsidP="00744C29">
      <w:pPr>
        <w:spacing w:line="360" w:lineRule="auto"/>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color w:val="333333"/>
          <w:sz w:val="24"/>
          <w:szCs w:val="24"/>
          <w:highlight w:val="white"/>
        </w:rPr>
        <w:t xml:space="preserve">68.- </w:t>
      </w:r>
      <w:r w:rsidR="00F86333" w:rsidRPr="00CD2013">
        <w:rPr>
          <w:rFonts w:ascii="Times New Roman" w:eastAsia="Times New Roman" w:hAnsi="Times New Roman" w:cs="Times New Roman"/>
          <w:color w:val="333333"/>
          <w:sz w:val="24"/>
          <w:szCs w:val="24"/>
          <w:highlight w:val="white"/>
        </w:rPr>
        <w:t>Así, la obligación de investigar en cabeza del Estado se constituye como una garantía y protección judicial, que a su vez implica un deber jurídico propio, que no puede depender de la iniciativa procesal de las víctimas, y que debe ser seria, objetiva y efectiva, encaminada a determinar la verdad y enjuiciamiento de los responsables, cabe aclarar que tal investigación debe ser fructuosa, no basta con su mero e ilusorio inicio.</w:t>
      </w:r>
      <w:r w:rsidR="00F86333" w:rsidRPr="00CD2013">
        <w:rPr>
          <w:rFonts w:ascii="Times New Roman" w:eastAsia="Times New Roman" w:hAnsi="Times New Roman" w:cs="Times New Roman"/>
          <w:color w:val="333333"/>
          <w:sz w:val="24"/>
          <w:szCs w:val="24"/>
          <w:highlight w:val="white"/>
          <w:vertAlign w:val="superscript"/>
        </w:rPr>
        <w:footnoteReference w:id="30"/>
      </w:r>
      <w:r w:rsidR="00F86333" w:rsidRPr="00CD2013">
        <w:rPr>
          <w:rFonts w:ascii="Times New Roman" w:eastAsia="Times New Roman" w:hAnsi="Times New Roman" w:cs="Times New Roman"/>
          <w:color w:val="333333"/>
          <w:sz w:val="24"/>
          <w:szCs w:val="24"/>
          <w:highlight w:val="white"/>
        </w:rPr>
        <w:t>.</w:t>
      </w:r>
    </w:p>
    <w:p w14:paraId="0000010D" w14:textId="008DA094" w:rsidR="00BE1A9D" w:rsidRPr="00CD2013" w:rsidRDefault="00744C29" w:rsidP="00744C29">
      <w:pPr>
        <w:spacing w:line="360" w:lineRule="auto"/>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color w:val="333333"/>
          <w:sz w:val="24"/>
          <w:szCs w:val="24"/>
          <w:highlight w:val="white"/>
        </w:rPr>
        <w:t xml:space="preserve">69.- </w:t>
      </w:r>
      <w:r w:rsidR="00F86333" w:rsidRPr="00CD2013">
        <w:rPr>
          <w:rFonts w:ascii="Times New Roman" w:eastAsia="Times New Roman" w:hAnsi="Times New Roman" w:cs="Times New Roman"/>
          <w:color w:val="333333"/>
          <w:sz w:val="24"/>
          <w:szCs w:val="24"/>
          <w:highlight w:val="white"/>
        </w:rPr>
        <w:t xml:space="preserve">Después de todo, es notable que las razones por las cuales la presente representación considera que Tributaria es responsable por la vulneración de los artículos 8 y 25 de la CADH, toda vez que sometió a las víctimas a un interrogatorio sin presencia de un abogado, el cual fue empleado como prueba determinante en la condena que sufrieron por la </w:t>
      </w:r>
      <w:r w:rsidR="00F86333" w:rsidRPr="00CD2013">
        <w:rPr>
          <w:rFonts w:ascii="Times New Roman" w:eastAsia="Times New Roman" w:hAnsi="Times New Roman" w:cs="Times New Roman"/>
          <w:color w:val="333333"/>
          <w:sz w:val="24"/>
          <w:szCs w:val="24"/>
          <w:highlight w:val="white"/>
        </w:rPr>
        <w:lastRenderedPageBreak/>
        <w:t>comisión del delito de prostitución</w:t>
      </w:r>
      <w:r w:rsidR="00F86333" w:rsidRPr="00CD2013">
        <w:rPr>
          <w:rFonts w:ascii="Times New Roman" w:eastAsia="Times New Roman" w:hAnsi="Times New Roman" w:cs="Times New Roman"/>
          <w:color w:val="333333"/>
          <w:sz w:val="24"/>
          <w:szCs w:val="24"/>
          <w:highlight w:val="white"/>
          <w:vertAlign w:val="superscript"/>
        </w:rPr>
        <w:footnoteReference w:id="31"/>
      </w:r>
      <w:r w:rsidR="00F86333" w:rsidRPr="00CD2013">
        <w:rPr>
          <w:rFonts w:ascii="Times New Roman" w:eastAsia="Times New Roman" w:hAnsi="Times New Roman" w:cs="Times New Roman"/>
          <w:color w:val="333333"/>
          <w:sz w:val="24"/>
          <w:szCs w:val="24"/>
          <w:highlight w:val="white"/>
        </w:rPr>
        <w:t xml:space="preserve"> y en los demás recursos interpuestos, como señalan, los hechos y además no cumplió su obligación de debida diligencia.</w:t>
      </w:r>
    </w:p>
    <w:p w14:paraId="0000010E" w14:textId="271A73F8" w:rsidR="00BE1A9D" w:rsidRPr="00F86333" w:rsidRDefault="00F86333" w:rsidP="00F86333">
      <w:pPr>
        <w:pStyle w:val="Prrafodelista"/>
        <w:numPr>
          <w:ilvl w:val="0"/>
          <w:numId w:val="26"/>
        </w:numPr>
        <w:spacing w:line="360" w:lineRule="auto"/>
        <w:rPr>
          <w:rFonts w:ascii="Times New Roman" w:eastAsia="Times New Roman" w:hAnsi="Times New Roman" w:cs="Times New Roman"/>
          <w:b/>
          <w:i/>
          <w:sz w:val="24"/>
          <w:szCs w:val="24"/>
        </w:rPr>
      </w:pPr>
      <w:r w:rsidRPr="00F86333">
        <w:rPr>
          <w:rFonts w:ascii="Times New Roman" w:eastAsia="Times New Roman" w:hAnsi="Times New Roman" w:cs="Times New Roman"/>
          <w:b/>
          <w:i/>
          <w:sz w:val="24"/>
          <w:szCs w:val="24"/>
        </w:rPr>
        <w:t>De la vulneración del derecho de igualdad ante la ley (Art 9) CADH en relación con el artículo 2 de la misma convención y Art 7 Convención Belem Do Pará</w:t>
      </w:r>
    </w:p>
    <w:p w14:paraId="0000010F" w14:textId="16D84E32" w:rsidR="00BE1A9D" w:rsidRPr="00CD2013" w:rsidRDefault="00744C29"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70.- </w:t>
      </w:r>
      <w:r w:rsidR="00F86333" w:rsidRPr="00CD2013">
        <w:rPr>
          <w:rFonts w:ascii="Times New Roman" w:eastAsia="Times New Roman" w:hAnsi="Times New Roman" w:cs="Times New Roman"/>
          <w:sz w:val="24"/>
          <w:szCs w:val="24"/>
        </w:rPr>
        <w:t xml:space="preserve">El derecho de igualdad ante la ley se encuentra amparado por el Art 9 de la CADH </w:t>
      </w:r>
      <w:proofErr w:type="gramStart"/>
      <w:r w:rsidR="00F86333" w:rsidRPr="00CD2013">
        <w:rPr>
          <w:rFonts w:ascii="Times New Roman" w:eastAsia="Times New Roman" w:hAnsi="Times New Roman" w:cs="Times New Roman"/>
          <w:sz w:val="24"/>
          <w:szCs w:val="24"/>
        </w:rPr>
        <w:t>estrechamente  relacionado</w:t>
      </w:r>
      <w:proofErr w:type="gramEnd"/>
      <w:r w:rsidR="00F86333" w:rsidRPr="00CD2013">
        <w:rPr>
          <w:rFonts w:ascii="Times New Roman" w:eastAsia="Times New Roman" w:hAnsi="Times New Roman" w:cs="Times New Roman"/>
          <w:sz w:val="24"/>
          <w:szCs w:val="24"/>
        </w:rPr>
        <w:t xml:space="preserve"> con el artículo 1.1 y 2(no discriminación) de la misma convención. Sobre estos derechos de igualdad y no discriminación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considerado en su jurisprudencia que hace parte del </w:t>
      </w:r>
      <w:proofErr w:type="spellStart"/>
      <w:r w:rsidR="00F86333" w:rsidRPr="00CD2013">
        <w:rPr>
          <w:rFonts w:ascii="Times New Roman" w:eastAsia="Times New Roman" w:hAnsi="Times New Roman" w:cs="Times New Roman"/>
          <w:sz w:val="24"/>
          <w:szCs w:val="24"/>
        </w:rPr>
        <w:t>jus</w:t>
      </w:r>
      <w:proofErr w:type="spellEnd"/>
      <w:r w:rsidR="00F86333" w:rsidRPr="00CD2013">
        <w:rPr>
          <w:rFonts w:ascii="Times New Roman" w:eastAsia="Times New Roman" w:hAnsi="Times New Roman" w:cs="Times New Roman"/>
          <w:sz w:val="24"/>
          <w:szCs w:val="24"/>
        </w:rPr>
        <w:t xml:space="preserve"> cogens y sobre </w:t>
      </w:r>
      <w:proofErr w:type="gramStart"/>
      <w:r w:rsidR="00F86333" w:rsidRPr="00CD2013">
        <w:rPr>
          <w:rFonts w:ascii="Times New Roman" w:eastAsia="Times New Roman" w:hAnsi="Times New Roman" w:cs="Times New Roman"/>
          <w:sz w:val="24"/>
          <w:szCs w:val="24"/>
        </w:rPr>
        <w:t>éste  “</w:t>
      </w:r>
      <w:proofErr w:type="gramEnd"/>
      <w:r w:rsidR="00F86333" w:rsidRPr="00CD2013">
        <w:rPr>
          <w:rFonts w:ascii="Times New Roman" w:eastAsia="Times New Roman" w:hAnsi="Times New Roman" w:cs="Times New Roman"/>
          <w:sz w:val="24"/>
          <w:szCs w:val="24"/>
        </w:rPr>
        <w:t>descansa el andamiaje jurídico del orden público nacional e internacional y permea todo el ordenamiento jurídico”</w:t>
      </w:r>
      <w:r w:rsidR="00F86333" w:rsidRPr="00CD2013">
        <w:rPr>
          <w:rFonts w:ascii="Times New Roman" w:eastAsia="Times New Roman" w:hAnsi="Times New Roman" w:cs="Times New Roman"/>
          <w:sz w:val="24"/>
          <w:szCs w:val="24"/>
          <w:vertAlign w:val="superscript"/>
        </w:rPr>
        <w:footnoteReference w:id="32"/>
      </w:r>
      <w:r w:rsidR="00F86333" w:rsidRPr="00CD2013">
        <w:rPr>
          <w:rFonts w:ascii="Times New Roman" w:eastAsia="Times New Roman" w:hAnsi="Times New Roman" w:cs="Times New Roman"/>
          <w:sz w:val="24"/>
          <w:szCs w:val="24"/>
        </w:rPr>
        <w:t>.</w:t>
      </w:r>
    </w:p>
    <w:p w14:paraId="00000110" w14:textId="5C637E87" w:rsidR="00BE1A9D" w:rsidRPr="00CD2013" w:rsidRDefault="00744C29" w:rsidP="00105322">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71.- </w:t>
      </w:r>
      <w:r w:rsidR="00F86333" w:rsidRPr="00CD2013">
        <w:rPr>
          <w:rFonts w:ascii="Times New Roman" w:eastAsia="Times New Roman" w:hAnsi="Times New Roman" w:cs="Times New Roman"/>
          <w:sz w:val="24"/>
          <w:szCs w:val="24"/>
        </w:rPr>
        <w:t xml:space="preserve">En la misma línea de pensamiento forjada por la </w:t>
      </w:r>
      <w:proofErr w:type="spellStart"/>
      <w:proofErr w:type="gram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la</w:t>
      </w:r>
      <w:proofErr w:type="gramEnd"/>
      <w:r w:rsidR="00F86333" w:rsidRPr="00CD2013">
        <w:rPr>
          <w:rFonts w:ascii="Times New Roman" w:eastAsia="Times New Roman" w:hAnsi="Times New Roman" w:cs="Times New Roman"/>
          <w:sz w:val="24"/>
          <w:szCs w:val="24"/>
        </w:rPr>
        <w:t xml:space="preserve"> Doctora </w:t>
      </w:r>
      <w:proofErr w:type="spellStart"/>
      <w:r w:rsidR="00F86333" w:rsidRPr="00CD2013">
        <w:rPr>
          <w:rFonts w:ascii="Times New Roman" w:eastAsia="Times New Roman" w:hAnsi="Times New Roman" w:cs="Times New Roman"/>
          <w:sz w:val="24"/>
          <w:szCs w:val="24"/>
        </w:rPr>
        <w:t>Dorothy</w:t>
      </w:r>
      <w:proofErr w:type="spellEnd"/>
      <w:r w:rsidR="00F86333" w:rsidRPr="00CD2013">
        <w:rPr>
          <w:rFonts w:ascii="Times New Roman" w:eastAsia="Times New Roman" w:hAnsi="Times New Roman" w:cs="Times New Roman"/>
          <w:sz w:val="24"/>
          <w:szCs w:val="24"/>
        </w:rPr>
        <w:t xml:space="preserve"> Estrada </w:t>
      </w:r>
      <w:proofErr w:type="spellStart"/>
      <w:r w:rsidR="00F86333" w:rsidRPr="00CD2013">
        <w:rPr>
          <w:rFonts w:ascii="Times New Roman" w:eastAsia="Times New Roman" w:hAnsi="Times New Roman" w:cs="Times New Roman"/>
          <w:sz w:val="24"/>
          <w:szCs w:val="24"/>
        </w:rPr>
        <w:t>Tanck</w:t>
      </w:r>
      <w:proofErr w:type="spellEnd"/>
      <w:r w:rsidR="00F86333" w:rsidRPr="00CD2013">
        <w:rPr>
          <w:rFonts w:ascii="Times New Roman" w:eastAsia="Times New Roman" w:hAnsi="Times New Roman" w:cs="Times New Roman"/>
          <w:sz w:val="24"/>
          <w:szCs w:val="24"/>
        </w:rPr>
        <w:t xml:space="preserve"> sentenció que</w:t>
      </w:r>
      <w:r w:rsidR="00F86333" w:rsidRPr="00CD2013">
        <w:rPr>
          <w:rFonts w:ascii="Times New Roman" w:eastAsia="Times New Roman" w:hAnsi="Times New Roman" w:cs="Times New Roman"/>
          <w:i/>
          <w:sz w:val="24"/>
          <w:szCs w:val="24"/>
        </w:rPr>
        <w:t xml:space="preserve"> “Los principios de igualdad y no discriminación son las piedras angulares del derecho internacional y al mismo tiempo son los derechos humanos más ampliamente reconocidos”</w:t>
      </w:r>
      <w:r w:rsidR="00F86333" w:rsidRPr="00CD2013">
        <w:rPr>
          <w:rFonts w:ascii="Times New Roman" w:eastAsia="Times New Roman" w:hAnsi="Times New Roman" w:cs="Times New Roman"/>
          <w:i/>
          <w:sz w:val="24"/>
          <w:szCs w:val="24"/>
          <w:vertAlign w:val="superscript"/>
        </w:rPr>
        <w:footnoteReference w:id="33"/>
      </w:r>
    </w:p>
    <w:p w14:paraId="00000111" w14:textId="063A57EB"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i/>
          <w:sz w:val="24"/>
          <w:szCs w:val="24"/>
        </w:rPr>
        <w:tab/>
      </w:r>
      <w:r w:rsidR="00105322">
        <w:rPr>
          <w:rFonts w:ascii="Times New Roman" w:eastAsia="Times New Roman" w:hAnsi="Times New Roman" w:cs="Times New Roman"/>
          <w:b/>
          <w:sz w:val="24"/>
          <w:szCs w:val="24"/>
        </w:rPr>
        <w:t xml:space="preserve">72.- </w:t>
      </w:r>
      <w:r w:rsidRPr="00CD2013">
        <w:rPr>
          <w:rFonts w:ascii="Times New Roman" w:eastAsia="Times New Roman" w:hAnsi="Times New Roman" w:cs="Times New Roman"/>
          <w:sz w:val="24"/>
          <w:szCs w:val="24"/>
        </w:rPr>
        <w:t xml:space="preserve">Habida cuenta de la importancia que reviste al derecho de igualdad ante la ley, cabe determinar de qué manera fue vulnerado por el Estado de Tributaria en relación a la convención Belém Do Pará, específicamente en su artículo 7 frente a Maritza y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En primera medida la representación considera que las dos representadas fueron objeto de discriminación en razón de su sexo y su nacionalidad, bajo la figura de estereotipos empleados por la Fiscal que adelantó la investigación contra estas dos mujeres.</w:t>
      </w:r>
    </w:p>
    <w:p w14:paraId="00000112" w14:textId="75947BEF" w:rsidR="00BE1A9D" w:rsidRPr="00CD2013" w:rsidRDefault="00105322"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73.- </w:t>
      </w:r>
      <w:r w:rsidR="00F86333" w:rsidRPr="00CD2013">
        <w:rPr>
          <w:rFonts w:ascii="Times New Roman" w:eastAsia="Times New Roman" w:hAnsi="Times New Roman" w:cs="Times New Roman"/>
          <w:sz w:val="24"/>
          <w:szCs w:val="24"/>
        </w:rPr>
        <w:t xml:space="preserve">Así como lo relatan los hechos, la fiscal mencionada se refirió </w:t>
      </w:r>
      <w:proofErr w:type="gramStart"/>
      <w:r w:rsidR="00F86333" w:rsidRPr="00CD2013">
        <w:rPr>
          <w:rFonts w:ascii="Times New Roman" w:eastAsia="Times New Roman" w:hAnsi="Times New Roman" w:cs="Times New Roman"/>
          <w:sz w:val="24"/>
          <w:szCs w:val="24"/>
        </w:rPr>
        <w:t>sobre  Maritza</w:t>
      </w:r>
      <w:proofErr w:type="gramEnd"/>
      <w:r w:rsidR="00F86333" w:rsidRPr="00CD2013">
        <w:rPr>
          <w:rFonts w:ascii="Times New Roman" w:eastAsia="Times New Roman" w:hAnsi="Times New Roman" w:cs="Times New Roman"/>
          <w:sz w:val="24"/>
          <w:szCs w:val="24"/>
        </w:rPr>
        <w:t xml:space="preserve"> como una “Prostituta de lujo”</w:t>
      </w:r>
      <w:r w:rsidR="00F86333" w:rsidRPr="00CD2013">
        <w:rPr>
          <w:rFonts w:ascii="Times New Roman" w:eastAsia="Times New Roman" w:hAnsi="Times New Roman" w:cs="Times New Roman"/>
          <w:sz w:val="24"/>
          <w:szCs w:val="24"/>
          <w:vertAlign w:val="superscript"/>
        </w:rPr>
        <w:footnoteReference w:id="34"/>
      </w:r>
      <w:r w:rsidR="00F86333" w:rsidRPr="00CD2013">
        <w:rPr>
          <w:rFonts w:ascii="Times New Roman" w:eastAsia="Times New Roman" w:hAnsi="Times New Roman" w:cs="Times New Roman"/>
          <w:sz w:val="24"/>
          <w:szCs w:val="24"/>
        </w:rPr>
        <w:t xml:space="preserve">, es decir que cayó en estereotipos para adelantar sus respectivas diligencias, que la llevaron a desconocer su situación de víctima de tratos inhumanos, tortura y violencia sexual por parte del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y su red de trata de blancas, y que a su vez llevaron a que esta funcionaria no adelantara las respectivas investigaciones. </w:t>
      </w:r>
    </w:p>
    <w:p w14:paraId="00000113" w14:textId="6034D76D"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105322">
        <w:rPr>
          <w:rFonts w:ascii="Times New Roman" w:eastAsia="Times New Roman" w:hAnsi="Times New Roman" w:cs="Times New Roman"/>
          <w:b/>
          <w:sz w:val="24"/>
          <w:szCs w:val="24"/>
        </w:rPr>
        <w:t xml:space="preserve">74.- </w:t>
      </w:r>
      <w:r w:rsidRPr="00CD2013">
        <w:rPr>
          <w:rFonts w:ascii="Times New Roman" w:eastAsia="Times New Roman" w:hAnsi="Times New Roman" w:cs="Times New Roman"/>
          <w:sz w:val="24"/>
          <w:szCs w:val="24"/>
        </w:rPr>
        <w:t xml:space="preserve">Para continuar con el párrafo anterior, la fiscal al estereotipar de entrada a estas mujeres como prostitutas, implico que desconociera que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y Maritza eran víctimas del Delito de trata de Blancas al tenor del artículo 149 del CP de Tributaria, quienes fueron recibidas por Parménides y el </w:t>
      </w:r>
      <w:proofErr w:type="spellStart"/>
      <w:r w:rsidRPr="00CD2013">
        <w:rPr>
          <w:rFonts w:ascii="Times New Roman" w:eastAsia="Times New Roman" w:hAnsi="Times New Roman" w:cs="Times New Roman"/>
          <w:sz w:val="24"/>
          <w:szCs w:val="24"/>
        </w:rPr>
        <w:t>Führer</w:t>
      </w:r>
      <w:proofErr w:type="spellEnd"/>
      <w:r w:rsidRPr="00CD2013">
        <w:rPr>
          <w:rFonts w:ascii="Times New Roman" w:eastAsia="Times New Roman" w:hAnsi="Times New Roman" w:cs="Times New Roman"/>
          <w:sz w:val="24"/>
          <w:szCs w:val="24"/>
        </w:rPr>
        <w:t xml:space="preserve"> con fines de beneficio propio, que se traduce en la </w:t>
      </w:r>
      <w:r w:rsidRPr="00CD2013">
        <w:rPr>
          <w:rFonts w:ascii="Times New Roman" w:eastAsia="Times New Roman" w:hAnsi="Times New Roman" w:cs="Times New Roman"/>
          <w:sz w:val="24"/>
          <w:szCs w:val="24"/>
        </w:rPr>
        <w:lastRenderedPageBreak/>
        <w:t>intención de recibir un beneficio económico a través de la explotación sexual de estas mujeres</w:t>
      </w:r>
      <w:r w:rsidRPr="00CD2013">
        <w:rPr>
          <w:rFonts w:ascii="Times New Roman" w:eastAsia="Times New Roman" w:hAnsi="Times New Roman" w:cs="Times New Roman"/>
          <w:sz w:val="24"/>
          <w:szCs w:val="24"/>
          <w:vertAlign w:val="superscript"/>
        </w:rPr>
        <w:footnoteReference w:id="35"/>
      </w:r>
      <w:r w:rsidRPr="00CD2013">
        <w:rPr>
          <w:rFonts w:ascii="Times New Roman" w:eastAsia="Times New Roman" w:hAnsi="Times New Roman" w:cs="Times New Roman"/>
          <w:sz w:val="24"/>
          <w:szCs w:val="24"/>
        </w:rPr>
        <w:t>.</w:t>
      </w:r>
    </w:p>
    <w:p w14:paraId="00000114" w14:textId="4133E1FA"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105322">
        <w:rPr>
          <w:rFonts w:ascii="Times New Roman" w:eastAsia="Times New Roman" w:hAnsi="Times New Roman" w:cs="Times New Roman"/>
          <w:b/>
          <w:sz w:val="24"/>
          <w:szCs w:val="24"/>
        </w:rPr>
        <w:t xml:space="preserve">75.- </w:t>
      </w:r>
      <w:r w:rsidRPr="00CD2013">
        <w:rPr>
          <w:rFonts w:ascii="Times New Roman" w:eastAsia="Times New Roman" w:hAnsi="Times New Roman" w:cs="Times New Roman"/>
          <w:sz w:val="24"/>
          <w:szCs w:val="24"/>
        </w:rPr>
        <w:t xml:space="preserve">Cabe resaltar que del contexto de Tributaria se considera que los mencionados estereotipos no corresponden a una visión única y propia de la fiscal, sino que obedecen a un imaginario colectivo de la población </w:t>
      </w:r>
      <w:proofErr w:type="spellStart"/>
      <w:r w:rsidRPr="00CD2013">
        <w:rPr>
          <w:rFonts w:ascii="Times New Roman" w:eastAsia="Times New Roman" w:hAnsi="Times New Roman" w:cs="Times New Roman"/>
          <w:sz w:val="24"/>
          <w:szCs w:val="24"/>
        </w:rPr>
        <w:t>Tributarense</w:t>
      </w:r>
      <w:proofErr w:type="spellEnd"/>
      <w:r w:rsidRPr="00CD2013">
        <w:rPr>
          <w:rFonts w:ascii="Times New Roman" w:eastAsia="Times New Roman" w:hAnsi="Times New Roman" w:cs="Times New Roman"/>
          <w:sz w:val="24"/>
          <w:szCs w:val="24"/>
        </w:rPr>
        <w:t xml:space="preserve"> de xenofobia y </w:t>
      </w:r>
      <w:proofErr w:type="spellStart"/>
      <w:r w:rsidRPr="00CD2013">
        <w:rPr>
          <w:rFonts w:ascii="Times New Roman" w:eastAsia="Times New Roman" w:hAnsi="Times New Roman" w:cs="Times New Roman"/>
          <w:sz w:val="24"/>
          <w:szCs w:val="24"/>
        </w:rPr>
        <w:t>hipersexualizacion</w:t>
      </w:r>
      <w:proofErr w:type="spellEnd"/>
      <w:r w:rsidRPr="00CD2013">
        <w:rPr>
          <w:rFonts w:ascii="Times New Roman" w:eastAsia="Times New Roman" w:hAnsi="Times New Roman" w:cs="Times New Roman"/>
          <w:sz w:val="24"/>
          <w:szCs w:val="24"/>
        </w:rPr>
        <w:t xml:space="preserve"> de la mujer </w:t>
      </w:r>
      <w:proofErr w:type="spellStart"/>
      <w:r w:rsidRPr="00CD2013">
        <w:rPr>
          <w:rFonts w:ascii="Times New Roman" w:eastAsia="Times New Roman" w:hAnsi="Times New Roman" w:cs="Times New Roman"/>
          <w:sz w:val="24"/>
          <w:szCs w:val="24"/>
        </w:rPr>
        <w:t>Fangoriana</w:t>
      </w:r>
      <w:proofErr w:type="spellEnd"/>
      <w:r w:rsidRPr="00CD2013">
        <w:rPr>
          <w:rFonts w:ascii="Times New Roman" w:eastAsia="Times New Roman" w:hAnsi="Times New Roman" w:cs="Times New Roman"/>
          <w:sz w:val="24"/>
          <w:szCs w:val="24"/>
        </w:rPr>
        <w:t xml:space="preserve"> en el marco de la masiva migración</w:t>
      </w:r>
      <w:r w:rsidRPr="00CD2013">
        <w:rPr>
          <w:rFonts w:ascii="Times New Roman" w:eastAsia="Times New Roman" w:hAnsi="Times New Roman" w:cs="Times New Roman"/>
          <w:sz w:val="24"/>
          <w:szCs w:val="24"/>
          <w:vertAlign w:val="superscript"/>
        </w:rPr>
        <w:footnoteReference w:id="36"/>
      </w:r>
      <w:r w:rsidRPr="00CD2013">
        <w:rPr>
          <w:rFonts w:ascii="Times New Roman" w:eastAsia="Times New Roman" w:hAnsi="Times New Roman" w:cs="Times New Roman"/>
          <w:sz w:val="24"/>
          <w:szCs w:val="24"/>
        </w:rPr>
        <w:t>.</w:t>
      </w:r>
    </w:p>
    <w:p w14:paraId="00000115" w14:textId="52931927" w:rsidR="00BE1A9D" w:rsidRPr="00CD2013" w:rsidRDefault="00105322"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76.- </w:t>
      </w:r>
      <w:r w:rsidR="00F86333" w:rsidRPr="00CD2013">
        <w:rPr>
          <w:rFonts w:ascii="Times New Roman" w:eastAsia="Times New Roman" w:hAnsi="Times New Roman" w:cs="Times New Roman"/>
          <w:sz w:val="24"/>
          <w:szCs w:val="24"/>
        </w:rPr>
        <w:t xml:space="preserve">En relación con lo anterior,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señalado sobre los estereotipos bajo los </w:t>
      </w:r>
      <w:proofErr w:type="gramStart"/>
      <w:r w:rsidR="00F86333" w:rsidRPr="00CD2013">
        <w:rPr>
          <w:rFonts w:ascii="Times New Roman" w:eastAsia="Times New Roman" w:hAnsi="Times New Roman" w:cs="Times New Roman"/>
          <w:sz w:val="24"/>
          <w:szCs w:val="24"/>
        </w:rPr>
        <w:t>cuales</w:t>
      </w:r>
      <w:proofErr w:type="gramEnd"/>
      <w:r w:rsidR="00F86333" w:rsidRPr="00CD2013">
        <w:rPr>
          <w:rFonts w:ascii="Times New Roman" w:eastAsia="Times New Roman" w:hAnsi="Times New Roman" w:cs="Times New Roman"/>
          <w:sz w:val="24"/>
          <w:szCs w:val="24"/>
        </w:rPr>
        <w:t xml:space="preserve"> en casos de violencia contra la mujer, las víctimas son asimiladas o identificadas como prostitutas, las autoridades consideran que investigar tales hechos carece de importancia, ya que este estereotipo y/o condición las hace merecedoras de los ataques y vulneraciones a sus derechos</w:t>
      </w:r>
      <w:r w:rsidR="00F86333" w:rsidRPr="00CD2013">
        <w:rPr>
          <w:rFonts w:ascii="Times New Roman" w:eastAsia="Times New Roman" w:hAnsi="Times New Roman" w:cs="Times New Roman"/>
          <w:sz w:val="24"/>
          <w:szCs w:val="24"/>
          <w:vertAlign w:val="superscript"/>
        </w:rPr>
        <w:footnoteReference w:id="37"/>
      </w:r>
      <w:r w:rsidR="00F86333" w:rsidRPr="00CD2013">
        <w:rPr>
          <w:rFonts w:ascii="Times New Roman" w:eastAsia="Times New Roman" w:hAnsi="Times New Roman" w:cs="Times New Roman"/>
          <w:sz w:val="24"/>
          <w:szCs w:val="24"/>
        </w:rPr>
        <w:t>.</w:t>
      </w:r>
    </w:p>
    <w:p w14:paraId="00000116" w14:textId="4CAD6F9B"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77.- </w:t>
      </w:r>
      <w:r w:rsidR="00F86333" w:rsidRPr="00CD2013">
        <w:rPr>
          <w:rFonts w:ascii="Times New Roman" w:eastAsia="Times New Roman" w:hAnsi="Times New Roman" w:cs="Times New Roman"/>
          <w:sz w:val="24"/>
          <w:szCs w:val="24"/>
        </w:rPr>
        <w:t xml:space="preserve">Llegado este punto, cabe traer a colación dos instrumentos internacionales, de vital importancia para el presente asunto y que han sido suscritos por la República de Tributaria, a saber; la Convención Belem </w:t>
      </w:r>
      <w:proofErr w:type="spellStart"/>
      <w:r w:rsidR="00F86333" w:rsidRPr="00CD2013">
        <w:rPr>
          <w:rFonts w:ascii="Times New Roman" w:eastAsia="Times New Roman" w:hAnsi="Times New Roman" w:cs="Times New Roman"/>
          <w:sz w:val="24"/>
          <w:szCs w:val="24"/>
        </w:rPr>
        <w:t>Dó</w:t>
      </w:r>
      <w:proofErr w:type="spellEnd"/>
      <w:r w:rsidR="00F86333" w:rsidRPr="00CD2013">
        <w:rPr>
          <w:rFonts w:ascii="Times New Roman" w:eastAsia="Times New Roman" w:hAnsi="Times New Roman" w:cs="Times New Roman"/>
          <w:sz w:val="24"/>
          <w:szCs w:val="24"/>
        </w:rPr>
        <w:t xml:space="preserve"> Pará</w:t>
      </w:r>
      <w:r w:rsidR="00F86333" w:rsidRPr="00CD2013">
        <w:rPr>
          <w:rFonts w:ascii="Times New Roman" w:eastAsia="Times New Roman" w:hAnsi="Times New Roman" w:cs="Times New Roman"/>
          <w:sz w:val="24"/>
          <w:szCs w:val="24"/>
          <w:vertAlign w:val="superscript"/>
        </w:rPr>
        <w:footnoteReference w:id="38"/>
      </w:r>
      <w:r w:rsidR="00F86333" w:rsidRPr="00CD2013">
        <w:rPr>
          <w:rFonts w:ascii="Times New Roman" w:eastAsia="Times New Roman" w:hAnsi="Times New Roman" w:cs="Times New Roman"/>
          <w:sz w:val="24"/>
          <w:szCs w:val="24"/>
        </w:rPr>
        <w:t xml:space="preserve"> encaminada </w:t>
      </w:r>
      <w:proofErr w:type="gramStart"/>
      <w:r w:rsidR="00F86333" w:rsidRPr="00CD2013">
        <w:rPr>
          <w:rFonts w:ascii="Times New Roman" w:eastAsia="Times New Roman" w:hAnsi="Times New Roman" w:cs="Times New Roman"/>
          <w:sz w:val="24"/>
          <w:szCs w:val="24"/>
        </w:rPr>
        <w:t>a  prevenir</w:t>
      </w:r>
      <w:proofErr w:type="gramEnd"/>
      <w:r w:rsidR="00F86333" w:rsidRPr="00CD2013">
        <w:rPr>
          <w:rFonts w:ascii="Times New Roman" w:eastAsia="Times New Roman" w:hAnsi="Times New Roman" w:cs="Times New Roman"/>
          <w:sz w:val="24"/>
          <w:szCs w:val="24"/>
        </w:rPr>
        <w:t>, sancionar y erradicar la violencia contra la mujer en el panorama interamericano, y el Protocolo de Palermo</w:t>
      </w:r>
      <w:r w:rsidR="00F86333" w:rsidRPr="00CD2013">
        <w:rPr>
          <w:rFonts w:ascii="Times New Roman" w:eastAsia="Times New Roman" w:hAnsi="Times New Roman" w:cs="Times New Roman"/>
          <w:sz w:val="24"/>
          <w:szCs w:val="24"/>
          <w:vertAlign w:val="superscript"/>
        </w:rPr>
        <w:footnoteReference w:id="39"/>
      </w:r>
      <w:r w:rsidR="00F86333" w:rsidRPr="00CD2013">
        <w:rPr>
          <w:rFonts w:ascii="Times New Roman" w:eastAsia="Times New Roman" w:hAnsi="Times New Roman" w:cs="Times New Roman"/>
          <w:sz w:val="24"/>
          <w:szCs w:val="24"/>
        </w:rPr>
        <w:t>, que busca prevenir, reprimir y sancionar la Trata de Personas, especialmente Mujeres y Niños.</w:t>
      </w:r>
    </w:p>
    <w:p w14:paraId="00000117" w14:textId="631F64A5"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78.- </w:t>
      </w:r>
      <w:r w:rsidR="00F86333" w:rsidRPr="00CD2013">
        <w:rPr>
          <w:rFonts w:ascii="Times New Roman" w:eastAsia="Times New Roman" w:hAnsi="Times New Roman" w:cs="Times New Roman"/>
          <w:sz w:val="24"/>
          <w:szCs w:val="24"/>
        </w:rPr>
        <w:t>En Primer lugar, la Convención Belem do Pará obliga a los Estados que la han suscrito a adelantar todas las medidas necesarias para prevenir, sancionar y erradicar cualquier expresión de violencia contra la mujer</w:t>
      </w:r>
      <w:r w:rsidR="00F86333" w:rsidRPr="00CD2013">
        <w:rPr>
          <w:rFonts w:ascii="Times New Roman" w:eastAsia="Times New Roman" w:hAnsi="Times New Roman" w:cs="Times New Roman"/>
          <w:sz w:val="24"/>
          <w:szCs w:val="24"/>
          <w:vertAlign w:val="superscript"/>
        </w:rPr>
        <w:footnoteReference w:id="40"/>
      </w:r>
      <w:r w:rsidR="00F86333" w:rsidRPr="00CD2013">
        <w:rPr>
          <w:rFonts w:ascii="Times New Roman" w:eastAsia="Times New Roman" w:hAnsi="Times New Roman" w:cs="Times New Roman"/>
          <w:sz w:val="24"/>
          <w:szCs w:val="24"/>
        </w:rPr>
        <w:t>, siendo una de estas el delito de trata de mujeres</w:t>
      </w:r>
      <w:r w:rsidR="00F86333" w:rsidRPr="00CD2013">
        <w:rPr>
          <w:rFonts w:ascii="Times New Roman" w:eastAsia="Times New Roman" w:hAnsi="Times New Roman" w:cs="Times New Roman"/>
          <w:sz w:val="24"/>
          <w:szCs w:val="24"/>
          <w:vertAlign w:val="superscript"/>
        </w:rPr>
        <w:footnoteReference w:id="41"/>
      </w:r>
      <w:r w:rsidR="00F86333" w:rsidRPr="00CD2013">
        <w:rPr>
          <w:rFonts w:ascii="Times New Roman" w:eastAsia="Times New Roman" w:hAnsi="Times New Roman" w:cs="Times New Roman"/>
          <w:sz w:val="24"/>
          <w:szCs w:val="24"/>
        </w:rPr>
        <w:t xml:space="preserve">, del cual, como ya se ha dicho fueron víctimas estas dos mujeres </w:t>
      </w:r>
      <w:proofErr w:type="spellStart"/>
      <w:r w:rsidR="00F86333" w:rsidRPr="00CD2013">
        <w:rPr>
          <w:rFonts w:ascii="Times New Roman" w:eastAsia="Times New Roman" w:hAnsi="Times New Roman" w:cs="Times New Roman"/>
          <w:sz w:val="24"/>
          <w:szCs w:val="24"/>
        </w:rPr>
        <w:t>Fangorianas</w:t>
      </w:r>
      <w:proofErr w:type="spellEnd"/>
      <w:r w:rsidR="00F86333" w:rsidRPr="00CD2013">
        <w:rPr>
          <w:rFonts w:ascii="Times New Roman" w:eastAsia="Times New Roman" w:hAnsi="Times New Roman" w:cs="Times New Roman"/>
          <w:sz w:val="24"/>
          <w:szCs w:val="24"/>
        </w:rPr>
        <w:t>.</w:t>
      </w:r>
    </w:p>
    <w:p w14:paraId="00000118" w14:textId="2CD9BEC1"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105322">
        <w:rPr>
          <w:rFonts w:ascii="Times New Roman" w:eastAsia="Times New Roman" w:hAnsi="Times New Roman" w:cs="Times New Roman"/>
          <w:b/>
          <w:sz w:val="24"/>
          <w:szCs w:val="24"/>
        </w:rPr>
        <w:t xml:space="preserve">79.- </w:t>
      </w:r>
      <w:r w:rsidRPr="00CD2013">
        <w:rPr>
          <w:rFonts w:ascii="Times New Roman" w:eastAsia="Times New Roman" w:hAnsi="Times New Roman" w:cs="Times New Roman"/>
          <w:sz w:val="24"/>
          <w:szCs w:val="24"/>
        </w:rPr>
        <w:t>En completa sintonía con la mencionada convención, el Protocolo de Palermo a su vez establece una serie de acciones que deben adelantar los Estados con el fin de prevenir el delito de trata de personas y de asistencia y protección a las víctimas de este delito</w:t>
      </w:r>
      <w:r w:rsidRPr="00CD2013">
        <w:rPr>
          <w:rFonts w:ascii="Times New Roman" w:eastAsia="Times New Roman" w:hAnsi="Times New Roman" w:cs="Times New Roman"/>
          <w:sz w:val="24"/>
          <w:szCs w:val="24"/>
          <w:vertAlign w:val="superscript"/>
        </w:rPr>
        <w:footnoteReference w:id="42"/>
      </w:r>
      <w:r w:rsidRPr="00CD2013">
        <w:rPr>
          <w:rFonts w:ascii="Times New Roman" w:eastAsia="Times New Roman" w:hAnsi="Times New Roman" w:cs="Times New Roman"/>
          <w:sz w:val="24"/>
          <w:szCs w:val="24"/>
        </w:rPr>
        <w:t xml:space="preserve">, como </w:t>
      </w:r>
      <w:proofErr w:type="spellStart"/>
      <w:r w:rsidRPr="00CD2013">
        <w:rPr>
          <w:rFonts w:ascii="Times New Roman" w:eastAsia="Times New Roman" w:hAnsi="Times New Roman" w:cs="Times New Roman"/>
          <w:sz w:val="24"/>
          <w:szCs w:val="24"/>
        </w:rPr>
        <w:t>Evarista</w:t>
      </w:r>
      <w:proofErr w:type="spellEnd"/>
      <w:r w:rsidRPr="00CD2013">
        <w:rPr>
          <w:rFonts w:ascii="Times New Roman" w:eastAsia="Times New Roman" w:hAnsi="Times New Roman" w:cs="Times New Roman"/>
          <w:sz w:val="24"/>
          <w:szCs w:val="24"/>
        </w:rPr>
        <w:t xml:space="preserve"> y Maritza. </w:t>
      </w:r>
    </w:p>
    <w:p w14:paraId="00000119" w14:textId="64DE3812"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80.- </w:t>
      </w:r>
      <w:r w:rsidR="00F86333" w:rsidRPr="00CD2013">
        <w:rPr>
          <w:rFonts w:ascii="Times New Roman" w:eastAsia="Times New Roman" w:hAnsi="Times New Roman" w:cs="Times New Roman"/>
          <w:sz w:val="24"/>
          <w:szCs w:val="24"/>
        </w:rPr>
        <w:t xml:space="preserve">Al tenor de los instrumentos internacionales mencionados, y lo señalado por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en su OC 24/17</w:t>
      </w:r>
      <w:r w:rsidR="00F86333" w:rsidRPr="00CD2013">
        <w:rPr>
          <w:rFonts w:ascii="Times New Roman" w:eastAsia="Times New Roman" w:hAnsi="Times New Roman" w:cs="Times New Roman"/>
          <w:sz w:val="24"/>
          <w:szCs w:val="24"/>
          <w:vertAlign w:val="superscript"/>
        </w:rPr>
        <w:footnoteReference w:id="43"/>
      </w:r>
      <w:r w:rsidR="00F86333" w:rsidRPr="00CD2013">
        <w:rPr>
          <w:rFonts w:ascii="Times New Roman" w:eastAsia="Times New Roman" w:hAnsi="Times New Roman" w:cs="Times New Roman"/>
          <w:sz w:val="24"/>
          <w:szCs w:val="24"/>
        </w:rPr>
        <w:t xml:space="preserve">, es evidente que los Estados, en este caso concreto, Tributaria, está obligado a adoptar medidas afirmativas encaminadas a la protección y erradicación de </w:t>
      </w:r>
      <w:r w:rsidR="00F86333" w:rsidRPr="00CD2013">
        <w:rPr>
          <w:rFonts w:ascii="Times New Roman" w:eastAsia="Times New Roman" w:hAnsi="Times New Roman" w:cs="Times New Roman"/>
          <w:sz w:val="24"/>
          <w:szCs w:val="24"/>
        </w:rPr>
        <w:lastRenderedPageBreak/>
        <w:t xml:space="preserve">situaciones de discriminación en contra de un grupo poblacional determinado, en este caso las mujeres </w:t>
      </w:r>
      <w:proofErr w:type="spellStart"/>
      <w:r w:rsidR="00F86333" w:rsidRPr="00CD2013">
        <w:rPr>
          <w:rFonts w:ascii="Times New Roman" w:eastAsia="Times New Roman" w:hAnsi="Times New Roman" w:cs="Times New Roman"/>
          <w:sz w:val="24"/>
          <w:szCs w:val="24"/>
        </w:rPr>
        <w:t>fangorianas</w:t>
      </w:r>
      <w:proofErr w:type="spellEnd"/>
      <w:r w:rsidR="00F86333" w:rsidRPr="00CD2013">
        <w:rPr>
          <w:rFonts w:ascii="Times New Roman" w:eastAsia="Times New Roman" w:hAnsi="Times New Roman" w:cs="Times New Roman"/>
          <w:sz w:val="24"/>
          <w:szCs w:val="24"/>
        </w:rPr>
        <w:t xml:space="preserve"> y dentro de estas aquellas que como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y Maritza fueron víctimas del delito de trata de personas. </w:t>
      </w:r>
    </w:p>
    <w:p w14:paraId="0000011A" w14:textId="4D7FB3AE"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81.- </w:t>
      </w:r>
      <w:r w:rsidR="00F86333" w:rsidRPr="00CD2013">
        <w:rPr>
          <w:rFonts w:ascii="Times New Roman" w:eastAsia="Times New Roman" w:hAnsi="Times New Roman" w:cs="Times New Roman"/>
          <w:sz w:val="24"/>
          <w:szCs w:val="24"/>
        </w:rPr>
        <w:t xml:space="preserve">De igual manera en casos contenciosos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establecido que es imperativo que los Estados adelanten medidas positivas, en beneficio de personas que lo necesita para que se garantice la protección de sus derechos, ya que por su condición personal o por la situación específica en que se encuentre de vulnerabilidad</w:t>
      </w:r>
      <w:r w:rsidR="00F86333" w:rsidRPr="00CD2013">
        <w:rPr>
          <w:rFonts w:ascii="Times New Roman" w:eastAsia="Times New Roman" w:hAnsi="Times New Roman" w:cs="Times New Roman"/>
          <w:sz w:val="24"/>
          <w:szCs w:val="24"/>
          <w:vertAlign w:val="superscript"/>
        </w:rPr>
        <w:footnoteReference w:id="44"/>
      </w:r>
      <w:r w:rsidR="00F86333" w:rsidRPr="00CD2013">
        <w:rPr>
          <w:rFonts w:ascii="Times New Roman" w:eastAsia="Times New Roman" w:hAnsi="Times New Roman" w:cs="Times New Roman"/>
          <w:sz w:val="24"/>
          <w:szCs w:val="24"/>
        </w:rPr>
        <w:t>.</w:t>
      </w:r>
    </w:p>
    <w:p w14:paraId="0000011B" w14:textId="66ED5207"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82.- </w:t>
      </w:r>
      <w:r w:rsidR="00F86333" w:rsidRPr="00CD2013">
        <w:rPr>
          <w:rFonts w:ascii="Times New Roman" w:eastAsia="Times New Roman" w:hAnsi="Times New Roman" w:cs="Times New Roman"/>
          <w:sz w:val="24"/>
          <w:szCs w:val="24"/>
        </w:rPr>
        <w:t xml:space="preserve">En suma, a partir de la Convención Belém Do Pará, en su artículo 7, el Protocolo de Palermo es evidente que en cabeza del Estado de Tributaria existe una obligación adelantar un trato diferenciado frente a Maritza y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toda vez que se encuentra en situación de vulnerabilidad al ser víctimas de trata de blancas y violencia contra la mujer</w:t>
      </w:r>
      <w:r w:rsidR="00F86333" w:rsidRPr="00CD2013">
        <w:rPr>
          <w:rFonts w:ascii="Times New Roman" w:eastAsia="Times New Roman" w:hAnsi="Times New Roman" w:cs="Times New Roman"/>
          <w:sz w:val="24"/>
          <w:szCs w:val="24"/>
        </w:rPr>
        <w:br/>
      </w:r>
      <w:r w:rsidR="00F86333" w:rsidRPr="00CD2013">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83.- </w:t>
      </w:r>
      <w:r w:rsidR="00F86333" w:rsidRPr="00CD2013">
        <w:rPr>
          <w:rFonts w:ascii="Times New Roman" w:eastAsia="Times New Roman" w:hAnsi="Times New Roman" w:cs="Times New Roman"/>
          <w:sz w:val="24"/>
          <w:szCs w:val="24"/>
        </w:rPr>
        <w:t xml:space="preserve">Respecto de Maritza debe añadirse que además de ser víctima de trata de </w:t>
      </w:r>
      <w:proofErr w:type="gramStart"/>
      <w:r w:rsidR="00F86333" w:rsidRPr="00CD2013">
        <w:rPr>
          <w:rFonts w:ascii="Times New Roman" w:eastAsia="Times New Roman" w:hAnsi="Times New Roman" w:cs="Times New Roman"/>
          <w:sz w:val="24"/>
          <w:szCs w:val="24"/>
        </w:rPr>
        <w:t>personas,  sufrió</w:t>
      </w:r>
      <w:proofErr w:type="gramEnd"/>
      <w:r w:rsidR="00F86333" w:rsidRPr="00CD2013">
        <w:rPr>
          <w:rFonts w:ascii="Times New Roman" w:eastAsia="Times New Roman" w:hAnsi="Times New Roman" w:cs="Times New Roman"/>
          <w:sz w:val="24"/>
          <w:szCs w:val="24"/>
        </w:rPr>
        <w:t xml:space="preserve"> torturas y violación sexual. En este sentido Tributaria no aseguró la igualdad ante la ley y la no discriminación de las dos víctimas y lo que impidió garantizar la protección de sus derechos, así por todo lo dicho, en la medida que no ejecutó las medidas afirmativas</w:t>
      </w:r>
      <w:r w:rsidR="00F86333" w:rsidRPr="00CD2013">
        <w:rPr>
          <w:rFonts w:ascii="Times New Roman" w:eastAsia="Times New Roman" w:hAnsi="Times New Roman" w:cs="Times New Roman"/>
          <w:sz w:val="24"/>
          <w:szCs w:val="24"/>
          <w:vertAlign w:val="superscript"/>
        </w:rPr>
        <w:footnoteReference w:id="45"/>
      </w:r>
      <w:r w:rsidR="00F86333" w:rsidRPr="00CD2013">
        <w:rPr>
          <w:rFonts w:ascii="Times New Roman" w:eastAsia="Times New Roman" w:hAnsi="Times New Roman" w:cs="Times New Roman"/>
          <w:sz w:val="24"/>
          <w:szCs w:val="24"/>
        </w:rPr>
        <w:t xml:space="preserve"> con el fin de garantizar la protección y ejercicio de los derechos de ambas mujeres, y de sancionar la violencia contra la mujer, vulnera de manera directa el art 24 y 2 de la CIDH en relación con el Art 1.1 de la misma convención y del Art 7 de la Convención Belem </w:t>
      </w:r>
      <w:proofErr w:type="spellStart"/>
      <w:r w:rsidR="00F86333" w:rsidRPr="00CD2013">
        <w:rPr>
          <w:rFonts w:ascii="Times New Roman" w:eastAsia="Times New Roman" w:hAnsi="Times New Roman" w:cs="Times New Roman"/>
          <w:sz w:val="24"/>
          <w:szCs w:val="24"/>
        </w:rPr>
        <w:t>Dó</w:t>
      </w:r>
      <w:proofErr w:type="spellEnd"/>
      <w:r w:rsidR="00F86333" w:rsidRPr="00CD2013">
        <w:rPr>
          <w:rFonts w:ascii="Times New Roman" w:eastAsia="Times New Roman" w:hAnsi="Times New Roman" w:cs="Times New Roman"/>
          <w:sz w:val="24"/>
          <w:szCs w:val="24"/>
        </w:rPr>
        <w:t xml:space="preserve"> Pará.</w:t>
      </w:r>
    </w:p>
    <w:p w14:paraId="0000011C" w14:textId="2B1190E2" w:rsidR="00BE1A9D" w:rsidRPr="00F86333" w:rsidRDefault="00F86333" w:rsidP="00F86333">
      <w:pPr>
        <w:pStyle w:val="Prrafodelista"/>
        <w:numPr>
          <w:ilvl w:val="0"/>
          <w:numId w:val="25"/>
        </w:numPr>
        <w:spacing w:line="360" w:lineRule="auto"/>
        <w:rPr>
          <w:rFonts w:ascii="Times New Roman" w:eastAsia="Times New Roman" w:hAnsi="Times New Roman" w:cs="Times New Roman"/>
          <w:b/>
          <w:i/>
          <w:sz w:val="24"/>
          <w:szCs w:val="24"/>
        </w:rPr>
      </w:pPr>
      <w:r w:rsidRPr="00F86333">
        <w:rPr>
          <w:rFonts w:ascii="Times New Roman" w:eastAsia="Times New Roman" w:hAnsi="Times New Roman" w:cs="Times New Roman"/>
          <w:b/>
          <w:i/>
          <w:sz w:val="24"/>
          <w:szCs w:val="24"/>
        </w:rPr>
        <w:t>De la responsabilidad del Estado de Tributaria por la vulneración al derecho de libertad personal, Art 7 de la CADH</w:t>
      </w:r>
    </w:p>
    <w:p w14:paraId="0000011D" w14:textId="406F9E8A" w:rsidR="00BE1A9D" w:rsidRPr="00CD2013" w:rsidRDefault="00105322"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84.- </w:t>
      </w:r>
      <w:r w:rsidR="00F86333" w:rsidRPr="00CD2013">
        <w:rPr>
          <w:rFonts w:ascii="Times New Roman" w:eastAsia="Times New Roman" w:hAnsi="Times New Roman" w:cs="Times New Roman"/>
          <w:sz w:val="24"/>
          <w:szCs w:val="24"/>
        </w:rPr>
        <w:t>Siguiendo con el desarrollo de los alegatos d</w:t>
      </w:r>
      <w:r>
        <w:rPr>
          <w:rFonts w:ascii="Times New Roman" w:eastAsia="Times New Roman" w:hAnsi="Times New Roman" w:cs="Times New Roman"/>
          <w:sz w:val="24"/>
          <w:szCs w:val="24"/>
        </w:rPr>
        <w:t xml:space="preserve">e los derechos vulnerados a las </w:t>
      </w:r>
      <w:r w:rsidR="00F86333" w:rsidRPr="00CD2013">
        <w:rPr>
          <w:rFonts w:ascii="Times New Roman" w:eastAsia="Times New Roman" w:hAnsi="Times New Roman" w:cs="Times New Roman"/>
          <w:sz w:val="24"/>
          <w:szCs w:val="24"/>
        </w:rPr>
        <w:t xml:space="preserve">víctimas, esta defensa debe recordar que estas fueron sometidas a la privación de su libertad de una manera arbitraria, vulnerando así el artículo 7.1 de la CADH, recalcando que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dicho que la violación de los numerales 2 a 7 del artículo 7 del instrumento anteriormente mencionado acarreará la violación del primer artículo mencionado en este párrafo.</w:t>
      </w:r>
      <w:r w:rsidR="00F86333" w:rsidRPr="00CD2013">
        <w:rPr>
          <w:rFonts w:ascii="Times New Roman" w:eastAsia="Times New Roman" w:hAnsi="Times New Roman" w:cs="Times New Roman"/>
          <w:sz w:val="24"/>
          <w:szCs w:val="24"/>
          <w:vertAlign w:val="superscript"/>
        </w:rPr>
        <w:footnoteReference w:id="46"/>
      </w:r>
    </w:p>
    <w:p w14:paraId="0000011E" w14:textId="4FEA2FB1"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105322">
        <w:rPr>
          <w:rFonts w:ascii="Times New Roman" w:eastAsia="Times New Roman" w:hAnsi="Times New Roman" w:cs="Times New Roman"/>
          <w:b/>
          <w:sz w:val="24"/>
          <w:szCs w:val="24"/>
        </w:rPr>
        <w:t xml:space="preserve">85.- </w:t>
      </w:r>
      <w:r w:rsidRPr="00CD2013">
        <w:rPr>
          <w:rFonts w:ascii="Times New Roman" w:eastAsia="Times New Roman" w:hAnsi="Times New Roman" w:cs="Times New Roman"/>
          <w:sz w:val="24"/>
          <w:szCs w:val="24"/>
        </w:rPr>
        <w:t xml:space="preserve">Se afirma que fue una detención arbitraria ya que según lo dicho en sentencias emitidas por la </w:t>
      </w:r>
      <w:proofErr w:type="spellStart"/>
      <w:r w:rsidRPr="00CD2013">
        <w:rPr>
          <w:rFonts w:ascii="Times New Roman" w:eastAsia="Times New Roman" w:hAnsi="Times New Roman" w:cs="Times New Roman"/>
          <w:sz w:val="24"/>
          <w:szCs w:val="24"/>
        </w:rPr>
        <w:t>CorteIDH</w:t>
      </w:r>
      <w:proofErr w:type="spellEnd"/>
      <w:r w:rsidRPr="00CD2013">
        <w:rPr>
          <w:rFonts w:ascii="Times New Roman" w:eastAsia="Times New Roman" w:hAnsi="Times New Roman" w:cs="Times New Roman"/>
          <w:sz w:val="24"/>
          <w:szCs w:val="24"/>
        </w:rPr>
        <w:t xml:space="preserve"> en relación con el artículo 7.3 de la CADH, nadie puede ser sometido a detención o encarcelamiento por causas y métodos que aun cuando pueden calificarse como legales, puedan reputarse como incompatibles con el respeto a los derechos </w:t>
      </w:r>
      <w:r w:rsidRPr="00CD2013">
        <w:rPr>
          <w:rFonts w:ascii="Times New Roman" w:eastAsia="Times New Roman" w:hAnsi="Times New Roman" w:cs="Times New Roman"/>
          <w:sz w:val="24"/>
          <w:szCs w:val="24"/>
        </w:rPr>
        <w:lastRenderedPageBreak/>
        <w:t>fundamentales por ser, entre otras cosas, irrazonables, imprevisibles o faltos de proporcionalidad</w:t>
      </w:r>
      <w:r w:rsidRPr="00CD2013">
        <w:rPr>
          <w:rFonts w:ascii="Times New Roman" w:eastAsia="Times New Roman" w:hAnsi="Times New Roman" w:cs="Times New Roman"/>
          <w:sz w:val="24"/>
          <w:szCs w:val="24"/>
          <w:vertAlign w:val="superscript"/>
        </w:rPr>
        <w:footnoteReference w:id="47"/>
      </w:r>
      <w:r w:rsidRPr="00CD2013">
        <w:rPr>
          <w:rFonts w:ascii="Times New Roman" w:eastAsia="Times New Roman" w:hAnsi="Times New Roman" w:cs="Times New Roman"/>
          <w:sz w:val="24"/>
          <w:szCs w:val="24"/>
        </w:rPr>
        <w:t>.</w:t>
      </w:r>
    </w:p>
    <w:p w14:paraId="0000011F" w14:textId="0596993A"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86.- </w:t>
      </w:r>
      <w:r w:rsidR="00F86333" w:rsidRPr="00CD2013">
        <w:rPr>
          <w:rFonts w:ascii="Times New Roman" w:eastAsia="Times New Roman" w:hAnsi="Times New Roman" w:cs="Times New Roman"/>
          <w:sz w:val="24"/>
          <w:szCs w:val="24"/>
        </w:rPr>
        <w:t>En el caso bajo estudio, una vez se encontró a las víctimas durante la operación cupido, después de realizado el interrogatorio “con carácter informativo”, la Fiscal del Estado  de Tributaria procedió  a solicitar la medida de prisión preventiva pasando por alto lo dicho por la Corte IDH respecto de que dentro de un proceso penal, la privación de la libertad del imputado no puede residir en fines preventivo-generales o preventivo-especiales atribuidos a la pena, sino que sólo puede fundamentarse en un fin legítimo tal como asegurar que el acusado no impedirá el desarrollo del procedimiento, ni eludirá la acción de la justicia</w:t>
      </w:r>
      <w:r w:rsidR="00F86333" w:rsidRPr="00CD2013">
        <w:rPr>
          <w:rFonts w:ascii="Times New Roman" w:eastAsia="Times New Roman" w:hAnsi="Times New Roman" w:cs="Times New Roman"/>
          <w:sz w:val="24"/>
          <w:szCs w:val="24"/>
          <w:vertAlign w:val="superscript"/>
        </w:rPr>
        <w:footnoteReference w:id="48"/>
      </w:r>
    </w:p>
    <w:p w14:paraId="00000120" w14:textId="59429266"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87.- </w:t>
      </w:r>
      <w:r w:rsidR="00F86333" w:rsidRPr="00CD2013">
        <w:rPr>
          <w:rFonts w:ascii="Times New Roman" w:eastAsia="Times New Roman" w:hAnsi="Times New Roman" w:cs="Times New Roman"/>
          <w:sz w:val="24"/>
          <w:szCs w:val="24"/>
        </w:rPr>
        <w:t xml:space="preserve">Siguiendo la idea del párrafo anterior, hay que recordar que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dicho que el peligro procesal no se presume, sino que debe realizarse la verificación del mismo en cada caso, fundado en circunstancias objetivas y ciertas del caso concreto, verificación que no fue realizada por la Fiscal encargada del caso, pues su único argumento para pedir la prisión preventiva de nuestras defendidas fue que había peligro de fuga, sin que en ningún momento se haya comprobado como lo dice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en el caso </w:t>
      </w:r>
      <w:proofErr w:type="spellStart"/>
      <w:r w:rsidR="00F86333" w:rsidRPr="00CD2013">
        <w:rPr>
          <w:rFonts w:ascii="Times New Roman" w:eastAsia="Times New Roman" w:hAnsi="Times New Roman" w:cs="Times New Roman"/>
          <w:sz w:val="24"/>
          <w:szCs w:val="24"/>
        </w:rPr>
        <w:t>Amrheim</w:t>
      </w:r>
      <w:proofErr w:type="spellEnd"/>
      <w:r w:rsidR="00F86333" w:rsidRPr="00CD2013">
        <w:rPr>
          <w:rFonts w:ascii="Times New Roman" w:eastAsia="Times New Roman" w:hAnsi="Times New Roman" w:cs="Times New Roman"/>
          <w:sz w:val="24"/>
          <w:szCs w:val="24"/>
        </w:rPr>
        <w:t xml:space="preserve"> Vs. Costa Rica</w:t>
      </w:r>
    </w:p>
    <w:p w14:paraId="00000121" w14:textId="4CEF02EE"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88.- </w:t>
      </w:r>
      <w:r w:rsidR="00F86333" w:rsidRPr="00CD2013">
        <w:rPr>
          <w:rFonts w:ascii="Times New Roman" w:eastAsia="Times New Roman" w:hAnsi="Times New Roman" w:cs="Times New Roman"/>
          <w:sz w:val="24"/>
          <w:szCs w:val="24"/>
        </w:rPr>
        <w:t xml:space="preserve">Así pues,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precisado </w:t>
      </w:r>
      <w:proofErr w:type="gramStart"/>
      <w:r w:rsidR="00F86333" w:rsidRPr="00CD2013">
        <w:rPr>
          <w:rFonts w:ascii="Times New Roman" w:eastAsia="Times New Roman" w:hAnsi="Times New Roman" w:cs="Times New Roman"/>
          <w:sz w:val="24"/>
          <w:szCs w:val="24"/>
        </w:rPr>
        <w:t>que</w:t>
      </w:r>
      <w:proofErr w:type="gramEnd"/>
      <w:r w:rsidR="00F86333" w:rsidRPr="00CD2013">
        <w:rPr>
          <w:rFonts w:ascii="Times New Roman" w:eastAsia="Times New Roman" w:hAnsi="Times New Roman" w:cs="Times New Roman"/>
          <w:sz w:val="24"/>
          <w:szCs w:val="24"/>
        </w:rPr>
        <w:t xml:space="preserve"> para determinar la arbitrariedad, se deberá atender al análisis de los estándares de proporcionalidad y temporalidad</w:t>
      </w:r>
      <w:r w:rsidR="00F86333" w:rsidRPr="00CD2013">
        <w:rPr>
          <w:rFonts w:ascii="Times New Roman" w:eastAsia="Times New Roman" w:hAnsi="Times New Roman" w:cs="Times New Roman"/>
          <w:sz w:val="24"/>
          <w:szCs w:val="24"/>
          <w:vertAlign w:val="superscript"/>
        </w:rPr>
        <w:footnoteReference w:id="49"/>
      </w:r>
      <w:r w:rsidR="00F86333" w:rsidRPr="00CD2013">
        <w:rPr>
          <w:rFonts w:ascii="Times New Roman" w:eastAsia="Times New Roman" w:hAnsi="Times New Roman" w:cs="Times New Roman"/>
          <w:sz w:val="24"/>
          <w:szCs w:val="24"/>
        </w:rPr>
        <w:t>. En ese orden, el principio de proporcionalidad será infringido cuando el Estado adopte medidas alternativas y menos restrictivas orientadas a considerar que la detención será la</w:t>
      </w:r>
      <w:r w:rsidR="00F86333" w:rsidRPr="00CD2013">
        <w:rPr>
          <w:rFonts w:ascii="Times New Roman" w:eastAsia="Times New Roman" w:hAnsi="Times New Roman" w:cs="Times New Roman"/>
          <w:i/>
          <w:sz w:val="24"/>
          <w:szCs w:val="24"/>
        </w:rPr>
        <w:t xml:space="preserve"> última ratio</w:t>
      </w:r>
      <w:r w:rsidR="00F86333" w:rsidRPr="00CD2013">
        <w:rPr>
          <w:rFonts w:ascii="Times New Roman" w:eastAsia="Times New Roman" w:hAnsi="Times New Roman" w:cs="Times New Roman"/>
          <w:sz w:val="24"/>
          <w:szCs w:val="24"/>
        </w:rPr>
        <w:t xml:space="preserve"> para privar a una persona de su libertad. Por otro lado, el principio de temporalidad impone al Estado la obligación de prever en la ley un plazo máximo de detención, el cual en ningún momento podrá ser indefinido, ni tener una duración excesiva.</w:t>
      </w:r>
      <w:r w:rsidR="00F86333" w:rsidRPr="00CD2013">
        <w:rPr>
          <w:rFonts w:ascii="Times New Roman" w:eastAsia="Times New Roman" w:hAnsi="Times New Roman" w:cs="Times New Roman"/>
          <w:sz w:val="24"/>
          <w:szCs w:val="24"/>
          <w:vertAlign w:val="superscript"/>
        </w:rPr>
        <w:footnoteReference w:id="50"/>
      </w:r>
    </w:p>
    <w:p w14:paraId="00000122" w14:textId="0836AFE0"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89.- </w:t>
      </w:r>
      <w:r w:rsidR="00F86333" w:rsidRPr="00CD2013">
        <w:rPr>
          <w:rFonts w:ascii="Times New Roman" w:eastAsia="Times New Roman" w:hAnsi="Times New Roman" w:cs="Times New Roman"/>
          <w:sz w:val="24"/>
          <w:szCs w:val="24"/>
        </w:rPr>
        <w:t xml:space="preserve">Expuestas las razones de facto y jure, el Estado es responsable internacionalmente por violar los derechos consagrados en el art. 7 de la CADH en relación con los arts. 1.1 y 2 del mismo instrumento en perjuicio de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Colón y de la Sra. Maritza Guerra, toda vez que la medida de prisión preventiva fue arbitraria.</w:t>
      </w:r>
    </w:p>
    <w:p w14:paraId="00000123" w14:textId="1346644C" w:rsidR="00BE1A9D" w:rsidRPr="00F86333" w:rsidRDefault="00F86333" w:rsidP="00F86333">
      <w:pPr>
        <w:pStyle w:val="Prrafodelista"/>
        <w:numPr>
          <w:ilvl w:val="0"/>
          <w:numId w:val="24"/>
        </w:numPr>
        <w:spacing w:line="360" w:lineRule="auto"/>
        <w:rPr>
          <w:rFonts w:ascii="Times New Roman" w:eastAsia="Times New Roman" w:hAnsi="Times New Roman" w:cs="Times New Roman"/>
          <w:b/>
          <w:i/>
          <w:sz w:val="24"/>
          <w:szCs w:val="24"/>
        </w:rPr>
      </w:pPr>
      <w:r w:rsidRPr="00F86333">
        <w:rPr>
          <w:rFonts w:ascii="Times New Roman" w:eastAsia="Times New Roman" w:hAnsi="Times New Roman" w:cs="Times New Roman"/>
          <w:b/>
          <w:i/>
          <w:sz w:val="24"/>
          <w:szCs w:val="24"/>
        </w:rPr>
        <w:t>De la Vulneración al principio de desarrollo progresivo por parte del Estado de Tributaria, Art 26 de la CADH</w:t>
      </w:r>
    </w:p>
    <w:p w14:paraId="00000124" w14:textId="3505D05C"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90. </w:t>
      </w:r>
      <w:r w:rsidR="00F86333" w:rsidRPr="00CD2013">
        <w:rPr>
          <w:rFonts w:ascii="Times New Roman" w:eastAsia="Times New Roman" w:hAnsi="Times New Roman" w:cs="Times New Roman"/>
          <w:color w:val="333333"/>
          <w:sz w:val="24"/>
          <w:szCs w:val="24"/>
        </w:rPr>
        <w:t xml:space="preserve">Como punto de partida para el desarrollo del alegato respecto de la vulneración del principio de desarrollo progresivo debe resaltarse que la </w:t>
      </w:r>
      <w:proofErr w:type="spellStart"/>
      <w:r w:rsidR="00F86333" w:rsidRPr="00CD2013">
        <w:rPr>
          <w:rFonts w:ascii="Times New Roman" w:eastAsia="Times New Roman" w:hAnsi="Times New Roman" w:cs="Times New Roman"/>
          <w:color w:val="333333"/>
          <w:sz w:val="24"/>
          <w:szCs w:val="24"/>
        </w:rPr>
        <w:t>CorteIDH</w:t>
      </w:r>
      <w:proofErr w:type="spellEnd"/>
      <w:r w:rsidR="00F86333" w:rsidRPr="00CD2013">
        <w:rPr>
          <w:rFonts w:ascii="Times New Roman" w:eastAsia="Times New Roman" w:hAnsi="Times New Roman" w:cs="Times New Roman"/>
          <w:color w:val="333333"/>
          <w:sz w:val="24"/>
          <w:szCs w:val="24"/>
        </w:rPr>
        <w:t xml:space="preserve"> acude a la doctrina del </w:t>
      </w:r>
      <w:r w:rsidR="00F86333" w:rsidRPr="00CD2013">
        <w:rPr>
          <w:rFonts w:ascii="Times New Roman" w:eastAsia="Times New Roman" w:hAnsi="Times New Roman" w:cs="Times New Roman"/>
          <w:color w:val="333333"/>
          <w:sz w:val="24"/>
          <w:szCs w:val="24"/>
        </w:rPr>
        <w:lastRenderedPageBreak/>
        <w:t>Comité de Derechos Económicos, Sociales y Culturales para ofrecer alguna guía interpretativa sobre el alcance de la noción de “desarrollo progresivo”.</w:t>
      </w:r>
      <w:r w:rsidR="00F86333" w:rsidRPr="00CD2013">
        <w:rPr>
          <w:rFonts w:ascii="Times New Roman" w:eastAsia="Times New Roman" w:hAnsi="Times New Roman" w:cs="Times New Roman"/>
          <w:color w:val="333333"/>
          <w:sz w:val="24"/>
          <w:szCs w:val="24"/>
          <w:vertAlign w:val="superscript"/>
        </w:rPr>
        <w:footnoteReference w:id="51"/>
      </w:r>
    </w:p>
    <w:p w14:paraId="00000125" w14:textId="01EB9BFA"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91.- </w:t>
      </w:r>
      <w:r w:rsidR="00F86333" w:rsidRPr="00CD2013">
        <w:rPr>
          <w:rFonts w:ascii="Times New Roman" w:eastAsia="Times New Roman" w:hAnsi="Times New Roman" w:cs="Times New Roman"/>
          <w:color w:val="333333"/>
          <w:sz w:val="24"/>
          <w:szCs w:val="24"/>
        </w:rPr>
        <w:t>La corte ha señalado que la plena efectividad de los derechos económicos, sociales y culturales no puede lograrse en un breve período de tiempo, y requiere la flexibilidad necesaria que refleje las realidades del mundo y las dificultades que enfrenta cada país.</w:t>
      </w:r>
    </w:p>
    <w:p w14:paraId="00000126" w14:textId="055E1CC8"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92.- </w:t>
      </w:r>
      <w:r w:rsidR="00F86333" w:rsidRPr="00CD2013">
        <w:rPr>
          <w:rFonts w:ascii="Times New Roman" w:eastAsia="Times New Roman" w:hAnsi="Times New Roman" w:cs="Times New Roman"/>
          <w:color w:val="333333"/>
          <w:sz w:val="24"/>
          <w:szCs w:val="24"/>
        </w:rPr>
        <w:t xml:space="preserve">Sin embargo, la Corte afirma que “(…) En el marco de dicha flexibilidad en cuanto a plazo y modalidades, el Estado tendrá esencialmente, aunque no exclusivamente, una obligación de hacer, es decir, de adoptar providencias y brindar los medios y elementos necesarios para responder a las exigencias de efectividad de los derechos involucrados (...) </w:t>
      </w:r>
      <w:r w:rsidR="00F86333" w:rsidRPr="00CD2013">
        <w:rPr>
          <w:rFonts w:ascii="Times New Roman" w:eastAsia="Times New Roman" w:hAnsi="Times New Roman" w:cs="Times New Roman"/>
          <w:color w:val="333333"/>
          <w:sz w:val="24"/>
          <w:szCs w:val="24"/>
          <w:vertAlign w:val="superscript"/>
        </w:rPr>
        <w:footnoteReference w:id="52"/>
      </w:r>
      <w:r w:rsidR="00F86333" w:rsidRPr="00CD2013">
        <w:rPr>
          <w:rFonts w:ascii="Times New Roman" w:eastAsia="Times New Roman" w:hAnsi="Times New Roman" w:cs="Times New Roman"/>
          <w:color w:val="333333"/>
          <w:sz w:val="24"/>
          <w:szCs w:val="24"/>
        </w:rPr>
        <w:t xml:space="preserve"> </w:t>
      </w:r>
    </w:p>
    <w:p w14:paraId="00000127" w14:textId="44589869"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93.- </w:t>
      </w:r>
      <w:r w:rsidR="00F86333" w:rsidRPr="00CD2013">
        <w:rPr>
          <w:rFonts w:ascii="Times New Roman" w:eastAsia="Times New Roman" w:hAnsi="Times New Roman" w:cs="Times New Roman"/>
          <w:color w:val="333333"/>
          <w:sz w:val="24"/>
          <w:szCs w:val="24"/>
        </w:rPr>
        <w:t>Sin perjuicio de lo anterior, la dimensión progresiva de protección de los DESCA, si bien reconoce una cierta gradualidad para su realización, también incluye un sentido de progreso, que requiere la mejora efectiva de las condiciones de goce y ejercicio de estos derechos, de forma tal que se corrijan las desigualdades sociales y se facilite la inclusión de grupos vulnerables.</w:t>
      </w:r>
      <w:r w:rsidR="00F86333" w:rsidRPr="00CD2013">
        <w:rPr>
          <w:rFonts w:ascii="Times New Roman" w:eastAsia="Times New Roman" w:hAnsi="Times New Roman" w:cs="Times New Roman"/>
          <w:color w:val="333333"/>
          <w:sz w:val="24"/>
          <w:szCs w:val="24"/>
          <w:vertAlign w:val="superscript"/>
        </w:rPr>
        <w:footnoteReference w:id="53"/>
      </w:r>
      <w:r w:rsidR="00F86333" w:rsidRPr="00CD2013">
        <w:rPr>
          <w:rFonts w:ascii="Times New Roman" w:eastAsia="Times New Roman" w:hAnsi="Times New Roman" w:cs="Times New Roman"/>
          <w:color w:val="333333"/>
          <w:sz w:val="24"/>
          <w:szCs w:val="24"/>
        </w:rPr>
        <w:t xml:space="preserve"> </w:t>
      </w:r>
    </w:p>
    <w:p w14:paraId="00000128" w14:textId="2F0690DD"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94.- </w:t>
      </w:r>
      <w:r w:rsidR="00F86333" w:rsidRPr="00CD2013">
        <w:rPr>
          <w:rFonts w:ascii="Times New Roman" w:eastAsia="Times New Roman" w:hAnsi="Times New Roman" w:cs="Times New Roman"/>
          <w:color w:val="333333"/>
          <w:sz w:val="24"/>
          <w:szCs w:val="24"/>
        </w:rPr>
        <w:t xml:space="preserve">Dicho lo anterior, debe aclararse que respecto de los hechos planteado para el caso en estudio, las autoridades del Estado de Tributaria no cumplieron con la obligación de garantizar los DESC, puesto que no adoptaron medidas efectivas para la protección de estos derechos, ya que violaron la obligación de no discriminación, puesto que en base al oficio que ejercían al ser víctimas de trata de personas y de igual manera en base al interrogatorio que les fue realizado, fueron resueltas todas sus actuaciones judiciales y el Estado en cuestión no tomó las medidas correctivas para la desigualdad social y no facilito la inclusión de estas personas pertenecientes a un grupo vulnerable en tanto que no conoce la legislación interna del Estado de Tributaria. </w:t>
      </w:r>
    </w:p>
    <w:p w14:paraId="0000012C" w14:textId="35140B37" w:rsidR="00BE1A9D" w:rsidRPr="00CD2013" w:rsidRDefault="00105322" w:rsidP="00F17FCF">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95.- </w:t>
      </w:r>
      <w:r w:rsidR="00F86333" w:rsidRPr="00CD2013">
        <w:rPr>
          <w:rFonts w:ascii="Times New Roman" w:eastAsia="Times New Roman" w:hAnsi="Times New Roman" w:cs="Times New Roman"/>
          <w:color w:val="333333"/>
          <w:sz w:val="24"/>
          <w:szCs w:val="24"/>
        </w:rPr>
        <w:t>Por lo expuesto anteriormente, debe declararse al Estado de Tributaria responsable por la vulneración del principio de desarrollo progresivo, pues el principio de la protección igualitaria y efectiva de la ley y de la no discriminación constituye un dato sobresaliente en el sistema tutelar de los derechos humanos consagrado en muchos instrumentos internacionales</w:t>
      </w:r>
      <w:r>
        <w:rPr>
          <w:rFonts w:ascii="Times New Roman" w:eastAsia="Times New Roman" w:hAnsi="Times New Roman" w:cs="Times New Roman"/>
          <w:color w:val="428BCA"/>
          <w:sz w:val="24"/>
          <w:szCs w:val="24"/>
        </w:rPr>
        <w:t xml:space="preserve"> </w:t>
      </w:r>
      <w:r w:rsidR="00F86333" w:rsidRPr="00CD2013">
        <w:rPr>
          <w:rFonts w:ascii="Times New Roman" w:eastAsia="Times New Roman" w:hAnsi="Times New Roman" w:cs="Times New Roman"/>
          <w:color w:val="333333"/>
          <w:sz w:val="24"/>
          <w:szCs w:val="24"/>
        </w:rPr>
        <w:t xml:space="preserve">y desarrollado por la doctrina y jurisprudencia internacionales. En la actual etapa de la evolución del derecho internacional, el principio fundamental de igualdad y no discriminación ha ingresado en el dominio del </w:t>
      </w:r>
      <w:proofErr w:type="spellStart"/>
      <w:r w:rsidR="00F86333" w:rsidRPr="00CD2013">
        <w:rPr>
          <w:rFonts w:ascii="Times New Roman" w:eastAsia="Times New Roman" w:hAnsi="Times New Roman" w:cs="Times New Roman"/>
          <w:i/>
          <w:color w:val="333333"/>
          <w:sz w:val="24"/>
          <w:szCs w:val="24"/>
        </w:rPr>
        <w:t>jus</w:t>
      </w:r>
      <w:proofErr w:type="spellEnd"/>
      <w:r w:rsidR="00F86333" w:rsidRPr="00CD2013">
        <w:rPr>
          <w:rFonts w:ascii="Times New Roman" w:eastAsia="Times New Roman" w:hAnsi="Times New Roman" w:cs="Times New Roman"/>
          <w:i/>
          <w:color w:val="333333"/>
          <w:sz w:val="24"/>
          <w:szCs w:val="24"/>
        </w:rPr>
        <w:t xml:space="preserve"> cogens. </w:t>
      </w:r>
      <w:r w:rsidR="00F86333" w:rsidRPr="00CD2013">
        <w:rPr>
          <w:rFonts w:ascii="Times New Roman" w:eastAsia="Times New Roman" w:hAnsi="Times New Roman" w:cs="Times New Roman"/>
          <w:color w:val="333333"/>
          <w:sz w:val="24"/>
          <w:szCs w:val="24"/>
        </w:rPr>
        <w:t xml:space="preserve">Sobre él descansa el </w:t>
      </w:r>
      <w:r w:rsidR="00F86333" w:rsidRPr="00CD2013">
        <w:rPr>
          <w:rFonts w:ascii="Times New Roman" w:eastAsia="Times New Roman" w:hAnsi="Times New Roman" w:cs="Times New Roman"/>
          <w:color w:val="333333"/>
          <w:sz w:val="24"/>
          <w:szCs w:val="24"/>
        </w:rPr>
        <w:lastRenderedPageBreak/>
        <w:t xml:space="preserve">andamiaje jurídico del orden público nacional e internacional y permea todo el ordenamiento jurídico. </w:t>
      </w:r>
      <w:r w:rsidR="00F86333" w:rsidRPr="00CD2013">
        <w:rPr>
          <w:rFonts w:ascii="Times New Roman" w:eastAsia="Times New Roman" w:hAnsi="Times New Roman" w:cs="Times New Roman"/>
          <w:color w:val="333333"/>
          <w:sz w:val="24"/>
          <w:szCs w:val="24"/>
          <w:vertAlign w:val="superscript"/>
        </w:rPr>
        <w:footnoteReference w:id="54"/>
      </w:r>
    </w:p>
    <w:p w14:paraId="0000012D" w14:textId="4A1DC362" w:rsidR="00BE1A9D" w:rsidRPr="00F17FCF" w:rsidRDefault="00F17FCF" w:rsidP="00F17FCF">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4.2.- </w:t>
      </w:r>
      <w:r w:rsidR="00F86333" w:rsidRPr="00F17FCF">
        <w:rPr>
          <w:rFonts w:ascii="Times New Roman" w:eastAsia="Times New Roman" w:hAnsi="Times New Roman" w:cs="Times New Roman"/>
          <w:b/>
          <w:sz w:val="24"/>
          <w:szCs w:val="24"/>
        </w:rPr>
        <w:t>Vulneración de los derechos en cabeza de Maritza Guerra por parte del Estado de Tributaria.</w:t>
      </w:r>
    </w:p>
    <w:p w14:paraId="0000012E" w14:textId="446D9743" w:rsidR="00BE1A9D" w:rsidRPr="00F17FCF" w:rsidRDefault="00F86333" w:rsidP="00F17FCF">
      <w:pPr>
        <w:pStyle w:val="Prrafodelista"/>
        <w:numPr>
          <w:ilvl w:val="0"/>
          <w:numId w:val="23"/>
        </w:numPr>
        <w:spacing w:line="360" w:lineRule="auto"/>
        <w:rPr>
          <w:rFonts w:ascii="Times New Roman" w:eastAsia="Times New Roman" w:hAnsi="Times New Roman" w:cs="Times New Roman"/>
          <w:b/>
          <w:sz w:val="24"/>
          <w:szCs w:val="24"/>
        </w:rPr>
      </w:pPr>
      <w:r w:rsidRPr="00F17FCF">
        <w:rPr>
          <w:rFonts w:ascii="Times New Roman" w:eastAsia="Times New Roman" w:hAnsi="Times New Roman" w:cs="Times New Roman"/>
          <w:b/>
          <w:sz w:val="24"/>
          <w:szCs w:val="24"/>
        </w:rPr>
        <w:t xml:space="preserve">De la Vulneración del derecho de integridad personal, protección a la honra y </w:t>
      </w:r>
      <w:proofErr w:type="gramStart"/>
      <w:r w:rsidRPr="00F17FCF">
        <w:rPr>
          <w:rFonts w:ascii="Times New Roman" w:eastAsia="Times New Roman" w:hAnsi="Times New Roman" w:cs="Times New Roman"/>
          <w:b/>
          <w:sz w:val="24"/>
          <w:szCs w:val="24"/>
        </w:rPr>
        <w:t>dignidad  Artículos</w:t>
      </w:r>
      <w:proofErr w:type="gramEnd"/>
      <w:r w:rsidRPr="00F17FCF">
        <w:rPr>
          <w:rFonts w:ascii="Times New Roman" w:eastAsia="Times New Roman" w:hAnsi="Times New Roman" w:cs="Times New Roman"/>
          <w:b/>
          <w:sz w:val="24"/>
          <w:szCs w:val="24"/>
        </w:rPr>
        <w:t xml:space="preserve"> 5 y 11  de la CADH en relación con el Art 7 de la Convención Belém do Pará.</w:t>
      </w:r>
    </w:p>
    <w:p w14:paraId="0000012F" w14:textId="0625A6B5"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96.- </w:t>
      </w:r>
      <w:r w:rsidR="00F86333" w:rsidRPr="00CD2013">
        <w:rPr>
          <w:rFonts w:ascii="Times New Roman" w:eastAsia="Times New Roman" w:hAnsi="Times New Roman" w:cs="Times New Roman"/>
          <w:sz w:val="24"/>
          <w:szCs w:val="24"/>
        </w:rPr>
        <w:t xml:space="preserve">Los hechos del caso </w:t>
      </w:r>
      <w:proofErr w:type="gramStart"/>
      <w:r w:rsidR="00F86333" w:rsidRPr="00CD2013">
        <w:rPr>
          <w:rFonts w:ascii="Times New Roman" w:eastAsia="Times New Roman" w:hAnsi="Times New Roman" w:cs="Times New Roman"/>
          <w:sz w:val="24"/>
          <w:szCs w:val="24"/>
        </w:rPr>
        <w:t>de  vulneración</w:t>
      </w:r>
      <w:proofErr w:type="gramEnd"/>
      <w:r w:rsidR="00F86333" w:rsidRPr="00CD2013">
        <w:rPr>
          <w:rFonts w:ascii="Times New Roman" w:eastAsia="Times New Roman" w:hAnsi="Times New Roman" w:cs="Times New Roman"/>
          <w:sz w:val="24"/>
          <w:szCs w:val="24"/>
        </w:rPr>
        <w:t xml:space="preserve"> de derechos humanos que se pone a consideración de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muestra claramente conductas de tortura hacia una de las víctimas, Maritza, la cual, como se ha dicho fue sometida a tortura y tratos inhumanos por parte de Parménides y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puesto que por más de un año permaneció encerrada y obligada a mantener relaciones sexuales con los clientes del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vertAlign w:val="superscript"/>
        </w:rPr>
        <w:footnoteReference w:id="55"/>
      </w:r>
      <w:r w:rsidR="00F86333" w:rsidRPr="00CD2013">
        <w:rPr>
          <w:rFonts w:ascii="Times New Roman" w:eastAsia="Times New Roman" w:hAnsi="Times New Roman" w:cs="Times New Roman"/>
          <w:sz w:val="24"/>
          <w:szCs w:val="24"/>
        </w:rPr>
        <w:t xml:space="preserve">. Debe resaltarse que son elementos constitutivos de la tortura:   </w:t>
      </w:r>
    </w:p>
    <w:p w14:paraId="00000130" w14:textId="77777777" w:rsidR="00BE1A9D" w:rsidRPr="00CD2013" w:rsidRDefault="00F86333" w:rsidP="00CD2013">
      <w:pPr>
        <w:spacing w:line="360" w:lineRule="auto"/>
        <w:ind w:left="720"/>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w:t>
      </w:r>
      <w:r w:rsidRPr="00CD2013">
        <w:rPr>
          <w:rFonts w:ascii="Times New Roman" w:eastAsia="Times New Roman" w:hAnsi="Times New Roman" w:cs="Times New Roman"/>
          <w:i/>
          <w:sz w:val="24"/>
          <w:szCs w:val="24"/>
        </w:rPr>
        <w:t>…] los elementos constitutivos de la tortura son los siguientes: a) un acto intencional; b) que cause severos sufrimientos físicos o mentales, y c) que se cometa con determinado fin o propósito”</w:t>
      </w:r>
      <w:r w:rsidRPr="00CD2013">
        <w:rPr>
          <w:rFonts w:ascii="Times New Roman" w:eastAsia="Times New Roman" w:hAnsi="Times New Roman" w:cs="Times New Roman"/>
          <w:i/>
          <w:sz w:val="24"/>
          <w:szCs w:val="24"/>
          <w:vertAlign w:val="superscript"/>
        </w:rPr>
        <w:footnoteReference w:id="56"/>
      </w:r>
      <w:r w:rsidRPr="00CD2013">
        <w:rPr>
          <w:rFonts w:ascii="Times New Roman" w:eastAsia="Times New Roman" w:hAnsi="Times New Roman" w:cs="Times New Roman"/>
          <w:i/>
          <w:sz w:val="24"/>
          <w:szCs w:val="24"/>
        </w:rPr>
        <w:t xml:space="preserve"> </w:t>
      </w:r>
      <w:r w:rsidRPr="00CD2013">
        <w:rPr>
          <w:rFonts w:ascii="Times New Roman" w:eastAsia="Times New Roman" w:hAnsi="Times New Roman" w:cs="Times New Roman"/>
          <w:sz w:val="24"/>
          <w:szCs w:val="24"/>
        </w:rPr>
        <w:t xml:space="preserve">    </w:t>
      </w:r>
    </w:p>
    <w:p w14:paraId="00000131" w14:textId="5DB446CF"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97.- </w:t>
      </w:r>
      <w:r w:rsidR="00F86333" w:rsidRPr="00CD2013">
        <w:rPr>
          <w:rFonts w:ascii="Times New Roman" w:eastAsia="Times New Roman" w:hAnsi="Times New Roman" w:cs="Times New Roman"/>
          <w:sz w:val="24"/>
          <w:szCs w:val="24"/>
        </w:rPr>
        <w:t xml:space="preserve">Respecto del primer elemento mencionado, hay que dejar claro primeramente que los hechos del presente caso han infringido normas de </w:t>
      </w:r>
      <w:proofErr w:type="spellStart"/>
      <w:r w:rsidR="00F86333" w:rsidRPr="00CD2013">
        <w:rPr>
          <w:rFonts w:ascii="Times New Roman" w:eastAsia="Times New Roman" w:hAnsi="Times New Roman" w:cs="Times New Roman"/>
          <w:sz w:val="24"/>
          <w:szCs w:val="24"/>
        </w:rPr>
        <w:t>jus</w:t>
      </w:r>
      <w:proofErr w:type="spellEnd"/>
      <w:r w:rsidR="00F86333" w:rsidRPr="00CD2013">
        <w:rPr>
          <w:rFonts w:ascii="Times New Roman" w:eastAsia="Times New Roman" w:hAnsi="Times New Roman" w:cs="Times New Roman"/>
          <w:sz w:val="24"/>
          <w:szCs w:val="24"/>
        </w:rPr>
        <w:t xml:space="preserve"> cogens, tales como la prohibición de la tortura, pues esta es una conducta que, dice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en el Caso </w:t>
      </w:r>
      <w:proofErr w:type="spellStart"/>
      <w:r w:rsidR="00F86333" w:rsidRPr="00CD2013">
        <w:rPr>
          <w:rFonts w:ascii="Times New Roman" w:eastAsia="Times New Roman" w:hAnsi="Times New Roman" w:cs="Times New Roman"/>
          <w:sz w:val="24"/>
          <w:szCs w:val="24"/>
        </w:rPr>
        <w:t>Goiburú</w:t>
      </w:r>
      <w:proofErr w:type="spellEnd"/>
      <w:r w:rsidR="00F86333" w:rsidRPr="00CD2013">
        <w:rPr>
          <w:rFonts w:ascii="Times New Roman" w:eastAsia="Times New Roman" w:hAnsi="Times New Roman" w:cs="Times New Roman"/>
          <w:sz w:val="24"/>
          <w:szCs w:val="24"/>
        </w:rPr>
        <w:t xml:space="preserve"> vs Paraguay</w:t>
      </w:r>
      <w:r w:rsidR="00F86333" w:rsidRPr="00CD2013">
        <w:rPr>
          <w:rFonts w:ascii="Times New Roman" w:eastAsia="Times New Roman" w:hAnsi="Times New Roman" w:cs="Times New Roman"/>
          <w:sz w:val="24"/>
          <w:szCs w:val="24"/>
          <w:vertAlign w:val="superscript"/>
        </w:rPr>
        <w:footnoteReference w:id="57"/>
      </w:r>
      <w:r w:rsidR="00F86333" w:rsidRPr="00CD2013">
        <w:rPr>
          <w:rFonts w:ascii="Times New Roman" w:eastAsia="Times New Roman" w:hAnsi="Times New Roman" w:cs="Times New Roman"/>
          <w:sz w:val="24"/>
          <w:szCs w:val="24"/>
        </w:rPr>
        <w:t>, afecta valores o bienes trascendentales de la comunidad internacional, y hace necesaria la activación de medios, instrumentos y mecanismos nacionales e internacionales para la persecución efectiva de tales conductas y la sanción de sus autores, con el fin de prevenirlas y evitar que se queden en la impunidad.</w:t>
      </w:r>
    </w:p>
    <w:p w14:paraId="00000132" w14:textId="6145CAD2"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98.- </w:t>
      </w:r>
      <w:r w:rsidR="00F86333" w:rsidRPr="00CD2013">
        <w:rPr>
          <w:rFonts w:ascii="Times New Roman" w:eastAsia="Times New Roman" w:hAnsi="Times New Roman" w:cs="Times New Roman"/>
          <w:sz w:val="24"/>
          <w:szCs w:val="24"/>
        </w:rPr>
        <w:t xml:space="preserve">Lo anterior se encamina a establecer que tanto Parménides como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autores de la vulneración de derechos, en este caso de la Sra. Maritza, no han sido sancionados por las conductas que vulneran derechos humanos de la víctima, razón por la cual el Estado debe ser responsable en tanto que tiene la obligación de asegurar que las conductas violatorias de los derechos humanos  sean perseguidas y por tanto sancionados sus autores, en virtud del artículo 1.1 de la CADH puesto que no hacerlo conlleva a una re victimización de la persona que se vio lesionada en sus derechos</w:t>
      </w:r>
      <w:r w:rsidR="00F86333" w:rsidRPr="00CD2013">
        <w:rPr>
          <w:rFonts w:ascii="Times New Roman" w:eastAsia="Times New Roman" w:hAnsi="Times New Roman" w:cs="Times New Roman"/>
          <w:sz w:val="24"/>
          <w:szCs w:val="24"/>
          <w:vertAlign w:val="superscript"/>
        </w:rPr>
        <w:footnoteReference w:id="58"/>
      </w:r>
      <w:r w:rsidR="00F86333" w:rsidRPr="00CD2013">
        <w:rPr>
          <w:rFonts w:ascii="Times New Roman" w:eastAsia="Times New Roman" w:hAnsi="Times New Roman" w:cs="Times New Roman"/>
          <w:sz w:val="24"/>
          <w:szCs w:val="24"/>
        </w:rPr>
        <w:t>.</w:t>
      </w:r>
    </w:p>
    <w:p w14:paraId="00000133" w14:textId="2CAC4BFC"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99.- </w:t>
      </w:r>
      <w:r w:rsidR="00F86333" w:rsidRPr="00CD2013">
        <w:rPr>
          <w:rFonts w:ascii="Times New Roman" w:eastAsia="Times New Roman" w:hAnsi="Times New Roman" w:cs="Times New Roman"/>
          <w:sz w:val="24"/>
          <w:szCs w:val="24"/>
        </w:rPr>
        <w:t xml:space="preserve">Respecto de la vulneración al derecho a la honra y dignidad contenidos en el artículo 11 de la CADH,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dicho que el derecho a la honra y dignidad comprende, además el concepto de vida privada que a su </w:t>
      </w:r>
      <w:proofErr w:type="gramStart"/>
      <w:r w:rsidR="00F86333" w:rsidRPr="00CD2013">
        <w:rPr>
          <w:rFonts w:ascii="Times New Roman" w:eastAsia="Times New Roman" w:hAnsi="Times New Roman" w:cs="Times New Roman"/>
          <w:sz w:val="24"/>
          <w:szCs w:val="24"/>
        </w:rPr>
        <w:t>vez  contiene</w:t>
      </w:r>
      <w:proofErr w:type="gramEnd"/>
      <w:r w:rsidR="00F86333" w:rsidRPr="00CD2013">
        <w:rPr>
          <w:rFonts w:ascii="Times New Roman" w:eastAsia="Times New Roman" w:hAnsi="Times New Roman" w:cs="Times New Roman"/>
          <w:sz w:val="24"/>
          <w:szCs w:val="24"/>
        </w:rPr>
        <w:t xml:space="preserve">  la vida sexual como derecho protegido, que para el caso en estudio es fundamental, puesto que  existe una clara vulneración del derecho citado.</w:t>
      </w:r>
    </w:p>
    <w:p w14:paraId="00000134" w14:textId="3B7293A3"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100.- </w:t>
      </w:r>
      <w:r w:rsidR="00F86333" w:rsidRPr="00CD2013">
        <w:rPr>
          <w:rFonts w:ascii="Times New Roman" w:eastAsia="Times New Roman" w:hAnsi="Times New Roman" w:cs="Times New Roman"/>
          <w:sz w:val="24"/>
          <w:szCs w:val="24"/>
        </w:rPr>
        <w:t xml:space="preserve">Continuando la línea del párrafo anterior, </w:t>
      </w:r>
      <w:proofErr w:type="gramStart"/>
      <w:r w:rsidR="00F86333" w:rsidRPr="00CD2013">
        <w:rPr>
          <w:rFonts w:ascii="Times New Roman" w:eastAsia="Times New Roman" w:hAnsi="Times New Roman" w:cs="Times New Roman"/>
          <w:sz w:val="24"/>
          <w:szCs w:val="24"/>
        </w:rPr>
        <w:t>a  la</w:t>
      </w:r>
      <w:proofErr w:type="gramEnd"/>
      <w:r w:rsidR="00F86333" w:rsidRPr="00CD2013">
        <w:rPr>
          <w:rFonts w:ascii="Times New Roman" w:eastAsia="Times New Roman" w:hAnsi="Times New Roman" w:cs="Times New Roman"/>
          <w:sz w:val="24"/>
          <w:szCs w:val="24"/>
        </w:rPr>
        <w:t xml:space="preserve"> Sra. Maritza se le vulneraron sus valores y aspectos esenciales que hacen parte de su vida privada, puesto que se le anuló su derecho a tomar libremente las decisiones respecto de con quien tener relaciones sexuales, perdiendo de forma completa el control sobre sus decisiones más personales e íntimas y sobre las funciones corporales básicas.</w:t>
      </w:r>
      <w:r w:rsidR="00F86333" w:rsidRPr="00CD2013">
        <w:rPr>
          <w:rFonts w:ascii="Times New Roman" w:eastAsia="Times New Roman" w:hAnsi="Times New Roman" w:cs="Times New Roman"/>
          <w:sz w:val="24"/>
          <w:szCs w:val="24"/>
          <w:vertAlign w:val="superscript"/>
        </w:rPr>
        <w:footnoteReference w:id="59"/>
      </w:r>
      <w:r w:rsidR="00F86333" w:rsidRPr="00CD2013">
        <w:rPr>
          <w:rFonts w:ascii="Times New Roman" w:eastAsia="Times New Roman" w:hAnsi="Times New Roman" w:cs="Times New Roman"/>
          <w:sz w:val="24"/>
          <w:szCs w:val="24"/>
        </w:rPr>
        <w:t xml:space="preserve"> </w:t>
      </w:r>
    </w:p>
    <w:p w14:paraId="00000135" w14:textId="708EE188"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101.- </w:t>
      </w:r>
      <w:r w:rsidR="00F86333" w:rsidRPr="00CD2013">
        <w:rPr>
          <w:rFonts w:ascii="Times New Roman" w:eastAsia="Times New Roman" w:hAnsi="Times New Roman" w:cs="Times New Roman"/>
          <w:sz w:val="24"/>
          <w:szCs w:val="24"/>
        </w:rPr>
        <w:t>De igual manera, el hecho de que la Sra. Maritza haya sido sometida a una revisión médica por parte de un profesional en la salud de sexo masculino, genera una re victimización, pues el ser víctima de violencia sexual tiende a afectar a las mujeres a lo largo de todo su ciclo de vida.</w:t>
      </w:r>
      <w:r w:rsidR="00F86333" w:rsidRPr="00CD2013">
        <w:rPr>
          <w:rFonts w:ascii="Times New Roman" w:eastAsia="Times New Roman" w:hAnsi="Times New Roman" w:cs="Times New Roman"/>
          <w:sz w:val="24"/>
          <w:szCs w:val="24"/>
          <w:vertAlign w:val="superscript"/>
        </w:rPr>
        <w:footnoteReference w:id="60"/>
      </w:r>
    </w:p>
    <w:p w14:paraId="00000136" w14:textId="23D9B0BC"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102.- </w:t>
      </w:r>
      <w:r w:rsidR="00F86333" w:rsidRPr="00CD2013">
        <w:rPr>
          <w:rFonts w:ascii="Times New Roman" w:eastAsia="Times New Roman" w:hAnsi="Times New Roman" w:cs="Times New Roman"/>
          <w:sz w:val="24"/>
          <w:szCs w:val="24"/>
        </w:rPr>
        <w:t xml:space="preserve">Por otra parte, el Comité para la Eliminación de la Discriminación contra la Mujer ha dicho que existen formas de violencia por razón de género, que según las circunstancias pueden constituir tortura o trato cruel, inhumano o degradante, entre estas se encuentra la continuación forzada del embarazo y el embarazo forzado, en este punto debe hacerse énfasis en que la voluntad de la Sra. Maritza era la de interrumpir su embarazo, pues había sido fruto de los constantes abusos sexuales que sufrió por parte del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w:t>
      </w:r>
    </w:p>
    <w:p w14:paraId="00000137" w14:textId="3912386B"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103.- </w:t>
      </w:r>
      <w:r w:rsidR="00F86333" w:rsidRPr="00CD2013">
        <w:rPr>
          <w:rFonts w:ascii="Times New Roman" w:eastAsia="Times New Roman" w:hAnsi="Times New Roman" w:cs="Times New Roman"/>
          <w:sz w:val="24"/>
          <w:szCs w:val="24"/>
        </w:rPr>
        <w:t>Sin embargo, las autoridades del Estado de Tributaria negaron el pedido de interrumpir su embarazo a la víctima en dos oportunidades, en primer lugar porque a pesar de ser el aborto legal en casos de violación hasta el tercer mes, en el presente caso no se había demostrado la existencia de una violación sexual y la víctima ni siquiera había interpuesto denuncia alguna por la supuesta violación</w:t>
      </w:r>
      <w:r w:rsidR="00F86333" w:rsidRPr="00CD2013">
        <w:rPr>
          <w:rFonts w:ascii="Times New Roman" w:eastAsia="Times New Roman" w:hAnsi="Times New Roman" w:cs="Times New Roman"/>
          <w:sz w:val="24"/>
          <w:szCs w:val="24"/>
          <w:vertAlign w:val="superscript"/>
        </w:rPr>
        <w:footnoteReference w:id="61"/>
      </w:r>
      <w:r w:rsidR="00F86333" w:rsidRPr="00CD2013">
        <w:rPr>
          <w:rFonts w:ascii="Times New Roman" w:eastAsia="Times New Roman" w:hAnsi="Times New Roman" w:cs="Times New Roman"/>
          <w:sz w:val="24"/>
          <w:szCs w:val="24"/>
        </w:rPr>
        <w:t xml:space="preserve"> y en segundo lugar porque ya habían transcurrido los primeros tres meses de embarazo, lapso de tiempo en el que es legal practicar el aborto en el Estado de Tributaria.</w:t>
      </w:r>
    </w:p>
    <w:p w14:paraId="00000138" w14:textId="48487041"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104.- </w:t>
      </w:r>
      <w:r w:rsidR="00F86333" w:rsidRPr="00CD2013">
        <w:rPr>
          <w:rFonts w:ascii="Times New Roman" w:eastAsia="Times New Roman" w:hAnsi="Times New Roman" w:cs="Times New Roman"/>
          <w:sz w:val="24"/>
          <w:szCs w:val="24"/>
        </w:rPr>
        <w:t xml:space="preserve">De esta manera debe </w:t>
      </w:r>
      <w:proofErr w:type="gramStart"/>
      <w:r w:rsidR="00F86333" w:rsidRPr="00CD2013">
        <w:rPr>
          <w:rFonts w:ascii="Times New Roman" w:eastAsia="Times New Roman" w:hAnsi="Times New Roman" w:cs="Times New Roman"/>
          <w:sz w:val="24"/>
          <w:szCs w:val="24"/>
        </w:rPr>
        <w:t>resaltarse  los</w:t>
      </w:r>
      <w:proofErr w:type="gramEnd"/>
      <w:r w:rsidR="00F86333" w:rsidRPr="00CD2013">
        <w:rPr>
          <w:rFonts w:ascii="Times New Roman" w:eastAsia="Times New Roman" w:hAnsi="Times New Roman" w:cs="Times New Roman"/>
          <w:sz w:val="24"/>
          <w:szCs w:val="24"/>
        </w:rPr>
        <w:t xml:space="preserve"> alegatos respecto de la vulneración de los derechos a la integridad personal, honra y dignidad de la Sra. Maritza Guerra, que el Estado de Tributaria los vulnero con relación al artículo 1.1 de la CADH y el artículo 7 de la </w:t>
      </w:r>
      <w:r w:rsidR="00F86333" w:rsidRPr="00CD2013">
        <w:rPr>
          <w:rFonts w:ascii="Times New Roman" w:eastAsia="Times New Roman" w:hAnsi="Times New Roman" w:cs="Times New Roman"/>
          <w:sz w:val="24"/>
          <w:szCs w:val="24"/>
        </w:rPr>
        <w:lastRenderedPageBreak/>
        <w:t>Convención de Belém do Pará, las obligaciones inmediatas que tiene el Estado en casos de violencia contra las mujeres.</w:t>
      </w:r>
    </w:p>
    <w:p w14:paraId="00000139" w14:textId="1A5DE705"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105.- </w:t>
      </w:r>
      <w:r w:rsidR="00F86333" w:rsidRPr="00CD2013">
        <w:rPr>
          <w:rFonts w:ascii="Times New Roman" w:eastAsia="Times New Roman" w:hAnsi="Times New Roman" w:cs="Times New Roman"/>
          <w:sz w:val="24"/>
          <w:szCs w:val="24"/>
        </w:rPr>
        <w:t>La representación de las víctimas en los alegatos sobre la vulneración de los derechos contenidos en los artículos 8 y 25 de la CADH ha hecho referencia,  y de igual manera  la Corte IDH en su interpretación del artículo 7 de la Convención Belém do Pará, al deber de debida diligencia para prevenir situaciones de violencia, razón por la que debe interpretarse este artículo junto con el artículo 8 inciso h) del mismo instrumento con el fin de garantizar la investigación y recopilación de estadísticas y demás información pertinente sobre las causas, consecuencias y frecuencia de la violencia contra las mujeres.</w:t>
      </w:r>
    </w:p>
    <w:p w14:paraId="0000013A" w14:textId="4F99E62D"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106.- </w:t>
      </w:r>
      <w:r w:rsidR="00F86333" w:rsidRPr="00CD2013">
        <w:rPr>
          <w:rFonts w:ascii="Times New Roman" w:eastAsia="Times New Roman" w:hAnsi="Times New Roman" w:cs="Times New Roman"/>
          <w:sz w:val="24"/>
          <w:szCs w:val="24"/>
        </w:rPr>
        <w:t xml:space="preserve">Lo anterior es relevante puesto </w:t>
      </w:r>
      <w:proofErr w:type="gramStart"/>
      <w:r w:rsidR="00F86333" w:rsidRPr="00CD2013">
        <w:rPr>
          <w:rFonts w:ascii="Times New Roman" w:eastAsia="Times New Roman" w:hAnsi="Times New Roman" w:cs="Times New Roman"/>
          <w:sz w:val="24"/>
          <w:szCs w:val="24"/>
        </w:rPr>
        <w:t>que  la</w:t>
      </w:r>
      <w:proofErr w:type="gramEnd"/>
      <w:r w:rsidR="00F86333" w:rsidRPr="00CD2013">
        <w:rPr>
          <w:rFonts w:ascii="Times New Roman" w:eastAsia="Times New Roman" w:hAnsi="Times New Roman" w:cs="Times New Roman"/>
          <w:sz w:val="24"/>
          <w:szCs w:val="24"/>
        </w:rPr>
        <w:t xml:space="preserve"> falta de investigación de hechos graves contra la integridad personal como torturas y violencia sexual constituyen un incumplimiento de las obligaciones del Estado frente a graves violaciones de derechos humanos.</w:t>
      </w:r>
      <w:r w:rsidR="00F86333" w:rsidRPr="00CD2013">
        <w:rPr>
          <w:rFonts w:ascii="Times New Roman" w:eastAsia="Times New Roman" w:hAnsi="Times New Roman" w:cs="Times New Roman"/>
          <w:sz w:val="24"/>
          <w:szCs w:val="24"/>
          <w:vertAlign w:val="superscript"/>
        </w:rPr>
        <w:footnoteReference w:id="62"/>
      </w:r>
    </w:p>
    <w:p w14:paraId="0000013B" w14:textId="10EA622F"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107.- </w:t>
      </w:r>
      <w:r w:rsidR="00F86333" w:rsidRPr="00CD2013">
        <w:rPr>
          <w:rFonts w:ascii="Times New Roman" w:eastAsia="Times New Roman" w:hAnsi="Times New Roman" w:cs="Times New Roman"/>
          <w:sz w:val="24"/>
          <w:szCs w:val="24"/>
        </w:rPr>
        <w:t xml:space="preserve">Por otro lado, se debe resaltar que la Sra. Maritza Guerra fue sometida a tortura, lo que constituye un delito de lesa humanidad, en tanto que vulnera su dignidad e integridad personal, por esta razón esta representación no presenta la petición ante la CIDH extemporáneamente como lo alega el Estado en las excepciones preliminares propuestas, pues los crímenes de lesa humanidad son crímenes imprescriptibles y que de ninguna manera puede ser amnistiable como lo ha dicho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en casos como.</w:t>
      </w:r>
      <w:r w:rsidR="00F86333" w:rsidRPr="00CD2013">
        <w:rPr>
          <w:rFonts w:ascii="Times New Roman" w:eastAsia="Times New Roman" w:hAnsi="Times New Roman" w:cs="Times New Roman"/>
          <w:sz w:val="24"/>
          <w:szCs w:val="24"/>
          <w:vertAlign w:val="superscript"/>
        </w:rPr>
        <w:footnoteReference w:id="63"/>
      </w:r>
      <w:r w:rsidR="00F86333" w:rsidRPr="00CD2013">
        <w:rPr>
          <w:rFonts w:ascii="Times New Roman" w:eastAsia="Times New Roman" w:hAnsi="Times New Roman" w:cs="Times New Roman"/>
          <w:sz w:val="24"/>
          <w:szCs w:val="24"/>
        </w:rPr>
        <w:t xml:space="preserve"> </w:t>
      </w:r>
    </w:p>
    <w:p w14:paraId="0000013C" w14:textId="50DA1FC6"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108.- </w:t>
      </w:r>
      <w:r w:rsidR="00F86333" w:rsidRPr="00CD2013">
        <w:rPr>
          <w:rFonts w:ascii="Times New Roman" w:eastAsia="Times New Roman" w:hAnsi="Times New Roman" w:cs="Times New Roman"/>
          <w:sz w:val="24"/>
          <w:szCs w:val="24"/>
        </w:rPr>
        <w:t>En relación con lo anterior y para fin analizar los alegatos respecto de la vulneración de los derechos contenidos en los artículos 5 y 11 de la CADH, en relación con la Sra. Maritza debe esta representación insistir en el incumplimiento de las obligaciones adquiridas por el Estado de Tributaria al ratificar instrumentos como la CADH, PSS y PP tales como:</w:t>
      </w:r>
    </w:p>
    <w:p w14:paraId="0000013D" w14:textId="77777777" w:rsidR="00BE1A9D" w:rsidRPr="00CD2013" w:rsidRDefault="00F86333" w:rsidP="00CD2013">
      <w:pPr>
        <w:numPr>
          <w:ilvl w:val="0"/>
          <w:numId w:val="9"/>
        </w:numPr>
        <w:spacing w:line="360" w:lineRule="auto"/>
        <w:ind w:left="1440"/>
        <w:rPr>
          <w:rFonts w:ascii="Times New Roman" w:hAnsi="Times New Roman" w:cs="Times New Roman"/>
          <w:sz w:val="24"/>
          <w:szCs w:val="24"/>
        </w:rPr>
      </w:pPr>
      <w:r w:rsidRPr="00CD2013">
        <w:rPr>
          <w:rFonts w:ascii="Times New Roman" w:eastAsia="Times New Roman" w:hAnsi="Times New Roman" w:cs="Times New Roman"/>
          <w:sz w:val="24"/>
          <w:szCs w:val="24"/>
        </w:rPr>
        <w:t>Las obligaciones derivadas del artículo 1.1. de la CADH.</w:t>
      </w:r>
    </w:p>
    <w:p w14:paraId="0000013E" w14:textId="77777777" w:rsidR="00BE1A9D" w:rsidRPr="00CD2013" w:rsidRDefault="00F86333" w:rsidP="00CD2013">
      <w:pPr>
        <w:numPr>
          <w:ilvl w:val="0"/>
          <w:numId w:val="9"/>
        </w:numPr>
        <w:spacing w:line="360" w:lineRule="auto"/>
        <w:ind w:left="1440"/>
        <w:rPr>
          <w:rFonts w:ascii="Times New Roman" w:hAnsi="Times New Roman" w:cs="Times New Roman"/>
          <w:sz w:val="24"/>
          <w:szCs w:val="24"/>
        </w:rPr>
      </w:pPr>
      <w:r w:rsidRPr="00CD2013">
        <w:rPr>
          <w:rFonts w:ascii="Times New Roman" w:eastAsia="Times New Roman" w:hAnsi="Times New Roman" w:cs="Times New Roman"/>
          <w:sz w:val="24"/>
          <w:szCs w:val="24"/>
        </w:rPr>
        <w:t>La obligación contenida en el artículo 3 del Protocolo Adicional a la CADH</w:t>
      </w:r>
    </w:p>
    <w:p w14:paraId="0000013F" w14:textId="77777777" w:rsidR="00BE1A9D" w:rsidRPr="00CD2013" w:rsidRDefault="00F86333" w:rsidP="00CD2013">
      <w:pPr>
        <w:numPr>
          <w:ilvl w:val="0"/>
          <w:numId w:val="9"/>
        </w:numPr>
        <w:spacing w:line="360" w:lineRule="auto"/>
        <w:ind w:left="1440"/>
        <w:rPr>
          <w:rFonts w:ascii="Times New Roman" w:hAnsi="Times New Roman" w:cs="Times New Roman"/>
          <w:sz w:val="24"/>
          <w:szCs w:val="24"/>
        </w:rPr>
      </w:pPr>
      <w:r w:rsidRPr="00CD2013">
        <w:rPr>
          <w:rFonts w:ascii="Times New Roman" w:eastAsia="Times New Roman" w:hAnsi="Times New Roman" w:cs="Times New Roman"/>
          <w:sz w:val="24"/>
          <w:szCs w:val="24"/>
        </w:rPr>
        <w:t xml:space="preserve"> Aquellas obligaciones que se derivan del artículo 6.2, literal b) y 6.3, literal b) del PP.</w:t>
      </w:r>
    </w:p>
    <w:p w14:paraId="00000140" w14:textId="30909220" w:rsidR="00BE1A9D" w:rsidRPr="00F17FCF" w:rsidRDefault="00F17FCF" w:rsidP="00CD2013">
      <w:pPr>
        <w:spacing w:line="36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 </w:t>
      </w:r>
      <w:r w:rsidR="00F86333" w:rsidRPr="00F17FCF">
        <w:rPr>
          <w:rFonts w:ascii="Times New Roman" w:eastAsia="Times New Roman" w:hAnsi="Times New Roman" w:cs="Times New Roman"/>
          <w:b/>
          <w:sz w:val="24"/>
          <w:szCs w:val="24"/>
        </w:rPr>
        <w:t>De la vulneración a la protección de la familia, art. 17 de la CADH</w:t>
      </w:r>
    </w:p>
    <w:p w14:paraId="00000141" w14:textId="6D100FCA" w:rsidR="00BE1A9D" w:rsidRPr="00CD2013" w:rsidRDefault="00105322"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109.- </w:t>
      </w:r>
      <w:r w:rsidR="00F86333" w:rsidRPr="00CD2013">
        <w:rPr>
          <w:rFonts w:ascii="Times New Roman" w:eastAsia="Times New Roman" w:hAnsi="Times New Roman" w:cs="Times New Roman"/>
          <w:sz w:val="24"/>
          <w:szCs w:val="24"/>
        </w:rPr>
        <w:t xml:space="preserve">Con el fin de ir cerrando los alegatos de la representación de las víctimas, hay que dejar claro que el Estado de Tributaria vulneró el derecho a la protección a la familia </w:t>
      </w:r>
      <w:r w:rsidR="00F86333" w:rsidRPr="00CD2013">
        <w:rPr>
          <w:rFonts w:ascii="Times New Roman" w:eastAsia="Times New Roman" w:hAnsi="Times New Roman" w:cs="Times New Roman"/>
          <w:sz w:val="24"/>
          <w:szCs w:val="24"/>
        </w:rPr>
        <w:lastRenderedPageBreak/>
        <w:t xml:space="preserve">contenido en el artículo 17.1 de la CADH, puesto que la desconoció como núcleo fundamental de la sociedad al separar al menor James de su madre. </w:t>
      </w:r>
    </w:p>
    <w:p w14:paraId="00000142" w14:textId="1246F592" w:rsidR="00BE1A9D" w:rsidRPr="00CD2013" w:rsidRDefault="00105322" w:rsidP="00105322">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110.- </w:t>
      </w:r>
      <w:r w:rsidR="00F86333" w:rsidRPr="00CD2013">
        <w:rPr>
          <w:rFonts w:ascii="Times New Roman" w:eastAsia="Times New Roman" w:hAnsi="Times New Roman" w:cs="Times New Roman"/>
          <w:sz w:val="24"/>
          <w:szCs w:val="24"/>
        </w:rPr>
        <w:t>Además, en relación con el Protocolo de San Salvador y lo consagrado en su artículo 15, se debe hacer referencia al derecho de constitución y protección familiar, reconociéndole al Estado unas obligaciones con el fin de garantizar el mismo, obligación que no fue cumplida por parte del Estado de Tributaria en tanto que después de negar la voluntad de la Sra. Maritza respecto del aborto, la separaron de su hijo injustamente.</w:t>
      </w:r>
    </w:p>
    <w:p w14:paraId="00000143" w14:textId="237E7540"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111.- </w:t>
      </w:r>
      <w:r w:rsidR="00F86333" w:rsidRPr="00CD2013">
        <w:rPr>
          <w:rFonts w:ascii="Times New Roman" w:eastAsia="Times New Roman" w:hAnsi="Times New Roman" w:cs="Times New Roman"/>
          <w:color w:val="333333"/>
          <w:sz w:val="24"/>
          <w:szCs w:val="24"/>
        </w:rPr>
        <w:t>Además, la Corte ha señalado que la determinación del interés superior del niño, en casos de cuidado y custodia de menores de edad, se debe hacer a partir de la evaluación de los comportamientos parentales específicos y su impacto negativo en el bienestar y desarrollo de la niña o el niño según el caso, los daños o riesgos reales, probados y no especulativos o imaginarios, y en el bienestar de la niña o niño. Por tanto, no son admisibles las especulaciones, presunciones, estereotipos o consideraciones generalizadas sobre características personales de los padres o preferencias culturales respecto a ciertos conceptos tradicionales de la familia.</w:t>
      </w:r>
      <w:r w:rsidR="00F86333" w:rsidRPr="00CD2013">
        <w:rPr>
          <w:rFonts w:ascii="Times New Roman" w:eastAsia="Times New Roman" w:hAnsi="Times New Roman" w:cs="Times New Roman"/>
          <w:color w:val="333333"/>
          <w:sz w:val="24"/>
          <w:szCs w:val="24"/>
          <w:vertAlign w:val="superscript"/>
        </w:rPr>
        <w:footnoteReference w:id="64"/>
      </w:r>
    </w:p>
    <w:p w14:paraId="00000144" w14:textId="4C54D1C7" w:rsidR="00BE1A9D" w:rsidRPr="00CD2013" w:rsidRDefault="00105322" w:rsidP="00CD2013">
      <w:pPr>
        <w:spacing w:line="360" w:lineRule="auto"/>
        <w:ind w:firstLine="720"/>
        <w:rPr>
          <w:rFonts w:ascii="Times New Roman" w:eastAsia="Times New Roman" w:hAnsi="Times New Roman" w:cs="Times New Roman"/>
          <w:color w:val="333333"/>
          <w:sz w:val="24"/>
          <w:szCs w:val="24"/>
        </w:rPr>
      </w:pPr>
      <w:r>
        <w:rPr>
          <w:rFonts w:ascii="Times New Roman" w:eastAsia="Times New Roman" w:hAnsi="Times New Roman" w:cs="Times New Roman"/>
          <w:b/>
          <w:color w:val="333333"/>
          <w:sz w:val="24"/>
          <w:szCs w:val="24"/>
        </w:rPr>
        <w:t xml:space="preserve">112.- </w:t>
      </w:r>
      <w:r w:rsidR="00F86333" w:rsidRPr="00CD2013">
        <w:rPr>
          <w:rFonts w:ascii="Times New Roman" w:eastAsia="Times New Roman" w:hAnsi="Times New Roman" w:cs="Times New Roman"/>
          <w:color w:val="333333"/>
          <w:sz w:val="24"/>
          <w:szCs w:val="24"/>
        </w:rPr>
        <w:t xml:space="preserve">En el asunto que nos compete no existen indicios de que se haya tenido en cuenta el interés superior del menor para tomar la decisión de separarlo de su madre a la corta de cinco (5) meses, razón por la cual el Estado debe declararse, ya que no cumplió con su deber de protección a la familia consagrado en la CADH y en su Protocolo adicional, violando así el derecho contenido en el artículo 17 de la CADH de la Sra. Maritza Guerra. </w:t>
      </w:r>
    </w:p>
    <w:p w14:paraId="00000145" w14:textId="144451B6" w:rsidR="00BE1A9D" w:rsidRPr="00F17FCF" w:rsidRDefault="00F86333" w:rsidP="00F17FCF">
      <w:pPr>
        <w:pStyle w:val="Prrafodelista"/>
        <w:numPr>
          <w:ilvl w:val="0"/>
          <w:numId w:val="21"/>
        </w:numPr>
        <w:spacing w:line="360" w:lineRule="auto"/>
        <w:rPr>
          <w:rFonts w:ascii="Times New Roman" w:eastAsia="Times New Roman" w:hAnsi="Times New Roman" w:cs="Times New Roman"/>
          <w:b/>
          <w:sz w:val="24"/>
          <w:szCs w:val="24"/>
        </w:rPr>
      </w:pPr>
      <w:r w:rsidRPr="00F17FCF">
        <w:rPr>
          <w:rFonts w:ascii="Times New Roman" w:eastAsia="Times New Roman" w:hAnsi="Times New Roman" w:cs="Times New Roman"/>
          <w:b/>
          <w:sz w:val="24"/>
          <w:szCs w:val="24"/>
        </w:rPr>
        <w:t>De la responsabilidad por la vulneración del principio de legalidad y retroactividad Art 9 de la CADH.</w:t>
      </w:r>
    </w:p>
    <w:p w14:paraId="00000146" w14:textId="4B97D82B"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113.- </w:t>
      </w:r>
      <w:r w:rsidR="00F86333" w:rsidRPr="00CD2013">
        <w:rPr>
          <w:rFonts w:ascii="Times New Roman" w:eastAsia="Times New Roman" w:hAnsi="Times New Roman" w:cs="Times New Roman"/>
          <w:sz w:val="24"/>
          <w:szCs w:val="24"/>
        </w:rPr>
        <w:t xml:space="preserve">En su Art 9 la CADH protege el principio de legalidad y retroactividad, sobre el cual la Honorable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considera que debe orientar y presidir las actuaciones de todas las instituciones del Estado y particularmente las de los órganos que adelanten el poder punitivo del Estado</w:t>
      </w:r>
      <w:r w:rsidR="00F86333" w:rsidRPr="00CD2013">
        <w:rPr>
          <w:rFonts w:ascii="Times New Roman" w:eastAsia="Times New Roman" w:hAnsi="Times New Roman" w:cs="Times New Roman"/>
          <w:sz w:val="24"/>
          <w:szCs w:val="24"/>
          <w:vertAlign w:val="superscript"/>
        </w:rPr>
        <w:footnoteReference w:id="65"/>
      </w:r>
      <w:r w:rsidR="00F86333" w:rsidRPr="00CD2013">
        <w:rPr>
          <w:rFonts w:ascii="Times New Roman" w:eastAsia="Times New Roman" w:hAnsi="Times New Roman" w:cs="Times New Roman"/>
          <w:sz w:val="24"/>
          <w:szCs w:val="24"/>
        </w:rPr>
        <w:t>, como en el presente caso el Juez Penal.</w:t>
      </w:r>
      <w:r w:rsidR="00F86333" w:rsidRPr="00CD2013">
        <w:rPr>
          <w:rFonts w:ascii="Times New Roman" w:eastAsia="Times New Roman" w:hAnsi="Times New Roman" w:cs="Times New Roman"/>
          <w:sz w:val="24"/>
          <w:szCs w:val="24"/>
        </w:rPr>
        <w:tab/>
      </w:r>
    </w:p>
    <w:p w14:paraId="00000147" w14:textId="6CA843E1"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114.- </w:t>
      </w:r>
      <w:r w:rsidR="00F86333" w:rsidRPr="00CD2013">
        <w:rPr>
          <w:rFonts w:ascii="Times New Roman" w:eastAsia="Times New Roman" w:hAnsi="Times New Roman" w:cs="Times New Roman"/>
          <w:sz w:val="24"/>
          <w:szCs w:val="24"/>
        </w:rPr>
        <w:t>En este mismo sentido, es labor del juez penal, respecto de la ley penal, “atenerse estrictamente a lo dispuesto por ésta y observar la mayor rigurosidad en el adecuamiento de la conducta de la persona incriminada al tipo, de forma tal que no incurra en la penalización de actos no punibles en el ordenamiento jurídico”</w:t>
      </w:r>
      <w:r w:rsidR="00F86333" w:rsidRPr="00CD2013">
        <w:rPr>
          <w:rFonts w:ascii="Times New Roman" w:eastAsia="Times New Roman" w:hAnsi="Times New Roman" w:cs="Times New Roman"/>
          <w:sz w:val="24"/>
          <w:szCs w:val="24"/>
          <w:vertAlign w:val="superscript"/>
        </w:rPr>
        <w:footnoteReference w:id="66"/>
      </w:r>
    </w:p>
    <w:p w14:paraId="00000148" w14:textId="75E71BFD"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Verdana" w:hAnsi="Times New Roman" w:cs="Times New Roman"/>
          <w:sz w:val="24"/>
          <w:szCs w:val="24"/>
        </w:rPr>
        <w:lastRenderedPageBreak/>
        <w:tab/>
      </w:r>
      <w:r w:rsidR="00105322">
        <w:rPr>
          <w:rFonts w:ascii="Times New Roman" w:eastAsia="Verdana" w:hAnsi="Times New Roman" w:cs="Times New Roman"/>
          <w:b/>
          <w:sz w:val="24"/>
          <w:szCs w:val="24"/>
        </w:rPr>
        <w:t xml:space="preserve">115.- </w:t>
      </w:r>
      <w:r w:rsidRPr="00CD2013">
        <w:rPr>
          <w:rFonts w:ascii="Times New Roman" w:eastAsia="Times New Roman" w:hAnsi="Times New Roman" w:cs="Times New Roman"/>
          <w:sz w:val="24"/>
          <w:szCs w:val="24"/>
        </w:rPr>
        <w:t xml:space="preserve">Dicho lo anterior, con el fin de determinar la manera en la que el Estado de Tributaria vulnero el principio de legalidad, debe citarse el artículo 222 del código penal de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 xml:space="preserve">, bajo el cual se condenó a prisión a Maritza a 4 años de prisión. </w:t>
      </w:r>
    </w:p>
    <w:p w14:paraId="00000149" w14:textId="77777777" w:rsidR="00BE1A9D" w:rsidRPr="00CD2013" w:rsidRDefault="00F86333" w:rsidP="00CD2013">
      <w:pPr>
        <w:spacing w:line="360" w:lineRule="auto"/>
        <w:ind w:left="720"/>
        <w:rPr>
          <w:rFonts w:ascii="Times New Roman" w:eastAsia="Times New Roman" w:hAnsi="Times New Roman" w:cs="Times New Roman"/>
          <w:sz w:val="24"/>
          <w:szCs w:val="24"/>
        </w:rPr>
      </w:pPr>
      <w:r w:rsidRPr="00CD2013">
        <w:rPr>
          <w:rFonts w:ascii="Times New Roman" w:eastAsia="Times New Roman" w:hAnsi="Times New Roman" w:cs="Times New Roman"/>
          <w:b/>
          <w:sz w:val="24"/>
          <w:szCs w:val="24"/>
        </w:rPr>
        <w:t xml:space="preserve">Art 222: </w:t>
      </w:r>
      <w:r w:rsidRPr="00CD2013">
        <w:rPr>
          <w:rFonts w:ascii="Times New Roman" w:eastAsia="Times New Roman" w:hAnsi="Times New Roman" w:cs="Times New Roman"/>
          <w:sz w:val="24"/>
          <w:szCs w:val="24"/>
        </w:rPr>
        <w:t>El que con ánimo de obtener beneficio económico o para satisfacer los deseos de otro, induzca al comercio sexual a otra persona, o lo realice directamente, incurrirá en pena de prisión de 4 a 8 años y multa de 44 a 100 salarios mínimos legales mensuales vigentes.</w:t>
      </w:r>
    </w:p>
    <w:p w14:paraId="0000014A" w14:textId="610E6686"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105322">
        <w:rPr>
          <w:rFonts w:ascii="Times New Roman" w:eastAsia="Times New Roman" w:hAnsi="Times New Roman" w:cs="Times New Roman"/>
          <w:b/>
          <w:sz w:val="24"/>
          <w:szCs w:val="24"/>
        </w:rPr>
        <w:t xml:space="preserve">116.- </w:t>
      </w:r>
      <w:r w:rsidRPr="00CD2013">
        <w:rPr>
          <w:rFonts w:ascii="Times New Roman" w:eastAsia="Times New Roman" w:hAnsi="Times New Roman" w:cs="Times New Roman"/>
          <w:sz w:val="24"/>
          <w:szCs w:val="24"/>
        </w:rPr>
        <w:t xml:space="preserve">Así, el Juzgado 3 en lo penal de </w:t>
      </w:r>
      <w:proofErr w:type="spellStart"/>
      <w:r w:rsidRPr="00CD2013">
        <w:rPr>
          <w:rFonts w:ascii="Times New Roman" w:eastAsia="Times New Roman" w:hAnsi="Times New Roman" w:cs="Times New Roman"/>
          <w:sz w:val="24"/>
          <w:szCs w:val="24"/>
        </w:rPr>
        <w:t>Ovomaltina</w:t>
      </w:r>
      <w:proofErr w:type="spellEnd"/>
      <w:r w:rsidRPr="00CD2013">
        <w:rPr>
          <w:rFonts w:ascii="Times New Roman" w:eastAsia="Times New Roman" w:hAnsi="Times New Roman" w:cs="Times New Roman"/>
          <w:sz w:val="24"/>
          <w:szCs w:val="24"/>
        </w:rPr>
        <w:t xml:space="preserve">, no debió condenar a Maritza toda vez que la </w:t>
      </w:r>
      <w:r w:rsidR="003F70BE" w:rsidRPr="00CD2013">
        <w:rPr>
          <w:rFonts w:ascii="Times New Roman" w:eastAsia="Times New Roman" w:hAnsi="Times New Roman" w:cs="Times New Roman"/>
          <w:sz w:val="24"/>
          <w:szCs w:val="24"/>
        </w:rPr>
        <w:t>fiscalía</w:t>
      </w:r>
      <w:r w:rsidRPr="00CD2013">
        <w:rPr>
          <w:rFonts w:ascii="Times New Roman" w:eastAsia="Times New Roman" w:hAnsi="Times New Roman" w:cs="Times New Roman"/>
          <w:sz w:val="24"/>
          <w:szCs w:val="24"/>
        </w:rPr>
        <w:t xml:space="preserve"> no aporto ninguna prueba que lo llevara a la certeza de que Maritza </w:t>
      </w:r>
      <w:r w:rsidR="003F70BE" w:rsidRPr="00CD2013">
        <w:rPr>
          <w:rFonts w:ascii="Times New Roman" w:eastAsia="Times New Roman" w:hAnsi="Times New Roman" w:cs="Times New Roman"/>
          <w:sz w:val="24"/>
          <w:szCs w:val="24"/>
        </w:rPr>
        <w:t>recurrió</w:t>
      </w:r>
      <w:r w:rsidRPr="00CD2013">
        <w:rPr>
          <w:rFonts w:ascii="Times New Roman" w:eastAsia="Times New Roman" w:hAnsi="Times New Roman" w:cs="Times New Roman"/>
          <w:sz w:val="24"/>
          <w:szCs w:val="24"/>
        </w:rPr>
        <w:t xml:space="preserve"> a la prostitución con </w:t>
      </w:r>
      <w:r w:rsidR="003F70BE" w:rsidRPr="00CD2013">
        <w:rPr>
          <w:rFonts w:ascii="Times New Roman" w:eastAsia="Times New Roman" w:hAnsi="Times New Roman" w:cs="Times New Roman"/>
          <w:sz w:val="24"/>
          <w:szCs w:val="24"/>
        </w:rPr>
        <w:t>ánimo</w:t>
      </w:r>
      <w:r w:rsidRPr="00CD2013">
        <w:rPr>
          <w:rFonts w:ascii="Times New Roman" w:eastAsia="Times New Roman" w:hAnsi="Times New Roman" w:cs="Times New Roman"/>
          <w:sz w:val="24"/>
          <w:szCs w:val="24"/>
        </w:rPr>
        <w:t xml:space="preserve"> de obtener un beneficio </w:t>
      </w:r>
      <w:r w:rsidR="003F70BE" w:rsidRPr="00CD2013">
        <w:rPr>
          <w:rFonts w:ascii="Times New Roman" w:eastAsia="Times New Roman" w:hAnsi="Times New Roman" w:cs="Times New Roman"/>
          <w:sz w:val="24"/>
          <w:szCs w:val="24"/>
        </w:rPr>
        <w:t>económico</w:t>
      </w:r>
      <w:r w:rsidRPr="00CD2013">
        <w:rPr>
          <w:rFonts w:ascii="Times New Roman" w:eastAsia="Times New Roman" w:hAnsi="Times New Roman" w:cs="Times New Roman"/>
          <w:sz w:val="24"/>
          <w:szCs w:val="24"/>
        </w:rPr>
        <w:t xml:space="preserve"> de tal actividad, por lo contrario, esta mujer alego que fue obligada a tener relaciones sexuales y evidentemente, tiempo </w:t>
      </w:r>
      <w:r w:rsidR="003F70BE" w:rsidRPr="00CD2013">
        <w:rPr>
          <w:rFonts w:ascii="Times New Roman" w:eastAsia="Times New Roman" w:hAnsi="Times New Roman" w:cs="Times New Roman"/>
          <w:sz w:val="24"/>
          <w:szCs w:val="24"/>
        </w:rPr>
        <w:t>después</w:t>
      </w:r>
      <w:r w:rsidRPr="00CD2013">
        <w:rPr>
          <w:rFonts w:ascii="Times New Roman" w:eastAsia="Times New Roman" w:hAnsi="Times New Roman" w:cs="Times New Roman"/>
          <w:sz w:val="24"/>
          <w:szCs w:val="24"/>
        </w:rPr>
        <w:t xml:space="preserve"> de que fue condenada se pudo esclarecer la verdad, de su </w:t>
      </w:r>
      <w:r w:rsidR="003F70BE" w:rsidRPr="00CD2013">
        <w:rPr>
          <w:rFonts w:ascii="Times New Roman" w:eastAsia="Times New Roman" w:hAnsi="Times New Roman" w:cs="Times New Roman"/>
          <w:sz w:val="24"/>
          <w:szCs w:val="24"/>
        </w:rPr>
        <w:t>condición</w:t>
      </w:r>
      <w:r w:rsidRPr="00CD2013">
        <w:rPr>
          <w:rFonts w:ascii="Times New Roman" w:eastAsia="Times New Roman" w:hAnsi="Times New Roman" w:cs="Times New Roman"/>
          <w:sz w:val="24"/>
          <w:szCs w:val="24"/>
        </w:rPr>
        <w:t xml:space="preserve"> como </w:t>
      </w:r>
      <w:r w:rsidR="003F70BE" w:rsidRPr="00CD2013">
        <w:rPr>
          <w:rFonts w:ascii="Times New Roman" w:eastAsia="Times New Roman" w:hAnsi="Times New Roman" w:cs="Times New Roman"/>
          <w:sz w:val="24"/>
          <w:szCs w:val="24"/>
        </w:rPr>
        <w:t>víctima</w:t>
      </w:r>
      <w:r w:rsidRPr="00CD2013">
        <w:rPr>
          <w:rFonts w:ascii="Times New Roman" w:eastAsia="Times New Roman" w:hAnsi="Times New Roman" w:cs="Times New Roman"/>
          <w:sz w:val="24"/>
          <w:szCs w:val="24"/>
        </w:rPr>
        <w:t xml:space="preserve"> de trata de personas.</w:t>
      </w:r>
    </w:p>
    <w:p w14:paraId="0000014B" w14:textId="4A185FB4"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117.- </w:t>
      </w:r>
      <w:r w:rsidR="00F86333" w:rsidRPr="00CD2013">
        <w:rPr>
          <w:rFonts w:ascii="Times New Roman" w:eastAsia="Times New Roman" w:hAnsi="Times New Roman" w:cs="Times New Roman"/>
          <w:sz w:val="24"/>
          <w:szCs w:val="24"/>
        </w:rPr>
        <w:t xml:space="preserve">Así, bajo el derecho de </w:t>
      </w:r>
      <w:r w:rsidR="003F70BE" w:rsidRPr="00CD2013">
        <w:rPr>
          <w:rFonts w:ascii="Times New Roman" w:eastAsia="Times New Roman" w:hAnsi="Times New Roman" w:cs="Times New Roman"/>
          <w:sz w:val="24"/>
          <w:szCs w:val="24"/>
        </w:rPr>
        <w:t>presunción</w:t>
      </w:r>
      <w:r w:rsidR="00F86333" w:rsidRPr="00CD2013">
        <w:rPr>
          <w:rFonts w:ascii="Times New Roman" w:eastAsia="Times New Roman" w:hAnsi="Times New Roman" w:cs="Times New Roman"/>
          <w:sz w:val="24"/>
          <w:szCs w:val="24"/>
        </w:rPr>
        <w:t xml:space="preserve"> de inocencia en directa </w:t>
      </w:r>
      <w:r w:rsidR="003F70BE" w:rsidRPr="00CD2013">
        <w:rPr>
          <w:rFonts w:ascii="Times New Roman" w:eastAsia="Times New Roman" w:hAnsi="Times New Roman" w:cs="Times New Roman"/>
          <w:sz w:val="24"/>
          <w:szCs w:val="24"/>
        </w:rPr>
        <w:t>relación</w:t>
      </w:r>
      <w:r w:rsidR="00F86333" w:rsidRPr="00CD2013">
        <w:rPr>
          <w:rFonts w:ascii="Times New Roman" w:eastAsia="Times New Roman" w:hAnsi="Times New Roman" w:cs="Times New Roman"/>
          <w:sz w:val="24"/>
          <w:szCs w:val="24"/>
        </w:rPr>
        <w:t xml:space="preserve"> con el principio de legalidad, el Juez penal debió notar que la conducta de Maritza, teniendo en cuenta el reducido acervo probatorio presentado por la </w:t>
      </w:r>
      <w:r w:rsidR="003F70BE" w:rsidRPr="00CD2013">
        <w:rPr>
          <w:rFonts w:ascii="Times New Roman" w:eastAsia="Times New Roman" w:hAnsi="Times New Roman" w:cs="Times New Roman"/>
          <w:sz w:val="24"/>
          <w:szCs w:val="24"/>
        </w:rPr>
        <w:t>Fiscalía</w:t>
      </w:r>
      <w:r w:rsidR="00F86333" w:rsidRPr="00CD2013">
        <w:rPr>
          <w:rFonts w:ascii="Times New Roman" w:eastAsia="Times New Roman" w:hAnsi="Times New Roman" w:cs="Times New Roman"/>
          <w:sz w:val="24"/>
          <w:szCs w:val="24"/>
        </w:rPr>
        <w:t xml:space="preserve"> y la denuncia hecha por ella misma en el interrogatorio mencionado en los hechos, no se ajustaba al tipo penal descrito en el Art 222, por lo cual no debió ser condenada.</w:t>
      </w:r>
    </w:p>
    <w:p w14:paraId="0000014C" w14:textId="6CE5E0EC"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118.- </w:t>
      </w:r>
      <w:r w:rsidR="00F86333" w:rsidRPr="00CD2013">
        <w:rPr>
          <w:rFonts w:ascii="Times New Roman" w:eastAsia="Times New Roman" w:hAnsi="Times New Roman" w:cs="Times New Roman"/>
          <w:sz w:val="24"/>
          <w:szCs w:val="24"/>
        </w:rPr>
        <w:t>Bajo esta óptica, en la medida que el juez no observó con rigurosidad que la conducta acusada se ajustara al supuesto de hechos descrito por el tipo penal</w:t>
      </w:r>
      <w:r w:rsidR="00F86333" w:rsidRPr="00CD2013">
        <w:rPr>
          <w:rFonts w:ascii="Times New Roman" w:eastAsia="Times New Roman" w:hAnsi="Times New Roman" w:cs="Times New Roman"/>
          <w:sz w:val="24"/>
          <w:szCs w:val="24"/>
          <w:vertAlign w:val="superscript"/>
        </w:rPr>
        <w:footnoteReference w:id="67"/>
      </w:r>
      <w:r w:rsidR="00F86333" w:rsidRPr="00CD2013">
        <w:rPr>
          <w:rFonts w:ascii="Times New Roman" w:eastAsia="Times New Roman" w:hAnsi="Times New Roman" w:cs="Times New Roman"/>
          <w:sz w:val="24"/>
          <w:szCs w:val="24"/>
        </w:rPr>
        <w:t xml:space="preserve"> del art 222, </w:t>
      </w:r>
      <w:r w:rsidR="003F70BE" w:rsidRPr="00CD2013">
        <w:rPr>
          <w:rFonts w:ascii="Times New Roman" w:eastAsia="Times New Roman" w:hAnsi="Times New Roman" w:cs="Times New Roman"/>
          <w:sz w:val="24"/>
          <w:szCs w:val="24"/>
        </w:rPr>
        <w:t>desconoció</w:t>
      </w:r>
      <w:r w:rsidR="00F86333" w:rsidRPr="00CD2013">
        <w:rPr>
          <w:rFonts w:ascii="Times New Roman" w:eastAsia="Times New Roman" w:hAnsi="Times New Roman" w:cs="Times New Roman"/>
          <w:sz w:val="24"/>
          <w:szCs w:val="24"/>
        </w:rPr>
        <w:t xml:space="preserve"> el principio de legalidad que enviste su </w:t>
      </w:r>
      <w:r w:rsidR="003F70BE" w:rsidRPr="00CD2013">
        <w:rPr>
          <w:rFonts w:ascii="Times New Roman" w:eastAsia="Times New Roman" w:hAnsi="Times New Roman" w:cs="Times New Roman"/>
          <w:sz w:val="24"/>
          <w:szCs w:val="24"/>
        </w:rPr>
        <w:t>función</w:t>
      </w:r>
      <w:r w:rsidR="00F86333" w:rsidRPr="00CD2013">
        <w:rPr>
          <w:rFonts w:ascii="Times New Roman" w:eastAsia="Times New Roman" w:hAnsi="Times New Roman" w:cs="Times New Roman"/>
          <w:sz w:val="24"/>
          <w:szCs w:val="24"/>
        </w:rPr>
        <w:t xml:space="preserve"> y la de todo funcionario del Estado, Contemplado en el Art 9 de la CADH, sino que como se dijo en los anteriores alegatos, vulnero el derecho de </w:t>
      </w:r>
      <w:r w:rsidR="003F70BE" w:rsidRPr="00CD2013">
        <w:rPr>
          <w:rFonts w:ascii="Times New Roman" w:eastAsia="Times New Roman" w:hAnsi="Times New Roman" w:cs="Times New Roman"/>
          <w:sz w:val="24"/>
          <w:szCs w:val="24"/>
        </w:rPr>
        <w:t>presunción</w:t>
      </w:r>
      <w:r w:rsidR="00F86333" w:rsidRPr="00CD2013">
        <w:rPr>
          <w:rFonts w:ascii="Times New Roman" w:eastAsia="Times New Roman" w:hAnsi="Times New Roman" w:cs="Times New Roman"/>
          <w:sz w:val="24"/>
          <w:szCs w:val="24"/>
        </w:rPr>
        <w:t xml:space="preserve"> de inocencia amparado por Art 8 del mismo instrumento.</w:t>
      </w:r>
    </w:p>
    <w:p w14:paraId="0000014D" w14:textId="1BCAB933" w:rsidR="00BE1A9D" w:rsidRPr="00F17FCF" w:rsidRDefault="00F17FCF" w:rsidP="00F17FCF">
      <w:pPr>
        <w:spacing w:line="360" w:lineRule="auto"/>
        <w:ind w:left="720"/>
        <w:rPr>
          <w:rFonts w:ascii="Times New Roman" w:eastAsia="Times New Roman" w:hAnsi="Times New Roman" w:cs="Times New Roman"/>
          <w:b/>
          <w:sz w:val="24"/>
          <w:szCs w:val="24"/>
        </w:rPr>
      </w:pPr>
      <w:r w:rsidRPr="00F17FCF">
        <w:rPr>
          <w:rFonts w:ascii="Times New Roman" w:eastAsia="Times New Roman" w:hAnsi="Times New Roman" w:cs="Times New Roman"/>
          <w:b/>
          <w:sz w:val="24"/>
          <w:szCs w:val="24"/>
        </w:rPr>
        <w:t xml:space="preserve">5.- </w:t>
      </w:r>
      <w:r w:rsidR="00F86333" w:rsidRPr="00F17FCF">
        <w:rPr>
          <w:rFonts w:ascii="Times New Roman" w:eastAsia="Times New Roman" w:hAnsi="Times New Roman" w:cs="Times New Roman"/>
          <w:b/>
          <w:sz w:val="24"/>
          <w:szCs w:val="24"/>
        </w:rPr>
        <w:t xml:space="preserve">Vulneración de los derechos en cabeza de </w:t>
      </w:r>
      <w:proofErr w:type="spellStart"/>
      <w:r w:rsidR="00F86333" w:rsidRPr="00F17FCF">
        <w:rPr>
          <w:rFonts w:ascii="Times New Roman" w:eastAsia="Times New Roman" w:hAnsi="Times New Roman" w:cs="Times New Roman"/>
          <w:b/>
          <w:sz w:val="24"/>
          <w:szCs w:val="24"/>
        </w:rPr>
        <w:t>Evarista</w:t>
      </w:r>
      <w:proofErr w:type="spellEnd"/>
      <w:r w:rsidR="00F86333" w:rsidRPr="00F17FCF">
        <w:rPr>
          <w:rFonts w:ascii="Times New Roman" w:eastAsia="Times New Roman" w:hAnsi="Times New Roman" w:cs="Times New Roman"/>
          <w:b/>
          <w:sz w:val="24"/>
          <w:szCs w:val="24"/>
        </w:rPr>
        <w:t xml:space="preserve"> Cristóbal por parte del Estado de Tributaria.</w:t>
      </w:r>
    </w:p>
    <w:p w14:paraId="0000014E" w14:textId="4B2F9DA3" w:rsidR="00BE1A9D" w:rsidRPr="00CD2013" w:rsidRDefault="00F17FCF" w:rsidP="00F17FCF">
      <w:pPr>
        <w:spacing w:line="360" w:lineRule="auto"/>
        <w:ind w:left="720"/>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a) </w:t>
      </w:r>
      <w:r w:rsidR="00F86333" w:rsidRPr="00CD2013">
        <w:rPr>
          <w:rFonts w:ascii="Times New Roman" w:eastAsia="Times New Roman" w:hAnsi="Times New Roman" w:cs="Times New Roman"/>
          <w:b/>
          <w:i/>
          <w:sz w:val="24"/>
          <w:szCs w:val="24"/>
        </w:rPr>
        <w:t xml:space="preserve">De la vulneración al derecho </w:t>
      </w:r>
      <w:proofErr w:type="gramStart"/>
      <w:r w:rsidR="00F86333" w:rsidRPr="00CD2013">
        <w:rPr>
          <w:rFonts w:ascii="Times New Roman" w:eastAsia="Times New Roman" w:hAnsi="Times New Roman" w:cs="Times New Roman"/>
          <w:b/>
          <w:i/>
          <w:sz w:val="24"/>
          <w:szCs w:val="24"/>
        </w:rPr>
        <w:t>de  protección</w:t>
      </w:r>
      <w:proofErr w:type="gramEnd"/>
      <w:r w:rsidR="00F86333" w:rsidRPr="00CD2013">
        <w:rPr>
          <w:rFonts w:ascii="Times New Roman" w:eastAsia="Times New Roman" w:hAnsi="Times New Roman" w:cs="Times New Roman"/>
          <w:b/>
          <w:i/>
          <w:sz w:val="24"/>
          <w:szCs w:val="24"/>
        </w:rPr>
        <w:t xml:space="preserve"> de la honra y dignidad artículo  11 CADH en relación con la Convención Belém Do Pará</w:t>
      </w:r>
    </w:p>
    <w:p w14:paraId="0000014F" w14:textId="7EB88597"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119.- </w:t>
      </w:r>
      <w:r w:rsidR="00F86333" w:rsidRPr="00CD2013">
        <w:rPr>
          <w:rFonts w:ascii="Times New Roman" w:eastAsia="Times New Roman" w:hAnsi="Times New Roman" w:cs="Times New Roman"/>
          <w:sz w:val="24"/>
          <w:szCs w:val="24"/>
        </w:rPr>
        <w:t xml:space="preserve">En relación con la defensa de las víctimas, en este caso de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Cristóbal, sus representantes consideran que su derecho de protección de la honra y la dignidad fue vulnerado por agentes del Estado de Tributaria, puesto </w:t>
      </w:r>
      <w:proofErr w:type="gramStart"/>
      <w:r w:rsidR="00F86333" w:rsidRPr="00CD2013">
        <w:rPr>
          <w:rFonts w:ascii="Times New Roman" w:eastAsia="Times New Roman" w:hAnsi="Times New Roman" w:cs="Times New Roman"/>
          <w:sz w:val="24"/>
          <w:szCs w:val="24"/>
        </w:rPr>
        <w:t>que  crearon</w:t>
      </w:r>
      <w:proofErr w:type="gramEnd"/>
      <w:r w:rsidR="00F86333" w:rsidRPr="00CD2013">
        <w:rPr>
          <w:rFonts w:ascii="Times New Roman" w:eastAsia="Times New Roman" w:hAnsi="Times New Roman" w:cs="Times New Roman"/>
          <w:sz w:val="24"/>
          <w:szCs w:val="24"/>
        </w:rPr>
        <w:t xml:space="preserve"> una </w:t>
      </w:r>
      <w:r w:rsidR="00F86333" w:rsidRPr="00CD2013">
        <w:rPr>
          <w:rFonts w:ascii="Times New Roman" w:eastAsia="Times New Roman" w:hAnsi="Times New Roman" w:cs="Times New Roman"/>
          <w:sz w:val="24"/>
          <w:szCs w:val="24"/>
        </w:rPr>
        <w:lastRenderedPageBreak/>
        <w:t xml:space="preserve">estigmatización hacia las personas que han sido encontradas en el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rPr>
        <w:t xml:space="preserve">, víctimas de la trata de persona como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w:t>
      </w:r>
    </w:p>
    <w:p w14:paraId="00000150" w14:textId="32153C82"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120.- </w:t>
      </w:r>
      <w:r w:rsidR="00F86333" w:rsidRPr="00CD2013">
        <w:rPr>
          <w:rFonts w:ascii="Times New Roman" w:eastAsia="Times New Roman" w:hAnsi="Times New Roman" w:cs="Times New Roman"/>
          <w:sz w:val="24"/>
          <w:szCs w:val="24"/>
        </w:rPr>
        <w:t xml:space="preserve">Como se indicó anteriormente, existió una estigmatización de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al tacharla de prostituta de lujo, se vulneró el derecho a la dignidad que consistente en que cada hombre debe ser respetado por su condición humana, tal como lo ha señalado Romina V. </w:t>
      </w:r>
      <w:proofErr w:type="spellStart"/>
      <w:r w:rsidR="00F86333" w:rsidRPr="00CD2013">
        <w:rPr>
          <w:rFonts w:ascii="Times New Roman" w:eastAsia="Times New Roman" w:hAnsi="Times New Roman" w:cs="Times New Roman"/>
          <w:sz w:val="24"/>
          <w:szCs w:val="24"/>
        </w:rPr>
        <w:t>Petrino</w:t>
      </w:r>
      <w:proofErr w:type="spellEnd"/>
      <w:r w:rsidR="00F86333" w:rsidRPr="00CD2013">
        <w:rPr>
          <w:rFonts w:ascii="Times New Roman" w:eastAsia="Times New Roman" w:hAnsi="Times New Roman" w:cs="Times New Roman"/>
          <w:sz w:val="24"/>
          <w:szCs w:val="24"/>
        </w:rPr>
        <w:t xml:space="preserve"> en el comentario realizado al artículo 11 de la CADH.</w:t>
      </w:r>
      <w:r w:rsidR="00F86333" w:rsidRPr="00CD2013">
        <w:rPr>
          <w:rFonts w:ascii="Times New Roman" w:eastAsia="Times New Roman" w:hAnsi="Times New Roman" w:cs="Times New Roman"/>
          <w:sz w:val="24"/>
          <w:szCs w:val="24"/>
          <w:vertAlign w:val="superscript"/>
        </w:rPr>
        <w:footnoteReference w:id="68"/>
      </w:r>
      <w:r w:rsidR="00F86333" w:rsidRPr="00CD2013">
        <w:rPr>
          <w:rFonts w:ascii="Times New Roman" w:eastAsia="Times New Roman" w:hAnsi="Times New Roman" w:cs="Times New Roman"/>
          <w:sz w:val="24"/>
          <w:szCs w:val="24"/>
        </w:rPr>
        <w:t xml:space="preserve"> </w:t>
      </w:r>
    </w:p>
    <w:p w14:paraId="00000151" w14:textId="2B60E3B8"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121.- </w:t>
      </w:r>
      <w:r w:rsidR="00F86333" w:rsidRPr="00CD2013">
        <w:rPr>
          <w:rFonts w:ascii="Times New Roman" w:eastAsia="Times New Roman" w:hAnsi="Times New Roman" w:cs="Times New Roman"/>
          <w:sz w:val="24"/>
          <w:szCs w:val="24"/>
        </w:rPr>
        <w:t xml:space="preserve">A partir de lo anterior, hay que resaltar que la </w:t>
      </w:r>
      <w:proofErr w:type="spellStart"/>
      <w:r w:rsidR="00F86333" w:rsidRPr="00CD2013">
        <w:rPr>
          <w:rFonts w:ascii="Times New Roman" w:eastAsia="Times New Roman" w:hAnsi="Times New Roman" w:cs="Times New Roman"/>
          <w:sz w:val="24"/>
          <w:szCs w:val="24"/>
        </w:rPr>
        <w:t>CorteIDH</w:t>
      </w:r>
      <w:proofErr w:type="spellEnd"/>
      <w:r w:rsidR="00F86333" w:rsidRPr="00CD2013">
        <w:rPr>
          <w:rFonts w:ascii="Times New Roman" w:eastAsia="Times New Roman" w:hAnsi="Times New Roman" w:cs="Times New Roman"/>
          <w:sz w:val="24"/>
          <w:szCs w:val="24"/>
        </w:rPr>
        <w:t xml:space="preserve"> ha reconocido que la violencia contra la mujer, no solo constituye una violación de los derechos humanos, sino que es una ofensa a la dignidad humana y una manifestación de las relaciones de poder históricamente desiguales entre mujeres y hombres, que trasciende en todos los sectores de la sociedad independientemente de su raza, clase o grupo étnico, </w:t>
      </w:r>
      <w:r w:rsidR="003F70BE" w:rsidRPr="00CD2013">
        <w:rPr>
          <w:rFonts w:ascii="Times New Roman" w:eastAsia="Times New Roman" w:hAnsi="Times New Roman" w:cs="Times New Roman"/>
          <w:sz w:val="24"/>
          <w:szCs w:val="24"/>
        </w:rPr>
        <w:t>etc.</w:t>
      </w:r>
      <w:r w:rsidR="00F86333" w:rsidRPr="00CD2013">
        <w:rPr>
          <w:rFonts w:ascii="Times New Roman" w:eastAsia="Times New Roman" w:hAnsi="Times New Roman" w:cs="Times New Roman"/>
          <w:sz w:val="24"/>
          <w:szCs w:val="24"/>
        </w:rPr>
        <w:t>, afecta negativamente sus propias bases.</w:t>
      </w:r>
      <w:r w:rsidR="00F86333" w:rsidRPr="00CD2013">
        <w:rPr>
          <w:rFonts w:ascii="Times New Roman" w:eastAsia="Times New Roman" w:hAnsi="Times New Roman" w:cs="Times New Roman"/>
          <w:sz w:val="24"/>
          <w:szCs w:val="24"/>
          <w:vertAlign w:val="superscript"/>
        </w:rPr>
        <w:footnoteReference w:id="69"/>
      </w:r>
      <w:r w:rsidR="00F86333" w:rsidRPr="00CD2013">
        <w:rPr>
          <w:rFonts w:ascii="Times New Roman" w:eastAsia="Times New Roman" w:hAnsi="Times New Roman" w:cs="Times New Roman"/>
          <w:sz w:val="24"/>
          <w:szCs w:val="24"/>
        </w:rPr>
        <w:t xml:space="preserve"> </w:t>
      </w:r>
    </w:p>
    <w:p w14:paraId="00000152" w14:textId="6C1D2707"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122.- </w:t>
      </w:r>
      <w:r w:rsidR="00F86333" w:rsidRPr="00CD2013">
        <w:rPr>
          <w:rFonts w:ascii="Times New Roman" w:eastAsia="Times New Roman" w:hAnsi="Times New Roman" w:cs="Times New Roman"/>
          <w:sz w:val="24"/>
          <w:szCs w:val="24"/>
        </w:rPr>
        <w:t xml:space="preserve">De lo expuesto en el párrafo anterior surge para la representación de la víctima la necesidad de aclarar ante este honorable tribunal que los hechos del caso muestran claramente como ya se dijo, la estigmatización como prostituta de lujo por </w:t>
      </w:r>
      <w:proofErr w:type="gramStart"/>
      <w:r w:rsidR="00F86333" w:rsidRPr="00CD2013">
        <w:rPr>
          <w:rFonts w:ascii="Times New Roman" w:eastAsia="Times New Roman" w:hAnsi="Times New Roman" w:cs="Times New Roman"/>
          <w:sz w:val="24"/>
          <w:szCs w:val="24"/>
        </w:rPr>
        <w:t>la actividades ejercidas</w:t>
      </w:r>
      <w:proofErr w:type="gramEnd"/>
      <w:r w:rsidR="00F86333" w:rsidRPr="00CD2013">
        <w:rPr>
          <w:rFonts w:ascii="Times New Roman" w:eastAsia="Times New Roman" w:hAnsi="Times New Roman" w:cs="Times New Roman"/>
          <w:sz w:val="24"/>
          <w:szCs w:val="24"/>
        </w:rPr>
        <w:t xml:space="preserve"> por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aun cuando estas eran realizadas en virtud del engaño sufrido por ella a raíz del contacto que tuvo con la A.E “La Libertad” y con el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w:t>
      </w:r>
    </w:p>
    <w:p w14:paraId="00000153" w14:textId="0683CE85" w:rsidR="00BE1A9D" w:rsidRPr="00CD2013" w:rsidRDefault="00105322"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123.-</w:t>
      </w:r>
      <w:r w:rsidR="00F86333" w:rsidRPr="00CD2013">
        <w:rPr>
          <w:rFonts w:ascii="Times New Roman" w:eastAsia="Times New Roman" w:hAnsi="Times New Roman" w:cs="Times New Roman"/>
          <w:sz w:val="24"/>
          <w:szCs w:val="24"/>
        </w:rPr>
        <w:t xml:space="preserve">Para los fines de nuestro </w:t>
      </w:r>
      <w:proofErr w:type="gramStart"/>
      <w:r w:rsidR="00F86333" w:rsidRPr="00CD2013">
        <w:rPr>
          <w:rFonts w:ascii="Times New Roman" w:eastAsia="Times New Roman" w:hAnsi="Times New Roman" w:cs="Times New Roman"/>
          <w:sz w:val="24"/>
          <w:szCs w:val="24"/>
        </w:rPr>
        <w:t>argumento,  si</w:t>
      </w:r>
      <w:proofErr w:type="gramEnd"/>
      <w:r w:rsidR="00F86333" w:rsidRPr="00CD2013">
        <w:rPr>
          <w:rFonts w:ascii="Times New Roman" w:eastAsia="Times New Roman" w:hAnsi="Times New Roman" w:cs="Times New Roman"/>
          <w:sz w:val="24"/>
          <w:szCs w:val="24"/>
        </w:rPr>
        <w:t xml:space="preserve"> bien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Colón  tenía conocimiento de que iría al Estado de Tributaria a bailar, actividad que hacía parte de su proyecto de vida. Paralelo a </w:t>
      </w:r>
      <w:proofErr w:type="gramStart"/>
      <w:r w:rsidR="00F86333" w:rsidRPr="00CD2013">
        <w:rPr>
          <w:rFonts w:ascii="Times New Roman" w:eastAsia="Times New Roman" w:hAnsi="Times New Roman" w:cs="Times New Roman"/>
          <w:sz w:val="24"/>
          <w:szCs w:val="24"/>
        </w:rPr>
        <w:t xml:space="preserve">esto  </w:t>
      </w:r>
      <w:r w:rsidR="003F70BE" w:rsidRPr="00CD2013">
        <w:rPr>
          <w:rFonts w:ascii="Times New Roman" w:eastAsia="Times New Roman" w:hAnsi="Times New Roman" w:cs="Times New Roman"/>
          <w:sz w:val="24"/>
          <w:szCs w:val="24"/>
        </w:rPr>
        <w:t>ejercía</w:t>
      </w:r>
      <w:proofErr w:type="gramEnd"/>
      <w:r w:rsidR="00F86333" w:rsidRPr="00CD2013">
        <w:rPr>
          <w:rFonts w:ascii="Times New Roman" w:eastAsia="Times New Roman" w:hAnsi="Times New Roman" w:cs="Times New Roman"/>
          <w:sz w:val="24"/>
          <w:szCs w:val="24"/>
        </w:rPr>
        <w:t xml:space="preserve"> la prostitución intermitentemente, pero debía entregar la mitad del pago por sus servicios sexuales al  </w:t>
      </w:r>
      <w:proofErr w:type="spellStart"/>
      <w:r w:rsidR="00F86333" w:rsidRPr="00CD2013">
        <w:rPr>
          <w:rFonts w:ascii="Times New Roman" w:eastAsia="Times New Roman" w:hAnsi="Times New Roman" w:cs="Times New Roman"/>
          <w:sz w:val="24"/>
          <w:szCs w:val="24"/>
        </w:rPr>
        <w:t>Führer</w:t>
      </w:r>
      <w:proofErr w:type="spellEnd"/>
      <w:r w:rsidR="00F86333" w:rsidRPr="00CD2013">
        <w:rPr>
          <w:rFonts w:ascii="Times New Roman" w:eastAsia="Times New Roman" w:hAnsi="Times New Roman" w:cs="Times New Roman"/>
          <w:sz w:val="24"/>
          <w:szCs w:val="24"/>
        </w:rPr>
        <w:t xml:space="preserve"> con el fin de producir réditos al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rPr>
        <w:t xml:space="preserve">, pues se había convertido en una estrella del </w:t>
      </w:r>
      <w:proofErr w:type="spellStart"/>
      <w:r w:rsidR="00F86333" w:rsidRPr="00CD2013">
        <w:rPr>
          <w:rFonts w:ascii="Times New Roman" w:eastAsia="Times New Roman" w:hAnsi="Times New Roman" w:cs="Times New Roman"/>
          <w:sz w:val="24"/>
          <w:szCs w:val="24"/>
        </w:rPr>
        <w:t>Karamba</w:t>
      </w:r>
      <w:proofErr w:type="spellEnd"/>
      <w:r w:rsidR="00F86333" w:rsidRPr="00CD2013">
        <w:rPr>
          <w:rFonts w:ascii="Times New Roman" w:eastAsia="Times New Roman" w:hAnsi="Times New Roman" w:cs="Times New Roman"/>
          <w:sz w:val="24"/>
          <w:szCs w:val="24"/>
        </w:rPr>
        <w:t>.</w:t>
      </w:r>
      <w:r w:rsidR="00F86333" w:rsidRPr="00CD2013">
        <w:rPr>
          <w:rFonts w:ascii="Times New Roman" w:eastAsia="Times New Roman" w:hAnsi="Times New Roman" w:cs="Times New Roman"/>
          <w:sz w:val="24"/>
          <w:szCs w:val="24"/>
          <w:vertAlign w:val="superscript"/>
        </w:rPr>
        <w:footnoteReference w:id="70"/>
      </w:r>
    </w:p>
    <w:p w14:paraId="00000155" w14:textId="6CA9967A" w:rsidR="00BE1A9D" w:rsidRPr="00F17FCF" w:rsidRDefault="00105322" w:rsidP="00F17FCF">
      <w:pPr>
        <w:spacing w:line="360" w:lineRule="auto"/>
        <w:ind w:firstLine="720"/>
        <w:rPr>
          <w:rFonts w:ascii="Times New Roman" w:hAnsi="Times New Roman" w:cs="Times New Roman"/>
          <w:color w:val="333333"/>
          <w:sz w:val="24"/>
          <w:szCs w:val="24"/>
        </w:rPr>
      </w:pPr>
      <w:r>
        <w:rPr>
          <w:rFonts w:ascii="Times New Roman" w:eastAsia="Times New Roman" w:hAnsi="Times New Roman" w:cs="Times New Roman"/>
          <w:b/>
          <w:sz w:val="24"/>
          <w:szCs w:val="24"/>
        </w:rPr>
        <w:t xml:space="preserve">124.- </w:t>
      </w:r>
      <w:r w:rsidR="00F86333" w:rsidRPr="00CD2013">
        <w:rPr>
          <w:rFonts w:ascii="Times New Roman" w:eastAsia="Times New Roman" w:hAnsi="Times New Roman" w:cs="Times New Roman"/>
          <w:sz w:val="24"/>
          <w:szCs w:val="24"/>
        </w:rPr>
        <w:t xml:space="preserve">Lo anteriormente dicho por la defensa de la víctima desencadena una serie de conductas que resultan mostrando un caso de eminente trata de personas pues esta “práctica” ha sido definida en el ámbito internacional como lo estipula el Protocolo de Palermo en su artículo 3, literal a), por esto, debe recalcarse la situación a la que es sometida la Sra. </w:t>
      </w:r>
      <w:proofErr w:type="spellStart"/>
      <w:r w:rsidR="00F86333" w:rsidRPr="00CD2013">
        <w:rPr>
          <w:rFonts w:ascii="Times New Roman" w:eastAsia="Times New Roman" w:hAnsi="Times New Roman" w:cs="Times New Roman"/>
          <w:sz w:val="24"/>
          <w:szCs w:val="24"/>
        </w:rPr>
        <w:t>Evarista</w:t>
      </w:r>
      <w:proofErr w:type="spellEnd"/>
      <w:r w:rsidR="00F86333" w:rsidRPr="00CD2013">
        <w:rPr>
          <w:rFonts w:ascii="Times New Roman" w:eastAsia="Times New Roman" w:hAnsi="Times New Roman" w:cs="Times New Roman"/>
          <w:sz w:val="24"/>
          <w:szCs w:val="24"/>
        </w:rPr>
        <w:t xml:space="preserve"> por parte de la Fiscal que interroga y posteriormente formula cargos contra nuestra defendida.</w:t>
      </w:r>
    </w:p>
    <w:p w14:paraId="60AAC7E7" w14:textId="77777777" w:rsidR="00105322" w:rsidRDefault="00F17FCF" w:rsidP="00CD2013">
      <w:pPr>
        <w:spacing w:line="360" w:lineRule="auto"/>
        <w:rPr>
          <w:rFonts w:ascii="Times New Roman" w:eastAsia="Times New Roman" w:hAnsi="Times New Roman" w:cs="Times New Roman"/>
          <w:b/>
          <w:sz w:val="24"/>
          <w:szCs w:val="24"/>
        </w:rPr>
      </w:pPr>
      <w:r w:rsidRPr="00F17FCF">
        <w:rPr>
          <w:rFonts w:ascii="Times New Roman" w:eastAsia="Times New Roman" w:hAnsi="Times New Roman" w:cs="Times New Roman"/>
          <w:b/>
          <w:sz w:val="24"/>
          <w:szCs w:val="24"/>
        </w:rPr>
        <w:t>6.- DE LAS REPARACIONES</w:t>
      </w:r>
    </w:p>
    <w:p w14:paraId="00000158" w14:textId="12C3DA10" w:rsidR="00BE1A9D" w:rsidRPr="00105322" w:rsidRDefault="00105322" w:rsidP="007703F4">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125.-</w:t>
      </w:r>
      <w:r w:rsidR="00F86333" w:rsidRPr="00CD2013">
        <w:rPr>
          <w:rFonts w:ascii="Times New Roman" w:eastAsia="Times New Roman" w:hAnsi="Times New Roman" w:cs="Times New Roman"/>
          <w:sz w:val="24"/>
          <w:szCs w:val="24"/>
        </w:rPr>
        <w:t>En vista de la existencia de un nexo causal</w:t>
      </w:r>
      <w:r w:rsidR="00F86333" w:rsidRPr="00CD2013">
        <w:rPr>
          <w:rFonts w:ascii="Times New Roman" w:eastAsia="Times New Roman" w:hAnsi="Times New Roman" w:cs="Times New Roman"/>
          <w:sz w:val="24"/>
          <w:szCs w:val="24"/>
          <w:vertAlign w:val="superscript"/>
        </w:rPr>
        <w:footnoteReference w:id="71"/>
      </w:r>
      <w:r w:rsidR="00F86333" w:rsidRPr="00CD2013">
        <w:rPr>
          <w:rFonts w:ascii="Times New Roman" w:eastAsia="Times New Roman" w:hAnsi="Times New Roman" w:cs="Times New Roman"/>
          <w:sz w:val="24"/>
          <w:szCs w:val="24"/>
        </w:rPr>
        <w:t xml:space="preserve"> entre los hechos y el daño generado hacia las </w:t>
      </w:r>
      <w:r w:rsidR="003F70BE" w:rsidRPr="00CD2013">
        <w:rPr>
          <w:rFonts w:ascii="Times New Roman" w:eastAsia="Times New Roman" w:hAnsi="Times New Roman" w:cs="Times New Roman"/>
          <w:sz w:val="24"/>
          <w:szCs w:val="24"/>
        </w:rPr>
        <w:t>víctimas</w:t>
      </w:r>
      <w:r w:rsidR="00F86333" w:rsidRPr="00CD2013">
        <w:rPr>
          <w:rFonts w:ascii="Times New Roman" w:eastAsia="Times New Roman" w:hAnsi="Times New Roman" w:cs="Times New Roman"/>
          <w:sz w:val="24"/>
          <w:szCs w:val="24"/>
        </w:rPr>
        <w:t xml:space="preserve"> que deben considerarse como partes agraviadas. Por </w:t>
      </w:r>
      <w:proofErr w:type="gramStart"/>
      <w:r w:rsidR="00F86333" w:rsidRPr="00CD2013">
        <w:rPr>
          <w:rFonts w:ascii="Times New Roman" w:eastAsia="Times New Roman" w:hAnsi="Times New Roman" w:cs="Times New Roman"/>
          <w:sz w:val="24"/>
          <w:szCs w:val="24"/>
        </w:rPr>
        <w:t>tanto</w:t>
      </w:r>
      <w:proofErr w:type="gramEnd"/>
      <w:r w:rsidR="00F86333" w:rsidRPr="00CD2013">
        <w:rPr>
          <w:rFonts w:ascii="Times New Roman" w:eastAsia="Times New Roman" w:hAnsi="Times New Roman" w:cs="Times New Roman"/>
          <w:sz w:val="24"/>
          <w:szCs w:val="24"/>
        </w:rPr>
        <w:t xml:space="preserve"> solicitamos la adopción de todas las siguientes medidas de reparación, en base al artículo 63.1 de la CADH: </w:t>
      </w:r>
    </w:p>
    <w:p w14:paraId="00000159" w14:textId="77777777" w:rsidR="00BE1A9D" w:rsidRPr="00CD2013"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 xml:space="preserve">Medidas de rehabilitación: </w:t>
      </w:r>
    </w:p>
    <w:p w14:paraId="0000015A" w14:textId="5A951703"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703F4">
        <w:rPr>
          <w:rFonts w:ascii="Times New Roman" w:eastAsia="Times New Roman" w:hAnsi="Times New Roman" w:cs="Times New Roman"/>
          <w:b/>
          <w:sz w:val="24"/>
          <w:szCs w:val="24"/>
        </w:rPr>
        <w:t xml:space="preserve">126.- </w:t>
      </w:r>
      <w:r w:rsidRPr="00CD2013">
        <w:rPr>
          <w:rFonts w:ascii="Times New Roman" w:eastAsia="Times New Roman" w:hAnsi="Times New Roman" w:cs="Times New Roman"/>
          <w:sz w:val="24"/>
          <w:szCs w:val="24"/>
        </w:rPr>
        <w:t xml:space="preserve">Debido a los hechos de tortura y vulneración de la dignidad de las </w:t>
      </w:r>
      <w:r w:rsidR="003F70BE" w:rsidRPr="00CD2013">
        <w:rPr>
          <w:rFonts w:ascii="Times New Roman" w:eastAsia="Times New Roman" w:hAnsi="Times New Roman" w:cs="Times New Roman"/>
          <w:sz w:val="24"/>
          <w:szCs w:val="24"/>
        </w:rPr>
        <w:t>víctimas</w:t>
      </w:r>
      <w:r w:rsidRPr="00CD2013">
        <w:rPr>
          <w:rFonts w:ascii="Times New Roman" w:eastAsia="Times New Roman" w:hAnsi="Times New Roman" w:cs="Times New Roman"/>
          <w:sz w:val="24"/>
          <w:szCs w:val="24"/>
        </w:rPr>
        <w:t>, solicitamos se brinde a ambas un completo tratamiento médico-</w:t>
      </w:r>
      <w:r w:rsidR="003F70BE" w:rsidRPr="00CD2013">
        <w:rPr>
          <w:rFonts w:ascii="Times New Roman" w:eastAsia="Times New Roman" w:hAnsi="Times New Roman" w:cs="Times New Roman"/>
          <w:sz w:val="24"/>
          <w:szCs w:val="24"/>
        </w:rPr>
        <w:t>psicológico</w:t>
      </w:r>
      <w:r w:rsidRPr="00CD2013">
        <w:rPr>
          <w:rFonts w:ascii="Times New Roman" w:eastAsia="Times New Roman" w:hAnsi="Times New Roman" w:cs="Times New Roman"/>
          <w:sz w:val="24"/>
          <w:szCs w:val="24"/>
        </w:rPr>
        <w:t xml:space="preserve">, que le </w:t>
      </w:r>
      <w:r w:rsidR="003F70BE" w:rsidRPr="00CD2013">
        <w:rPr>
          <w:rFonts w:ascii="Times New Roman" w:eastAsia="Times New Roman" w:hAnsi="Times New Roman" w:cs="Times New Roman"/>
          <w:sz w:val="24"/>
          <w:szCs w:val="24"/>
        </w:rPr>
        <w:t>permita</w:t>
      </w:r>
      <w:r w:rsidRPr="00CD2013">
        <w:rPr>
          <w:rFonts w:ascii="Times New Roman" w:eastAsia="Times New Roman" w:hAnsi="Times New Roman" w:cs="Times New Roman"/>
          <w:sz w:val="24"/>
          <w:szCs w:val="24"/>
        </w:rPr>
        <w:t xml:space="preserve"> recuperar la estabilidad emocional y </w:t>
      </w:r>
      <w:r w:rsidR="003F70BE" w:rsidRPr="00CD2013">
        <w:rPr>
          <w:rFonts w:ascii="Times New Roman" w:eastAsia="Times New Roman" w:hAnsi="Times New Roman" w:cs="Times New Roman"/>
          <w:sz w:val="24"/>
          <w:szCs w:val="24"/>
        </w:rPr>
        <w:t>psíquica</w:t>
      </w:r>
      <w:r w:rsidRPr="00CD2013">
        <w:rPr>
          <w:rFonts w:ascii="Times New Roman" w:eastAsia="Times New Roman" w:hAnsi="Times New Roman" w:cs="Times New Roman"/>
          <w:sz w:val="24"/>
          <w:szCs w:val="24"/>
        </w:rPr>
        <w:t xml:space="preserve">; el cual sea costeado en su totalidad por el Estado de Tributaria por conducto de las oficinas consulares en el Estado de </w:t>
      </w:r>
      <w:proofErr w:type="spellStart"/>
      <w:r w:rsidRPr="00CD2013">
        <w:rPr>
          <w:rFonts w:ascii="Times New Roman" w:eastAsia="Times New Roman" w:hAnsi="Times New Roman" w:cs="Times New Roman"/>
          <w:sz w:val="24"/>
          <w:szCs w:val="24"/>
        </w:rPr>
        <w:t>Fangoria</w:t>
      </w:r>
      <w:proofErr w:type="spellEnd"/>
      <w:r w:rsidRPr="00CD2013">
        <w:rPr>
          <w:rFonts w:ascii="Times New Roman" w:eastAsia="Times New Roman" w:hAnsi="Times New Roman" w:cs="Times New Roman"/>
          <w:sz w:val="24"/>
          <w:szCs w:val="24"/>
        </w:rPr>
        <w:t>.</w:t>
      </w:r>
    </w:p>
    <w:p w14:paraId="0000015B" w14:textId="77777777" w:rsidR="00BE1A9D" w:rsidRPr="00CD2013"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Medidas de Satisfacción:</w:t>
      </w:r>
    </w:p>
    <w:p w14:paraId="0000015C" w14:textId="44C9CAF1"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b/>
          <w:sz w:val="24"/>
          <w:szCs w:val="24"/>
        </w:rPr>
        <w:tab/>
      </w:r>
      <w:r w:rsidR="007703F4">
        <w:rPr>
          <w:rFonts w:ascii="Times New Roman" w:eastAsia="Times New Roman" w:hAnsi="Times New Roman" w:cs="Times New Roman"/>
          <w:b/>
          <w:sz w:val="24"/>
          <w:szCs w:val="24"/>
        </w:rPr>
        <w:t xml:space="preserve">127.- </w:t>
      </w:r>
      <w:r w:rsidRPr="00CD2013">
        <w:rPr>
          <w:rFonts w:ascii="Times New Roman" w:eastAsia="Times New Roman" w:hAnsi="Times New Roman" w:cs="Times New Roman"/>
          <w:sz w:val="24"/>
          <w:szCs w:val="24"/>
        </w:rPr>
        <w:t>El Estado de Tributaria debe realizar un acto público en el cual manifieste el reconocimiento de la responsabilidad internacional, y disculpas públicas, dentro de los 3 meses siguientes a la emisión de la sentencia.</w:t>
      </w:r>
    </w:p>
    <w:p w14:paraId="0000015D" w14:textId="70A8BF73"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703F4">
        <w:rPr>
          <w:rFonts w:ascii="Times New Roman" w:eastAsia="Times New Roman" w:hAnsi="Times New Roman" w:cs="Times New Roman"/>
          <w:b/>
          <w:sz w:val="24"/>
          <w:szCs w:val="24"/>
        </w:rPr>
        <w:t xml:space="preserve">128.- </w:t>
      </w:r>
      <w:r w:rsidRPr="00CD2013">
        <w:rPr>
          <w:rFonts w:ascii="Times New Roman" w:eastAsia="Times New Roman" w:hAnsi="Times New Roman" w:cs="Times New Roman"/>
          <w:sz w:val="24"/>
          <w:szCs w:val="24"/>
        </w:rPr>
        <w:t xml:space="preserve">Deberá el Estado de Tributaria publicar un resumen de la sentencia condenatoria emitida por la Corte IDH en el </w:t>
      </w:r>
      <w:r w:rsidR="003F70BE" w:rsidRPr="00CD2013">
        <w:rPr>
          <w:rFonts w:ascii="Times New Roman" w:eastAsia="Times New Roman" w:hAnsi="Times New Roman" w:cs="Times New Roman"/>
          <w:sz w:val="24"/>
          <w:szCs w:val="24"/>
        </w:rPr>
        <w:t>periódico</w:t>
      </w:r>
      <w:r w:rsidRPr="00CD2013">
        <w:rPr>
          <w:rFonts w:ascii="Times New Roman" w:eastAsia="Times New Roman" w:hAnsi="Times New Roman" w:cs="Times New Roman"/>
          <w:sz w:val="24"/>
          <w:szCs w:val="24"/>
        </w:rPr>
        <w:t xml:space="preserve"> oficial del país, y en aquellos de mayor circulación nacional durante un periodo de 6 meses. </w:t>
      </w:r>
    </w:p>
    <w:p w14:paraId="0000015E" w14:textId="40019EC2" w:rsidR="00BE1A9D" w:rsidRPr="00CD2013"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 xml:space="preserve">Medidas de </w:t>
      </w:r>
      <w:r w:rsidR="003F70BE" w:rsidRPr="00CD2013">
        <w:rPr>
          <w:rFonts w:ascii="Times New Roman" w:eastAsia="Times New Roman" w:hAnsi="Times New Roman" w:cs="Times New Roman"/>
          <w:b/>
          <w:sz w:val="24"/>
          <w:szCs w:val="24"/>
        </w:rPr>
        <w:t>Garantía</w:t>
      </w:r>
      <w:r w:rsidRPr="00CD2013">
        <w:rPr>
          <w:rFonts w:ascii="Times New Roman" w:eastAsia="Times New Roman" w:hAnsi="Times New Roman" w:cs="Times New Roman"/>
          <w:b/>
          <w:sz w:val="24"/>
          <w:szCs w:val="24"/>
        </w:rPr>
        <w:t xml:space="preserve"> de no repetición:</w:t>
      </w:r>
    </w:p>
    <w:p w14:paraId="0000015F" w14:textId="7A432E04"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b/>
          <w:sz w:val="24"/>
          <w:szCs w:val="24"/>
        </w:rPr>
        <w:tab/>
      </w:r>
      <w:r w:rsidR="007703F4">
        <w:rPr>
          <w:rFonts w:ascii="Times New Roman" w:eastAsia="Times New Roman" w:hAnsi="Times New Roman" w:cs="Times New Roman"/>
          <w:b/>
          <w:sz w:val="24"/>
          <w:szCs w:val="24"/>
        </w:rPr>
        <w:t xml:space="preserve">129.- </w:t>
      </w:r>
      <w:r w:rsidRPr="00CD2013">
        <w:rPr>
          <w:rFonts w:ascii="Times New Roman" w:eastAsia="Times New Roman" w:hAnsi="Times New Roman" w:cs="Times New Roman"/>
          <w:sz w:val="24"/>
          <w:szCs w:val="24"/>
        </w:rPr>
        <w:t xml:space="preserve">El Estado de Tributaria deberá impulsar programas de capacitación y formación dirigida a todo funcionario o servidor público, que tenga contacto con personas </w:t>
      </w:r>
      <w:r w:rsidR="003F70BE" w:rsidRPr="00CD2013">
        <w:rPr>
          <w:rFonts w:ascii="Times New Roman" w:eastAsia="Times New Roman" w:hAnsi="Times New Roman" w:cs="Times New Roman"/>
          <w:sz w:val="24"/>
          <w:szCs w:val="24"/>
        </w:rPr>
        <w:t>víctimas</w:t>
      </w:r>
      <w:r w:rsidRPr="00CD2013">
        <w:rPr>
          <w:rFonts w:ascii="Times New Roman" w:eastAsia="Times New Roman" w:hAnsi="Times New Roman" w:cs="Times New Roman"/>
          <w:sz w:val="24"/>
          <w:szCs w:val="24"/>
        </w:rPr>
        <w:t xml:space="preserve"> de violencia sexual, con el fin de sensibilizarlos. Los programas deben ir dirigidos al cumplimiento de los </w:t>
      </w:r>
      <w:r w:rsidR="00F17FCF" w:rsidRPr="00CD2013">
        <w:rPr>
          <w:rFonts w:ascii="Times New Roman" w:eastAsia="Times New Roman" w:hAnsi="Times New Roman" w:cs="Times New Roman"/>
          <w:sz w:val="24"/>
          <w:szCs w:val="24"/>
        </w:rPr>
        <w:t>estándares</w:t>
      </w:r>
      <w:r w:rsidRPr="00CD2013">
        <w:rPr>
          <w:rFonts w:ascii="Times New Roman" w:eastAsia="Times New Roman" w:hAnsi="Times New Roman" w:cs="Times New Roman"/>
          <w:sz w:val="24"/>
          <w:szCs w:val="24"/>
        </w:rPr>
        <w:t xml:space="preserve"> internacionales enmarcados en la CADH y el Protocolo de Palermo. </w:t>
      </w:r>
    </w:p>
    <w:p w14:paraId="00000160" w14:textId="77777777" w:rsidR="00BE1A9D" w:rsidRPr="00CD2013"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Indemnización Compensatoria:</w:t>
      </w:r>
    </w:p>
    <w:p w14:paraId="00000161" w14:textId="5D90110E" w:rsidR="00BE1A9D" w:rsidRPr="00CD2013" w:rsidRDefault="00F86333" w:rsidP="00CD2013">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ab/>
      </w:r>
      <w:r w:rsidR="007703F4">
        <w:rPr>
          <w:rFonts w:ascii="Times New Roman" w:eastAsia="Times New Roman" w:hAnsi="Times New Roman" w:cs="Times New Roman"/>
          <w:b/>
          <w:sz w:val="24"/>
          <w:szCs w:val="24"/>
        </w:rPr>
        <w:t xml:space="preserve">130.- </w:t>
      </w:r>
      <w:r w:rsidRPr="00CD2013">
        <w:rPr>
          <w:rFonts w:ascii="Times New Roman" w:eastAsia="Times New Roman" w:hAnsi="Times New Roman" w:cs="Times New Roman"/>
          <w:sz w:val="24"/>
          <w:szCs w:val="24"/>
        </w:rPr>
        <w:t xml:space="preserve">Para concluir, esta representación, solicita una indemnización monetaria integral para las </w:t>
      </w:r>
      <w:r w:rsidR="00F17FCF" w:rsidRPr="00CD2013">
        <w:rPr>
          <w:rFonts w:ascii="Times New Roman" w:eastAsia="Times New Roman" w:hAnsi="Times New Roman" w:cs="Times New Roman"/>
          <w:sz w:val="24"/>
          <w:szCs w:val="24"/>
        </w:rPr>
        <w:t>víctimas</w:t>
      </w:r>
      <w:r w:rsidRPr="00CD2013">
        <w:rPr>
          <w:rFonts w:ascii="Times New Roman" w:eastAsia="Times New Roman" w:hAnsi="Times New Roman" w:cs="Times New Roman"/>
          <w:sz w:val="24"/>
          <w:szCs w:val="24"/>
        </w:rPr>
        <w:t xml:space="preserve"> que comprenda:</w:t>
      </w:r>
    </w:p>
    <w:p w14:paraId="00000162" w14:textId="77777777" w:rsidR="00BE1A9D" w:rsidRPr="00CD2013" w:rsidRDefault="00F86333" w:rsidP="00CD2013">
      <w:pPr>
        <w:numPr>
          <w:ilvl w:val="0"/>
          <w:numId w:val="1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El daño material, el cual debe incluir </w:t>
      </w:r>
      <w:proofErr w:type="gramStart"/>
      <w:r w:rsidRPr="00CD2013">
        <w:rPr>
          <w:rFonts w:ascii="Times New Roman" w:eastAsia="Times New Roman" w:hAnsi="Times New Roman" w:cs="Times New Roman"/>
          <w:sz w:val="24"/>
          <w:szCs w:val="24"/>
        </w:rPr>
        <w:t>el  lucro</w:t>
      </w:r>
      <w:proofErr w:type="gramEnd"/>
      <w:r w:rsidRPr="00CD2013">
        <w:rPr>
          <w:rFonts w:ascii="Times New Roman" w:eastAsia="Times New Roman" w:hAnsi="Times New Roman" w:cs="Times New Roman"/>
          <w:sz w:val="24"/>
          <w:szCs w:val="24"/>
        </w:rPr>
        <w:t xml:space="preserve"> cesante; y,</w:t>
      </w:r>
    </w:p>
    <w:p w14:paraId="00000163" w14:textId="780AE40C" w:rsidR="00BE1A9D" w:rsidRPr="00CD2013" w:rsidRDefault="00F86333" w:rsidP="00CD2013">
      <w:pPr>
        <w:numPr>
          <w:ilvl w:val="0"/>
          <w:numId w:val="15"/>
        </w:num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El daño inmaterial causado por el menoscabo en la </w:t>
      </w:r>
      <w:r w:rsidR="00F17FCF" w:rsidRPr="00CD2013">
        <w:rPr>
          <w:rFonts w:ascii="Times New Roman" w:eastAsia="Times New Roman" w:hAnsi="Times New Roman" w:cs="Times New Roman"/>
          <w:sz w:val="24"/>
          <w:szCs w:val="24"/>
        </w:rPr>
        <w:t>integridad</w:t>
      </w:r>
      <w:r w:rsidRPr="00CD2013">
        <w:rPr>
          <w:rFonts w:ascii="Times New Roman" w:eastAsia="Times New Roman" w:hAnsi="Times New Roman" w:cs="Times New Roman"/>
          <w:sz w:val="24"/>
          <w:szCs w:val="24"/>
        </w:rPr>
        <w:t xml:space="preserve"> humana.</w:t>
      </w:r>
    </w:p>
    <w:p w14:paraId="00000165" w14:textId="79170DBC" w:rsidR="00BE1A9D" w:rsidRPr="00F17FCF"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 xml:space="preserve">Daño Material: </w:t>
      </w:r>
    </w:p>
    <w:p w14:paraId="00000166" w14:textId="2BCF7AC4" w:rsidR="00BE1A9D" w:rsidRPr="00CD2013" w:rsidRDefault="007703F4" w:rsidP="00CD201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131.- </w:t>
      </w:r>
      <w:r w:rsidR="00F86333" w:rsidRPr="00CD2013">
        <w:rPr>
          <w:rFonts w:ascii="Times New Roman" w:eastAsia="Times New Roman" w:hAnsi="Times New Roman" w:cs="Times New Roman"/>
          <w:sz w:val="24"/>
          <w:szCs w:val="24"/>
        </w:rPr>
        <w:t xml:space="preserve">En concepto del lucro cesante, las victimas al ser recluidas en prisión preventiva fueron privadas de las </w:t>
      </w:r>
      <w:r w:rsidR="00F17FCF" w:rsidRPr="00CD2013">
        <w:rPr>
          <w:rFonts w:ascii="Times New Roman" w:eastAsia="Times New Roman" w:hAnsi="Times New Roman" w:cs="Times New Roman"/>
          <w:sz w:val="24"/>
          <w:szCs w:val="24"/>
        </w:rPr>
        <w:t>expectativas</w:t>
      </w:r>
      <w:r w:rsidR="00F86333" w:rsidRPr="00CD2013">
        <w:rPr>
          <w:rFonts w:ascii="Times New Roman" w:eastAsia="Times New Roman" w:hAnsi="Times New Roman" w:cs="Times New Roman"/>
          <w:sz w:val="24"/>
          <w:szCs w:val="24"/>
        </w:rPr>
        <w:t xml:space="preserve"> de una vida laboral en el país, y de los posibles ingresos monetarios que las victimas podrían recibir por concepto de salarios, prestaciones y demás </w:t>
      </w:r>
      <w:r w:rsidR="00F86333" w:rsidRPr="00CD2013">
        <w:rPr>
          <w:rFonts w:ascii="Times New Roman" w:eastAsia="Times New Roman" w:hAnsi="Times New Roman" w:cs="Times New Roman"/>
          <w:sz w:val="24"/>
          <w:szCs w:val="24"/>
        </w:rPr>
        <w:lastRenderedPageBreak/>
        <w:t xml:space="preserve">beneficios laborales. En vista de estos hechos, solicitamos la cantidad de $2.000 dólares americanos para las </w:t>
      </w:r>
      <w:r w:rsidR="00F17FCF" w:rsidRPr="00CD2013">
        <w:rPr>
          <w:rFonts w:ascii="Times New Roman" w:eastAsia="Times New Roman" w:hAnsi="Times New Roman" w:cs="Times New Roman"/>
          <w:sz w:val="24"/>
          <w:szCs w:val="24"/>
        </w:rPr>
        <w:t>víctimas</w:t>
      </w:r>
      <w:r w:rsidR="00F86333" w:rsidRPr="00CD2013">
        <w:rPr>
          <w:rFonts w:ascii="Times New Roman" w:eastAsia="Times New Roman" w:hAnsi="Times New Roman" w:cs="Times New Roman"/>
          <w:sz w:val="24"/>
          <w:szCs w:val="24"/>
        </w:rPr>
        <w:t xml:space="preserve"> del caso.</w:t>
      </w:r>
    </w:p>
    <w:p w14:paraId="00000167" w14:textId="77777777" w:rsidR="00BE1A9D" w:rsidRPr="00CD2013" w:rsidRDefault="00F86333" w:rsidP="00CD2013">
      <w:pPr>
        <w:spacing w:line="360" w:lineRule="auto"/>
        <w:rPr>
          <w:rFonts w:ascii="Times New Roman" w:eastAsia="Times New Roman" w:hAnsi="Times New Roman" w:cs="Times New Roman"/>
          <w:b/>
          <w:sz w:val="24"/>
          <w:szCs w:val="24"/>
        </w:rPr>
      </w:pPr>
      <w:r w:rsidRPr="00CD2013">
        <w:rPr>
          <w:rFonts w:ascii="Times New Roman" w:eastAsia="Times New Roman" w:hAnsi="Times New Roman" w:cs="Times New Roman"/>
          <w:b/>
          <w:sz w:val="24"/>
          <w:szCs w:val="24"/>
        </w:rPr>
        <w:t>Daño Inmaterial:</w:t>
      </w:r>
    </w:p>
    <w:p w14:paraId="00000168" w14:textId="61E696CF" w:rsidR="00BE1A9D" w:rsidRDefault="007703F4" w:rsidP="007703F4">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132.- </w:t>
      </w:r>
      <w:r w:rsidR="00F86333" w:rsidRPr="00CD2013">
        <w:rPr>
          <w:rFonts w:ascii="Times New Roman" w:eastAsia="Times New Roman" w:hAnsi="Times New Roman" w:cs="Times New Roman"/>
          <w:sz w:val="24"/>
          <w:szCs w:val="24"/>
        </w:rPr>
        <w:t xml:space="preserve">Durante el tiempo que las victimas permanecieron en territorio </w:t>
      </w:r>
      <w:proofErr w:type="spellStart"/>
      <w:r w:rsidR="00F86333" w:rsidRPr="00CD2013">
        <w:rPr>
          <w:rFonts w:ascii="Times New Roman" w:eastAsia="Times New Roman" w:hAnsi="Times New Roman" w:cs="Times New Roman"/>
          <w:sz w:val="24"/>
          <w:szCs w:val="24"/>
        </w:rPr>
        <w:t>Tributarense</w:t>
      </w:r>
      <w:proofErr w:type="spellEnd"/>
      <w:r w:rsidR="00F86333" w:rsidRPr="00CD2013">
        <w:rPr>
          <w:rFonts w:ascii="Times New Roman" w:eastAsia="Times New Roman" w:hAnsi="Times New Roman" w:cs="Times New Roman"/>
          <w:sz w:val="24"/>
          <w:szCs w:val="24"/>
        </w:rPr>
        <w:t xml:space="preserve">, fueron objeto de </w:t>
      </w:r>
      <w:r w:rsidR="00F17FCF">
        <w:rPr>
          <w:rFonts w:ascii="Times New Roman" w:eastAsia="Times New Roman" w:hAnsi="Times New Roman" w:cs="Times New Roman"/>
          <w:sz w:val="24"/>
          <w:szCs w:val="24"/>
        </w:rPr>
        <w:t>acciones discriminatorias, tra</w:t>
      </w:r>
      <w:r w:rsidR="00F86333" w:rsidRPr="00CD2013">
        <w:rPr>
          <w:rFonts w:ascii="Times New Roman" w:eastAsia="Times New Roman" w:hAnsi="Times New Roman" w:cs="Times New Roman"/>
          <w:sz w:val="24"/>
          <w:szCs w:val="24"/>
        </w:rPr>
        <w:t xml:space="preserve">tos degradantes y </w:t>
      </w:r>
      <w:r w:rsidR="00F17FCF" w:rsidRPr="00CD2013">
        <w:rPr>
          <w:rFonts w:ascii="Times New Roman" w:eastAsia="Times New Roman" w:hAnsi="Times New Roman" w:cs="Times New Roman"/>
          <w:sz w:val="24"/>
          <w:szCs w:val="24"/>
        </w:rPr>
        <w:t>por</w:t>
      </w:r>
      <w:r w:rsidR="00F86333" w:rsidRPr="00CD2013">
        <w:rPr>
          <w:rFonts w:ascii="Times New Roman" w:eastAsia="Times New Roman" w:hAnsi="Times New Roman" w:cs="Times New Roman"/>
          <w:sz w:val="24"/>
          <w:szCs w:val="24"/>
        </w:rPr>
        <w:t xml:space="preserve"> ende un menoscabo a su dignidad humana e integridad personal, por lo que como representantes de las victimas nos parece adecuado que se les otorgue una indemnización de </w:t>
      </w:r>
      <w:r>
        <w:rPr>
          <w:rFonts w:ascii="Times New Roman" w:eastAsia="Times New Roman" w:hAnsi="Times New Roman" w:cs="Times New Roman"/>
          <w:sz w:val="24"/>
          <w:szCs w:val="24"/>
        </w:rPr>
        <w:t xml:space="preserve">$5,000 dólares estadounidenses a la Sra. </w:t>
      </w:r>
      <w:proofErr w:type="spellStart"/>
      <w:r>
        <w:rPr>
          <w:rFonts w:ascii="Times New Roman" w:eastAsia="Times New Roman" w:hAnsi="Times New Roman" w:cs="Times New Roman"/>
          <w:sz w:val="24"/>
          <w:szCs w:val="24"/>
        </w:rPr>
        <w:t>Evarista</w:t>
      </w:r>
      <w:proofErr w:type="spellEnd"/>
      <w:r>
        <w:rPr>
          <w:rFonts w:ascii="Times New Roman" w:eastAsia="Times New Roman" w:hAnsi="Times New Roman" w:cs="Times New Roman"/>
          <w:sz w:val="24"/>
          <w:szCs w:val="24"/>
        </w:rPr>
        <w:t xml:space="preserve"> Cristóbal y </w:t>
      </w:r>
      <w:r w:rsidR="00F86333" w:rsidRPr="00CD201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suma de $10,000 dólares estadounidenses </w:t>
      </w:r>
      <w:r w:rsidR="00F86333" w:rsidRPr="00CD2013">
        <w:rPr>
          <w:rFonts w:ascii="Times New Roman" w:eastAsia="Times New Roman" w:hAnsi="Times New Roman" w:cs="Times New Roman"/>
          <w:sz w:val="24"/>
          <w:szCs w:val="24"/>
        </w:rPr>
        <w:t xml:space="preserve">a la Sra. Maritza Guerra; o una cifra más elevada según el criterio de equidad y </w:t>
      </w:r>
      <w:r w:rsidR="00F17FCF" w:rsidRPr="00CD2013">
        <w:rPr>
          <w:rFonts w:ascii="Times New Roman" w:eastAsia="Times New Roman" w:hAnsi="Times New Roman" w:cs="Times New Roman"/>
          <w:sz w:val="24"/>
          <w:szCs w:val="24"/>
        </w:rPr>
        <w:t>razonabilidad</w:t>
      </w:r>
      <w:r w:rsidR="00F86333" w:rsidRPr="00CD2013">
        <w:rPr>
          <w:rFonts w:ascii="Times New Roman" w:eastAsia="Times New Roman" w:hAnsi="Times New Roman" w:cs="Times New Roman"/>
          <w:sz w:val="24"/>
          <w:szCs w:val="24"/>
        </w:rPr>
        <w:t xml:space="preserve"> que emite la Honorable Corte IDH en </w:t>
      </w:r>
      <w:r w:rsidR="00F17FCF">
        <w:rPr>
          <w:rFonts w:ascii="Times New Roman" w:eastAsia="Times New Roman" w:hAnsi="Times New Roman" w:cs="Times New Roman"/>
          <w:sz w:val="24"/>
          <w:szCs w:val="24"/>
        </w:rPr>
        <w:t xml:space="preserve">la sentencia que resuelve el caso. </w:t>
      </w:r>
    </w:p>
    <w:p w14:paraId="106210A8" w14:textId="1D25AC77" w:rsidR="00F17FCF" w:rsidRPr="00F17FCF" w:rsidRDefault="00F17FCF" w:rsidP="00CD2013">
      <w:pPr>
        <w:spacing w:line="360" w:lineRule="auto"/>
        <w:rPr>
          <w:rFonts w:ascii="Times New Roman" w:eastAsia="Times New Roman" w:hAnsi="Times New Roman" w:cs="Times New Roman"/>
          <w:b/>
          <w:sz w:val="24"/>
          <w:szCs w:val="24"/>
        </w:rPr>
      </w:pPr>
      <w:r w:rsidRPr="00F17FCF">
        <w:rPr>
          <w:rFonts w:ascii="Times New Roman" w:eastAsia="Times New Roman" w:hAnsi="Times New Roman" w:cs="Times New Roman"/>
          <w:b/>
          <w:sz w:val="24"/>
          <w:szCs w:val="24"/>
        </w:rPr>
        <w:t xml:space="preserve"> 7.- PETITORIO</w:t>
      </w:r>
    </w:p>
    <w:p w14:paraId="1D314C3A" w14:textId="281C0E17" w:rsidR="00F17FCF" w:rsidRPr="00CD2013" w:rsidRDefault="00F86333" w:rsidP="00F17FCF">
      <w:pPr>
        <w:spacing w:line="360" w:lineRule="auto"/>
        <w:ind w:firstLine="720"/>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w:t>
      </w:r>
      <w:r w:rsidR="007703F4">
        <w:rPr>
          <w:rFonts w:ascii="Times New Roman" w:eastAsia="Times New Roman" w:hAnsi="Times New Roman" w:cs="Times New Roman"/>
          <w:b/>
          <w:sz w:val="24"/>
          <w:szCs w:val="24"/>
        </w:rPr>
        <w:t xml:space="preserve">133.- </w:t>
      </w:r>
      <w:r w:rsidR="00F17FCF" w:rsidRPr="00CD2013">
        <w:rPr>
          <w:rFonts w:ascii="Times New Roman" w:eastAsia="Times New Roman" w:hAnsi="Times New Roman" w:cs="Times New Roman"/>
          <w:sz w:val="24"/>
          <w:szCs w:val="24"/>
        </w:rPr>
        <w:t xml:space="preserve">Por los argumentos </w:t>
      </w:r>
      <w:r w:rsidR="00F17FCF" w:rsidRPr="007703F4">
        <w:rPr>
          <w:rFonts w:ascii="Times New Roman" w:eastAsia="Times New Roman" w:hAnsi="Times New Roman" w:cs="Times New Roman"/>
          <w:sz w:val="24"/>
          <w:szCs w:val="24"/>
        </w:rPr>
        <w:t>de</w:t>
      </w:r>
      <w:r w:rsidR="00F17FCF" w:rsidRPr="007703F4">
        <w:rPr>
          <w:rFonts w:ascii="Times New Roman" w:eastAsia="Times New Roman" w:hAnsi="Times New Roman" w:cs="Times New Roman"/>
          <w:i/>
          <w:sz w:val="24"/>
          <w:szCs w:val="24"/>
        </w:rPr>
        <w:t xml:space="preserve"> facto </w:t>
      </w:r>
      <w:r w:rsidR="00F17FCF" w:rsidRPr="007703F4">
        <w:rPr>
          <w:rFonts w:ascii="Times New Roman" w:eastAsia="Times New Roman" w:hAnsi="Times New Roman" w:cs="Times New Roman"/>
          <w:sz w:val="24"/>
          <w:szCs w:val="24"/>
        </w:rPr>
        <w:t>y de</w:t>
      </w:r>
      <w:r w:rsidR="00F17FCF" w:rsidRPr="007703F4">
        <w:rPr>
          <w:rFonts w:ascii="Times New Roman" w:eastAsia="Times New Roman" w:hAnsi="Times New Roman" w:cs="Times New Roman"/>
          <w:i/>
          <w:sz w:val="24"/>
          <w:szCs w:val="24"/>
        </w:rPr>
        <w:t xml:space="preserve"> jure</w:t>
      </w:r>
      <w:r w:rsidR="00F17FCF" w:rsidRPr="00CD2013">
        <w:rPr>
          <w:rFonts w:ascii="Times New Roman" w:eastAsia="Times New Roman" w:hAnsi="Times New Roman" w:cs="Times New Roman"/>
          <w:sz w:val="24"/>
          <w:szCs w:val="24"/>
        </w:rPr>
        <w:t xml:space="preserve"> esgrimidos, muy respetuosamente, esta Representación solicita a la </w:t>
      </w:r>
      <w:proofErr w:type="spellStart"/>
      <w:r w:rsidR="00F17FCF" w:rsidRPr="00CD2013">
        <w:rPr>
          <w:rFonts w:ascii="Times New Roman" w:eastAsia="Times New Roman" w:hAnsi="Times New Roman" w:cs="Times New Roman"/>
          <w:sz w:val="24"/>
          <w:szCs w:val="24"/>
        </w:rPr>
        <w:t>CorteIDH</w:t>
      </w:r>
      <w:proofErr w:type="spellEnd"/>
      <w:r w:rsidR="00F17FCF" w:rsidRPr="00CD2013">
        <w:rPr>
          <w:rFonts w:ascii="Times New Roman" w:eastAsia="Times New Roman" w:hAnsi="Times New Roman" w:cs="Times New Roman"/>
          <w:sz w:val="24"/>
          <w:szCs w:val="24"/>
        </w:rPr>
        <w:t>, la declaración de responsabilidad internacional del Estado de Tributaria</w:t>
      </w:r>
      <w:r w:rsidR="00344907">
        <w:rPr>
          <w:rFonts w:ascii="Times New Roman" w:eastAsia="Times New Roman" w:hAnsi="Times New Roman" w:cs="Times New Roman"/>
          <w:sz w:val="24"/>
          <w:szCs w:val="24"/>
        </w:rPr>
        <w:t xml:space="preserve"> en virtud de lo establecido en el artículo 63.1 de la CADH</w:t>
      </w:r>
      <w:r w:rsidR="00F17FCF" w:rsidRPr="00CD2013">
        <w:rPr>
          <w:rFonts w:ascii="Times New Roman" w:eastAsia="Times New Roman" w:hAnsi="Times New Roman" w:cs="Times New Roman"/>
          <w:sz w:val="24"/>
          <w:szCs w:val="24"/>
        </w:rPr>
        <w:t>, por incumplir sus obligaciones internacionales de respeto y garantía en cuanto a los art. 7, 8, 11, 24 y 26 en menosc</w:t>
      </w:r>
      <w:r w:rsidR="00F17FCF">
        <w:rPr>
          <w:rFonts w:ascii="Times New Roman" w:eastAsia="Times New Roman" w:hAnsi="Times New Roman" w:cs="Times New Roman"/>
          <w:sz w:val="24"/>
          <w:szCs w:val="24"/>
        </w:rPr>
        <w:t xml:space="preserve">abo de la  Sra. </w:t>
      </w:r>
      <w:proofErr w:type="spellStart"/>
      <w:r w:rsidR="00F17FCF">
        <w:rPr>
          <w:rFonts w:ascii="Times New Roman" w:eastAsia="Times New Roman" w:hAnsi="Times New Roman" w:cs="Times New Roman"/>
          <w:sz w:val="24"/>
          <w:szCs w:val="24"/>
        </w:rPr>
        <w:t>Evarista</w:t>
      </w:r>
      <w:proofErr w:type="spellEnd"/>
      <w:r w:rsidR="00F17FCF">
        <w:rPr>
          <w:rFonts w:ascii="Times New Roman" w:eastAsia="Times New Roman" w:hAnsi="Times New Roman" w:cs="Times New Roman"/>
          <w:sz w:val="24"/>
          <w:szCs w:val="24"/>
        </w:rPr>
        <w:t xml:space="preserve"> Cristóbal</w:t>
      </w:r>
      <w:r w:rsidR="00F17FCF" w:rsidRPr="00CD2013">
        <w:rPr>
          <w:rFonts w:ascii="Times New Roman" w:eastAsia="Times New Roman" w:hAnsi="Times New Roman" w:cs="Times New Roman"/>
          <w:sz w:val="24"/>
          <w:szCs w:val="24"/>
        </w:rPr>
        <w:t xml:space="preserve"> y la Sra. Maritza Guerra; y los art 5 y 17, específicamente en perjuicio de la Sra. Maritza Guerra y su hijo James; todos en relación con los arts. 1,1 y 2 de la CADH.</w:t>
      </w:r>
    </w:p>
    <w:p w14:paraId="0000016A" w14:textId="79145C99" w:rsidR="00BE1A9D" w:rsidRPr="00CD2013" w:rsidRDefault="00F86333" w:rsidP="00F17FCF">
      <w:pPr>
        <w:spacing w:line="360" w:lineRule="auto"/>
        <w:rPr>
          <w:rFonts w:ascii="Times New Roman" w:eastAsia="Times New Roman" w:hAnsi="Times New Roman" w:cs="Times New Roman"/>
          <w:sz w:val="24"/>
          <w:szCs w:val="24"/>
        </w:rPr>
      </w:pPr>
      <w:r w:rsidRPr="00CD2013">
        <w:rPr>
          <w:rFonts w:ascii="Times New Roman" w:eastAsia="Times New Roman" w:hAnsi="Times New Roman" w:cs="Times New Roman"/>
          <w:sz w:val="24"/>
          <w:szCs w:val="24"/>
        </w:rPr>
        <w:t xml:space="preserve"> </w:t>
      </w:r>
    </w:p>
    <w:p w14:paraId="0000016B" w14:textId="77777777" w:rsidR="00BE1A9D" w:rsidRPr="00CD2013" w:rsidRDefault="00BE1A9D" w:rsidP="00CD2013">
      <w:pPr>
        <w:spacing w:line="360" w:lineRule="auto"/>
        <w:rPr>
          <w:rFonts w:ascii="Times New Roman" w:eastAsia="Times New Roman" w:hAnsi="Times New Roman" w:cs="Times New Roman"/>
          <w:sz w:val="24"/>
          <w:szCs w:val="24"/>
        </w:rPr>
      </w:pPr>
    </w:p>
    <w:p w14:paraId="0000016C"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6D"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6E"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6F"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70"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7B" w14:textId="49958A7C" w:rsidR="00BE1A9D" w:rsidRPr="00CD2013" w:rsidRDefault="00BE1A9D" w:rsidP="00344907">
      <w:pPr>
        <w:spacing w:line="360" w:lineRule="auto"/>
        <w:rPr>
          <w:rFonts w:ascii="Times New Roman" w:eastAsia="Times New Roman" w:hAnsi="Times New Roman" w:cs="Times New Roman"/>
          <w:sz w:val="24"/>
          <w:szCs w:val="24"/>
        </w:rPr>
      </w:pPr>
    </w:p>
    <w:p w14:paraId="0000017C" w14:textId="77777777" w:rsidR="00BE1A9D" w:rsidRPr="00CD2013" w:rsidRDefault="00BE1A9D" w:rsidP="00CD2013">
      <w:pPr>
        <w:spacing w:line="360" w:lineRule="auto"/>
        <w:ind w:left="720"/>
        <w:rPr>
          <w:rFonts w:ascii="Times New Roman" w:eastAsia="Times New Roman" w:hAnsi="Times New Roman" w:cs="Times New Roman"/>
          <w:b/>
          <w:i/>
          <w:sz w:val="24"/>
          <w:szCs w:val="24"/>
        </w:rPr>
      </w:pPr>
    </w:p>
    <w:p w14:paraId="0000017D" w14:textId="77777777" w:rsidR="00BE1A9D" w:rsidRPr="00CD2013" w:rsidRDefault="00BE1A9D" w:rsidP="00CD2013">
      <w:pPr>
        <w:spacing w:line="360" w:lineRule="auto"/>
        <w:ind w:left="720"/>
        <w:rPr>
          <w:rFonts w:ascii="Times New Roman" w:eastAsia="Times New Roman" w:hAnsi="Times New Roman" w:cs="Times New Roman"/>
          <w:b/>
          <w:i/>
          <w:sz w:val="24"/>
          <w:szCs w:val="24"/>
        </w:rPr>
      </w:pPr>
    </w:p>
    <w:p w14:paraId="0000017E" w14:textId="77777777" w:rsidR="00BE1A9D" w:rsidRPr="00CD2013" w:rsidRDefault="00BE1A9D" w:rsidP="00CD2013">
      <w:pPr>
        <w:spacing w:line="360" w:lineRule="auto"/>
        <w:ind w:firstLine="720"/>
        <w:rPr>
          <w:rFonts w:ascii="Times New Roman" w:eastAsia="Times New Roman" w:hAnsi="Times New Roman" w:cs="Times New Roman"/>
          <w:sz w:val="24"/>
          <w:szCs w:val="24"/>
        </w:rPr>
      </w:pPr>
    </w:p>
    <w:p w14:paraId="0000017F" w14:textId="77777777" w:rsidR="00BE1A9D" w:rsidRPr="00CD2013" w:rsidRDefault="00BE1A9D" w:rsidP="00CD2013">
      <w:pPr>
        <w:spacing w:line="360" w:lineRule="auto"/>
        <w:ind w:left="720"/>
        <w:rPr>
          <w:rFonts w:ascii="Times New Roman" w:eastAsia="Times New Roman" w:hAnsi="Times New Roman" w:cs="Times New Roman"/>
          <w:sz w:val="24"/>
          <w:szCs w:val="24"/>
        </w:rPr>
      </w:pPr>
    </w:p>
    <w:p w14:paraId="00000180" w14:textId="77777777" w:rsidR="00BE1A9D" w:rsidRPr="00CD2013" w:rsidRDefault="00BE1A9D" w:rsidP="00CD2013">
      <w:pPr>
        <w:spacing w:line="360" w:lineRule="auto"/>
        <w:ind w:left="720"/>
        <w:rPr>
          <w:rFonts w:ascii="Times New Roman" w:eastAsia="Times New Roman" w:hAnsi="Times New Roman" w:cs="Times New Roman"/>
          <w:sz w:val="24"/>
          <w:szCs w:val="24"/>
        </w:rPr>
      </w:pPr>
    </w:p>
    <w:p w14:paraId="00000181" w14:textId="77777777" w:rsidR="00BE1A9D" w:rsidRPr="00CD2013" w:rsidRDefault="00BE1A9D" w:rsidP="00CD2013">
      <w:pPr>
        <w:spacing w:line="360" w:lineRule="auto"/>
        <w:rPr>
          <w:rFonts w:ascii="Times New Roman" w:eastAsia="Times New Roman" w:hAnsi="Times New Roman" w:cs="Times New Roman"/>
          <w:b/>
          <w:sz w:val="24"/>
          <w:szCs w:val="24"/>
        </w:rPr>
      </w:pPr>
    </w:p>
    <w:p w14:paraId="00000182" w14:textId="77777777" w:rsidR="00BE1A9D" w:rsidRPr="00CD2013" w:rsidRDefault="00BE1A9D" w:rsidP="00CD2013">
      <w:pPr>
        <w:spacing w:line="360" w:lineRule="auto"/>
        <w:rPr>
          <w:rFonts w:ascii="Times New Roman" w:eastAsia="Times New Roman" w:hAnsi="Times New Roman" w:cs="Times New Roman"/>
          <w:b/>
          <w:sz w:val="24"/>
          <w:szCs w:val="24"/>
        </w:rPr>
      </w:pPr>
    </w:p>
    <w:p w14:paraId="00000183" w14:textId="77777777" w:rsidR="00BE1A9D" w:rsidRPr="00CD2013" w:rsidRDefault="00BE1A9D" w:rsidP="00CD2013">
      <w:pPr>
        <w:spacing w:line="360" w:lineRule="auto"/>
        <w:rPr>
          <w:rFonts w:ascii="Times New Roman" w:eastAsia="Times New Roman" w:hAnsi="Times New Roman" w:cs="Times New Roman"/>
          <w:b/>
          <w:sz w:val="24"/>
          <w:szCs w:val="24"/>
        </w:rPr>
      </w:pPr>
    </w:p>
    <w:sectPr w:rsidR="00BE1A9D" w:rsidRPr="00CD2013" w:rsidSect="001C7ED6">
      <w:headerReference w:type="default" r:id="rId12"/>
      <w:footerReference w:type="default" r:id="rId13"/>
      <w:pgSz w:w="11909" w:h="16834"/>
      <w:pgMar w:top="1440" w:right="1440" w:bottom="1440" w:left="1440" w:header="720" w:footer="720"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D2F3BD" w14:textId="77777777" w:rsidR="004F2671" w:rsidRDefault="004F2671">
      <w:pPr>
        <w:spacing w:line="240" w:lineRule="auto"/>
      </w:pPr>
      <w:r>
        <w:separator/>
      </w:r>
    </w:p>
  </w:endnote>
  <w:endnote w:type="continuationSeparator" w:id="0">
    <w:p w14:paraId="609E2DE1" w14:textId="77777777" w:rsidR="004F2671" w:rsidRDefault="004F26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185361"/>
      <w:docPartObj>
        <w:docPartGallery w:val="Page Numbers (Bottom of Page)"/>
        <w:docPartUnique/>
      </w:docPartObj>
    </w:sdtPr>
    <w:sdtEndPr/>
    <w:sdtContent>
      <w:p w14:paraId="7A34EEA2" w14:textId="19E14E67" w:rsidR="00744C29" w:rsidRDefault="00744C29">
        <w:pPr>
          <w:pStyle w:val="Piedepgina"/>
          <w:jc w:val="right"/>
        </w:pPr>
        <w:r>
          <w:fldChar w:fldCharType="begin"/>
        </w:r>
        <w:r>
          <w:instrText>PAGE   \* MERGEFORMAT</w:instrText>
        </w:r>
        <w:r>
          <w:fldChar w:fldCharType="separate"/>
        </w:r>
        <w:r w:rsidR="00BF4E9A" w:rsidRPr="00BF4E9A">
          <w:rPr>
            <w:noProof/>
            <w:lang w:val="es-ES"/>
          </w:rPr>
          <w:t>6</w:t>
        </w:r>
        <w:r>
          <w:fldChar w:fldCharType="end"/>
        </w:r>
      </w:p>
    </w:sdtContent>
  </w:sdt>
  <w:p w14:paraId="5402F2F3" w14:textId="77777777" w:rsidR="00744C29" w:rsidRDefault="00744C2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A1AEDC" w14:textId="77777777" w:rsidR="004F2671" w:rsidRDefault="004F2671">
      <w:pPr>
        <w:spacing w:line="240" w:lineRule="auto"/>
      </w:pPr>
      <w:r>
        <w:separator/>
      </w:r>
    </w:p>
  </w:footnote>
  <w:footnote w:type="continuationSeparator" w:id="0">
    <w:p w14:paraId="7EBCEAC7" w14:textId="77777777" w:rsidR="004F2671" w:rsidRDefault="004F2671">
      <w:pPr>
        <w:spacing w:line="240" w:lineRule="auto"/>
      </w:pPr>
      <w:r>
        <w:continuationSeparator/>
      </w:r>
    </w:p>
  </w:footnote>
  <w:footnote w:id="1">
    <w:p w14:paraId="00000184" w14:textId="17E32914"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Preguntas aclaratorias. pregunta N 6.</w:t>
      </w:r>
    </w:p>
  </w:footnote>
  <w:footnote w:id="2">
    <w:p w14:paraId="00000186" w14:textId="000C171A"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Saavedra Álvarez, Y. El trámite de casos individuales ante la Corte Interamericana de Derechos Humanos. Colección Sistema Interamericano de Derechos Humanos. México, 2011, p.16.</w:t>
      </w:r>
    </w:p>
  </w:footnote>
  <w:footnote w:id="3">
    <w:p w14:paraId="00000187" w14:textId="32DC0E41"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w:t>
      </w:r>
      <w:proofErr w:type="spellEnd"/>
      <w:r w:rsidRPr="00CD2013">
        <w:rPr>
          <w:rFonts w:ascii="Times New Roman" w:eastAsia="Times New Roman" w:hAnsi="Times New Roman" w:cs="Times New Roman"/>
          <w:sz w:val="20"/>
          <w:szCs w:val="20"/>
        </w:rPr>
        <w:t>., pág. 17</w:t>
      </w:r>
    </w:p>
  </w:footnote>
  <w:footnote w:id="4">
    <w:p w14:paraId="00000188" w14:textId="20B6A91C"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w:t>
      </w:r>
      <w:proofErr w:type="spellEnd"/>
      <w:r w:rsidRPr="00CD2013">
        <w:rPr>
          <w:rFonts w:ascii="Times New Roman" w:eastAsia="Times New Roman" w:hAnsi="Times New Roman" w:cs="Times New Roman"/>
          <w:sz w:val="20"/>
          <w:szCs w:val="20"/>
        </w:rPr>
        <w:t>., pág.18</w:t>
      </w:r>
    </w:p>
  </w:footnote>
  <w:footnote w:id="5">
    <w:p w14:paraId="00000189" w14:textId="3706CAF4"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w:t>
      </w:r>
      <w:proofErr w:type="spellEnd"/>
      <w:r w:rsidRPr="00CD2013">
        <w:rPr>
          <w:rFonts w:ascii="Times New Roman" w:eastAsia="Times New Roman" w:hAnsi="Times New Roman" w:cs="Times New Roman"/>
          <w:sz w:val="20"/>
          <w:szCs w:val="20"/>
        </w:rPr>
        <w:t>., pág.19</w:t>
      </w:r>
    </w:p>
  </w:footnote>
  <w:footnote w:id="6">
    <w:p w14:paraId="0000018A" w14:textId="77777777"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Corte IDH. Caso Velásquez Rodríguez, sentencia del 26 de junio de 1987. párr.91</w:t>
      </w:r>
    </w:p>
  </w:footnote>
  <w:footnote w:id="7">
    <w:p w14:paraId="0000018B" w14:textId="34569E10"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proofErr w:type="spellStart"/>
      <w:r w:rsidRPr="00CD2013">
        <w:rPr>
          <w:rFonts w:ascii="Times New Roman" w:eastAsia="Times New Roman" w:hAnsi="Times New Roman" w:cs="Times New Roman"/>
          <w:sz w:val="20"/>
          <w:szCs w:val="20"/>
        </w:rPr>
        <w:t>Ibíd</w:t>
      </w:r>
      <w:proofErr w:type="spellEnd"/>
      <w:r w:rsidRPr="00CD2013">
        <w:rPr>
          <w:rFonts w:ascii="Times New Roman" w:eastAsia="Times New Roman" w:hAnsi="Times New Roman" w:cs="Times New Roman"/>
          <w:sz w:val="20"/>
          <w:szCs w:val="20"/>
        </w:rPr>
        <w:t>., Párrafo 34.</w:t>
      </w:r>
    </w:p>
  </w:footnote>
  <w:footnote w:id="8">
    <w:p w14:paraId="0000018C"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w:t>
      </w:r>
      <w:proofErr w:type="gramStart"/>
      <w:r w:rsidRPr="00CD2013">
        <w:rPr>
          <w:rFonts w:ascii="Times New Roman" w:eastAsia="Times New Roman" w:hAnsi="Times New Roman" w:cs="Times New Roman"/>
          <w:sz w:val="20"/>
          <w:szCs w:val="20"/>
        </w:rPr>
        <w:t>IDH  Caso</w:t>
      </w:r>
      <w:proofErr w:type="gramEnd"/>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Mémoli</w:t>
      </w:r>
      <w:proofErr w:type="spellEnd"/>
      <w:r w:rsidRPr="00CD2013">
        <w:rPr>
          <w:rFonts w:ascii="Times New Roman" w:eastAsia="Times New Roman" w:hAnsi="Times New Roman" w:cs="Times New Roman"/>
          <w:sz w:val="20"/>
          <w:szCs w:val="20"/>
        </w:rPr>
        <w:t xml:space="preserve"> Vs. Argentina. Sentencia de 22 de agosto de 2013, párr. 47</w:t>
      </w:r>
    </w:p>
  </w:footnote>
  <w:footnote w:id="9">
    <w:p w14:paraId="00000193" w14:textId="1BE3552F" w:rsidR="00744C29"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w:t>
      </w:r>
      <w:r>
        <w:rPr>
          <w:rFonts w:ascii="Times New Roman" w:eastAsia="Times New Roman" w:hAnsi="Times New Roman" w:cs="Times New Roman"/>
          <w:sz w:val="20"/>
          <w:szCs w:val="20"/>
        </w:rPr>
        <w:t xml:space="preserve">orte </w:t>
      </w:r>
      <w:proofErr w:type="spellStart"/>
      <w:r>
        <w:rPr>
          <w:rFonts w:ascii="Times New Roman" w:eastAsia="Times New Roman" w:hAnsi="Times New Roman" w:cs="Times New Roman"/>
          <w:sz w:val="20"/>
          <w:szCs w:val="20"/>
        </w:rPr>
        <w:t>IDH.</w:t>
      </w:r>
      <w:r w:rsidRPr="00CD2013">
        <w:rPr>
          <w:rFonts w:ascii="Times New Roman" w:eastAsia="Times New Roman" w:hAnsi="Times New Roman" w:cs="Times New Roman"/>
          <w:sz w:val="20"/>
          <w:szCs w:val="20"/>
        </w:rPr>
        <w:t>Caso</w:t>
      </w:r>
      <w:proofErr w:type="spellEnd"/>
      <w:r w:rsidRPr="00CD2013">
        <w:rPr>
          <w:rFonts w:ascii="Times New Roman" w:eastAsia="Times New Roman" w:hAnsi="Times New Roman" w:cs="Times New Roman"/>
          <w:sz w:val="20"/>
          <w:szCs w:val="20"/>
        </w:rPr>
        <w:t xml:space="preserve"> Perozo y otros vs Venezuela. Sentencia de 28 de enero de 2009. Párrafo 42.</w:t>
      </w:r>
    </w:p>
  </w:footnote>
  <w:footnote w:id="10">
    <w:p w14:paraId="00000194" w14:textId="77777777"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Interamericana de Derechos Humanos. Caso Herrera Espino y otros vs Ecuador. Sentencia de 1 de septiembre de 2016 párr. 25. Cfr. Caso de personas dominicanas y haitianas expulsadas Vs. República Dominicana, supra, párr. 30, </w:t>
      </w:r>
    </w:p>
  </w:footnote>
  <w:footnote w:id="11">
    <w:p w14:paraId="00000195" w14:textId="082E4ABC"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w:t>
      </w:r>
      <w:r w:rsidRPr="00CD2013">
        <w:rPr>
          <w:rFonts w:ascii="Times New Roman" w:eastAsia="Times New Roman" w:hAnsi="Times New Roman" w:cs="Times New Roman"/>
          <w:i/>
          <w:sz w:val="20"/>
          <w:szCs w:val="20"/>
        </w:rPr>
        <w:t xml:space="preserve">Caso Godínez Cruz vs Honduras, </w:t>
      </w:r>
      <w:r w:rsidRPr="00CD2013">
        <w:rPr>
          <w:rFonts w:ascii="Times New Roman" w:eastAsia="Times New Roman" w:hAnsi="Times New Roman" w:cs="Times New Roman"/>
          <w:sz w:val="20"/>
          <w:szCs w:val="20"/>
        </w:rPr>
        <w:t xml:space="preserve">Sentencia de 20 de enero de </w:t>
      </w:r>
      <w:proofErr w:type="gramStart"/>
      <w:r w:rsidRPr="00CD2013">
        <w:rPr>
          <w:rFonts w:ascii="Times New Roman" w:eastAsia="Times New Roman" w:hAnsi="Times New Roman" w:cs="Times New Roman"/>
          <w:sz w:val="20"/>
          <w:szCs w:val="20"/>
        </w:rPr>
        <w:t>1989 .</w:t>
      </w:r>
      <w:proofErr w:type="gramEnd"/>
      <w:r w:rsidRPr="00CD2013">
        <w:rPr>
          <w:rFonts w:ascii="Times New Roman" w:eastAsia="Times New Roman" w:hAnsi="Times New Roman" w:cs="Times New Roman"/>
          <w:sz w:val="20"/>
          <w:szCs w:val="20"/>
        </w:rPr>
        <w:t>párr. 93.</w:t>
      </w:r>
    </w:p>
  </w:footnote>
  <w:footnote w:id="12">
    <w:p w14:paraId="00000196" w14:textId="77777777"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Ca</w:t>
      </w:r>
      <w:r w:rsidRPr="00CD2013">
        <w:rPr>
          <w:rFonts w:ascii="Times New Roman" w:eastAsia="Times New Roman" w:hAnsi="Times New Roman" w:cs="Times New Roman"/>
          <w:i/>
          <w:sz w:val="20"/>
          <w:szCs w:val="20"/>
        </w:rPr>
        <w:t xml:space="preserve">so Velásquez Rodríguez Vs. Honduras. </w:t>
      </w:r>
      <w:r w:rsidRPr="00CD2013">
        <w:rPr>
          <w:rFonts w:ascii="Times New Roman" w:eastAsia="Times New Roman" w:hAnsi="Times New Roman" w:cs="Times New Roman"/>
          <w:sz w:val="20"/>
          <w:szCs w:val="20"/>
        </w:rPr>
        <w:t xml:space="preserve">Sentencia de 26 de junio de 1987. párr. 88, y Caso </w:t>
      </w:r>
      <w:r w:rsidRPr="00CD2013">
        <w:rPr>
          <w:rFonts w:ascii="Times New Roman" w:eastAsia="Times New Roman" w:hAnsi="Times New Roman" w:cs="Times New Roman"/>
          <w:i/>
          <w:sz w:val="20"/>
          <w:szCs w:val="20"/>
        </w:rPr>
        <w:t xml:space="preserve">Masacre de Santo Domingo Vs. Colombia. </w:t>
      </w:r>
      <w:r w:rsidRPr="00CD2013">
        <w:rPr>
          <w:rFonts w:ascii="Times New Roman" w:eastAsia="Times New Roman" w:hAnsi="Times New Roman" w:cs="Times New Roman"/>
          <w:sz w:val="20"/>
          <w:szCs w:val="20"/>
        </w:rPr>
        <w:t>Sentencia de 30 de noviembre de 2012.  párr. 93.</w:t>
      </w:r>
    </w:p>
  </w:footnote>
  <w:footnote w:id="13">
    <w:p w14:paraId="00000197" w14:textId="305B3390" w:rsidR="00744C29"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Márquez Mendoza, E.E. (</w:t>
      </w:r>
      <w:proofErr w:type="gramStart"/>
      <w:r w:rsidRPr="00CD2013">
        <w:rPr>
          <w:rFonts w:ascii="Times New Roman" w:eastAsia="Times New Roman" w:hAnsi="Times New Roman" w:cs="Times New Roman"/>
          <w:sz w:val="20"/>
          <w:szCs w:val="20"/>
        </w:rPr>
        <w:t>S.F</w:t>
      </w:r>
      <w:proofErr w:type="gramEnd"/>
      <w:r w:rsidRPr="00CD2013">
        <w:rPr>
          <w:rFonts w:ascii="Times New Roman" w:eastAsia="Times New Roman" w:hAnsi="Times New Roman" w:cs="Times New Roman"/>
          <w:sz w:val="20"/>
          <w:szCs w:val="20"/>
        </w:rPr>
        <w:t>).El agotamiento de los recursos internos como requisito meramente formal o como requisito sustancial para acceder al sistema interamericano de derechos humanos... Pág. 12</w:t>
      </w:r>
    </w:p>
  </w:footnote>
  <w:footnote w:id="14">
    <w:p w14:paraId="00000198" w14:textId="685C36AE" w:rsidR="00744C29" w:rsidRPr="00CD2013" w:rsidRDefault="00744C29" w:rsidP="00CD2013">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CIDH, Informe de Admisibilidad No. 69/08, Petición 681-00 Guillermo Patricio Lynn (Argentina), 16 de octubre de 2008, párr. 44-46 (En el presente caso, la petición era de fecha 12 de diciembre de 200, fue enviada por correo postal y fue recibida en la comisión el 29 de diciembre de </w:t>
      </w:r>
      <w:r w:rsidRPr="00CD2013">
        <w:rPr>
          <w:sz w:val="20"/>
          <w:szCs w:val="20"/>
        </w:rPr>
        <w:t>200</w:t>
      </w:r>
      <w:r w:rsidRPr="00CD2013">
        <w:rPr>
          <w:rFonts w:ascii="Times New Roman" w:eastAsia="Times New Roman" w:hAnsi="Times New Roman" w:cs="Times New Roman"/>
          <w:sz w:val="20"/>
          <w:szCs w:val="20"/>
        </w:rPr>
        <w:t xml:space="preserve">0. La comisión presumiendo </w:t>
      </w:r>
      <w:r w:rsidRPr="00CD2013">
        <w:rPr>
          <w:sz w:val="20"/>
          <w:szCs w:val="20"/>
        </w:rPr>
        <w:t>l</w:t>
      </w:r>
      <w:r w:rsidRPr="00CD2013">
        <w:rPr>
          <w:rFonts w:ascii="Times New Roman" w:eastAsia="Times New Roman" w:hAnsi="Times New Roman" w:cs="Times New Roman"/>
          <w:sz w:val="20"/>
          <w:szCs w:val="20"/>
        </w:rPr>
        <w:t>os días en que la petición estuvo en el correo postal, consideró que la petición había sido presentada de forma oportuna)</w:t>
      </w:r>
    </w:p>
  </w:footnote>
  <w:footnote w:id="15">
    <w:p w14:paraId="00000199" w14:textId="77777777" w:rsidR="00744C29" w:rsidRPr="00CD2013" w:rsidRDefault="00744C29" w:rsidP="00CD2013">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Lagos del Campo vs Perú. </w:t>
      </w:r>
      <w:r w:rsidRPr="00CD2013">
        <w:rPr>
          <w:rFonts w:ascii="Times New Roman" w:eastAsia="Times New Roman" w:hAnsi="Times New Roman" w:cs="Times New Roman"/>
          <w:sz w:val="20"/>
          <w:szCs w:val="20"/>
        </w:rPr>
        <w:t>Sentencia del 31 de agosto de 2017, párr. 20</w:t>
      </w:r>
    </w:p>
  </w:footnote>
  <w:footnote w:id="16">
    <w:p w14:paraId="0000019B" w14:textId="0FF848A1" w:rsidR="00744C29" w:rsidRPr="00CD2013" w:rsidRDefault="00744C29" w:rsidP="00CD2013">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Ibídem</w:t>
      </w:r>
      <w:proofErr w:type="spellEnd"/>
      <w:r w:rsidRPr="00CD2013">
        <w:rPr>
          <w:rFonts w:ascii="Times New Roman" w:eastAsia="Times New Roman" w:hAnsi="Times New Roman" w:cs="Times New Roman"/>
          <w:sz w:val="20"/>
          <w:szCs w:val="20"/>
        </w:rPr>
        <w:t>, párr. 20</w:t>
      </w:r>
    </w:p>
  </w:footnote>
  <w:footnote w:id="17">
    <w:p w14:paraId="000001A9" w14:textId="37E255D3" w:rsidR="00744C29" w:rsidRPr="00CD2013" w:rsidRDefault="00744C29" w:rsidP="00CD2013">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Caso Velásquez Rodríguez Vs. Honduras.</w:t>
      </w:r>
      <w:r w:rsidRPr="00CD2013">
        <w:rPr>
          <w:rFonts w:ascii="Times New Roman" w:eastAsia="Times New Roman" w:hAnsi="Times New Roman" w:cs="Times New Roman"/>
          <w:sz w:val="20"/>
          <w:szCs w:val="20"/>
        </w:rPr>
        <w:t xml:space="preserve"> Sentencia del 26 de junio de 1987 párr. 91, y </w:t>
      </w:r>
      <w:r w:rsidRPr="00CD2013">
        <w:rPr>
          <w:rFonts w:ascii="Times New Roman" w:eastAsia="Times New Roman" w:hAnsi="Times New Roman" w:cs="Times New Roman"/>
          <w:i/>
          <w:sz w:val="20"/>
          <w:szCs w:val="20"/>
        </w:rPr>
        <w:t>Caso Yarce y otras vs Colombia, se</w:t>
      </w:r>
      <w:r w:rsidRPr="00CD2013">
        <w:rPr>
          <w:rFonts w:ascii="Times New Roman" w:eastAsia="Times New Roman" w:hAnsi="Times New Roman" w:cs="Times New Roman"/>
          <w:sz w:val="20"/>
          <w:szCs w:val="20"/>
        </w:rPr>
        <w:t>ntencia de 22 de noviembre de 2016.párr. 165.</w:t>
      </w:r>
    </w:p>
  </w:footnote>
  <w:footnote w:id="18">
    <w:p w14:paraId="000001AA" w14:textId="77777777" w:rsidR="00744C29" w:rsidRDefault="00744C29" w:rsidP="00CD2013">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Maldonado Ordoñez vs Guatemala. </w:t>
      </w:r>
      <w:r w:rsidRPr="00CD2013">
        <w:rPr>
          <w:rFonts w:ascii="Times New Roman" w:eastAsia="Times New Roman" w:hAnsi="Times New Roman" w:cs="Times New Roman"/>
          <w:sz w:val="20"/>
          <w:szCs w:val="20"/>
        </w:rPr>
        <w:t xml:space="preserve">Sentencia 3 de </w:t>
      </w:r>
      <w:proofErr w:type="gramStart"/>
      <w:r w:rsidRPr="00CD2013">
        <w:rPr>
          <w:rFonts w:ascii="Times New Roman" w:eastAsia="Times New Roman" w:hAnsi="Times New Roman" w:cs="Times New Roman"/>
          <w:sz w:val="20"/>
          <w:szCs w:val="20"/>
        </w:rPr>
        <w:t>Mayo</w:t>
      </w:r>
      <w:proofErr w:type="gramEnd"/>
      <w:r w:rsidRPr="00CD2013">
        <w:rPr>
          <w:rFonts w:ascii="Times New Roman" w:eastAsia="Times New Roman" w:hAnsi="Times New Roman" w:cs="Times New Roman"/>
          <w:sz w:val="20"/>
          <w:szCs w:val="20"/>
        </w:rPr>
        <w:t xml:space="preserve"> de 2016., párr. 71.</w:t>
      </w:r>
    </w:p>
  </w:footnote>
  <w:footnote w:id="19">
    <w:p w14:paraId="000001AB"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Art. 2.B. Convención Belém do Pará</w:t>
      </w:r>
    </w:p>
  </w:footnote>
  <w:footnote w:id="20">
    <w:p w14:paraId="000001AC"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Art </w:t>
      </w:r>
      <w:proofErr w:type="gramStart"/>
      <w:r w:rsidRPr="00CD2013">
        <w:rPr>
          <w:rFonts w:ascii="Times New Roman" w:eastAsia="Times New Roman" w:hAnsi="Times New Roman" w:cs="Times New Roman"/>
          <w:sz w:val="20"/>
          <w:szCs w:val="20"/>
        </w:rPr>
        <w:t>3.A  Protocolo</w:t>
      </w:r>
      <w:proofErr w:type="gramEnd"/>
      <w:r w:rsidRPr="00CD2013">
        <w:rPr>
          <w:rFonts w:ascii="Times New Roman" w:eastAsia="Times New Roman" w:hAnsi="Times New Roman" w:cs="Times New Roman"/>
          <w:sz w:val="20"/>
          <w:szCs w:val="20"/>
        </w:rPr>
        <w:t xml:space="preserve"> de Palermo.</w:t>
      </w:r>
    </w:p>
  </w:footnote>
  <w:footnote w:id="21">
    <w:p w14:paraId="000001B3"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Zegarra Marín Vs. Perú. </w:t>
      </w:r>
      <w:r w:rsidRPr="00CD2013">
        <w:rPr>
          <w:rFonts w:ascii="Times New Roman" w:eastAsia="Times New Roman" w:hAnsi="Times New Roman" w:cs="Times New Roman"/>
          <w:sz w:val="20"/>
          <w:szCs w:val="20"/>
        </w:rPr>
        <w:t>Sentencia de 15 de febrero de 2017. Párrafo 125</w:t>
      </w:r>
    </w:p>
  </w:footnote>
  <w:footnote w:id="22">
    <w:p w14:paraId="000001C8"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Art 8.2. CADH.</w:t>
      </w:r>
    </w:p>
  </w:footnote>
  <w:footnote w:id="23">
    <w:p w14:paraId="000001B4" w14:textId="5C79C760"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Ibídem</w:t>
      </w:r>
      <w:proofErr w:type="spellEnd"/>
      <w:r w:rsidRPr="00CD2013">
        <w:rPr>
          <w:rFonts w:ascii="Times New Roman" w:eastAsia="Times New Roman" w:hAnsi="Times New Roman" w:cs="Times New Roman"/>
          <w:sz w:val="20"/>
          <w:szCs w:val="20"/>
        </w:rPr>
        <w:t>. Párr. 125.</w:t>
      </w:r>
    </w:p>
  </w:footnote>
  <w:footnote w:id="24">
    <w:p w14:paraId="000001C9" w14:textId="7BC2460C"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47.</w:t>
      </w:r>
    </w:p>
  </w:footnote>
  <w:footnote w:id="25">
    <w:p w14:paraId="000001AD" w14:textId="77777777"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hyperlink r:id="rId1">
        <w:r w:rsidRPr="00CD2013">
          <w:rPr>
            <w:rFonts w:ascii="Times New Roman" w:eastAsia="Times New Roman" w:hAnsi="Times New Roman" w:cs="Times New Roman"/>
            <w:sz w:val="20"/>
            <w:szCs w:val="20"/>
          </w:rPr>
          <w:t xml:space="preserve">Corte IDH. </w:t>
        </w:r>
      </w:hyperlink>
      <w:hyperlink r:id="rId2">
        <w:r w:rsidRPr="00CD2013">
          <w:rPr>
            <w:rFonts w:ascii="Times New Roman" w:eastAsia="Times New Roman" w:hAnsi="Times New Roman" w:cs="Times New Roman"/>
            <w:i/>
            <w:sz w:val="20"/>
            <w:szCs w:val="20"/>
          </w:rPr>
          <w:t xml:space="preserve">Caso Ruano Torres y otros Vs. El Salvador. </w:t>
        </w:r>
      </w:hyperlink>
      <w:hyperlink r:id="rId3">
        <w:r w:rsidRPr="00CD2013">
          <w:rPr>
            <w:rFonts w:ascii="Times New Roman" w:eastAsia="Times New Roman" w:hAnsi="Times New Roman" w:cs="Times New Roman"/>
            <w:sz w:val="20"/>
            <w:szCs w:val="20"/>
          </w:rPr>
          <w:t>S</w:t>
        </w:r>
      </w:hyperlink>
      <w:hyperlink r:id="rId4">
        <w:r w:rsidRPr="00CD2013">
          <w:rPr>
            <w:rFonts w:ascii="Times New Roman" w:eastAsia="Times New Roman" w:hAnsi="Times New Roman" w:cs="Times New Roman"/>
            <w:sz w:val="20"/>
            <w:szCs w:val="20"/>
          </w:rPr>
          <w:t>entencia de 5 de octubre de 2015.Párrafo 153</w:t>
        </w:r>
      </w:hyperlink>
      <w:r w:rsidRPr="00CD2013">
        <w:rPr>
          <w:sz w:val="20"/>
          <w:szCs w:val="20"/>
        </w:rPr>
        <w:t xml:space="preserve"> </w:t>
      </w:r>
    </w:p>
  </w:footnote>
  <w:footnote w:id="26">
    <w:p w14:paraId="000001AE" w14:textId="09884D08"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Caso López Álvarez vs Honduras.</w:t>
      </w:r>
      <w:r w:rsidRPr="00CD2013">
        <w:rPr>
          <w:rFonts w:ascii="Times New Roman" w:eastAsia="Times New Roman" w:hAnsi="Times New Roman" w:cs="Times New Roman"/>
          <w:sz w:val="20"/>
          <w:szCs w:val="20"/>
        </w:rPr>
        <w:t xml:space="preserve"> Sentencia de 1 de febrero de 2006. párr. 152</w:t>
      </w:r>
    </w:p>
  </w:footnote>
  <w:footnote w:id="27">
    <w:p w14:paraId="000001AF" w14:textId="001C2C9A"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w:t>
      </w:r>
      <w:r w:rsidRPr="00CD2013">
        <w:rPr>
          <w:rFonts w:ascii="Times New Roman" w:eastAsia="Times New Roman" w:hAnsi="Times New Roman" w:cs="Times New Roman"/>
          <w:i/>
          <w:sz w:val="20"/>
          <w:szCs w:val="20"/>
        </w:rPr>
        <w:t xml:space="preserve">Caso trabajadores de la hacienda Brasil Verde Vs. Brasil. </w:t>
      </w:r>
      <w:r w:rsidRPr="00CD2013">
        <w:rPr>
          <w:rFonts w:ascii="Times New Roman" w:eastAsia="Times New Roman" w:hAnsi="Times New Roman" w:cs="Times New Roman"/>
          <w:sz w:val="20"/>
          <w:szCs w:val="20"/>
        </w:rPr>
        <w:t>Sentencia de 20 de octubre de 2016. Párr. 363</w:t>
      </w:r>
    </w:p>
  </w:footnote>
  <w:footnote w:id="28">
    <w:p w14:paraId="000001B0"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w:t>
      </w:r>
      <w:proofErr w:type="gramStart"/>
      <w:r w:rsidRPr="00CD2013">
        <w:rPr>
          <w:rFonts w:ascii="Times New Roman" w:eastAsia="Times New Roman" w:hAnsi="Times New Roman" w:cs="Times New Roman"/>
          <w:i/>
          <w:sz w:val="20"/>
          <w:szCs w:val="20"/>
        </w:rPr>
        <w:t>Caso  Masacres</w:t>
      </w:r>
      <w:proofErr w:type="gramEnd"/>
      <w:r w:rsidRPr="00CD2013">
        <w:rPr>
          <w:rFonts w:ascii="Times New Roman" w:eastAsia="Times New Roman" w:hAnsi="Times New Roman" w:cs="Times New Roman"/>
          <w:i/>
          <w:sz w:val="20"/>
          <w:szCs w:val="20"/>
        </w:rPr>
        <w:t xml:space="preserve"> de Rio negro Vs. Guatemala. </w:t>
      </w:r>
      <w:r w:rsidRPr="00CD2013">
        <w:rPr>
          <w:rFonts w:ascii="Times New Roman" w:eastAsia="Times New Roman" w:hAnsi="Times New Roman" w:cs="Times New Roman"/>
          <w:sz w:val="20"/>
          <w:szCs w:val="20"/>
        </w:rPr>
        <w:t>Sentencia 4 de septiembre de 2012.Párr. 225</w:t>
      </w:r>
    </w:p>
  </w:footnote>
  <w:footnote w:id="29">
    <w:p w14:paraId="000001B1" w14:textId="77777777" w:rsidR="00744C29"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TEDH, </w:t>
      </w:r>
      <w:proofErr w:type="spellStart"/>
      <w:r w:rsidRPr="00CD2013">
        <w:rPr>
          <w:rFonts w:ascii="Times New Roman" w:eastAsia="Times New Roman" w:hAnsi="Times New Roman" w:cs="Times New Roman"/>
          <w:sz w:val="20"/>
          <w:szCs w:val="20"/>
        </w:rPr>
        <w:t>Rantsev</w:t>
      </w:r>
      <w:proofErr w:type="spellEnd"/>
      <w:r w:rsidRPr="00CD2013">
        <w:rPr>
          <w:rFonts w:ascii="Times New Roman" w:eastAsia="Times New Roman" w:hAnsi="Times New Roman" w:cs="Times New Roman"/>
          <w:sz w:val="20"/>
          <w:szCs w:val="20"/>
        </w:rPr>
        <w:t xml:space="preserve"> Vs. Chipre y Rusia. No. 25965/04. Sentencia de 7 de enero de 2010, párr. 288</w:t>
      </w:r>
    </w:p>
  </w:footnote>
  <w:footnote w:id="30">
    <w:p w14:paraId="000001B2" w14:textId="77777777"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Caso Arrom </w:t>
      </w:r>
      <w:proofErr w:type="spellStart"/>
      <w:r w:rsidRPr="00CD2013">
        <w:rPr>
          <w:rFonts w:ascii="Times New Roman" w:eastAsia="Times New Roman" w:hAnsi="Times New Roman" w:cs="Times New Roman"/>
          <w:sz w:val="20"/>
          <w:szCs w:val="20"/>
        </w:rPr>
        <w:t>Suhurt</w:t>
      </w:r>
      <w:proofErr w:type="spellEnd"/>
      <w:r w:rsidRPr="00CD2013">
        <w:rPr>
          <w:rFonts w:ascii="Times New Roman" w:eastAsia="Times New Roman" w:hAnsi="Times New Roman" w:cs="Times New Roman"/>
          <w:sz w:val="20"/>
          <w:szCs w:val="20"/>
        </w:rPr>
        <w:t xml:space="preserve"> y otros Vs. Paraguay. Sentencia 13 de mayo de 2019.  Párrafo 142</w:t>
      </w:r>
    </w:p>
  </w:footnote>
  <w:footnote w:id="31">
    <w:p w14:paraId="000001CA" w14:textId="7A301B36"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52.</w:t>
      </w:r>
    </w:p>
  </w:footnote>
  <w:footnote w:id="32">
    <w:p w14:paraId="0000019C" w14:textId="46F50D24"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Corte IDH. Caso Velásquez Paiz y otros vs Guatemala. Sentencia de 19 de noviembre de 2015. párr. 173</w:t>
      </w:r>
    </w:p>
  </w:footnote>
  <w:footnote w:id="33">
    <w:p w14:paraId="0000019D" w14:textId="2BB8F1F9"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Estrada </w:t>
      </w:r>
      <w:proofErr w:type="spellStart"/>
      <w:r w:rsidRPr="00CD2013">
        <w:rPr>
          <w:rFonts w:ascii="Times New Roman" w:eastAsia="Times New Roman" w:hAnsi="Times New Roman" w:cs="Times New Roman"/>
          <w:sz w:val="20"/>
          <w:szCs w:val="20"/>
        </w:rPr>
        <w:t>Tanck</w:t>
      </w:r>
      <w:proofErr w:type="spellEnd"/>
      <w:r w:rsidRPr="00CD2013">
        <w:rPr>
          <w:rFonts w:ascii="Times New Roman" w:eastAsia="Times New Roman" w:hAnsi="Times New Roman" w:cs="Times New Roman"/>
          <w:sz w:val="20"/>
          <w:szCs w:val="20"/>
        </w:rPr>
        <w:t>, D. (2018). El principio de igualdad ante la ley en el derecho internacional. Vol. 11, 322-339. DOI: https://doi.org/10.20318/cdt.2019.4622</w:t>
      </w:r>
    </w:p>
  </w:footnote>
  <w:footnote w:id="34">
    <w:p w14:paraId="0000019E" w14:textId="7AD97A78"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47.</w:t>
      </w:r>
    </w:p>
  </w:footnote>
  <w:footnote w:id="35">
    <w:p w14:paraId="0000019F"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Art. 3.A. Protocolo de Palermo</w:t>
      </w:r>
    </w:p>
  </w:footnote>
  <w:footnote w:id="36">
    <w:p w14:paraId="000001A0" w14:textId="18BADA46"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14</w:t>
      </w:r>
      <w:r w:rsidRPr="00CD2013">
        <w:rPr>
          <w:sz w:val="20"/>
          <w:szCs w:val="20"/>
        </w:rPr>
        <w:t>.</w:t>
      </w:r>
    </w:p>
  </w:footnote>
  <w:footnote w:id="37">
    <w:p w14:paraId="000001A1" w14:textId="77777777"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Caso Velásquez Paiz </w:t>
      </w:r>
      <w:proofErr w:type="gramStart"/>
      <w:r w:rsidRPr="00CD2013">
        <w:rPr>
          <w:rFonts w:ascii="Times New Roman" w:eastAsia="Times New Roman" w:hAnsi="Times New Roman" w:cs="Times New Roman"/>
          <w:sz w:val="20"/>
          <w:szCs w:val="20"/>
        </w:rPr>
        <w:t>y  otros</w:t>
      </w:r>
      <w:proofErr w:type="gramEnd"/>
      <w:r w:rsidRPr="00CD2013">
        <w:rPr>
          <w:rFonts w:ascii="Times New Roman" w:eastAsia="Times New Roman" w:hAnsi="Times New Roman" w:cs="Times New Roman"/>
          <w:sz w:val="20"/>
          <w:szCs w:val="20"/>
        </w:rPr>
        <w:t xml:space="preserve"> vs Guatemala. Sentencia de 19 de noviembre de 2015. párr. 183.</w:t>
      </w:r>
    </w:p>
  </w:footnote>
  <w:footnote w:id="38">
    <w:p w14:paraId="000001A2"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Convención de Belem </w:t>
      </w:r>
      <w:proofErr w:type="spellStart"/>
      <w:r w:rsidRPr="00CD2013">
        <w:rPr>
          <w:rFonts w:ascii="Times New Roman" w:eastAsia="Times New Roman" w:hAnsi="Times New Roman" w:cs="Times New Roman"/>
          <w:sz w:val="20"/>
          <w:szCs w:val="20"/>
        </w:rPr>
        <w:t>Dó</w:t>
      </w:r>
      <w:proofErr w:type="spellEnd"/>
      <w:r w:rsidRPr="00CD2013">
        <w:rPr>
          <w:rFonts w:ascii="Times New Roman" w:eastAsia="Times New Roman" w:hAnsi="Times New Roman" w:cs="Times New Roman"/>
          <w:sz w:val="20"/>
          <w:szCs w:val="20"/>
        </w:rPr>
        <w:t xml:space="preserve"> Pará</w:t>
      </w:r>
    </w:p>
  </w:footnote>
  <w:footnote w:id="39">
    <w:p w14:paraId="000001A3"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ONU Protocolo de Palermo</w:t>
      </w:r>
    </w:p>
  </w:footnote>
  <w:footnote w:id="40">
    <w:p w14:paraId="000001A4"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Art.7 Convención Belém do Pará</w:t>
      </w:r>
    </w:p>
  </w:footnote>
  <w:footnote w:id="41">
    <w:p w14:paraId="000001A5"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Art 2.B Convención Belem </w:t>
      </w:r>
      <w:proofErr w:type="spellStart"/>
      <w:r w:rsidRPr="00CD2013">
        <w:rPr>
          <w:rFonts w:ascii="Times New Roman" w:eastAsia="Times New Roman" w:hAnsi="Times New Roman" w:cs="Times New Roman"/>
          <w:sz w:val="20"/>
          <w:szCs w:val="20"/>
        </w:rPr>
        <w:t>Dó</w:t>
      </w:r>
      <w:proofErr w:type="spellEnd"/>
      <w:r w:rsidRPr="00CD2013">
        <w:rPr>
          <w:rFonts w:ascii="Times New Roman" w:eastAsia="Times New Roman" w:hAnsi="Times New Roman" w:cs="Times New Roman"/>
          <w:sz w:val="20"/>
          <w:szCs w:val="20"/>
        </w:rPr>
        <w:t xml:space="preserve"> Pará</w:t>
      </w:r>
    </w:p>
  </w:footnote>
  <w:footnote w:id="42">
    <w:p w14:paraId="000001A6"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Art 6, Art 9, Art 11 y Art 12 ONU Protocolo de Palermo.</w:t>
      </w:r>
    </w:p>
  </w:footnote>
  <w:footnote w:id="43">
    <w:p w14:paraId="000001A7"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Opi</w:t>
      </w:r>
      <w:r w:rsidRPr="00CD2013">
        <w:rPr>
          <w:rFonts w:ascii="Times New Roman" w:eastAsia="Times New Roman" w:hAnsi="Times New Roman" w:cs="Times New Roman"/>
          <w:sz w:val="20"/>
          <w:szCs w:val="20"/>
        </w:rPr>
        <w:t>nión Consultiva OC-24/17 de 24 de noviembre de 2017. Serie A No. 247 párrafo 65</w:t>
      </w:r>
    </w:p>
  </w:footnote>
  <w:footnote w:id="44">
    <w:p w14:paraId="000001C0" w14:textId="203A09D4"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Caso </w:t>
      </w:r>
      <w:proofErr w:type="spellStart"/>
      <w:r w:rsidRPr="00CD2013">
        <w:rPr>
          <w:rFonts w:ascii="Times New Roman" w:eastAsia="Times New Roman" w:hAnsi="Times New Roman" w:cs="Times New Roman"/>
          <w:sz w:val="20"/>
          <w:szCs w:val="20"/>
        </w:rPr>
        <w:t>Furlan</w:t>
      </w:r>
      <w:proofErr w:type="spellEnd"/>
      <w:r w:rsidRPr="00CD2013">
        <w:rPr>
          <w:rFonts w:ascii="Times New Roman" w:eastAsia="Times New Roman" w:hAnsi="Times New Roman" w:cs="Times New Roman"/>
          <w:sz w:val="20"/>
          <w:szCs w:val="20"/>
        </w:rPr>
        <w:t xml:space="preserve"> y Familiares Vs. Argentina. Sentencia de 31 de agosto de 2012. Párr.134.</w:t>
      </w:r>
    </w:p>
  </w:footnote>
  <w:footnote w:id="45">
    <w:p w14:paraId="000001A8" w14:textId="75EDA729"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ibídem</w:t>
      </w:r>
      <w:proofErr w:type="spellEnd"/>
      <w:r w:rsidRPr="00CD2013">
        <w:rPr>
          <w:rFonts w:ascii="Times New Roman" w:eastAsia="Times New Roman" w:hAnsi="Times New Roman" w:cs="Times New Roman"/>
          <w:sz w:val="20"/>
          <w:szCs w:val="20"/>
        </w:rPr>
        <w:t>. Párrafo 65.</w:t>
      </w:r>
    </w:p>
  </w:footnote>
  <w:footnote w:id="46">
    <w:p w14:paraId="000001C1" w14:textId="0515A28E"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Corte IDH.</w:t>
      </w:r>
      <w:r w:rsidRPr="00CD2013">
        <w:rPr>
          <w:rFonts w:ascii="Times New Roman" w:eastAsia="Times New Roman" w:hAnsi="Times New Roman" w:cs="Times New Roman"/>
          <w:i/>
          <w:sz w:val="20"/>
          <w:szCs w:val="20"/>
        </w:rPr>
        <w:t xml:space="preserve"> Caso </w:t>
      </w:r>
      <w:proofErr w:type="spellStart"/>
      <w:r w:rsidRPr="00CD2013">
        <w:rPr>
          <w:rFonts w:ascii="Times New Roman" w:eastAsia="Times New Roman" w:hAnsi="Times New Roman" w:cs="Times New Roman"/>
          <w:i/>
          <w:sz w:val="20"/>
          <w:szCs w:val="20"/>
        </w:rPr>
        <w:t>Amrhein</w:t>
      </w:r>
      <w:proofErr w:type="spellEnd"/>
      <w:r w:rsidRPr="00CD2013">
        <w:rPr>
          <w:rFonts w:ascii="Times New Roman" w:eastAsia="Times New Roman" w:hAnsi="Times New Roman" w:cs="Times New Roman"/>
          <w:i/>
          <w:sz w:val="20"/>
          <w:szCs w:val="20"/>
        </w:rPr>
        <w:t xml:space="preserve"> y otros Vs. Costa Rica.</w:t>
      </w:r>
      <w:r w:rsidRPr="00CD2013">
        <w:rPr>
          <w:rFonts w:ascii="Times New Roman" w:eastAsia="Times New Roman" w:hAnsi="Times New Roman" w:cs="Times New Roman"/>
          <w:sz w:val="20"/>
          <w:szCs w:val="20"/>
        </w:rPr>
        <w:t>.. Sentencia de 35 de abril de 2018. Párr. 352.</w:t>
      </w:r>
    </w:p>
  </w:footnote>
  <w:footnote w:id="47">
    <w:p w14:paraId="000001CD" w14:textId="6E19E2E2" w:rsidR="00744C29" w:rsidRPr="00CD2013" w:rsidRDefault="00744C29">
      <w:pPr>
        <w:spacing w:line="240" w:lineRule="auto"/>
        <w:rPr>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Corte IDH.</w:t>
      </w:r>
      <w:r w:rsidRPr="00CD2013">
        <w:rPr>
          <w:sz w:val="20"/>
          <w:szCs w:val="20"/>
        </w:rPr>
        <w:t xml:space="preserve"> </w:t>
      </w:r>
      <w:r w:rsidRPr="00CD2013">
        <w:rPr>
          <w:rFonts w:ascii="Times New Roman" w:eastAsia="Times New Roman" w:hAnsi="Times New Roman" w:cs="Times New Roman"/>
          <w:sz w:val="20"/>
          <w:szCs w:val="20"/>
        </w:rPr>
        <w:t xml:space="preserve">Caso </w:t>
      </w:r>
      <w:proofErr w:type="spellStart"/>
      <w:r w:rsidRPr="00CD2013">
        <w:rPr>
          <w:rFonts w:ascii="Times New Roman" w:eastAsia="Times New Roman" w:hAnsi="Times New Roman" w:cs="Times New Roman"/>
          <w:sz w:val="20"/>
          <w:szCs w:val="20"/>
        </w:rPr>
        <w:t>Gangaram</w:t>
      </w:r>
      <w:proofErr w:type="spellEnd"/>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Panday</w:t>
      </w:r>
      <w:proofErr w:type="spellEnd"/>
      <w:r w:rsidRPr="00CD2013">
        <w:rPr>
          <w:rFonts w:ascii="Times New Roman" w:eastAsia="Times New Roman" w:hAnsi="Times New Roman" w:cs="Times New Roman"/>
          <w:sz w:val="20"/>
          <w:szCs w:val="20"/>
        </w:rPr>
        <w:t xml:space="preserve"> Vs. Surinam. Sentencia de 21 de enero de 1994. párr. 47, y Caso Yarce y otras Vs. Colombia, supra, párr. 140</w:t>
      </w:r>
    </w:p>
  </w:footnote>
  <w:footnote w:id="48">
    <w:p w14:paraId="000001C3" w14:textId="2677D151"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Corte IDH.</w:t>
      </w:r>
      <w:r w:rsidRPr="00CD2013">
        <w:rPr>
          <w:rFonts w:ascii="Times New Roman" w:eastAsia="Times New Roman" w:hAnsi="Times New Roman" w:cs="Times New Roman"/>
          <w:i/>
          <w:sz w:val="20"/>
          <w:szCs w:val="20"/>
        </w:rPr>
        <w:t xml:space="preserve"> Caso </w:t>
      </w:r>
      <w:proofErr w:type="spellStart"/>
      <w:r w:rsidRPr="00CD2013">
        <w:rPr>
          <w:rFonts w:ascii="Times New Roman" w:eastAsia="Times New Roman" w:hAnsi="Times New Roman" w:cs="Times New Roman"/>
          <w:i/>
          <w:sz w:val="20"/>
          <w:szCs w:val="20"/>
        </w:rPr>
        <w:t>Amrhein</w:t>
      </w:r>
      <w:proofErr w:type="spellEnd"/>
      <w:r w:rsidRPr="00CD2013">
        <w:rPr>
          <w:rFonts w:ascii="Times New Roman" w:eastAsia="Times New Roman" w:hAnsi="Times New Roman" w:cs="Times New Roman"/>
          <w:i/>
          <w:sz w:val="20"/>
          <w:szCs w:val="20"/>
        </w:rPr>
        <w:t xml:space="preserve"> y otros Vs. Costa Rica. </w:t>
      </w:r>
      <w:r w:rsidRPr="00CD2013">
        <w:rPr>
          <w:rFonts w:ascii="Times New Roman" w:eastAsia="Times New Roman" w:hAnsi="Times New Roman" w:cs="Times New Roman"/>
          <w:sz w:val="20"/>
          <w:szCs w:val="20"/>
        </w:rPr>
        <w:t>Sentencia de 25 de abril de 2018. Párr. 357</w:t>
      </w:r>
    </w:p>
  </w:footnote>
  <w:footnote w:id="49">
    <w:p w14:paraId="000001CE" w14:textId="1BC3CF61" w:rsidR="00744C29"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Corte IDH. </w:t>
      </w:r>
      <w:r w:rsidRPr="00CD2013">
        <w:rPr>
          <w:rFonts w:ascii="Times New Roman" w:eastAsia="Times New Roman" w:hAnsi="Times New Roman" w:cs="Times New Roman"/>
          <w:i/>
          <w:sz w:val="20"/>
          <w:szCs w:val="20"/>
        </w:rPr>
        <w:t>Caso Vélez Loor Vs. Panamá</w:t>
      </w:r>
      <w:r w:rsidRPr="00CD2013">
        <w:rPr>
          <w:rFonts w:ascii="Times New Roman" w:eastAsia="Times New Roman" w:hAnsi="Times New Roman" w:cs="Times New Roman"/>
          <w:sz w:val="20"/>
          <w:szCs w:val="20"/>
        </w:rPr>
        <w:t>. Sentencia de 23 de noviembre de 2010. párr. 117.</w:t>
      </w:r>
    </w:p>
  </w:footnote>
  <w:footnote w:id="50">
    <w:p w14:paraId="000001C2" w14:textId="3F333A3B" w:rsidR="00744C29" w:rsidRPr="00CD2013"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Ibídem</w:t>
      </w:r>
      <w:proofErr w:type="spellEnd"/>
      <w:r w:rsidRPr="00CD2013">
        <w:rPr>
          <w:rFonts w:ascii="Times New Roman" w:eastAsia="Times New Roman" w:hAnsi="Times New Roman" w:cs="Times New Roman"/>
          <w:sz w:val="20"/>
          <w:szCs w:val="20"/>
        </w:rPr>
        <w:t>. Párr.117</w:t>
      </w:r>
    </w:p>
  </w:footnote>
  <w:footnote w:id="51">
    <w:p w14:paraId="000001CF" w14:textId="4DE44160" w:rsidR="00744C29" w:rsidRPr="00CD2013"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Corte IDH.</w:t>
      </w:r>
      <w:r w:rsidRPr="00CD2013">
        <w:rPr>
          <w:rFonts w:ascii="Times New Roman" w:eastAsia="Times New Roman" w:hAnsi="Times New Roman" w:cs="Times New Roman"/>
          <w:i/>
          <w:sz w:val="20"/>
          <w:szCs w:val="20"/>
        </w:rPr>
        <w:t xml:space="preserve"> Caso Acevedo Buendía y otros Vs. Perú.</w:t>
      </w:r>
      <w:r w:rsidRPr="00CD2013">
        <w:rPr>
          <w:rFonts w:ascii="Times New Roman" w:eastAsia="Times New Roman" w:hAnsi="Times New Roman" w:cs="Times New Roman"/>
          <w:sz w:val="20"/>
          <w:szCs w:val="20"/>
        </w:rPr>
        <w:t xml:space="preserve"> Sentencia de 1 de Julio de 2009. Párr.</w:t>
      </w:r>
    </w:p>
  </w:footnote>
  <w:footnote w:id="52">
    <w:p w14:paraId="000001CB" w14:textId="77777777" w:rsidR="00744C29" w:rsidRPr="00CD2013"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Corte IDH. </w:t>
      </w:r>
      <w:r w:rsidRPr="00CD2013">
        <w:rPr>
          <w:rFonts w:ascii="Times New Roman" w:eastAsia="Times New Roman" w:hAnsi="Times New Roman" w:cs="Times New Roman"/>
          <w:i/>
          <w:sz w:val="20"/>
          <w:szCs w:val="20"/>
        </w:rPr>
        <w:t xml:space="preserve">Caso </w:t>
      </w:r>
      <w:proofErr w:type="spellStart"/>
      <w:r w:rsidRPr="00CD2013">
        <w:rPr>
          <w:rFonts w:ascii="Times New Roman" w:eastAsia="Times New Roman" w:hAnsi="Times New Roman" w:cs="Times New Roman"/>
          <w:i/>
          <w:sz w:val="20"/>
          <w:szCs w:val="20"/>
        </w:rPr>
        <w:t>Cuscul</w:t>
      </w:r>
      <w:proofErr w:type="spellEnd"/>
      <w:r w:rsidRPr="00CD2013">
        <w:rPr>
          <w:rFonts w:ascii="Times New Roman" w:eastAsia="Times New Roman" w:hAnsi="Times New Roman" w:cs="Times New Roman"/>
          <w:i/>
          <w:sz w:val="20"/>
          <w:szCs w:val="20"/>
        </w:rPr>
        <w:t xml:space="preserve"> Pivaral y otros v. Guatemala. </w:t>
      </w:r>
      <w:r w:rsidRPr="00CD2013">
        <w:rPr>
          <w:rFonts w:ascii="Times New Roman" w:eastAsia="Times New Roman" w:hAnsi="Times New Roman" w:cs="Times New Roman"/>
          <w:sz w:val="20"/>
          <w:szCs w:val="20"/>
        </w:rPr>
        <w:t>Sentencia de 23 de agosto de 2018. Párr.  142</w:t>
      </w:r>
    </w:p>
  </w:footnote>
  <w:footnote w:id="53">
    <w:p w14:paraId="000001CC" w14:textId="621AFCA9" w:rsidR="00744C29"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w:t>
      </w:r>
      <w:proofErr w:type="spellStart"/>
      <w:r w:rsidRPr="00CD2013">
        <w:rPr>
          <w:rFonts w:ascii="Times New Roman" w:eastAsia="Times New Roman" w:hAnsi="Times New Roman" w:cs="Times New Roman"/>
          <w:sz w:val="20"/>
          <w:szCs w:val="20"/>
        </w:rPr>
        <w:t>Ibídem</w:t>
      </w:r>
      <w:proofErr w:type="spellEnd"/>
      <w:r w:rsidRPr="00CD2013">
        <w:rPr>
          <w:rFonts w:ascii="Times New Roman" w:eastAsia="Times New Roman" w:hAnsi="Times New Roman" w:cs="Times New Roman"/>
          <w:sz w:val="20"/>
          <w:szCs w:val="20"/>
        </w:rPr>
        <w:t>. Párr. 146</w:t>
      </w:r>
    </w:p>
  </w:footnote>
  <w:footnote w:id="54">
    <w:p w14:paraId="000001D2" w14:textId="77777777"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Corte IDH.</w:t>
      </w:r>
      <w:r w:rsidRPr="00CD2013">
        <w:rPr>
          <w:rFonts w:ascii="Times New Roman" w:eastAsia="Times New Roman" w:hAnsi="Times New Roman" w:cs="Times New Roman"/>
          <w:i/>
          <w:sz w:val="20"/>
          <w:szCs w:val="20"/>
        </w:rPr>
        <w:t xml:space="preserve"> Caso </w:t>
      </w:r>
      <w:proofErr w:type="spellStart"/>
      <w:r w:rsidRPr="00CD2013">
        <w:rPr>
          <w:rFonts w:ascii="Times New Roman" w:eastAsia="Times New Roman" w:hAnsi="Times New Roman" w:cs="Times New Roman"/>
          <w:i/>
          <w:sz w:val="20"/>
          <w:szCs w:val="20"/>
        </w:rPr>
        <w:t>Yatama</w:t>
      </w:r>
      <w:proofErr w:type="spellEnd"/>
      <w:r w:rsidRPr="00CD2013">
        <w:rPr>
          <w:rFonts w:ascii="Times New Roman" w:eastAsia="Times New Roman" w:hAnsi="Times New Roman" w:cs="Times New Roman"/>
          <w:i/>
          <w:sz w:val="20"/>
          <w:szCs w:val="20"/>
        </w:rPr>
        <w:t xml:space="preserve"> Vs. Nicaragua</w:t>
      </w:r>
      <w:r w:rsidRPr="00CD2013">
        <w:rPr>
          <w:rFonts w:ascii="Times New Roman" w:eastAsia="Times New Roman" w:hAnsi="Times New Roman" w:cs="Times New Roman"/>
          <w:sz w:val="20"/>
          <w:szCs w:val="20"/>
        </w:rPr>
        <w:t>. Sentencia de 23 de junio de 2005. Párr. 184.</w:t>
      </w:r>
    </w:p>
  </w:footnote>
  <w:footnote w:id="55">
    <w:p w14:paraId="000001B5" w14:textId="1AB59AC6"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33</w:t>
      </w:r>
      <w:r w:rsidRPr="00CD2013">
        <w:rPr>
          <w:sz w:val="20"/>
          <w:szCs w:val="20"/>
        </w:rPr>
        <w:t>.</w:t>
      </w:r>
    </w:p>
  </w:footnote>
  <w:footnote w:id="56">
    <w:p w14:paraId="000001B6" w14:textId="77777777" w:rsidR="00744C29"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Co</w:t>
      </w:r>
      <w:r w:rsidRPr="00CD2013">
        <w:rPr>
          <w:rFonts w:ascii="Times New Roman" w:eastAsia="Times New Roman" w:hAnsi="Times New Roman" w:cs="Times New Roman"/>
          <w:sz w:val="20"/>
          <w:szCs w:val="20"/>
        </w:rPr>
        <w:t>rte IDH.</w:t>
      </w:r>
      <w:r w:rsidRPr="00CD2013">
        <w:rPr>
          <w:rFonts w:ascii="Times New Roman" w:eastAsia="Times New Roman" w:hAnsi="Times New Roman" w:cs="Times New Roman"/>
          <w:i/>
          <w:sz w:val="20"/>
          <w:szCs w:val="20"/>
        </w:rPr>
        <w:t xml:space="preserve"> Caso Bueno Alves vs Argentina</w:t>
      </w:r>
      <w:r w:rsidRPr="00CD2013">
        <w:rPr>
          <w:rFonts w:ascii="Times New Roman" w:eastAsia="Times New Roman" w:hAnsi="Times New Roman" w:cs="Times New Roman"/>
          <w:sz w:val="20"/>
          <w:szCs w:val="20"/>
        </w:rPr>
        <w:t>. Sentencia de 11 de mayo de 2007. Párr. 79</w:t>
      </w:r>
    </w:p>
  </w:footnote>
  <w:footnote w:id="57">
    <w:p w14:paraId="000001D0" w14:textId="77777777" w:rsidR="00744C29" w:rsidRPr="00CD2013" w:rsidRDefault="00744C29">
      <w:pPr>
        <w:spacing w:line="240" w:lineRule="auto"/>
        <w:rPr>
          <w:sz w:val="20"/>
          <w:szCs w:val="20"/>
        </w:rPr>
      </w:pPr>
      <w:r>
        <w:rPr>
          <w:vertAlign w:val="superscript"/>
        </w:rPr>
        <w:footnoteRef/>
      </w:r>
      <w:r>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w:t>
      </w:r>
      <w:proofErr w:type="spellStart"/>
      <w:r w:rsidRPr="00CD2013">
        <w:rPr>
          <w:rFonts w:ascii="Times New Roman" w:eastAsia="Times New Roman" w:hAnsi="Times New Roman" w:cs="Times New Roman"/>
          <w:i/>
          <w:sz w:val="20"/>
          <w:szCs w:val="20"/>
        </w:rPr>
        <w:t>Goiburú</w:t>
      </w:r>
      <w:proofErr w:type="spellEnd"/>
      <w:r w:rsidRPr="00CD2013">
        <w:rPr>
          <w:rFonts w:ascii="Times New Roman" w:eastAsia="Times New Roman" w:hAnsi="Times New Roman" w:cs="Times New Roman"/>
          <w:i/>
          <w:sz w:val="20"/>
          <w:szCs w:val="20"/>
        </w:rPr>
        <w:t xml:space="preserve"> vs Paraguay</w:t>
      </w:r>
      <w:r w:rsidRPr="00CD2013">
        <w:rPr>
          <w:rFonts w:ascii="Times New Roman" w:eastAsia="Times New Roman" w:hAnsi="Times New Roman" w:cs="Times New Roman"/>
          <w:sz w:val="20"/>
          <w:szCs w:val="20"/>
        </w:rPr>
        <w:t>. Sentencia de 22 de septiembre de 2006. Párr. 128</w:t>
      </w:r>
    </w:p>
  </w:footnote>
  <w:footnote w:id="58">
    <w:p w14:paraId="000001D1" w14:textId="695CC55B"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proofErr w:type="spellStart"/>
      <w:r w:rsidRPr="00CD2013">
        <w:rPr>
          <w:rFonts w:ascii="Times New Roman" w:eastAsia="Times New Roman" w:hAnsi="Times New Roman" w:cs="Times New Roman"/>
          <w:sz w:val="20"/>
          <w:szCs w:val="20"/>
        </w:rPr>
        <w:t>Ibíd</w:t>
      </w:r>
      <w:proofErr w:type="spellEnd"/>
      <w:r w:rsidRPr="00CD2013">
        <w:rPr>
          <w:rFonts w:ascii="Times New Roman" w:eastAsia="Times New Roman" w:hAnsi="Times New Roman" w:cs="Times New Roman"/>
          <w:sz w:val="20"/>
          <w:szCs w:val="20"/>
        </w:rPr>
        <w:t xml:space="preserve">., </w:t>
      </w:r>
      <w:proofErr w:type="gramStart"/>
      <w:r w:rsidRPr="00CD2013">
        <w:rPr>
          <w:rFonts w:ascii="Times New Roman" w:eastAsia="Times New Roman" w:hAnsi="Times New Roman" w:cs="Times New Roman"/>
          <w:sz w:val="20"/>
          <w:szCs w:val="20"/>
        </w:rPr>
        <w:t>párr. .</w:t>
      </w:r>
      <w:proofErr w:type="gramEnd"/>
      <w:r w:rsidRPr="00CD2013">
        <w:rPr>
          <w:rFonts w:ascii="Times New Roman" w:eastAsia="Times New Roman" w:hAnsi="Times New Roman" w:cs="Times New Roman"/>
          <w:sz w:val="20"/>
          <w:szCs w:val="20"/>
        </w:rPr>
        <w:t xml:space="preserve"> 129</w:t>
      </w:r>
    </w:p>
  </w:footnote>
  <w:footnote w:id="59">
    <w:p w14:paraId="000001B7" w14:textId="77777777" w:rsidR="00744C29" w:rsidRPr="00CD2013" w:rsidRDefault="00744C29">
      <w:pPr>
        <w:spacing w:line="240" w:lineRule="auto"/>
        <w:rPr>
          <w:sz w:val="20"/>
          <w:szCs w:val="20"/>
        </w:rPr>
      </w:pPr>
      <w:r w:rsidRPr="00CD2013">
        <w:rPr>
          <w:sz w:val="20"/>
          <w:szCs w:val="20"/>
          <w:vertAlign w:val="superscript"/>
        </w:rPr>
        <w:footnoteRef/>
      </w:r>
      <w:r w:rsidRPr="00CD2013">
        <w:rPr>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Fernández Ortega y otros vs. México. </w:t>
      </w:r>
      <w:r w:rsidRPr="00CD2013">
        <w:rPr>
          <w:rFonts w:ascii="Times New Roman" w:eastAsia="Times New Roman" w:hAnsi="Times New Roman" w:cs="Times New Roman"/>
          <w:sz w:val="20"/>
          <w:szCs w:val="20"/>
        </w:rPr>
        <w:t xml:space="preserve">Sentencia de 30 de agosto de 2010. Párr.129. </w:t>
      </w:r>
    </w:p>
  </w:footnote>
  <w:footnote w:id="60">
    <w:p w14:paraId="000001B8" w14:textId="0E5360C4"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sz w:val="20"/>
          <w:szCs w:val="20"/>
        </w:rPr>
        <w:t xml:space="preserve"> </w:t>
      </w:r>
      <w:proofErr w:type="spellStart"/>
      <w:r w:rsidRPr="00CD2013">
        <w:rPr>
          <w:rFonts w:ascii="Times New Roman" w:eastAsia="Times New Roman" w:hAnsi="Times New Roman" w:cs="Times New Roman"/>
          <w:sz w:val="20"/>
          <w:szCs w:val="20"/>
        </w:rPr>
        <w:t>Cedaw</w:t>
      </w:r>
      <w:proofErr w:type="spellEnd"/>
      <w:r w:rsidRPr="00CD2013">
        <w:rPr>
          <w:rFonts w:ascii="Times New Roman" w:eastAsia="Times New Roman" w:hAnsi="Times New Roman" w:cs="Times New Roman"/>
          <w:sz w:val="20"/>
          <w:szCs w:val="20"/>
        </w:rPr>
        <w:t>. Recomendación general núm. 35 sobre la violencia por razón de género contra la mujer. Julio 26 de 2017. párr. 13</w:t>
      </w:r>
    </w:p>
    <w:p w14:paraId="000001B9" w14:textId="77777777" w:rsidR="00744C29" w:rsidRDefault="00744C29">
      <w:pPr>
        <w:spacing w:line="240" w:lineRule="auto"/>
        <w:rPr>
          <w:sz w:val="20"/>
          <w:szCs w:val="20"/>
        </w:rPr>
      </w:pPr>
    </w:p>
  </w:footnote>
  <w:footnote w:id="61">
    <w:p w14:paraId="000001BB" w14:textId="16892AB1" w:rsidR="00744C29" w:rsidRPr="00CD2013" w:rsidRDefault="00744C29">
      <w:pPr>
        <w:spacing w:line="240" w:lineRule="auto"/>
        <w:rPr>
          <w:rFonts w:ascii="Times New Roman" w:eastAsia="Times New Roman" w:hAnsi="Times New Roman" w:cs="Times New Roman"/>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49.</w:t>
      </w:r>
    </w:p>
  </w:footnote>
  <w:footnote w:id="62">
    <w:p w14:paraId="000001D3" w14:textId="0A1A413B" w:rsidR="00744C29" w:rsidRDefault="00744C29">
      <w:pPr>
        <w:spacing w:line="240" w:lineRule="auto"/>
        <w:rPr>
          <w:rFonts w:ascii="Times New Roman" w:eastAsia="Times New Roman" w:hAnsi="Times New Roman" w:cs="Times New Roman"/>
          <w:color w:val="222222"/>
          <w:sz w:val="20"/>
          <w:szCs w:val="20"/>
        </w:rPr>
      </w:pPr>
      <w:r w:rsidRPr="00CD2013">
        <w:rPr>
          <w:sz w:val="20"/>
          <w:szCs w:val="20"/>
          <w:vertAlign w:val="superscript"/>
        </w:rPr>
        <w:footnoteRef/>
      </w:r>
      <w:r w:rsidRPr="00CD2013">
        <w:rPr>
          <w:rFonts w:ascii="Times New Roman" w:eastAsia="Times New Roman" w:hAnsi="Times New Roman" w:cs="Times New Roman"/>
          <w:sz w:val="20"/>
          <w:szCs w:val="20"/>
        </w:rPr>
        <w:t xml:space="preserve"> </w:t>
      </w:r>
      <w:hyperlink r:id="rId5">
        <w:r w:rsidRPr="00CD2013">
          <w:rPr>
            <w:rFonts w:ascii="Times New Roman" w:eastAsia="Times New Roman" w:hAnsi="Times New Roman" w:cs="Times New Roman"/>
            <w:color w:val="222222"/>
            <w:sz w:val="20"/>
            <w:szCs w:val="20"/>
          </w:rPr>
          <w:t xml:space="preserve">Corte IDH. </w:t>
        </w:r>
      </w:hyperlink>
      <w:hyperlink r:id="rId6">
        <w:r w:rsidRPr="00CD2013">
          <w:rPr>
            <w:rFonts w:ascii="Times New Roman" w:eastAsia="Times New Roman" w:hAnsi="Times New Roman" w:cs="Times New Roman"/>
            <w:i/>
            <w:color w:val="222222"/>
            <w:sz w:val="20"/>
            <w:szCs w:val="20"/>
          </w:rPr>
          <w:t>Caso Favela Nova Brasilia Vs. Brasil</w:t>
        </w:r>
      </w:hyperlink>
      <w:hyperlink r:id="rId7">
        <w:r w:rsidRPr="00CD2013">
          <w:rPr>
            <w:rFonts w:ascii="Times New Roman" w:eastAsia="Times New Roman" w:hAnsi="Times New Roman" w:cs="Times New Roman"/>
            <w:color w:val="222222"/>
            <w:sz w:val="20"/>
            <w:szCs w:val="20"/>
          </w:rPr>
          <w:t>... Sentencia de 16 de febrero de 2017. Párr. 273</w:t>
        </w:r>
      </w:hyperlink>
      <w:r>
        <w:rPr>
          <w:rFonts w:ascii="Times New Roman" w:eastAsia="Times New Roman" w:hAnsi="Times New Roman" w:cs="Times New Roman"/>
          <w:color w:val="222222"/>
          <w:sz w:val="20"/>
          <w:szCs w:val="20"/>
        </w:rPr>
        <w:t xml:space="preserve"> </w:t>
      </w:r>
    </w:p>
  </w:footnote>
  <w:footnote w:id="63">
    <w:p w14:paraId="000001BC" w14:textId="77777777" w:rsidR="00744C29" w:rsidRPr="00CD2013" w:rsidRDefault="00744C29" w:rsidP="00CD2013">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Caso Almonacid Arellano y otros Vs. Chile</w:t>
      </w:r>
      <w:r w:rsidRPr="00CD2013">
        <w:rPr>
          <w:rFonts w:ascii="Times New Roman" w:eastAsia="Times New Roman" w:hAnsi="Times New Roman" w:cs="Times New Roman"/>
          <w:sz w:val="20"/>
          <w:szCs w:val="20"/>
        </w:rPr>
        <w:t>. Sentencia de 26 de septiembre de 2016. Párr. 152 - 153.</w:t>
      </w:r>
    </w:p>
  </w:footnote>
  <w:footnote w:id="64">
    <w:p w14:paraId="000001C7" w14:textId="77777777" w:rsidR="00744C29" w:rsidRDefault="00744C29" w:rsidP="00CD2013">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Ramírez Escobar y otros Vs. Guatemala. </w:t>
      </w:r>
      <w:r w:rsidRPr="00CD2013">
        <w:rPr>
          <w:rFonts w:ascii="Times New Roman" w:eastAsia="Times New Roman" w:hAnsi="Times New Roman" w:cs="Times New Roman"/>
          <w:sz w:val="20"/>
          <w:szCs w:val="20"/>
        </w:rPr>
        <w:t>Sentencia de 09 de marzo de 2018, párr. 153</w:t>
      </w:r>
    </w:p>
  </w:footnote>
  <w:footnote w:id="65">
    <w:p w14:paraId="000001C4" w14:textId="77777777" w:rsidR="00744C29" w:rsidRPr="00CD2013" w:rsidRDefault="00744C29" w:rsidP="00CD2013">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Corte </w:t>
      </w:r>
      <w:proofErr w:type="spellStart"/>
      <w:r w:rsidRPr="00CD2013">
        <w:rPr>
          <w:rFonts w:ascii="Times New Roman" w:eastAsia="Times New Roman" w:hAnsi="Times New Roman" w:cs="Times New Roman"/>
          <w:sz w:val="20"/>
          <w:szCs w:val="20"/>
        </w:rPr>
        <w:t>IDH.</w:t>
      </w:r>
      <w:r w:rsidRPr="00CD2013">
        <w:rPr>
          <w:rFonts w:ascii="Times New Roman" w:eastAsia="Times New Roman" w:hAnsi="Times New Roman" w:cs="Times New Roman"/>
          <w:i/>
          <w:sz w:val="20"/>
          <w:szCs w:val="20"/>
        </w:rPr>
        <w:t>Caso</w:t>
      </w:r>
      <w:proofErr w:type="spellEnd"/>
      <w:r w:rsidRPr="00CD2013">
        <w:rPr>
          <w:rFonts w:ascii="Times New Roman" w:eastAsia="Times New Roman" w:hAnsi="Times New Roman" w:cs="Times New Roman"/>
          <w:i/>
          <w:sz w:val="20"/>
          <w:szCs w:val="20"/>
        </w:rPr>
        <w:t xml:space="preserve"> De La Cruz Flores Vs. Perú</w:t>
      </w:r>
      <w:r w:rsidRPr="00CD2013">
        <w:rPr>
          <w:rFonts w:ascii="Times New Roman" w:eastAsia="Times New Roman" w:hAnsi="Times New Roman" w:cs="Times New Roman"/>
          <w:sz w:val="20"/>
          <w:szCs w:val="20"/>
        </w:rPr>
        <w:t xml:space="preserve">. Sentencia de 18 de noviembre </w:t>
      </w:r>
      <w:proofErr w:type="gramStart"/>
      <w:r w:rsidRPr="00CD2013">
        <w:rPr>
          <w:rFonts w:ascii="Times New Roman" w:eastAsia="Times New Roman" w:hAnsi="Times New Roman" w:cs="Times New Roman"/>
          <w:sz w:val="20"/>
          <w:szCs w:val="20"/>
        </w:rPr>
        <w:t>de  2004.Párr.</w:t>
      </w:r>
      <w:proofErr w:type="gramEnd"/>
      <w:r w:rsidRPr="00CD2013">
        <w:rPr>
          <w:rFonts w:ascii="Times New Roman" w:eastAsia="Times New Roman" w:hAnsi="Times New Roman" w:cs="Times New Roman"/>
          <w:sz w:val="20"/>
          <w:szCs w:val="20"/>
        </w:rPr>
        <w:t xml:space="preserve"> 80.</w:t>
      </w:r>
    </w:p>
  </w:footnote>
  <w:footnote w:id="66">
    <w:p w14:paraId="000001C5" w14:textId="394C3615" w:rsidR="00744C29" w:rsidRDefault="00744C29" w:rsidP="00CD2013">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Corte </w:t>
      </w:r>
      <w:proofErr w:type="spellStart"/>
      <w:r w:rsidRPr="00CD2013">
        <w:rPr>
          <w:rFonts w:ascii="Times New Roman" w:eastAsia="Times New Roman" w:hAnsi="Times New Roman" w:cs="Times New Roman"/>
          <w:sz w:val="20"/>
          <w:szCs w:val="20"/>
        </w:rPr>
        <w:t>IDH.</w:t>
      </w:r>
      <w:r w:rsidRPr="00CD2013">
        <w:rPr>
          <w:rFonts w:ascii="Times New Roman" w:eastAsia="Times New Roman" w:hAnsi="Times New Roman" w:cs="Times New Roman"/>
          <w:i/>
          <w:sz w:val="20"/>
          <w:szCs w:val="20"/>
        </w:rPr>
        <w:t>Caso</w:t>
      </w:r>
      <w:proofErr w:type="spellEnd"/>
      <w:r w:rsidRPr="00CD2013">
        <w:rPr>
          <w:rFonts w:ascii="Times New Roman" w:eastAsia="Times New Roman" w:hAnsi="Times New Roman" w:cs="Times New Roman"/>
          <w:i/>
          <w:sz w:val="20"/>
          <w:szCs w:val="20"/>
        </w:rPr>
        <w:t xml:space="preserve"> </w:t>
      </w:r>
      <w:proofErr w:type="spellStart"/>
      <w:r w:rsidRPr="00CD2013">
        <w:rPr>
          <w:rFonts w:ascii="Times New Roman" w:eastAsia="Times New Roman" w:hAnsi="Times New Roman" w:cs="Times New Roman"/>
          <w:i/>
          <w:sz w:val="20"/>
          <w:szCs w:val="20"/>
        </w:rPr>
        <w:t>liakat</w:t>
      </w:r>
      <w:proofErr w:type="spellEnd"/>
      <w:r w:rsidRPr="00CD2013">
        <w:rPr>
          <w:rFonts w:ascii="Times New Roman" w:eastAsia="Times New Roman" w:hAnsi="Times New Roman" w:cs="Times New Roman"/>
          <w:i/>
          <w:sz w:val="20"/>
          <w:szCs w:val="20"/>
        </w:rPr>
        <w:t xml:space="preserve"> </w:t>
      </w:r>
      <w:proofErr w:type="spellStart"/>
      <w:r w:rsidRPr="00CD2013">
        <w:rPr>
          <w:rFonts w:ascii="Times New Roman" w:eastAsia="Times New Roman" w:hAnsi="Times New Roman" w:cs="Times New Roman"/>
          <w:i/>
          <w:sz w:val="20"/>
          <w:szCs w:val="20"/>
        </w:rPr>
        <w:t>ali</w:t>
      </w:r>
      <w:proofErr w:type="spellEnd"/>
      <w:r w:rsidRPr="00CD2013">
        <w:rPr>
          <w:rFonts w:ascii="Times New Roman" w:eastAsia="Times New Roman" w:hAnsi="Times New Roman" w:cs="Times New Roman"/>
          <w:i/>
          <w:sz w:val="20"/>
          <w:szCs w:val="20"/>
        </w:rPr>
        <w:t xml:space="preserve"> </w:t>
      </w:r>
      <w:proofErr w:type="spellStart"/>
      <w:r w:rsidRPr="00CD2013">
        <w:rPr>
          <w:rFonts w:ascii="Times New Roman" w:eastAsia="Times New Roman" w:hAnsi="Times New Roman" w:cs="Times New Roman"/>
          <w:i/>
          <w:sz w:val="20"/>
          <w:szCs w:val="20"/>
        </w:rPr>
        <w:t>alibux</w:t>
      </w:r>
      <w:proofErr w:type="spellEnd"/>
      <w:r w:rsidRPr="00CD2013">
        <w:rPr>
          <w:rFonts w:ascii="Times New Roman" w:eastAsia="Times New Roman" w:hAnsi="Times New Roman" w:cs="Times New Roman"/>
          <w:i/>
          <w:sz w:val="20"/>
          <w:szCs w:val="20"/>
        </w:rPr>
        <w:t xml:space="preserve"> VS. </w:t>
      </w:r>
      <w:proofErr w:type="spellStart"/>
      <w:r w:rsidRPr="00CD2013">
        <w:rPr>
          <w:rFonts w:ascii="Times New Roman" w:eastAsia="Times New Roman" w:hAnsi="Times New Roman" w:cs="Times New Roman"/>
          <w:i/>
          <w:sz w:val="20"/>
          <w:szCs w:val="20"/>
        </w:rPr>
        <w:t>suriname</w:t>
      </w:r>
      <w:proofErr w:type="spellEnd"/>
      <w:r w:rsidRPr="00CD2013">
        <w:rPr>
          <w:rFonts w:ascii="Times New Roman" w:eastAsia="Times New Roman" w:hAnsi="Times New Roman" w:cs="Times New Roman"/>
          <w:i/>
          <w:sz w:val="20"/>
          <w:szCs w:val="20"/>
        </w:rPr>
        <w:t>.</w:t>
      </w:r>
      <w:r w:rsidRPr="00CD2013">
        <w:rPr>
          <w:rFonts w:ascii="Times New Roman" w:eastAsia="Times New Roman" w:hAnsi="Times New Roman" w:cs="Times New Roman"/>
          <w:sz w:val="20"/>
          <w:szCs w:val="20"/>
        </w:rPr>
        <w:t xml:space="preserve"> Sentencia de 30 de enero de 2014</w:t>
      </w:r>
      <w:r w:rsidRPr="00CD2013">
        <w:rPr>
          <w:rFonts w:ascii="Times New Roman" w:eastAsia="Times New Roman" w:hAnsi="Times New Roman" w:cs="Times New Roman"/>
          <w:i/>
          <w:sz w:val="20"/>
          <w:szCs w:val="20"/>
        </w:rPr>
        <w:t>. Pár. 61.</w:t>
      </w:r>
    </w:p>
  </w:footnote>
  <w:footnote w:id="67">
    <w:p w14:paraId="000001C6" w14:textId="4889DFD1" w:rsidR="00744C29" w:rsidRPr="00CD2013" w:rsidRDefault="00744C29">
      <w:pPr>
        <w:spacing w:line="240" w:lineRule="auto"/>
        <w:rPr>
          <w:rFonts w:ascii="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proofErr w:type="spellStart"/>
      <w:r w:rsidRPr="00CD2013">
        <w:rPr>
          <w:rFonts w:ascii="Times New Roman" w:hAnsi="Times New Roman" w:cs="Times New Roman"/>
          <w:sz w:val="20"/>
          <w:szCs w:val="20"/>
        </w:rPr>
        <w:t>Ibídem</w:t>
      </w:r>
      <w:proofErr w:type="spellEnd"/>
      <w:r w:rsidRPr="00CD2013">
        <w:rPr>
          <w:rFonts w:ascii="Times New Roman" w:hAnsi="Times New Roman" w:cs="Times New Roman"/>
          <w:sz w:val="20"/>
          <w:szCs w:val="20"/>
        </w:rPr>
        <w:t>. Párr. 61.</w:t>
      </w:r>
    </w:p>
  </w:footnote>
  <w:footnote w:id="68">
    <w:p w14:paraId="000001BF" w14:textId="12077A24" w:rsidR="00744C29" w:rsidRPr="00CD2013"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r w:rsidRPr="00CD2013">
        <w:rPr>
          <w:rFonts w:ascii="Times New Roman" w:eastAsia="Times New Roman" w:hAnsi="Times New Roman" w:cs="Times New Roman"/>
          <w:sz w:val="20"/>
          <w:szCs w:val="20"/>
        </w:rPr>
        <w:t xml:space="preserve">Alonso Reguera. Enrique M. (2013) Convención Americana de Derechos Humanos y su proyección en el Derecho Argentino. 1a- ed. Buenos Aires. La ley: Departamento de publicaciones de la Facultad de Derecho. </w:t>
      </w:r>
    </w:p>
  </w:footnote>
  <w:footnote w:id="69">
    <w:p w14:paraId="000001BE" w14:textId="08C82028" w:rsidR="00744C29" w:rsidRDefault="00744C29">
      <w:pPr>
        <w:spacing w:line="240" w:lineRule="auto"/>
        <w:rPr>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 xml:space="preserve">Caso Favela Nova Brasilia Vs Brasil. </w:t>
      </w:r>
      <w:r w:rsidRPr="00CD2013">
        <w:rPr>
          <w:rFonts w:ascii="Times New Roman" w:eastAsia="Times New Roman" w:hAnsi="Times New Roman" w:cs="Times New Roman"/>
          <w:sz w:val="20"/>
          <w:szCs w:val="20"/>
        </w:rPr>
        <w:t>Sentencia de 16 de febrero de 2017. Párr. 245</w:t>
      </w:r>
      <w:r w:rsidRPr="00CD2013">
        <w:rPr>
          <w:rFonts w:ascii="Times New Roman" w:hAnsi="Times New Roman" w:cs="Times New Roman"/>
          <w:sz w:val="20"/>
          <w:szCs w:val="20"/>
        </w:rPr>
        <w:t>.</w:t>
      </w:r>
      <w:r>
        <w:rPr>
          <w:sz w:val="20"/>
          <w:szCs w:val="20"/>
        </w:rPr>
        <w:t xml:space="preserve"> </w:t>
      </w:r>
    </w:p>
  </w:footnote>
  <w:footnote w:id="70">
    <w:p w14:paraId="000001BD" w14:textId="295AF147" w:rsidR="00744C29" w:rsidRPr="00CD2013" w:rsidRDefault="00744C29">
      <w:pPr>
        <w:spacing w:line="240" w:lineRule="auto"/>
        <w:rPr>
          <w:rFonts w:ascii="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eastAsia="Times New Roman" w:hAnsi="Times New Roman" w:cs="Times New Roman"/>
          <w:sz w:val="20"/>
          <w:szCs w:val="20"/>
        </w:rPr>
        <w:t xml:space="preserve">  Caso Hipotético </w:t>
      </w:r>
      <w:proofErr w:type="spellStart"/>
      <w:r w:rsidRPr="00CD2013">
        <w:rPr>
          <w:rFonts w:ascii="Times New Roman" w:eastAsia="Times New Roman" w:hAnsi="Times New Roman" w:cs="Times New Roman"/>
          <w:sz w:val="20"/>
          <w:szCs w:val="20"/>
        </w:rPr>
        <w:t>Evarista</w:t>
      </w:r>
      <w:proofErr w:type="spellEnd"/>
      <w:r w:rsidRPr="00CD2013">
        <w:rPr>
          <w:rFonts w:ascii="Times New Roman" w:eastAsia="Times New Roman" w:hAnsi="Times New Roman" w:cs="Times New Roman"/>
          <w:sz w:val="20"/>
          <w:szCs w:val="20"/>
        </w:rPr>
        <w:t xml:space="preserve"> Cristóbal y Maritza Guerra Vs El Estado de Tributaria. Párr. 32</w:t>
      </w:r>
      <w:r w:rsidRPr="00CD2013">
        <w:rPr>
          <w:rFonts w:ascii="Times New Roman" w:hAnsi="Times New Roman" w:cs="Times New Roman"/>
          <w:sz w:val="20"/>
          <w:szCs w:val="20"/>
        </w:rPr>
        <w:t>.</w:t>
      </w:r>
    </w:p>
  </w:footnote>
  <w:footnote w:id="71">
    <w:p w14:paraId="000001D4" w14:textId="0C054541" w:rsidR="00744C29" w:rsidRDefault="00744C29">
      <w:pPr>
        <w:spacing w:line="240" w:lineRule="auto"/>
        <w:rPr>
          <w:rFonts w:ascii="Times New Roman" w:eastAsia="Times New Roman" w:hAnsi="Times New Roman" w:cs="Times New Roman"/>
          <w:sz w:val="20"/>
          <w:szCs w:val="20"/>
        </w:rPr>
      </w:pPr>
      <w:r w:rsidRPr="00CD2013">
        <w:rPr>
          <w:rFonts w:ascii="Times New Roman" w:hAnsi="Times New Roman" w:cs="Times New Roman"/>
          <w:sz w:val="20"/>
          <w:szCs w:val="20"/>
          <w:vertAlign w:val="superscript"/>
        </w:rPr>
        <w:footnoteRef/>
      </w:r>
      <w:r w:rsidRPr="00CD2013">
        <w:rPr>
          <w:rFonts w:ascii="Times New Roman" w:hAnsi="Times New Roman" w:cs="Times New Roman"/>
          <w:sz w:val="20"/>
          <w:szCs w:val="20"/>
        </w:rPr>
        <w:t xml:space="preserve"> </w:t>
      </w:r>
      <w:r w:rsidRPr="00CD2013">
        <w:rPr>
          <w:rFonts w:ascii="Times New Roman" w:eastAsia="Times New Roman" w:hAnsi="Times New Roman" w:cs="Times New Roman"/>
          <w:sz w:val="20"/>
          <w:szCs w:val="20"/>
        </w:rPr>
        <w:t xml:space="preserve">Corte IDH. </w:t>
      </w:r>
      <w:r w:rsidRPr="00CD2013">
        <w:rPr>
          <w:rFonts w:ascii="Times New Roman" w:eastAsia="Times New Roman" w:hAnsi="Times New Roman" w:cs="Times New Roman"/>
          <w:i/>
          <w:sz w:val="20"/>
          <w:szCs w:val="20"/>
        </w:rPr>
        <w:t>Caso Trabajadores Cesados de Petroperú y otros vs. Perú</w:t>
      </w:r>
      <w:r w:rsidRPr="00CD2013">
        <w:rPr>
          <w:rFonts w:ascii="Times New Roman" w:eastAsia="Times New Roman" w:hAnsi="Times New Roman" w:cs="Times New Roman"/>
          <w:sz w:val="20"/>
          <w:szCs w:val="20"/>
        </w:rPr>
        <w:t>. Sentencia de 23 de noviembre de 2017. párr. 196.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91" w14:textId="77777777" w:rsidR="00744C29" w:rsidRDefault="00744C29">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06808"/>
    <w:multiLevelType w:val="multilevel"/>
    <w:tmpl w:val="9424C10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E823E46"/>
    <w:multiLevelType w:val="hybridMultilevel"/>
    <w:tmpl w:val="E1EA4E64"/>
    <w:lvl w:ilvl="0" w:tplc="240A0017">
      <w:start w:val="4"/>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BFF3290"/>
    <w:multiLevelType w:val="hybridMultilevel"/>
    <w:tmpl w:val="FAE6DD8A"/>
    <w:lvl w:ilvl="0" w:tplc="C6727918">
      <w:start w:val="3"/>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20725B2C"/>
    <w:multiLevelType w:val="multilevel"/>
    <w:tmpl w:val="F77E2E06"/>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12714D5"/>
    <w:multiLevelType w:val="multilevel"/>
    <w:tmpl w:val="EBD62596"/>
    <w:lvl w:ilvl="0">
      <w:start w:val="1"/>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21F9096D"/>
    <w:multiLevelType w:val="multilevel"/>
    <w:tmpl w:val="AA505D5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2891B34"/>
    <w:multiLevelType w:val="multilevel"/>
    <w:tmpl w:val="ACB6408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2E73DC0"/>
    <w:multiLevelType w:val="multilevel"/>
    <w:tmpl w:val="666258F4"/>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8AF0D2C"/>
    <w:multiLevelType w:val="multilevel"/>
    <w:tmpl w:val="FD7648D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8FE6172"/>
    <w:multiLevelType w:val="multilevel"/>
    <w:tmpl w:val="5F18736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0" w15:restartNumberingAfterBreak="0">
    <w:nsid w:val="31931F65"/>
    <w:multiLevelType w:val="hybridMultilevel"/>
    <w:tmpl w:val="8D48AE1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8CF2B7F"/>
    <w:multiLevelType w:val="multilevel"/>
    <w:tmpl w:val="C4F20A4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2" w15:restartNumberingAfterBreak="0">
    <w:nsid w:val="39331248"/>
    <w:multiLevelType w:val="hybridMultilevel"/>
    <w:tmpl w:val="052A7270"/>
    <w:lvl w:ilvl="0" w:tplc="3F422266">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A627D5A"/>
    <w:multiLevelType w:val="multilevel"/>
    <w:tmpl w:val="963E51D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4" w15:restartNumberingAfterBreak="0">
    <w:nsid w:val="3B5024D9"/>
    <w:multiLevelType w:val="hybridMultilevel"/>
    <w:tmpl w:val="B3B8430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D0D6CE7"/>
    <w:multiLevelType w:val="multilevel"/>
    <w:tmpl w:val="40DA7AB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DD678F5"/>
    <w:multiLevelType w:val="multilevel"/>
    <w:tmpl w:val="34C4B5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EFB62AA"/>
    <w:multiLevelType w:val="hybridMultilevel"/>
    <w:tmpl w:val="A0BAAB6A"/>
    <w:lvl w:ilvl="0" w:tplc="240A0017">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2CB1AD8"/>
    <w:multiLevelType w:val="multilevel"/>
    <w:tmpl w:val="312A934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9" w15:restartNumberingAfterBreak="0">
    <w:nsid w:val="4B4D7AB5"/>
    <w:multiLevelType w:val="hybridMultilevel"/>
    <w:tmpl w:val="077220F2"/>
    <w:lvl w:ilvl="0" w:tplc="9D429C4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53884C53"/>
    <w:multiLevelType w:val="multilevel"/>
    <w:tmpl w:val="92D8E83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1" w15:restartNumberingAfterBreak="0">
    <w:nsid w:val="585C0A1B"/>
    <w:multiLevelType w:val="multilevel"/>
    <w:tmpl w:val="CBFE7680"/>
    <w:lvl w:ilvl="0">
      <w:start w:val="1"/>
      <w:numFmt w:val="decimal"/>
      <w:lvlText w:val="%1."/>
      <w:lvlJc w:val="left"/>
      <w:pPr>
        <w:ind w:left="720" w:hanging="360"/>
      </w:pPr>
      <w:rPr>
        <w:rFonts w:ascii="Times New Roman" w:eastAsia="Times New Roman" w:hAnsi="Times New Roman" w:cs="Times New Roman"/>
        <w:b w:val="0"/>
        <w:i w:val="0"/>
        <w:smallCaps w:val="0"/>
        <w:strike w:val="0"/>
        <w:color w:val="00000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592115D5"/>
    <w:multiLevelType w:val="multilevel"/>
    <w:tmpl w:val="A50E9C64"/>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BEF1D76"/>
    <w:multiLevelType w:val="hybridMultilevel"/>
    <w:tmpl w:val="BED0AD56"/>
    <w:lvl w:ilvl="0" w:tplc="240A0017">
      <w:start w:val="3"/>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C073F3D"/>
    <w:multiLevelType w:val="multilevel"/>
    <w:tmpl w:val="A5C4C9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649F7CD0"/>
    <w:multiLevelType w:val="multilevel"/>
    <w:tmpl w:val="01C2EE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668967BC"/>
    <w:multiLevelType w:val="multilevel"/>
    <w:tmpl w:val="C6C278E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6897352D"/>
    <w:multiLevelType w:val="multilevel"/>
    <w:tmpl w:val="85DE304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8" w15:restartNumberingAfterBreak="0">
    <w:nsid w:val="6B707E2B"/>
    <w:multiLevelType w:val="multilevel"/>
    <w:tmpl w:val="20E66D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6D6B763F"/>
    <w:multiLevelType w:val="multilevel"/>
    <w:tmpl w:val="2DFA5AB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6FB65F04"/>
    <w:multiLevelType w:val="multilevel"/>
    <w:tmpl w:val="E224419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21"/>
  </w:num>
  <w:num w:numId="2">
    <w:abstractNumId w:val="16"/>
  </w:num>
  <w:num w:numId="3">
    <w:abstractNumId w:val="20"/>
  </w:num>
  <w:num w:numId="4">
    <w:abstractNumId w:val="27"/>
  </w:num>
  <w:num w:numId="5">
    <w:abstractNumId w:val="25"/>
  </w:num>
  <w:num w:numId="6">
    <w:abstractNumId w:val="24"/>
  </w:num>
  <w:num w:numId="7">
    <w:abstractNumId w:val="29"/>
  </w:num>
  <w:num w:numId="8">
    <w:abstractNumId w:val="18"/>
  </w:num>
  <w:num w:numId="9">
    <w:abstractNumId w:val="4"/>
  </w:num>
  <w:num w:numId="10">
    <w:abstractNumId w:val="9"/>
  </w:num>
  <w:num w:numId="11">
    <w:abstractNumId w:val="13"/>
  </w:num>
  <w:num w:numId="12">
    <w:abstractNumId w:val="8"/>
  </w:num>
  <w:num w:numId="13">
    <w:abstractNumId w:val="11"/>
  </w:num>
  <w:num w:numId="14">
    <w:abstractNumId w:val="28"/>
  </w:num>
  <w:num w:numId="15">
    <w:abstractNumId w:val="30"/>
  </w:num>
  <w:num w:numId="16">
    <w:abstractNumId w:val="5"/>
  </w:num>
  <w:num w:numId="17">
    <w:abstractNumId w:val="15"/>
  </w:num>
  <w:num w:numId="18">
    <w:abstractNumId w:val="0"/>
  </w:num>
  <w:num w:numId="19">
    <w:abstractNumId w:val="26"/>
  </w:num>
  <w:num w:numId="20">
    <w:abstractNumId w:val="12"/>
  </w:num>
  <w:num w:numId="21">
    <w:abstractNumId w:val="2"/>
  </w:num>
  <w:num w:numId="22">
    <w:abstractNumId w:val="19"/>
  </w:num>
  <w:num w:numId="23">
    <w:abstractNumId w:val="14"/>
  </w:num>
  <w:num w:numId="24">
    <w:abstractNumId w:val="1"/>
  </w:num>
  <w:num w:numId="25">
    <w:abstractNumId w:val="23"/>
  </w:num>
  <w:num w:numId="26">
    <w:abstractNumId w:val="17"/>
  </w:num>
  <w:num w:numId="27">
    <w:abstractNumId w:val="10"/>
  </w:num>
  <w:num w:numId="28">
    <w:abstractNumId w:val="6"/>
  </w:num>
  <w:num w:numId="29">
    <w:abstractNumId w:val="22"/>
  </w:num>
  <w:num w:numId="30">
    <w:abstractNumId w:val="7"/>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A9D"/>
    <w:rsid w:val="00105322"/>
    <w:rsid w:val="001C7ED6"/>
    <w:rsid w:val="00205AC3"/>
    <w:rsid w:val="00344907"/>
    <w:rsid w:val="003F70BE"/>
    <w:rsid w:val="004F2671"/>
    <w:rsid w:val="0050379C"/>
    <w:rsid w:val="006F454F"/>
    <w:rsid w:val="00744C29"/>
    <w:rsid w:val="007703F4"/>
    <w:rsid w:val="00A60D9B"/>
    <w:rsid w:val="00AB4372"/>
    <w:rsid w:val="00B90ED5"/>
    <w:rsid w:val="00BE1A9D"/>
    <w:rsid w:val="00BF4E9A"/>
    <w:rsid w:val="00CD2013"/>
    <w:rsid w:val="00DF00A2"/>
    <w:rsid w:val="00F03241"/>
    <w:rsid w:val="00F17FCF"/>
    <w:rsid w:val="00F86333"/>
    <w:rsid w:val="00F9285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B4BF2"/>
  <w15:docId w15:val="{3103DEDB-CF08-4FAA-B72E-E050C370C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Encabezado">
    <w:name w:val="header"/>
    <w:basedOn w:val="Normal"/>
    <w:link w:val="EncabezadoCar"/>
    <w:uiPriority w:val="99"/>
    <w:unhideWhenUsed/>
    <w:rsid w:val="006F454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F454F"/>
  </w:style>
  <w:style w:type="paragraph" w:styleId="Piedepgina">
    <w:name w:val="footer"/>
    <w:basedOn w:val="Normal"/>
    <w:link w:val="PiedepginaCar"/>
    <w:uiPriority w:val="99"/>
    <w:unhideWhenUsed/>
    <w:rsid w:val="006F454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F454F"/>
  </w:style>
  <w:style w:type="paragraph" w:styleId="TtuloTDC">
    <w:name w:val="TOC Heading"/>
    <w:basedOn w:val="Ttulo1"/>
    <w:next w:val="Normal"/>
    <w:uiPriority w:val="39"/>
    <w:unhideWhenUsed/>
    <w:qFormat/>
    <w:rsid w:val="00205AC3"/>
    <w:pPr>
      <w:spacing w:before="240" w:after="0" w:line="259" w:lineRule="auto"/>
      <w:outlineLvl w:val="9"/>
    </w:pPr>
    <w:rPr>
      <w:rFonts w:asciiTheme="majorHAnsi" w:eastAsiaTheme="majorEastAsia" w:hAnsiTheme="majorHAnsi" w:cstheme="majorBidi"/>
      <w:color w:val="365F91" w:themeColor="accent1" w:themeShade="BF"/>
      <w:sz w:val="32"/>
      <w:szCs w:val="32"/>
      <w:lang w:val="es-CO"/>
    </w:rPr>
  </w:style>
  <w:style w:type="paragraph" w:styleId="Prrafodelista">
    <w:name w:val="List Paragraph"/>
    <w:basedOn w:val="Normal"/>
    <w:uiPriority w:val="34"/>
    <w:qFormat/>
    <w:rsid w:val="00205A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y.unilibre.edu.co/bitstream/handle/10901/11478/EL%20AGOTAMIENTO%20DE%20LOS%20RECURSOS%20INTERNOS%20COMO%20REQUISITO%20MERAMENTE%20FORMAL%20O%20COMO%20REQUISITO%20DE%20FONDO%20PARA%20ACCEDER%20AL%20SISTEMA%20INTERAMERICANO%20DE%20DERECHOS%20HUMANOS%20(1).pdf?sequence=1&amp;isAllowed=y"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0318/cdt.2019.462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20318/cdt.2019.4622" TargetMode="External"/><Relationship Id="rId4" Type="http://schemas.openxmlformats.org/officeDocument/2006/relationships/settings" Target="settings.xml"/><Relationship Id="rId9" Type="http://schemas.openxmlformats.org/officeDocument/2006/relationships/hyperlink" Target="https://repository.unilibre.edu.co/bitstream/handle/10901/11478/EL%20AGOTAMIENTO%20DE%20LOS%20RECURSOS%20INTERNOS%20COMO%20REQUISITO%20MERAMENTE%20FORMAL%20O%20COMO%20REQUISITO%20DE%20FONDO%20PARA%20ACCEDER%20AL%20SISTEMA%20INTERAMERICANO%20DE%20DERECHOS%20HUMANOS%20(1).pdf?sequence=1&amp;isAllowed=y"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bjdh.org.mx/interamericano/busqueda" TargetMode="External"/><Relationship Id="rId7" Type="http://schemas.openxmlformats.org/officeDocument/2006/relationships/hyperlink" Target="http://www.bjdh.org.mx/interamericano/busqueda" TargetMode="External"/><Relationship Id="rId2" Type="http://schemas.openxmlformats.org/officeDocument/2006/relationships/hyperlink" Target="http://www.bjdh.org.mx/interamericano/busqueda" TargetMode="External"/><Relationship Id="rId1" Type="http://schemas.openxmlformats.org/officeDocument/2006/relationships/hyperlink" Target="http://www.bjdh.org.mx/interamericano/busqueda" TargetMode="External"/><Relationship Id="rId6" Type="http://schemas.openxmlformats.org/officeDocument/2006/relationships/hyperlink" Target="http://www.bjdh.org.mx/interamericano/busqueda" TargetMode="External"/><Relationship Id="rId5" Type="http://schemas.openxmlformats.org/officeDocument/2006/relationships/hyperlink" Target="http://www.bjdh.org.mx/interamericano/busqueda" TargetMode="External"/><Relationship Id="rId4" Type="http://schemas.openxmlformats.org/officeDocument/2006/relationships/hyperlink" Target="http://www.bjdh.org.mx/interamericano/busque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B3395-11E4-416D-99DC-CEAD6C27C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10850</Words>
  <Characters>59677</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Biblioteca Angelico</dc:creator>
  <cp:lastModifiedBy>vacio</cp:lastModifiedBy>
  <cp:revision>4</cp:revision>
  <dcterms:created xsi:type="dcterms:W3CDTF">2019-10-18T21:23:00Z</dcterms:created>
  <dcterms:modified xsi:type="dcterms:W3CDTF">2019-10-18T21:28:00Z</dcterms:modified>
</cp:coreProperties>
</file>