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2B89" w:rsidRPr="00BE2B89" w:rsidRDefault="00BE2B89" w:rsidP="00BE2B89">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BE2B89">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Lugar de ejecución</w:t>
            </w:r>
          </w:p>
        </w:tc>
      </w:tr>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EXIGIBILIDAD Y JUSTICIABILIDAD DEL DERECHO A LA ALIMENTACIÓN EN COLOMBIA COMO DERECHO FUNDAMENTAL.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BOGOTÁ</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BE2B89" w:rsidRPr="00BE2B89" w:rsidTr="00BE2B8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Enlace </w:t>
            </w:r>
            <w:proofErr w:type="spellStart"/>
            <w:r w:rsidRPr="00BE2B8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Google Académico</w:t>
            </w:r>
          </w:p>
        </w:tc>
      </w:tr>
      <w:tr w:rsidR="00BE2B89" w:rsidRPr="00BE2B89" w:rsidTr="009F2F4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bl>
    <w:p w:rsidR="00BE2B89" w:rsidRPr="00BE2B89" w:rsidRDefault="00BE2B89" w:rsidP="00BE2B8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Grupo de investigación</w:t>
            </w:r>
          </w:p>
        </w:tc>
      </w:tr>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Estudios críticos en derecho, derechos humanos, derecho internacional humanitario, justicia, prudencia y paz - </w:t>
            </w:r>
            <w:proofErr w:type="spellStart"/>
            <w:r w:rsidRPr="00BE2B89">
              <w:rPr>
                <w:rFonts w:ascii="Helvetica" w:eastAsia="Times New Roman" w:hAnsi="Helvetica" w:cs="Helvetica"/>
                <w:color w:val="222222"/>
                <w:sz w:val="24"/>
                <w:szCs w:val="24"/>
                <w:lang w:eastAsia="es-CO"/>
              </w:rPr>
              <w:t>Bioderecho</w:t>
            </w:r>
            <w:proofErr w:type="spellEnd"/>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Investigación socio humanística del derecho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BE2B89" w:rsidRPr="00BE2B89" w:rsidTr="00BE2B8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Enlace </w:t>
            </w:r>
            <w:proofErr w:type="spellStart"/>
            <w:r w:rsidRPr="00BE2B8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Google Académico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Grupo de investigación</w:t>
            </w:r>
          </w:p>
        </w:tc>
      </w:tr>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BE2B89" w:rsidRPr="00BE2B89" w:rsidTr="00BE2B89">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Palabras clave</w:t>
            </w:r>
          </w:p>
        </w:tc>
      </w:tr>
      <w:tr w:rsidR="00BE2B89" w:rsidRPr="00BE2B89" w:rsidTr="00BE2B89">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lastRenderedPageBreak/>
              <w:t xml:space="preserve">A través del presenta proyecto se pretende reflexionar sobre las acciones legislativas necesarias para garantizar la exigibilidad y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del derecho a la alimentación como derecho humanos fundamental y analizar su importancia en la no repetición del conflicto armado. Se aprecia que todas las iniciativas </w:t>
            </w:r>
            <w:proofErr w:type="gramStart"/>
            <w:r w:rsidRPr="00BE2B89">
              <w:rPr>
                <w:rFonts w:ascii="Helvetica" w:eastAsia="Times New Roman" w:hAnsi="Helvetica" w:cs="Helvetica"/>
                <w:color w:val="222222"/>
                <w:sz w:val="24"/>
                <w:szCs w:val="24"/>
                <w:lang w:eastAsia="es-CO"/>
              </w:rPr>
              <w:t>legislativa</w:t>
            </w:r>
            <w:proofErr w:type="gramEnd"/>
            <w:r w:rsidRPr="00BE2B89">
              <w:rPr>
                <w:rFonts w:ascii="Helvetica" w:eastAsia="Times New Roman" w:hAnsi="Helvetica" w:cs="Helvetica"/>
                <w:color w:val="222222"/>
                <w:sz w:val="24"/>
                <w:szCs w:val="24"/>
                <w:lang w:eastAsia="es-CO"/>
              </w:rPr>
              <w:t xml:space="preserve"> relacionadas con tal derecho si bien han estado acordes con los estándares internacionales no han prosperado en su trámite por el Congreso o por vencimiento de términos o por su retiro antes de éste. Al revisar la actuación de la Corte Constitucional se observa que el derecho a la alimentación se articula como parte del concepto de “mínimo vital” y solo hasta 2012 pasa a referirse al derecho a la alimentación desde las conceptualizaciones internacionales.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Derecho a la alimentación, Acuerdo de Paz, Exigibilidad,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Planteamiento del problema y pregunta de investigación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Teniendo en cuanta que el incumplimiento del derecho humano a la alimentación en Colombia obedece, en parte, a la ausencia de un marco legal que lo desarrolle; la preguntas que subyace en la presente propuesta de investigación seria ¿Cómo debería garantizarse legal y constitucional el derecho a alimentación desde la perspectiva de un derecho humano fundamental? Así mismo, se plantea si los recursos judiciales que protegen derechos constitucionales se constituyen en mecanismos que permitan su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de conformidad con los estándares internacionales.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Justificación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En el Estado Colombiano urge diseñar marcos normativos y recursos eficaces que otorguen capacidad a individuos o colectivos para reclamar el reconocimiento del derecho, obtener la declaratoria de su violación, exigir medida preventivas, reparaciones y garantías de no repetición ante autoridades administrativa, judiciales o cuasi-judiciales, cuando exista un riesgo, amenaza o violación especifica de cualquiera de los elementos normativos que estructuran el derecho a la alimentación y de mecanismos que permitan su aplicación inmediata, aun cuando, se tenga claro, que resolver el hambre es un problema estructural que deba atenderse a través de programas y políticas pública a cargo del Ejecutivo.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Objetivo general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lastRenderedPageBreak/>
              <w:t xml:space="preserve">Proponer acciones legislativas orientadas a garantizar la exigibilidad y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que de manera específica permitan garantizar del derecho a la alimentación como derecho humanos fundamental y analizar su importancia en la no repetición del conflicto armado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Objetivos específicos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1. 1. Analizar los aspectos jurídicos internacionales del derecho a la alimentación como derecho humanos de naturaleza social, económica y cultural. 2. 3. 2. Estudiar de manera comparada el tratamiento constitucional del derecho a la alimentación como derecho humano fundamental respecto de otros Estados región. 4. 5. 3. Examinar las actividades legislativas emprendidas por el Congreso de la República de Colombia respecto de su consagración como derecho fundamental y respecto de establecimiento de mecanismos judiciales específicos de protección. 4. Reflexionar si la consagración actual del derecho a la alimentación en la Constitución Nacional y los recursos judiciales previstos permitan garantizar el cumplimiento de las obligaciones </w:t>
            </w:r>
            <w:proofErr w:type="spellStart"/>
            <w:proofErr w:type="gramStart"/>
            <w:r w:rsidRPr="00BE2B89">
              <w:rPr>
                <w:rFonts w:ascii="Helvetica" w:eastAsia="Times New Roman" w:hAnsi="Helvetica" w:cs="Helvetica"/>
                <w:color w:val="222222"/>
                <w:sz w:val="24"/>
                <w:szCs w:val="24"/>
                <w:lang w:eastAsia="es-CO"/>
              </w:rPr>
              <w:t>especificas</w:t>
            </w:r>
            <w:proofErr w:type="spellEnd"/>
            <w:proofErr w:type="gramEnd"/>
            <w:r w:rsidRPr="00BE2B89">
              <w:rPr>
                <w:rFonts w:ascii="Helvetica" w:eastAsia="Times New Roman" w:hAnsi="Helvetica" w:cs="Helvetica"/>
                <w:color w:val="222222"/>
                <w:sz w:val="24"/>
                <w:szCs w:val="24"/>
                <w:lang w:eastAsia="es-CO"/>
              </w:rPr>
              <w:t xml:space="preserve"> que componen el derecho a la alimentación de conformidad con los estándares internacionales.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Marco teórico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El archivo adjunto es: Marco </w:t>
            </w:r>
            <w:proofErr w:type="spellStart"/>
            <w:r w:rsidRPr="00BE2B89">
              <w:rPr>
                <w:rFonts w:ascii="Helvetica" w:eastAsia="Times New Roman" w:hAnsi="Helvetica" w:cs="Helvetica"/>
                <w:color w:val="222222"/>
                <w:sz w:val="24"/>
                <w:szCs w:val="24"/>
                <w:lang w:eastAsia="es-CO"/>
              </w:rPr>
              <w:t>teorico</w:t>
            </w:r>
            <w:proofErr w:type="spellEnd"/>
            <w:r w:rsidRPr="00BE2B89">
              <w:rPr>
                <w:rFonts w:ascii="Helvetica" w:eastAsia="Times New Roman" w:hAnsi="Helvetica" w:cs="Helvetica"/>
                <w:color w:val="222222"/>
                <w:sz w:val="24"/>
                <w:szCs w:val="24"/>
                <w:lang w:eastAsia="es-CO"/>
              </w:rPr>
              <w:t xml:space="preserve"> </w:t>
            </w:r>
            <w:proofErr w:type="spellStart"/>
            <w:r w:rsidRPr="00BE2B89">
              <w:rPr>
                <w:rFonts w:ascii="Helvetica" w:eastAsia="Times New Roman" w:hAnsi="Helvetica" w:cs="Helvetica"/>
                <w:color w:val="222222"/>
                <w:sz w:val="24"/>
                <w:szCs w:val="24"/>
                <w:lang w:eastAsia="es-CO"/>
              </w:rPr>
              <w:t>Fodein</w:t>
            </w:r>
            <w:proofErr w:type="spellEnd"/>
            <w:r w:rsidRPr="00BE2B89">
              <w:rPr>
                <w:rFonts w:ascii="Helvetica" w:eastAsia="Times New Roman" w:hAnsi="Helvetica" w:cs="Helvetica"/>
                <w:color w:val="222222"/>
                <w:sz w:val="24"/>
                <w:szCs w:val="24"/>
                <w:lang w:eastAsia="es-CO"/>
              </w:rPr>
              <w:t xml:space="preserve"> 2019- EXIGIBILIDAD Y JUSTICIABILIDAD DEL DERECHO A LA ALIMENTACIÓN EN COLOMBIA COMO DERECHO HUMANO FUNDAMENTAL.pdf</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Metodología</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3D30" w:rsidRDefault="00513D30" w:rsidP="00513D30">
            <w:pPr>
              <w:pStyle w:val="TableParagraph"/>
              <w:spacing w:before="115" w:line="360" w:lineRule="auto"/>
              <w:ind w:left="68" w:right="117"/>
              <w:jc w:val="both"/>
              <w:rPr>
                <w:sz w:val="24"/>
                <w:szCs w:val="24"/>
                <w:lang w:val="es-ES"/>
              </w:rPr>
            </w:pPr>
            <w:r w:rsidRPr="00964E59">
              <w:rPr>
                <w:sz w:val="24"/>
                <w:szCs w:val="24"/>
                <w:lang w:val="es-ES"/>
              </w:rPr>
              <w:t>El proyecto de investigación tiene por objeto de estudio el sistema de normas jurídicas internacionales y nacionales que regulan actualmente el derecho a la alimentación. Por tanto, se desarrollará desde la perspectiva jurídica y desde un enfoque de derecho internacional de los derechos humanos y del derecho constitucional, descartando el enfoque económico o de desarrollo.</w:t>
            </w:r>
          </w:p>
          <w:p w:rsidR="00513D30" w:rsidRPr="00964E59" w:rsidRDefault="00513D30" w:rsidP="00513D30">
            <w:pPr>
              <w:pStyle w:val="TableParagraph"/>
              <w:spacing w:before="115" w:line="360" w:lineRule="auto"/>
              <w:ind w:left="68" w:right="117"/>
              <w:jc w:val="both"/>
              <w:rPr>
                <w:sz w:val="24"/>
                <w:szCs w:val="24"/>
                <w:lang w:val="es-ES"/>
              </w:rPr>
            </w:pPr>
            <w:r w:rsidRPr="00964E59">
              <w:rPr>
                <w:sz w:val="24"/>
                <w:szCs w:val="24"/>
                <w:lang w:val="es-ES"/>
              </w:rPr>
              <w:t xml:space="preserve">Al ser una </w:t>
            </w:r>
            <w:r w:rsidRPr="00964E59">
              <w:rPr>
                <w:lang w:val="es-ES"/>
              </w:rPr>
              <w:t>investigación</w:t>
            </w:r>
            <w:r w:rsidRPr="00964E59">
              <w:rPr>
                <w:sz w:val="24"/>
                <w:szCs w:val="24"/>
                <w:lang w:val="es-ES"/>
              </w:rPr>
              <w:t xml:space="preserve"> </w:t>
            </w:r>
            <w:r w:rsidRPr="00964E59">
              <w:rPr>
                <w:lang w:val="es-ES"/>
              </w:rPr>
              <w:t>jurídica</w:t>
            </w:r>
            <w:r w:rsidRPr="00964E59">
              <w:rPr>
                <w:sz w:val="24"/>
                <w:szCs w:val="24"/>
                <w:lang w:val="es-ES"/>
              </w:rPr>
              <w:t xml:space="preserve">, el proyecto se desarrollará haciendo uso del </w:t>
            </w:r>
            <w:r w:rsidRPr="00964E59">
              <w:rPr>
                <w:lang w:val="es-ES"/>
              </w:rPr>
              <w:t>método</w:t>
            </w:r>
            <w:r w:rsidRPr="00964E59">
              <w:rPr>
                <w:sz w:val="24"/>
                <w:szCs w:val="24"/>
                <w:lang w:val="es-ES"/>
              </w:rPr>
              <w:t xml:space="preserve"> </w:t>
            </w:r>
            <w:r w:rsidRPr="00964E59">
              <w:rPr>
                <w:lang w:val="es-ES"/>
              </w:rPr>
              <w:t>hermenéutico</w:t>
            </w:r>
            <w:r w:rsidRPr="00964E59">
              <w:rPr>
                <w:sz w:val="24"/>
                <w:szCs w:val="24"/>
                <w:lang w:val="es-ES"/>
              </w:rPr>
              <w:t xml:space="preserve"> y por tanto, lógico-deductivo. Las herramientas </w:t>
            </w:r>
            <w:r w:rsidRPr="00964E59">
              <w:rPr>
                <w:lang w:val="es-ES"/>
              </w:rPr>
              <w:t>metodológicas</w:t>
            </w:r>
            <w:r w:rsidRPr="00964E59">
              <w:rPr>
                <w:sz w:val="24"/>
                <w:szCs w:val="24"/>
                <w:lang w:val="es-ES"/>
              </w:rPr>
              <w:t xml:space="preserve"> </w:t>
            </w:r>
            <w:r w:rsidRPr="00964E59">
              <w:rPr>
                <w:lang w:val="es-ES"/>
              </w:rPr>
              <w:t>diseñadas</w:t>
            </w:r>
            <w:r w:rsidRPr="00964E59">
              <w:rPr>
                <w:sz w:val="24"/>
                <w:szCs w:val="24"/>
                <w:lang w:val="es-ES"/>
              </w:rPr>
              <w:t xml:space="preserve"> para el logro de los objetivos trazados son de tipo </w:t>
            </w:r>
            <w:proofErr w:type="spellStart"/>
            <w:r w:rsidRPr="00964E59">
              <w:rPr>
                <w:sz w:val="24"/>
                <w:szCs w:val="24"/>
                <w:lang w:val="es-ES"/>
              </w:rPr>
              <w:t>teórico</w:t>
            </w:r>
            <w:proofErr w:type="spellEnd"/>
            <w:r w:rsidRPr="00964E59">
              <w:rPr>
                <w:sz w:val="24"/>
                <w:szCs w:val="24"/>
                <w:lang w:val="es-ES"/>
              </w:rPr>
              <w:t xml:space="preserve"> documental, </w:t>
            </w:r>
            <w:r w:rsidRPr="00964E59">
              <w:rPr>
                <w:lang w:val="es-ES"/>
              </w:rPr>
              <w:t>histórico</w:t>
            </w:r>
            <w:r w:rsidRPr="00964E59">
              <w:rPr>
                <w:sz w:val="24"/>
                <w:szCs w:val="24"/>
                <w:lang w:val="es-ES"/>
              </w:rPr>
              <w:t xml:space="preserve">, comparativo, descriptivo y propositivo. La técnica será la </w:t>
            </w:r>
            <w:r w:rsidRPr="00964E59">
              <w:rPr>
                <w:lang w:val="es-ES"/>
              </w:rPr>
              <w:t>indagación</w:t>
            </w:r>
            <w:r w:rsidRPr="00964E59">
              <w:rPr>
                <w:sz w:val="24"/>
                <w:szCs w:val="24"/>
                <w:lang w:val="es-ES"/>
              </w:rPr>
              <w:t xml:space="preserve"> documental.</w:t>
            </w:r>
          </w:p>
          <w:p w:rsidR="00513D30" w:rsidRDefault="00513D30" w:rsidP="00513D30">
            <w:pPr>
              <w:pStyle w:val="TableParagraph"/>
              <w:spacing w:before="115" w:line="360" w:lineRule="auto"/>
              <w:ind w:right="117"/>
              <w:jc w:val="both"/>
              <w:rPr>
                <w:sz w:val="24"/>
                <w:szCs w:val="24"/>
                <w:lang w:val="es-ES"/>
              </w:rPr>
            </w:pPr>
            <w:r w:rsidRPr="00964E59">
              <w:rPr>
                <w:sz w:val="24"/>
                <w:szCs w:val="24"/>
                <w:lang w:val="es-ES"/>
              </w:rPr>
              <w:t>De acuerdo a lo anterior, se revisarán las leyes y los proyectos de ley tramitados ante el Congreso de la República que han intentado establecer el derecho a la alimentación como derecho f</w:t>
            </w:r>
            <w:r>
              <w:rPr>
                <w:sz w:val="24"/>
                <w:szCs w:val="24"/>
                <w:lang w:val="es-ES"/>
              </w:rPr>
              <w:t xml:space="preserve">undamental, al igual, </w:t>
            </w:r>
            <w:r w:rsidRPr="00964E59">
              <w:rPr>
                <w:sz w:val="24"/>
                <w:szCs w:val="24"/>
                <w:lang w:val="es-ES"/>
              </w:rPr>
              <w:t xml:space="preserve">que aquellos que han propuesto fórmulas de tutela judicial que </w:t>
            </w:r>
            <w:r w:rsidRPr="00964E59">
              <w:rPr>
                <w:sz w:val="24"/>
                <w:szCs w:val="24"/>
                <w:lang w:val="es-ES"/>
              </w:rPr>
              <w:lastRenderedPageBreak/>
              <w:t xml:space="preserve">impactarían en su </w:t>
            </w:r>
            <w:proofErr w:type="spellStart"/>
            <w:r w:rsidRPr="00964E59">
              <w:rPr>
                <w:sz w:val="24"/>
                <w:szCs w:val="24"/>
                <w:lang w:val="es-ES"/>
              </w:rPr>
              <w:t>justiciabilidad</w:t>
            </w:r>
            <w:proofErr w:type="spellEnd"/>
            <w:r w:rsidRPr="00964E59">
              <w:rPr>
                <w:sz w:val="24"/>
                <w:szCs w:val="24"/>
                <w:lang w:val="es-ES"/>
              </w:rPr>
              <w:t>.</w:t>
            </w:r>
          </w:p>
          <w:p w:rsidR="00513D30" w:rsidRDefault="00513D30" w:rsidP="00513D30">
            <w:pPr>
              <w:pStyle w:val="TableParagraph"/>
              <w:spacing w:before="115" w:line="360" w:lineRule="auto"/>
              <w:ind w:right="117"/>
              <w:jc w:val="both"/>
              <w:rPr>
                <w:sz w:val="24"/>
                <w:szCs w:val="24"/>
                <w:lang w:val="es-ES"/>
              </w:rPr>
            </w:pPr>
            <w:r w:rsidRPr="00964E59">
              <w:rPr>
                <w:sz w:val="24"/>
                <w:szCs w:val="24"/>
                <w:lang w:val="es-ES"/>
              </w:rPr>
              <w:t>Posteriormente, se hará empleo de las metodologías para el análisis jurisprudencial de fallos de la Corte Constitucional centrando la atención en el discurso de la argumentación judicial sobre el derecho a la alimentación.</w:t>
            </w:r>
          </w:p>
          <w:p w:rsidR="00513D30" w:rsidRPr="00964E59" w:rsidRDefault="00513D30" w:rsidP="00513D30">
            <w:pPr>
              <w:pStyle w:val="TableParagraph"/>
              <w:spacing w:before="115" w:line="360" w:lineRule="auto"/>
              <w:ind w:right="117"/>
              <w:jc w:val="both"/>
              <w:rPr>
                <w:sz w:val="24"/>
                <w:szCs w:val="24"/>
                <w:lang w:val="es-ES"/>
              </w:rPr>
            </w:pPr>
            <w:r w:rsidRPr="00964E59">
              <w:rPr>
                <w:sz w:val="24"/>
                <w:szCs w:val="24"/>
                <w:lang w:val="es-ES"/>
              </w:rPr>
              <w:t>Finalmente, se hará</w:t>
            </w:r>
            <w:r>
              <w:rPr>
                <w:sz w:val="24"/>
                <w:szCs w:val="24"/>
                <w:lang w:val="es-ES"/>
              </w:rPr>
              <w:t xml:space="preserve"> uso del </w:t>
            </w:r>
            <w:r w:rsidRPr="00964E59">
              <w:rPr>
                <w:sz w:val="24"/>
                <w:szCs w:val="24"/>
                <w:lang w:val="es-ES"/>
              </w:rPr>
              <w:t xml:space="preserve">método comparado para constatar las leyes y la jurisprudencia de aquellos estados que han incorporado en su legislación el derecho a la alimentación como derecho fundamental a fin de arribar a una propuesta armonizadora </w:t>
            </w:r>
            <w:r>
              <w:rPr>
                <w:sz w:val="24"/>
                <w:szCs w:val="24"/>
                <w:lang w:val="es-ES"/>
              </w:rPr>
              <w:t xml:space="preserve">que desde el derecho internacional de los Derechos Humanos resulte </w:t>
            </w:r>
            <w:r w:rsidRPr="00964E59">
              <w:rPr>
                <w:sz w:val="24"/>
                <w:szCs w:val="24"/>
                <w:lang w:val="es-ES"/>
              </w:rPr>
              <w:t>aplicable a la realidad colombiana.</w:t>
            </w:r>
          </w:p>
          <w:p w:rsidR="00BE2B89" w:rsidRPr="00513D30" w:rsidRDefault="00513D30" w:rsidP="00513D30">
            <w:pPr>
              <w:pStyle w:val="NormalWeb"/>
              <w:spacing w:line="360" w:lineRule="auto"/>
              <w:jc w:val="both"/>
              <w:rPr>
                <w:rFonts w:ascii="Arial" w:hAnsi="Arial" w:cs="Arial"/>
                <w:lang w:val="es-ES"/>
              </w:rPr>
            </w:pPr>
            <w:r w:rsidRPr="00964E59">
              <w:rPr>
                <w:rFonts w:ascii="Arial" w:hAnsi="Arial" w:cs="Arial"/>
                <w:lang w:val="es-ES"/>
              </w:rPr>
              <w:t xml:space="preserve">El modelo hermenéutico propuesto se centra en herramientas de tipo cualitativo. </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Resultados esperados</w:t>
            </w:r>
          </w:p>
        </w:tc>
      </w:tr>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Cantidad</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Apropiación social del conocim</w:t>
            </w:r>
            <w:r w:rsidR="005B4087">
              <w:rPr>
                <w:rFonts w:ascii="Helvetica" w:eastAsia="Times New Roman" w:hAnsi="Helvetica" w:cs="Helvetica"/>
                <w:color w:val="222222"/>
                <w:sz w:val="24"/>
                <w:szCs w:val="24"/>
                <w:lang w:eastAsia="es-CO"/>
              </w:rPr>
              <w:t>i</w:t>
            </w:r>
            <w:r w:rsidRPr="00BE2B89">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Gestión del conocim</w:t>
            </w:r>
            <w:r w:rsidR="005B4087">
              <w:rPr>
                <w:rFonts w:ascii="Helvetica" w:eastAsia="Times New Roman" w:hAnsi="Helvetica" w:cs="Helvetica"/>
                <w:color w:val="222222"/>
                <w:sz w:val="24"/>
                <w:szCs w:val="24"/>
                <w:lang w:eastAsia="es-CO"/>
              </w:rPr>
              <w:t>i</w:t>
            </w:r>
            <w:r w:rsidRPr="00BE2B89">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Proyectos de </w:t>
            </w:r>
            <w:proofErr w:type="spellStart"/>
            <w:r w:rsidRPr="00BE2B89">
              <w:rPr>
                <w:rFonts w:ascii="Helvetica" w:eastAsia="Times New Roman" w:hAnsi="Helvetica" w:cs="Helvetica"/>
                <w:color w:val="222222"/>
                <w:sz w:val="24"/>
                <w:szCs w:val="24"/>
                <w:lang w:eastAsia="es-CO"/>
              </w:rPr>
              <w:t>ID+i</w:t>
            </w:r>
            <w:proofErr w:type="spellEnd"/>
            <w:r w:rsidRPr="00BE2B89">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Contribución del proyecto al cumplimiento con la misión institucional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Línea de acción 4, Enriquecimiento regional con programas estándares comunes a través de acciones que contribuyen a que la actualización curricular de los planes de estudios.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Líneas del PIM con las </w:t>
            </w:r>
            <w:proofErr w:type="spellStart"/>
            <w:r w:rsidRPr="00BE2B89">
              <w:rPr>
                <w:rFonts w:ascii="Arial" w:eastAsia="Times New Roman" w:hAnsi="Arial" w:cs="Arial"/>
                <w:b/>
                <w:bCs/>
                <w:color w:val="222222"/>
                <w:sz w:val="24"/>
                <w:szCs w:val="24"/>
                <w:lang w:eastAsia="es-CO"/>
              </w:rPr>
              <w:t>qye</w:t>
            </w:r>
            <w:proofErr w:type="spellEnd"/>
            <w:r w:rsidRPr="00BE2B89">
              <w:rPr>
                <w:rFonts w:ascii="Arial" w:eastAsia="Times New Roman" w:hAnsi="Arial" w:cs="Arial"/>
                <w:b/>
                <w:bCs/>
                <w:color w:val="222222"/>
                <w:sz w:val="24"/>
                <w:szCs w:val="24"/>
                <w:lang w:eastAsia="es-CO"/>
              </w:rPr>
              <w:t xml:space="preserve"> vincula el proyecto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4. Enriquecimiento regional de los programas con estándares comunes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Acciones del Plan General de Desarrollo 2016-2019 con el que se articula el proyecto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Apropiar los lineamientos para el diseño y la actualización curricular de los programas académicos.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BE2B89" w:rsidRPr="00BE2B89" w:rsidTr="00BE2B8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FODEIN</w:t>
            </w:r>
          </w:p>
        </w:tc>
      </w:tr>
      <w:tr w:rsidR="00BE2B89" w:rsidRPr="00BE2B89" w:rsidTr="00BE2B8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9F2F41"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$ 9.500.000</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Materiales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$ 250.000</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lastRenderedPageBreak/>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$ 13.850.000</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BE2B89" w:rsidRPr="00BE2B89" w:rsidTr="00BE2B8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CONTRAPARTIDA EXTERNA</w:t>
            </w:r>
          </w:p>
        </w:tc>
      </w:tr>
      <w:tr w:rsidR="00BE2B89" w:rsidRPr="00BE2B89" w:rsidTr="00BE2B8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b/>
                <w:bCs/>
                <w:color w:val="222222"/>
                <w:sz w:val="24"/>
                <w:szCs w:val="24"/>
                <w:lang w:eastAsia="es-CO"/>
              </w:rPr>
              <w:t>$ 0.000</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BE2B89" w:rsidRPr="00BE2B89" w:rsidTr="00BE2B8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CRONOGRAMA</w:t>
            </w:r>
          </w:p>
        </w:tc>
      </w:tr>
      <w:tr w:rsidR="00BE2B89" w:rsidRPr="00BE2B89" w:rsidTr="00BE2B89">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Fecha Fin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Default="00BE2B89" w:rsidP="00BE2B89">
            <w:pPr>
              <w:spacing w:after="0" w:line="240" w:lineRule="auto"/>
              <w:jc w:val="center"/>
              <w:rPr>
                <w:rFonts w:ascii="Helvetica" w:eastAsia="Times New Roman" w:hAnsi="Helvetica" w:cs="Helvetica"/>
                <w:color w:val="222222"/>
                <w:sz w:val="24"/>
                <w:szCs w:val="24"/>
                <w:lang w:eastAsia="es-CO"/>
              </w:rPr>
            </w:pPr>
          </w:p>
          <w:p w:rsidR="00C50820" w:rsidRDefault="00C50820" w:rsidP="00BE2B89">
            <w:pPr>
              <w:spacing w:after="0" w:line="240" w:lineRule="auto"/>
              <w:jc w:val="center"/>
              <w:rPr>
                <w:rFonts w:ascii="Helvetica" w:eastAsia="Times New Roman" w:hAnsi="Helvetica" w:cs="Helvetica"/>
                <w:color w:val="222222"/>
                <w:sz w:val="24"/>
                <w:szCs w:val="24"/>
                <w:lang w:eastAsia="es-CO"/>
              </w:rPr>
            </w:pPr>
          </w:p>
          <w:p w:rsidR="00C50820" w:rsidRDefault="00C50820" w:rsidP="00BE2B89">
            <w:pPr>
              <w:spacing w:after="0" w:line="240" w:lineRule="auto"/>
              <w:jc w:val="center"/>
              <w:rPr>
                <w:rFonts w:ascii="Helvetica" w:eastAsia="Times New Roman" w:hAnsi="Helvetica" w:cs="Helvetica"/>
                <w:color w:val="222222"/>
                <w:sz w:val="24"/>
                <w:szCs w:val="24"/>
                <w:lang w:eastAsia="es-CO"/>
              </w:rPr>
            </w:pPr>
          </w:p>
          <w:p w:rsidR="00C50820" w:rsidRPr="00BE2B89" w:rsidRDefault="00C50820" w:rsidP="00BE2B89">
            <w:pPr>
              <w:spacing w:after="0" w:line="240" w:lineRule="auto"/>
              <w:jc w:val="center"/>
              <w:rPr>
                <w:rFonts w:ascii="Helvetica" w:eastAsia="Times New Roman" w:hAnsi="Helvetica" w:cs="Helvetica"/>
                <w:color w:val="222222"/>
                <w:sz w:val="24"/>
                <w:szCs w:val="24"/>
                <w:lang w:eastAsia="es-CO"/>
              </w:rPr>
            </w:pPr>
            <w:r>
              <w:rPr>
                <w:noProof/>
                <w:lang w:eastAsia="es-CO"/>
              </w:rPr>
              <w:lastRenderedPageBreak/>
              <w:drawing>
                <wp:inline distT="0" distB="0" distL="0" distR="0" wp14:anchorId="01C38EF0" wp14:editId="316182A2">
                  <wp:extent cx="4724400" cy="35909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4724400" cy="3590925"/>
                          </a:xfrm>
                          <a:prstGeom prst="rect">
                            <a:avLst/>
                          </a:prstGeom>
                        </pic:spPr>
                      </pic:pic>
                    </a:graphicData>
                  </a:graphic>
                </wp:inline>
              </w:drawing>
            </w:r>
            <w:bookmarkStart w:id="0" w:name="_GoBack"/>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lastRenderedPageBreak/>
              <w:t>Febrero 2019</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Abril 2019</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Posibles evaluadores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Referencia(s)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Abramovich</w:t>
            </w:r>
            <w:proofErr w:type="spellEnd"/>
            <w:r>
              <w:rPr>
                <w:rFonts w:ascii="TimesNewRomanPSMT" w:hAnsi="TimesNewRomanPSMT" w:cs="TimesNewRomanPSMT"/>
                <w:color w:val="000000"/>
                <w:sz w:val="24"/>
                <w:szCs w:val="24"/>
              </w:rPr>
              <w:t xml:space="preserve">, V y </w:t>
            </w:r>
            <w:proofErr w:type="spellStart"/>
            <w:r>
              <w:rPr>
                <w:rFonts w:ascii="TimesNewRomanPSMT" w:hAnsi="TimesNewRomanPSMT" w:cs="TimesNewRomanPSMT"/>
                <w:color w:val="000000"/>
                <w:sz w:val="24"/>
                <w:szCs w:val="24"/>
              </w:rPr>
              <w:t>Courtis</w:t>
            </w:r>
            <w:proofErr w:type="spellEnd"/>
            <w:r>
              <w:rPr>
                <w:rFonts w:ascii="TimesNewRomanPSMT" w:hAnsi="TimesNewRomanPSMT" w:cs="TimesNewRomanPSMT"/>
                <w:color w:val="000000"/>
                <w:sz w:val="24"/>
                <w:szCs w:val="24"/>
              </w:rPr>
              <w:t xml:space="preserve">, Ch. (2004) </w:t>
            </w:r>
            <w:r>
              <w:rPr>
                <w:rFonts w:ascii="TimesNewRomanPS-ItalicMT" w:hAnsi="TimesNewRomanPS-ItalicMT" w:cs="TimesNewRomanPS-ItalicMT"/>
                <w:i/>
                <w:iCs/>
                <w:color w:val="000000"/>
                <w:sz w:val="24"/>
                <w:szCs w:val="24"/>
              </w:rPr>
              <w:t>Los derechos sociales como derechos exigibles</w:t>
            </w:r>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Trotta</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Álvarez, M.C, Correa J. M, </w:t>
            </w:r>
            <w:proofErr w:type="spellStart"/>
            <w:r>
              <w:rPr>
                <w:rFonts w:ascii="TimesNewRomanPSMT" w:hAnsi="TimesNewRomanPSMT" w:cs="TimesNewRomanPSMT"/>
                <w:color w:val="000000"/>
                <w:sz w:val="24"/>
                <w:szCs w:val="24"/>
              </w:rPr>
              <w:t>Desosa</w:t>
            </w:r>
            <w:proofErr w:type="spellEnd"/>
            <w:r>
              <w:rPr>
                <w:rFonts w:ascii="TimesNewRomanPSMT" w:hAnsi="TimesNewRomanPSMT" w:cs="TimesNewRomanPSMT"/>
                <w:color w:val="000000"/>
                <w:sz w:val="24"/>
                <w:szCs w:val="24"/>
              </w:rPr>
              <w:t xml:space="preserve">, G. C , Estrada, A, Forero, Y Gómez L.F • </w:t>
            </w:r>
            <w:proofErr w:type="spellStart"/>
            <w:r>
              <w:rPr>
                <w:rFonts w:ascii="TimesNewRomanPSMT" w:hAnsi="TimesNewRomanPSMT" w:cs="TimesNewRomanPSMT"/>
                <w:color w:val="000000"/>
                <w:sz w:val="24"/>
                <w:szCs w:val="24"/>
              </w:rPr>
              <w:t>Majarrez</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L M y Samper. B. (2005) Encuesta nacional de la situación nutricional en Colombia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(Instituto colombiano de bienestar familiar).Bogotá, Colombia. Panamericana Firmas 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Impresos, S. 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Alexy</w:t>
            </w:r>
            <w:proofErr w:type="spellEnd"/>
            <w:r>
              <w:rPr>
                <w:rFonts w:ascii="TimesNewRomanPSMT" w:hAnsi="TimesNewRomanPSMT" w:cs="TimesNewRomanPSMT"/>
                <w:color w:val="000000"/>
                <w:sz w:val="24"/>
                <w:szCs w:val="24"/>
              </w:rPr>
              <w:t>, R. (2003). Los derechos fundamentales en el Estado Constitucional. En: M.</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lastRenderedPageBreak/>
              <w:t xml:space="preserve">Carbonell (Ed.), </w:t>
            </w:r>
            <w:proofErr w:type="spellStart"/>
            <w:r>
              <w:rPr>
                <w:rFonts w:ascii="TimesNewRomanPSMT" w:hAnsi="TimesNewRomanPSMT" w:cs="TimesNewRomanPSMT"/>
                <w:color w:val="000000"/>
                <w:sz w:val="24"/>
                <w:szCs w:val="24"/>
              </w:rPr>
              <w:t>Neoconstitucionalismo</w:t>
            </w:r>
            <w:proofErr w:type="spellEnd"/>
            <w:r>
              <w:rPr>
                <w:rFonts w:ascii="TimesNewRomanPSMT" w:hAnsi="TimesNewRomanPSMT" w:cs="TimesNewRomanPSMT"/>
                <w:color w:val="000000"/>
                <w:sz w:val="24"/>
                <w:szCs w:val="24"/>
              </w:rPr>
              <w:t>(s) (pp. 31-47). Madrid: Editorial Trota.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Alexy</w:t>
            </w:r>
            <w:proofErr w:type="spellEnd"/>
            <w:r>
              <w:rPr>
                <w:rFonts w:ascii="TimesNewRomanPSMT" w:hAnsi="TimesNewRomanPSMT" w:cs="TimesNewRomanPSMT"/>
                <w:color w:val="000000"/>
                <w:sz w:val="24"/>
                <w:szCs w:val="24"/>
              </w:rPr>
              <w:t>, R. (2007). Teoría de los derechos fundamentales. Madrid: Centro de Estudios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Constitucionales.</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Barona, I. F. (2011). </w:t>
            </w:r>
            <w:r>
              <w:rPr>
                <w:rFonts w:ascii="TimesNewRomanPS-ItalicMT" w:hAnsi="TimesNewRomanPS-ItalicMT" w:cs="TimesNewRomanPS-ItalicMT"/>
                <w:i/>
                <w:iCs/>
                <w:color w:val="000000"/>
                <w:sz w:val="24"/>
                <w:szCs w:val="24"/>
              </w:rPr>
              <w:t>Derecho internacional y Justicia transicional: cuando el derecho se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ItalicMT" w:hAnsi="TimesNewRomanPS-ItalicMT" w:cs="TimesNewRomanPS-ItalicMT"/>
                <w:i/>
                <w:iCs/>
                <w:color w:val="000000"/>
                <w:sz w:val="24"/>
                <w:szCs w:val="24"/>
              </w:rPr>
              <w:t>convierte</w:t>
            </w:r>
            <w:proofErr w:type="gramEnd"/>
            <w:r>
              <w:rPr>
                <w:rFonts w:ascii="TimesNewRomanPS-ItalicMT" w:hAnsi="TimesNewRomanPS-ItalicMT" w:cs="TimesNewRomanPS-ItalicMT"/>
                <w:i/>
                <w:iCs/>
                <w:color w:val="000000"/>
                <w:sz w:val="24"/>
                <w:szCs w:val="24"/>
              </w:rPr>
              <w:t xml:space="preserve"> en religión</w:t>
            </w:r>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Civitas</w:t>
            </w:r>
            <w:proofErr w:type="spellEnd"/>
            <w:r>
              <w:rPr>
                <w:rFonts w:ascii="TimesNewRomanPSMT" w:hAnsi="TimesNewRomanPSMT" w:cs="TimesNewRomanPSMT"/>
                <w:color w:val="000000"/>
                <w:sz w:val="24"/>
                <w:szCs w:val="24"/>
              </w:rPr>
              <w:t xml:space="preserve"> Thomson Reuters.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Arango, R. (2001). Protección nacional e internacional de los derechos humanos sociales.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En: M. A. Alonso, J. Giraldo (Eds.), Ciudadanía y derechos humanos sociales. Medellín: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ENS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Arango, R. (2005). El concepto de derechos sociales fundamentales. Bogotá: </w:t>
            </w:r>
            <w:proofErr w:type="spellStart"/>
            <w:r>
              <w:rPr>
                <w:rFonts w:ascii="TimesNewRomanPSMT" w:hAnsi="TimesNewRomanPSMT" w:cs="TimesNewRomanPSMT"/>
                <w:color w:val="000000"/>
                <w:sz w:val="24"/>
                <w:szCs w:val="24"/>
              </w:rPr>
              <w:t>Legis</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Echarren</w:t>
            </w:r>
            <w:proofErr w:type="spellEnd"/>
            <w:r>
              <w:rPr>
                <w:rFonts w:ascii="TimesNewRomanPSMT" w:hAnsi="TimesNewRomanPSMT" w:cs="TimesNewRomanPSMT"/>
                <w:color w:val="000000"/>
                <w:sz w:val="24"/>
                <w:szCs w:val="24"/>
              </w:rPr>
              <w:t xml:space="preserve">, P. Y. (2013). Hambre y conflicto. </w:t>
            </w:r>
            <w:r>
              <w:rPr>
                <w:rFonts w:ascii="TimesNewRomanPS-ItalicMT" w:hAnsi="TimesNewRomanPS-ItalicMT" w:cs="TimesNewRomanPS-ItalicMT"/>
                <w:i/>
                <w:iCs/>
                <w:color w:val="000000"/>
                <w:sz w:val="24"/>
                <w:szCs w:val="24"/>
              </w:rPr>
              <w:t>Cuadernos de estrategia</w:t>
            </w:r>
            <w:r>
              <w:rPr>
                <w:rFonts w:ascii="TimesNewRomanPSMT" w:hAnsi="TimesNewRomanPSMT" w:cs="TimesNewRomanPSMT"/>
                <w:color w:val="000000"/>
                <w:sz w:val="24"/>
                <w:szCs w:val="24"/>
              </w:rPr>
              <w:t>, (161), 189-215.</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Eide</w:t>
            </w:r>
            <w:proofErr w:type="spellEnd"/>
            <w:r>
              <w:rPr>
                <w:rFonts w:ascii="TimesNewRomanPSMT" w:hAnsi="TimesNewRomanPSMT" w:cs="TimesNewRomanPSMT"/>
                <w:color w:val="000000"/>
                <w:sz w:val="24"/>
                <w:szCs w:val="24"/>
              </w:rPr>
              <w:t>, A. (1989) El derecho a una alimentación adecuada como derecho humano. Naciones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Unidas. </w:t>
            </w:r>
            <w:r>
              <w:rPr>
                <w:rFonts w:ascii="TimesNewRomanPS-ItalicMT" w:hAnsi="TimesNewRomanPS-ItalicMT" w:cs="TimesNewRomanPS-ItalicMT"/>
                <w:i/>
                <w:iCs/>
                <w:color w:val="000000"/>
                <w:sz w:val="24"/>
                <w:szCs w:val="24"/>
              </w:rPr>
              <w:t>Serie de estudios sobre derechos humanos</w:t>
            </w:r>
            <w:r>
              <w:rPr>
                <w:rFonts w:ascii="TimesNewRomanPSMT" w:hAnsi="TimesNewRomanPSMT" w:cs="TimesNewRomanPSMT"/>
                <w:color w:val="000000"/>
                <w:sz w:val="24"/>
                <w:szCs w:val="24"/>
              </w:rPr>
              <w:t>, 1, 1989.</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Gallo, M. A (2014) Es defendible la idea de un derecho universal a no morir de hambre? en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Restrepo Y, O.C y Molina S, C.A. ( </w:t>
            </w:r>
            <w:proofErr w:type="spellStart"/>
            <w:r>
              <w:rPr>
                <w:rFonts w:ascii="TimesNewRomanPSMT" w:hAnsi="TimesNewRomanPSMT" w:cs="TimesNewRomanPSMT"/>
                <w:color w:val="000000"/>
                <w:sz w:val="24"/>
                <w:szCs w:val="24"/>
              </w:rPr>
              <w:t>Coords</w:t>
            </w:r>
            <w:proofErr w:type="spellEnd"/>
            <w:r>
              <w:rPr>
                <w:rFonts w:ascii="TimesNewRomanPSMT" w:hAnsi="TimesNewRomanPSMT" w:cs="TimesNewRomanPSMT"/>
                <w:color w:val="000000"/>
                <w:sz w:val="24"/>
                <w:szCs w:val="24"/>
              </w:rPr>
              <w:t>) Derecho a la alimentación: aproximaciones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teóricas</w:t>
            </w:r>
            <w:proofErr w:type="gramEnd"/>
            <w:r>
              <w:rPr>
                <w:rFonts w:ascii="TimesNewRomanPSMT" w:hAnsi="TimesNewRomanPSMT" w:cs="TimesNewRomanPSMT"/>
                <w:color w:val="000000"/>
                <w:sz w:val="24"/>
                <w:szCs w:val="24"/>
              </w:rPr>
              <w:t xml:space="preserve"> y prácticas para su debate. Medellín, Colombia. Universidad de Medellín.</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proofErr w:type="spellStart"/>
            <w:r>
              <w:rPr>
                <w:rFonts w:ascii="TimesNewRomanPSMT" w:hAnsi="TimesNewRomanPSMT" w:cs="TimesNewRomanPSMT"/>
                <w:color w:val="000000"/>
                <w:sz w:val="24"/>
                <w:szCs w:val="24"/>
              </w:rPr>
              <w:t>Jusidman-Rapoport</w:t>
            </w:r>
            <w:proofErr w:type="spellEnd"/>
            <w:r>
              <w:rPr>
                <w:rFonts w:ascii="TimesNewRomanPSMT" w:hAnsi="TimesNewRomanPSMT" w:cs="TimesNewRomanPSMT"/>
                <w:color w:val="000000"/>
                <w:sz w:val="24"/>
                <w:szCs w:val="24"/>
              </w:rPr>
              <w:t xml:space="preserve">, C. (2014). El derecho a la alimentación como derecho humano. </w:t>
            </w:r>
            <w:r>
              <w:rPr>
                <w:rFonts w:ascii="TimesNewRomanPS-ItalicMT" w:hAnsi="TimesNewRomanPS-ItalicMT" w:cs="TimesNewRomanPS-ItalicMT"/>
                <w:i/>
                <w:iCs/>
                <w:color w:val="000000"/>
                <w:sz w:val="24"/>
                <w:szCs w:val="24"/>
              </w:rPr>
              <w:t>Salud</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ItalicMT" w:hAnsi="TimesNewRomanPS-ItalicMT" w:cs="TimesNewRomanPS-ItalicMT"/>
                <w:i/>
                <w:iCs/>
                <w:color w:val="000000"/>
                <w:sz w:val="24"/>
                <w:szCs w:val="24"/>
              </w:rPr>
              <w:t>pública</w:t>
            </w:r>
            <w:proofErr w:type="gramEnd"/>
            <w:r>
              <w:rPr>
                <w:rFonts w:ascii="TimesNewRomanPS-ItalicMT" w:hAnsi="TimesNewRomanPS-ItalicMT" w:cs="TimesNewRomanPS-ItalicMT"/>
                <w:i/>
                <w:iCs/>
                <w:color w:val="000000"/>
                <w:sz w:val="24"/>
                <w:szCs w:val="24"/>
              </w:rPr>
              <w:t xml:space="preserve"> de </w:t>
            </w:r>
            <w:proofErr w:type="spellStart"/>
            <w:r>
              <w:rPr>
                <w:rFonts w:ascii="TimesNewRomanPS-ItalicMT" w:hAnsi="TimesNewRomanPS-ItalicMT" w:cs="TimesNewRomanPS-ItalicMT"/>
                <w:i/>
                <w:iCs/>
                <w:color w:val="000000"/>
                <w:sz w:val="24"/>
                <w:szCs w:val="24"/>
              </w:rPr>
              <w:t>méxico</w:t>
            </w:r>
            <w:proofErr w:type="spellEnd"/>
            <w:r>
              <w:rPr>
                <w:rFonts w:ascii="TimesNewRomanPSMT" w:hAnsi="TimesNewRomanPSMT" w:cs="TimesNewRomanPSMT"/>
                <w:color w:val="000000"/>
                <w:sz w:val="24"/>
                <w:szCs w:val="24"/>
              </w:rPr>
              <w:t xml:space="preserve">, </w:t>
            </w:r>
            <w:r>
              <w:rPr>
                <w:rFonts w:ascii="TimesNewRomanPS-ItalicMT" w:hAnsi="TimesNewRomanPS-ItalicMT" w:cs="TimesNewRomanPS-ItalicMT"/>
                <w:i/>
                <w:iCs/>
                <w:color w:val="000000"/>
                <w:sz w:val="24"/>
                <w:szCs w:val="24"/>
              </w:rPr>
              <w:t>56</w:t>
            </w:r>
            <w:r>
              <w:rPr>
                <w:rFonts w:ascii="TimesNewRomanPSMT" w:hAnsi="TimesNewRomanPSMT" w:cs="TimesNewRomanPSMT"/>
                <w:color w:val="000000"/>
                <w:sz w:val="24"/>
                <w:szCs w:val="24"/>
              </w:rPr>
              <w:t xml:space="preserve">, 1 </w:t>
            </w:r>
            <w:proofErr w:type="spellStart"/>
            <w:r>
              <w:rPr>
                <w:rFonts w:ascii="TimesNewRomanPSMT" w:hAnsi="TimesNewRomanPSMT" w:cs="TimesNewRomanPSMT"/>
                <w:color w:val="000000"/>
                <w:sz w:val="24"/>
                <w:szCs w:val="24"/>
              </w:rPr>
              <w:t>pgs</w:t>
            </w:r>
            <w:proofErr w:type="spellEnd"/>
            <w:r>
              <w:rPr>
                <w:rFonts w:ascii="TimesNewRomanPSMT" w:hAnsi="TimesNewRomanPSMT" w:cs="TimesNewRomanPSMT"/>
                <w:color w:val="000000"/>
                <w:sz w:val="24"/>
                <w:szCs w:val="24"/>
              </w:rPr>
              <w:t>. 86 a 91.</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Messer</w:t>
            </w:r>
            <w:proofErr w:type="spellEnd"/>
            <w:r>
              <w:rPr>
                <w:rFonts w:ascii="TimesNewRomanPSMT" w:hAnsi="TimesNewRomanPSMT" w:cs="TimesNewRomanPSMT"/>
                <w:color w:val="000000"/>
                <w:sz w:val="24"/>
                <w:szCs w:val="24"/>
              </w:rPr>
              <w:t xml:space="preserve">, E., Cohen, M. J., &amp; </w:t>
            </w:r>
            <w:proofErr w:type="spellStart"/>
            <w:r>
              <w:rPr>
                <w:rFonts w:ascii="TimesNewRomanPSMT" w:hAnsi="TimesNewRomanPSMT" w:cs="TimesNewRomanPSMT"/>
                <w:color w:val="000000"/>
                <w:sz w:val="24"/>
                <w:szCs w:val="24"/>
              </w:rPr>
              <w:t>Marchione</w:t>
            </w:r>
            <w:proofErr w:type="spellEnd"/>
            <w:r>
              <w:rPr>
                <w:rFonts w:ascii="TimesNewRomanPSMT" w:hAnsi="TimesNewRomanPSMT" w:cs="TimesNewRomanPSMT"/>
                <w:color w:val="000000"/>
                <w:sz w:val="24"/>
                <w:szCs w:val="24"/>
              </w:rPr>
              <w:t xml:space="preserve">, T. (2001). </w:t>
            </w:r>
            <w:proofErr w:type="spellStart"/>
            <w:r>
              <w:rPr>
                <w:rFonts w:ascii="TimesNewRomanPS-ItalicMT" w:hAnsi="TimesNewRomanPS-ItalicMT" w:cs="TimesNewRomanPS-ItalicMT"/>
                <w:i/>
                <w:iCs/>
                <w:color w:val="000000"/>
                <w:sz w:val="24"/>
                <w:szCs w:val="24"/>
              </w:rPr>
              <w:t>Conflict</w:t>
            </w:r>
            <w:proofErr w:type="spellEnd"/>
            <w:r>
              <w:rPr>
                <w:rFonts w:ascii="TimesNewRomanPS-ItalicMT" w:hAnsi="TimesNewRomanPS-ItalicMT" w:cs="TimesNewRomanPS-ItalicMT"/>
                <w:i/>
                <w:iCs/>
                <w:color w:val="000000"/>
                <w:sz w:val="24"/>
                <w:szCs w:val="24"/>
              </w:rPr>
              <w:t xml:space="preserve">: A cause and </w:t>
            </w:r>
            <w:proofErr w:type="spellStart"/>
            <w:r>
              <w:rPr>
                <w:rFonts w:ascii="TimesNewRomanPS-ItalicMT" w:hAnsi="TimesNewRomanPS-ItalicMT" w:cs="TimesNewRomanPS-ItalicMT"/>
                <w:i/>
                <w:iCs/>
                <w:color w:val="000000"/>
                <w:sz w:val="24"/>
                <w:szCs w:val="24"/>
              </w:rPr>
              <w:t>effect</w:t>
            </w:r>
            <w:proofErr w:type="spellEnd"/>
            <w:r>
              <w:rPr>
                <w:rFonts w:ascii="TimesNewRomanPS-ItalicMT" w:hAnsi="TimesNewRomanPS-ItalicMT" w:cs="TimesNewRomanPS-ItalicMT"/>
                <w:i/>
                <w:iCs/>
                <w:color w:val="000000"/>
                <w:sz w:val="24"/>
                <w:szCs w:val="24"/>
              </w:rPr>
              <w:t xml:space="preserve"> of </w:t>
            </w:r>
            <w:proofErr w:type="spellStart"/>
            <w:r>
              <w:rPr>
                <w:rFonts w:ascii="TimesNewRomanPS-ItalicMT" w:hAnsi="TimesNewRomanPS-ItalicMT" w:cs="TimesNewRomanPS-ItalicMT"/>
                <w:i/>
                <w:iCs/>
                <w:color w:val="000000"/>
                <w:sz w:val="24"/>
                <w:szCs w:val="24"/>
              </w:rPr>
              <w:t>hunger</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Emergency</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Nutrition</w:t>
            </w:r>
            <w:proofErr w:type="spellEnd"/>
            <w:r>
              <w:rPr>
                <w:rFonts w:ascii="TimesNewRomanPSMT" w:hAnsi="TimesNewRomanPSMT" w:cs="TimesNewRomanPSMT"/>
                <w:color w:val="000000"/>
                <w:sz w:val="24"/>
                <w:szCs w:val="24"/>
              </w:rPr>
              <w:t xml:space="preserve"> Network. Trinity </w:t>
            </w:r>
            <w:proofErr w:type="spellStart"/>
            <w:r>
              <w:rPr>
                <w:rFonts w:ascii="TimesNewRomanPSMT" w:hAnsi="TimesNewRomanPSMT" w:cs="TimesNewRomanPSMT"/>
                <w:color w:val="000000"/>
                <w:sz w:val="24"/>
                <w:szCs w:val="24"/>
              </w:rPr>
              <w:t>College</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Malcolm </w:t>
            </w:r>
            <w:proofErr w:type="spellStart"/>
            <w:r>
              <w:rPr>
                <w:rFonts w:ascii="TimesNewRomanPSMT" w:hAnsi="TimesNewRomanPSMT" w:cs="TimesNewRomanPSMT"/>
                <w:color w:val="000000"/>
                <w:sz w:val="24"/>
                <w:szCs w:val="24"/>
              </w:rPr>
              <w:t>Langford</w:t>
            </w:r>
            <w:proofErr w:type="spellEnd"/>
            <w:r>
              <w:rPr>
                <w:rFonts w:ascii="TimesNewRomanPSMT" w:hAnsi="TimesNewRomanPSMT" w:cs="TimesNewRomanPSMT"/>
                <w:color w:val="000000"/>
                <w:sz w:val="24"/>
                <w:szCs w:val="24"/>
              </w:rPr>
              <w:t xml:space="preserve">, (2009) </w:t>
            </w:r>
            <w:proofErr w:type="spellStart"/>
            <w:r>
              <w:rPr>
                <w:rFonts w:ascii="TimesNewRomanPSMT" w:hAnsi="TimesNewRomanPSMT" w:cs="TimesNewRomanPSMT"/>
                <w:color w:val="000000"/>
                <w:sz w:val="24"/>
                <w:szCs w:val="24"/>
              </w:rPr>
              <w:t>Justiciabilidad</w:t>
            </w:r>
            <w:proofErr w:type="spellEnd"/>
            <w:r>
              <w:rPr>
                <w:rFonts w:ascii="TimesNewRomanPSMT" w:hAnsi="TimesNewRomanPSMT" w:cs="TimesNewRomanPSMT"/>
                <w:color w:val="000000"/>
                <w:sz w:val="24"/>
                <w:szCs w:val="24"/>
              </w:rPr>
              <w:t xml:space="preserve"> en el ámbito nacional y los derechos</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económicos, sociales y culturales: un análisis socio-jurídico, </w:t>
            </w:r>
            <w:r>
              <w:rPr>
                <w:rFonts w:ascii="TimesNewRomanPS-ItalicMT" w:hAnsi="TimesNewRomanPS-ItalicMT" w:cs="TimesNewRomanPS-ItalicMT"/>
                <w:i/>
                <w:iCs/>
                <w:color w:val="000000"/>
                <w:sz w:val="24"/>
                <w:szCs w:val="24"/>
              </w:rPr>
              <w:t>Sur - Revista Internacional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ItalicMT" w:hAnsi="TimesNewRomanPS-ItalicMT" w:cs="TimesNewRomanPS-ItalicMT"/>
                <w:i/>
                <w:iCs/>
                <w:color w:val="000000"/>
                <w:sz w:val="24"/>
                <w:szCs w:val="24"/>
              </w:rPr>
              <w:t xml:space="preserve">Derechos Humanos, </w:t>
            </w:r>
            <w:r>
              <w:rPr>
                <w:rFonts w:ascii="TimesNewRomanPSMT" w:hAnsi="TimesNewRomanPSMT" w:cs="TimesNewRomanPSMT"/>
                <w:color w:val="000000"/>
                <w:sz w:val="24"/>
                <w:szCs w:val="24"/>
              </w:rPr>
              <w:t>6,.11 p.99-133,</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Martínez H, H. D. (2015) Protección constitucional de los derechos sociales.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Implementación de instrumentos internacionales en las decisiones de la corte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constitucional</w:t>
            </w:r>
            <w:proofErr w:type="gramEnd"/>
            <w:r>
              <w:rPr>
                <w:rFonts w:ascii="TimesNewRomanPSMT" w:hAnsi="TimesNewRomanPSMT" w:cs="TimesNewRomanPSMT"/>
                <w:color w:val="000000"/>
                <w:sz w:val="24"/>
                <w:szCs w:val="24"/>
              </w:rPr>
              <w:t xml:space="preserve">. </w:t>
            </w:r>
            <w:r>
              <w:rPr>
                <w:rFonts w:ascii="TimesNewRomanPS-ItalicMT" w:hAnsi="TimesNewRomanPS-ItalicMT" w:cs="TimesNewRomanPS-ItalicMT"/>
                <w:i/>
                <w:iCs/>
                <w:color w:val="000000"/>
                <w:sz w:val="24"/>
                <w:szCs w:val="24"/>
              </w:rPr>
              <w:t>Estudios de Derecho</w:t>
            </w:r>
            <w:r>
              <w:rPr>
                <w:rFonts w:ascii="TimesNewRomanPSMT" w:hAnsi="TimesNewRomanPSMT" w:cs="TimesNewRomanPSMT"/>
                <w:color w:val="000000"/>
                <w:sz w:val="24"/>
                <w:szCs w:val="24"/>
              </w:rPr>
              <w:t xml:space="preserve">. 71, </w:t>
            </w:r>
            <w:proofErr w:type="gramStart"/>
            <w:r>
              <w:rPr>
                <w:rFonts w:ascii="TimesNewRomanPSMT" w:hAnsi="TimesNewRomanPSMT" w:cs="TimesNewRomanPSMT"/>
                <w:color w:val="000000"/>
                <w:sz w:val="24"/>
                <w:szCs w:val="24"/>
              </w:rPr>
              <w:t>158 ,</w:t>
            </w:r>
            <w:proofErr w:type="gramEnd"/>
            <w:r>
              <w:rPr>
                <w:rFonts w:ascii="TimesNewRomanPSMT" w:hAnsi="TimesNewRomanPSMT" w:cs="TimesNewRomanPSMT"/>
                <w:color w:val="000000"/>
                <w:sz w:val="24"/>
                <w:szCs w:val="24"/>
              </w:rPr>
              <w:t xml:space="preserve"> págs. 21-40.</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Morales, J. C., &amp; Mantilla, A. (2008). </w:t>
            </w:r>
            <w:r>
              <w:rPr>
                <w:rFonts w:ascii="TimesNewRomanPS-ItalicMT" w:hAnsi="TimesNewRomanPS-ItalicMT" w:cs="TimesNewRomanPS-ItalicMT"/>
                <w:i/>
                <w:iCs/>
                <w:color w:val="000000"/>
                <w:sz w:val="24"/>
                <w:szCs w:val="24"/>
              </w:rPr>
              <w:t>El Derecho a la Alimentación en Colombia:</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ItalicMT" w:hAnsi="TimesNewRomanPS-ItalicMT" w:cs="TimesNewRomanPS-ItalicMT"/>
                <w:i/>
                <w:iCs/>
                <w:color w:val="000000"/>
                <w:sz w:val="24"/>
                <w:szCs w:val="24"/>
              </w:rPr>
              <w:t>Situación, contextos y vacíos. Una aproximación al compromiso del Estado Colombiano 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ItalicMT" w:hAnsi="TimesNewRomanPS-ItalicMT" w:cs="TimesNewRomanPS-ItalicMT"/>
                <w:i/>
                <w:iCs/>
                <w:color w:val="000000"/>
                <w:sz w:val="24"/>
                <w:szCs w:val="24"/>
              </w:rPr>
              <w:t>la luz de las Directrices Voluntarias sobre el Derecho a la Alimentación</w:t>
            </w:r>
            <w:r>
              <w:rPr>
                <w:rFonts w:ascii="TimesNewRomanPSMT" w:hAnsi="TimesNewRomanPSMT" w:cs="TimesNewRomanPSMT"/>
                <w:color w:val="000000"/>
                <w:sz w:val="24"/>
                <w:szCs w:val="24"/>
              </w:rPr>
              <w:t>, Bogotá,</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Colombia.</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Morales, J. C. (2010). </w:t>
            </w:r>
            <w:r>
              <w:rPr>
                <w:rFonts w:ascii="TimesNewRomanPS-ItalicMT" w:hAnsi="TimesNewRomanPS-ItalicMT" w:cs="TimesNewRomanPS-ItalicMT"/>
                <w:i/>
                <w:iCs/>
                <w:color w:val="000000"/>
                <w:sz w:val="24"/>
                <w:szCs w:val="24"/>
              </w:rPr>
              <w:t>El Derecho a la Alimentación en Colombia: Situación, contextos y</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ItalicMT" w:hAnsi="TimesNewRomanPS-ItalicMT" w:cs="TimesNewRomanPS-ItalicMT"/>
                <w:i/>
                <w:iCs/>
                <w:color w:val="000000"/>
                <w:sz w:val="24"/>
                <w:szCs w:val="24"/>
              </w:rPr>
              <w:t>vacíos</w:t>
            </w:r>
            <w:proofErr w:type="gramEnd"/>
            <w:r>
              <w:rPr>
                <w:rFonts w:ascii="TimesNewRomanPS-ItalicMT" w:hAnsi="TimesNewRomanPS-ItalicMT" w:cs="TimesNewRomanPS-ItalicMT"/>
                <w:i/>
                <w:iCs/>
                <w:color w:val="000000"/>
                <w:sz w:val="24"/>
                <w:szCs w:val="24"/>
              </w:rPr>
              <w:t xml:space="preserve">. </w:t>
            </w:r>
            <w:r>
              <w:rPr>
                <w:rFonts w:ascii="TimesNewRomanPSMT" w:hAnsi="TimesNewRomanPSMT" w:cs="TimesNewRomanPSMT"/>
                <w:color w:val="000000"/>
                <w:sz w:val="24"/>
                <w:szCs w:val="24"/>
              </w:rPr>
              <w:t>Hambre Y Vulneración Del Derecho A La Alimentación En Colombia, Segundo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lastRenderedPageBreak/>
              <w:t>Informe sobre la situación del Derecho a la Alimentación en Colombia. Bogotá, Colombia</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Pérez, J. B., &amp; </w:t>
            </w:r>
            <w:proofErr w:type="spellStart"/>
            <w:r>
              <w:rPr>
                <w:rFonts w:ascii="TimesNewRomanPSMT" w:hAnsi="TimesNewRomanPSMT" w:cs="TimesNewRomanPSMT"/>
                <w:color w:val="000000"/>
                <w:sz w:val="24"/>
                <w:szCs w:val="24"/>
              </w:rPr>
              <w:t>Fernándes</w:t>
            </w:r>
            <w:proofErr w:type="spellEnd"/>
            <w:r>
              <w:rPr>
                <w:rFonts w:ascii="TimesNewRomanPSMT" w:hAnsi="TimesNewRomanPSMT" w:cs="TimesNewRomanPSMT"/>
                <w:color w:val="000000"/>
                <w:sz w:val="24"/>
                <w:szCs w:val="24"/>
              </w:rPr>
              <w:t xml:space="preserve">, A. R. A. (2009). </w:t>
            </w:r>
            <w:r>
              <w:rPr>
                <w:rFonts w:ascii="TimesNewRomanPS-ItalicMT" w:hAnsi="TimesNewRomanPS-ItalicMT" w:cs="TimesNewRomanPS-ItalicMT"/>
                <w:i/>
                <w:iCs/>
                <w:color w:val="000000"/>
                <w:sz w:val="24"/>
                <w:szCs w:val="24"/>
              </w:rPr>
              <w:t>Impunidad, derechos humanos y justicia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ItalicMT" w:hAnsi="TimesNewRomanPS-ItalicMT" w:cs="TimesNewRomanPS-ItalicMT"/>
                <w:i/>
                <w:iCs/>
                <w:color w:val="000000"/>
                <w:sz w:val="24"/>
                <w:szCs w:val="24"/>
              </w:rPr>
              <w:t>transicional</w:t>
            </w:r>
            <w:proofErr w:type="gramEnd"/>
            <w:r>
              <w:rPr>
                <w:rFonts w:ascii="TimesNewRomanPSMT" w:hAnsi="TimesNewRomanPSMT" w:cs="TimesNewRomanPSMT"/>
                <w:color w:val="000000"/>
                <w:sz w:val="24"/>
                <w:szCs w:val="24"/>
              </w:rPr>
              <w:t>. Universidad de Deusto.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Pogge</w:t>
            </w:r>
            <w:proofErr w:type="spellEnd"/>
            <w:r>
              <w:rPr>
                <w:rFonts w:ascii="TimesNewRomanPSMT" w:hAnsi="TimesNewRomanPSMT" w:cs="TimesNewRomanPSMT"/>
                <w:color w:val="000000"/>
                <w:sz w:val="24"/>
                <w:szCs w:val="24"/>
              </w:rPr>
              <w:t xml:space="preserve">, T. (1989). </w:t>
            </w:r>
            <w:proofErr w:type="spellStart"/>
            <w:r>
              <w:rPr>
                <w:rFonts w:ascii="TimesNewRomanPSMT" w:hAnsi="TimesNewRomanPSMT" w:cs="TimesNewRomanPSMT"/>
                <w:color w:val="000000"/>
                <w:sz w:val="24"/>
                <w:szCs w:val="24"/>
              </w:rPr>
              <w:t>Realizing</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Rawls</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Ithaca</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Cornell</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University</w:t>
            </w:r>
            <w:proofErr w:type="spellEnd"/>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Restrepo, O. C (2009) El derecho alimentario como derecho constitucional. Una pregunta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por</w:t>
            </w:r>
            <w:proofErr w:type="gramEnd"/>
            <w:r>
              <w:rPr>
                <w:rFonts w:ascii="TimesNewRomanPSMT" w:hAnsi="TimesNewRomanPSMT" w:cs="TimesNewRomanPSMT"/>
                <w:color w:val="000000"/>
                <w:sz w:val="24"/>
                <w:szCs w:val="24"/>
              </w:rPr>
              <w:t xml:space="preserve"> el concepto y estructura del derecho constitucional alimentario. </w:t>
            </w:r>
            <w:r>
              <w:rPr>
                <w:rFonts w:ascii="TimesNewRomanPS-ItalicMT" w:hAnsi="TimesNewRomanPS-ItalicMT" w:cs="TimesNewRomanPS-ItalicMT"/>
                <w:i/>
                <w:iCs/>
                <w:color w:val="000000"/>
                <w:sz w:val="24"/>
                <w:szCs w:val="24"/>
              </w:rPr>
              <w:t xml:space="preserve">Opinión Jurídica, </w:t>
            </w:r>
            <w:r>
              <w:rPr>
                <w:rFonts w:ascii="TimesNewRomanPSMT" w:hAnsi="TimesNewRomanPSMT" w:cs="TimesNewRomanPSMT"/>
                <w:color w:val="000000"/>
                <w:sz w:val="24"/>
                <w:szCs w:val="24"/>
              </w:rPr>
              <w:t>8,</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16, </w:t>
            </w:r>
            <w:proofErr w:type="spellStart"/>
            <w:r>
              <w:rPr>
                <w:rFonts w:ascii="TimesNewRomanPSMT" w:hAnsi="TimesNewRomanPSMT" w:cs="TimesNewRomanPSMT"/>
                <w:color w:val="000000"/>
                <w:sz w:val="24"/>
                <w:szCs w:val="24"/>
              </w:rPr>
              <w:t>pag</w:t>
            </w:r>
            <w:proofErr w:type="spellEnd"/>
            <w:r>
              <w:rPr>
                <w:rFonts w:ascii="TimesNewRomanPSMT" w:hAnsi="TimesNewRomanPSMT" w:cs="TimesNewRomanPSMT"/>
                <w:color w:val="000000"/>
                <w:sz w:val="24"/>
                <w:szCs w:val="24"/>
              </w:rPr>
              <w:t xml:space="preserve"> 117.</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Restrepo-Yepes, O. C. (2013). La construcción del concepto del derecho alimentario en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Colombia: Una mirada a través de la jurisprudencia de la Corte Constitucional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Colombia. </w:t>
            </w:r>
            <w:r>
              <w:rPr>
                <w:rFonts w:ascii="TimesNewRomanPS-ItalicMT" w:hAnsi="TimesNewRomanPS-ItalicMT" w:cs="TimesNewRomanPS-ItalicMT"/>
                <w:i/>
                <w:iCs/>
                <w:color w:val="000000"/>
                <w:sz w:val="24"/>
                <w:szCs w:val="24"/>
              </w:rPr>
              <w:t>Opinión Jurídica</w:t>
            </w:r>
            <w:r>
              <w:rPr>
                <w:rFonts w:ascii="TimesNewRomanPSMT" w:hAnsi="TimesNewRomanPSMT" w:cs="TimesNewRomanPSMT"/>
                <w:color w:val="000000"/>
                <w:sz w:val="24"/>
                <w:szCs w:val="24"/>
              </w:rPr>
              <w:t xml:space="preserve">, </w:t>
            </w:r>
            <w:r>
              <w:rPr>
                <w:rFonts w:ascii="TimesNewRomanPS-ItalicMT" w:hAnsi="TimesNewRomanPS-ItalicMT" w:cs="TimesNewRomanPS-ItalicMT"/>
                <w:i/>
                <w:iCs/>
                <w:color w:val="000000"/>
                <w:sz w:val="24"/>
                <w:szCs w:val="24"/>
              </w:rPr>
              <w:t>12</w:t>
            </w:r>
            <w:r>
              <w:rPr>
                <w:rFonts w:ascii="TimesNewRomanPSMT" w:hAnsi="TimesNewRomanPSMT" w:cs="TimesNewRomanPSMT"/>
                <w:color w:val="000000"/>
                <w:sz w:val="24"/>
                <w:szCs w:val="24"/>
              </w:rPr>
              <w:t>, 24.</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Restrepo Yepes, O. C., &amp; Correa Montoya, L. (2017). El derecho a no tener hambre en</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Colombia¿ Derecho fundamental o derecho económico, social y cultural</w:t>
            </w:r>
            <w:proofErr w:type="gramStart"/>
            <w:r>
              <w:rPr>
                <w:rFonts w:ascii="TimesNewRomanPSMT" w:hAnsi="TimesNewRomanPSMT" w:cs="TimesNewRomanPSMT"/>
                <w:color w:val="000000"/>
                <w:sz w:val="24"/>
                <w:szCs w:val="24"/>
              </w:rPr>
              <w:t>?.</w:t>
            </w:r>
            <w:proofErr w:type="gramEnd"/>
            <w:r>
              <w:rPr>
                <w:rFonts w:ascii="TimesNewRomanPSMT" w:hAnsi="TimesNewRomanPSMT" w:cs="TimesNewRomanPSMT"/>
                <w:color w:val="000000"/>
                <w:sz w:val="24"/>
                <w:szCs w:val="24"/>
              </w:rPr>
              <w:t xml:space="preserve"> </w:t>
            </w:r>
            <w:proofErr w:type="spellStart"/>
            <w:r>
              <w:rPr>
                <w:rFonts w:ascii="TimesNewRomanPS-ItalicMT" w:hAnsi="TimesNewRomanPS-ItalicMT" w:cs="TimesNewRomanPS-ItalicMT"/>
                <w:i/>
                <w:iCs/>
                <w:color w:val="000000"/>
                <w:sz w:val="24"/>
                <w:szCs w:val="24"/>
              </w:rPr>
              <w:t>Via</w:t>
            </w:r>
            <w:proofErr w:type="spellEnd"/>
            <w:r>
              <w:rPr>
                <w:rFonts w:ascii="TimesNewRomanPS-ItalicMT" w:hAnsi="TimesNewRomanPS-ItalicMT" w:cs="TimesNewRomanPS-ItalicMT"/>
                <w:i/>
                <w:iCs/>
                <w:color w:val="000000"/>
                <w:sz w:val="24"/>
                <w:szCs w:val="24"/>
              </w:rPr>
              <w:t xml:space="preserve"> </w:t>
            </w:r>
            <w:proofErr w:type="spellStart"/>
            <w:r>
              <w:rPr>
                <w:rFonts w:ascii="TimesNewRomanPS-ItalicMT" w:hAnsi="TimesNewRomanPS-ItalicMT" w:cs="TimesNewRomanPS-ItalicMT"/>
                <w:i/>
                <w:iCs/>
                <w:color w:val="000000"/>
                <w:sz w:val="24"/>
                <w:szCs w:val="24"/>
              </w:rPr>
              <w:t>Inveniendi</w:t>
            </w:r>
            <w:proofErr w:type="spellEnd"/>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ItalicMT" w:hAnsi="TimesNewRomanPS-ItalicMT" w:cs="TimesNewRomanPS-ItalicMT"/>
                <w:i/>
                <w:iCs/>
                <w:color w:val="000000"/>
                <w:sz w:val="24"/>
                <w:szCs w:val="24"/>
              </w:rPr>
              <w:t xml:space="preserve">Et </w:t>
            </w:r>
            <w:proofErr w:type="spellStart"/>
            <w:r>
              <w:rPr>
                <w:rFonts w:ascii="TimesNewRomanPS-ItalicMT" w:hAnsi="TimesNewRomanPS-ItalicMT" w:cs="TimesNewRomanPS-ItalicMT"/>
                <w:i/>
                <w:iCs/>
                <w:color w:val="000000"/>
                <w:sz w:val="24"/>
                <w:szCs w:val="24"/>
              </w:rPr>
              <w:t>Iudicandi</w:t>
            </w:r>
            <w:proofErr w:type="spellEnd"/>
            <w:r>
              <w:rPr>
                <w:rFonts w:ascii="TimesNewRomanPS-ItalicMT" w:hAnsi="TimesNewRomanPS-ItalicMT" w:cs="TimesNewRomanPS-ItalicMT"/>
                <w:i/>
                <w:iCs/>
                <w:color w:val="000000"/>
                <w:sz w:val="24"/>
                <w:szCs w:val="24"/>
              </w:rPr>
              <w:t xml:space="preserve"> Vol. 5, Núm. 2 (2008) pp. 2-20</w:t>
            </w:r>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Ramón Ruiz, R., y Plazas Gómez, C. V. (2011). La exigibilidad de los derechos sociales. El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caso</w:t>
            </w:r>
            <w:proofErr w:type="gramEnd"/>
            <w:r>
              <w:rPr>
                <w:rFonts w:ascii="TimesNewRomanPSMT" w:hAnsi="TimesNewRomanPSMT" w:cs="TimesNewRomanPSMT"/>
                <w:color w:val="000000"/>
                <w:sz w:val="24"/>
                <w:szCs w:val="24"/>
              </w:rPr>
              <w:t xml:space="preserve"> de Colombia. </w:t>
            </w:r>
            <w:proofErr w:type="spellStart"/>
            <w:r>
              <w:rPr>
                <w:rFonts w:ascii="TimesNewRomanPS-ItalicMT" w:hAnsi="TimesNewRomanPS-ItalicMT" w:cs="TimesNewRomanPS-ItalicMT"/>
                <w:i/>
                <w:iCs/>
                <w:color w:val="000000"/>
                <w:sz w:val="24"/>
                <w:szCs w:val="24"/>
              </w:rPr>
              <w:t>Universitas</w:t>
            </w:r>
            <w:proofErr w:type="spellEnd"/>
            <w:r>
              <w:rPr>
                <w:rFonts w:ascii="TimesNewRomanPS-ItalicMT" w:hAnsi="TimesNewRomanPS-ItalicMT" w:cs="TimesNewRomanPS-ItalicMT"/>
                <w:i/>
                <w:iCs/>
                <w:color w:val="000000"/>
                <w:sz w:val="24"/>
                <w:szCs w:val="24"/>
              </w:rPr>
              <w:t xml:space="preserve"> Revista de Filosofía, Derecho y Política</w:t>
            </w:r>
            <w:r>
              <w:rPr>
                <w:rFonts w:ascii="TimesNewRomanPSMT" w:hAnsi="TimesNewRomanPSMT" w:cs="TimesNewRomanPSMT"/>
                <w:color w:val="000000"/>
                <w:sz w:val="24"/>
                <w:szCs w:val="24"/>
              </w:rPr>
              <w:t xml:space="preserve">, 14, </w:t>
            </w:r>
            <w:proofErr w:type="spellStart"/>
            <w:r>
              <w:rPr>
                <w:rFonts w:ascii="TimesNewRomanPSMT" w:hAnsi="TimesNewRomanPSMT" w:cs="TimesNewRomanPSMT"/>
                <w:color w:val="000000"/>
                <w:sz w:val="24"/>
                <w:szCs w:val="24"/>
              </w:rPr>
              <w:t>pag</w:t>
            </w:r>
            <w:proofErr w:type="spellEnd"/>
            <w:r>
              <w:rPr>
                <w:rFonts w:ascii="TimesNewRomanPSMT" w:hAnsi="TimesNewRomanPSMT" w:cs="TimesNewRomanPSMT"/>
                <w:color w:val="000000"/>
                <w:sz w:val="24"/>
                <w:szCs w:val="24"/>
              </w:rPr>
              <w:t xml:space="preserve"> 3-20.</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Romero, G. (2012). Reflexiones acerca de la exigibilidad y </w:t>
            </w:r>
            <w:proofErr w:type="spellStart"/>
            <w:r>
              <w:rPr>
                <w:rFonts w:ascii="TimesNewRomanPSMT" w:hAnsi="TimesNewRomanPSMT" w:cs="TimesNewRomanPSMT"/>
                <w:color w:val="000000"/>
                <w:sz w:val="24"/>
                <w:szCs w:val="24"/>
              </w:rPr>
              <w:t>justiciabilidad</w:t>
            </w:r>
            <w:proofErr w:type="spellEnd"/>
            <w:r>
              <w:rPr>
                <w:rFonts w:ascii="TimesNewRomanPSMT" w:hAnsi="TimesNewRomanPSMT" w:cs="TimesNewRomanPSMT"/>
                <w:color w:val="000000"/>
                <w:sz w:val="24"/>
                <w:szCs w:val="24"/>
              </w:rPr>
              <w:t xml:space="preserve"> de los derechos</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proofErr w:type="gramStart"/>
            <w:r>
              <w:rPr>
                <w:rFonts w:ascii="TimesNewRomanPSMT" w:hAnsi="TimesNewRomanPSMT" w:cs="TimesNewRomanPSMT"/>
                <w:color w:val="000000"/>
                <w:sz w:val="24"/>
                <w:szCs w:val="24"/>
              </w:rPr>
              <w:t>económicos</w:t>
            </w:r>
            <w:proofErr w:type="gramEnd"/>
            <w:r>
              <w:rPr>
                <w:rFonts w:ascii="TimesNewRomanPSMT" w:hAnsi="TimesNewRomanPSMT" w:cs="TimesNewRomanPSMT"/>
                <w:color w:val="000000"/>
                <w:sz w:val="24"/>
                <w:szCs w:val="24"/>
              </w:rPr>
              <w:t xml:space="preserve">, sociales y culturales (DESC). Extraído de </w:t>
            </w:r>
            <w:r>
              <w:rPr>
                <w:rFonts w:ascii="TimesNewRomanPS-ItalicMT" w:hAnsi="TimesNewRomanPS-ItalicMT" w:cs="TimesNewRomanPS-ItalicMT"/>
                <w:i/>
                <w:iCs/>
                <w:color w:val="000000"/>
                <w:sz w:val="24"/>
                <w:szCs w:val="24"/>
              </w:rPr>
              <w:t xml:space="preserve">http://www. </w:t>
            </w:r>
            <w:proofErr w:type="spellStart"/>
            <w:proofErr w:type="gramStart"/>
            <w:r>
              <w:rPr>
                <w:rFonts w:ascii="TimesNewRomanPS-ItalicMT" w:hAnsi="TimesNewRomanPS-ItalicMT" w:cs="TimesNewRomanPS-ItalicMT"/>
                <w:i/>
                <w:iCs/>
                <w:color w:val="000000"/>
                <w:sz w:val="24"/>
                <w:szCs w:val="24"/>
              </w:rPr>
              <w:t>choike</w:t>
            </w:r>
            <w:proofErr w:type="spellEnd"/>
            <w:proofErr w:type="gramEnd"/>
            <w:r>
              <w:rPr>
                <w:rFonts w:ascii="TimesNewRomanPS-ItalicMT" w:hAnsi="TimesNewRomanPS-ItalicMT" w:cs="TimesNewRomanPS-ItalicMT"/>
                <w:i/>
                <w:iCs/>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proofErr w:type="gramStart"/>
            <w:r>
              <w:rPr>
                <w:rFonts w:ascii="TimesNewRomanPS-ItalicMT" w:hAnsi="TimesNewRomanPS-ItalicMT" w:cs="TimesNewRomanPS-ItalicMT"/>
                <w:i/>
                <w:iCs/>
                <w:color w:val="000000"/>
                <w:sz w:val="24"/>
                <w:szCs w:val="24"/>
              </w:rPr>
              <w:t>org</w:t>
            </w:r>
            <w:proofErr w:type="spellEnd"/>
            <w:r>
              <w:rPr>
                <w:rFonts w:ascii="TimesNewRomanPS-ItalicMT" w:hAnsi="TimesNewRomanPS-ItalicMT" w:cs="TimesNewRomanPS-ItalicMT"/>
                <w:i/>
                <w:iCs/>
                <w:color w:val="000000"/>
                <w:sz w:val="24"/>
                <w:szCs w:val="24"/>
              </w:rPr>
              <w:t>/documentos/</w:t>
            </w:r>
            <w:proofErr w:type="spellStart"/>
            <w:r>
              <w:rPr>
                <w:rFonts w:ascii="TimesNewRomanPS-ItalicMT" w:hAnsi="TimesNewRomanPS-ItalicMT" w:cs="TimesNewRomanPS-ItalicMT"/>
                <w:i/>
                <w:iCs/>
                <w:color w:val="000000"/>
                <w:sz w:val="24"/>
                <w:szCs w:val="24"/>
              </w:rPr>
              <w:t>desc_romero</w:t>
            </w:r>
            <w:proofErr w:type="spellEnd"/>
            <w:proofErr w:type="gramEnd"/>
            <w:r>
              <w:rPr>
                <w:rFonts w:ascii="TimesNewRomanPS-ItalicMT" w:hAnsi="TimesNewRomanPS-ItalicMT" w:cs="TimesNewRomanPS-ItalicMT"/>
                <w:i/>
                <w:iCs/>
                <w:color w:val="000000"/>
                <w:sz w:val="24"/>
                <w:szCs w:val="24"/>
              </w:rPr>
              <w:t xml:space="preserve">. </w:t>
            </w:r>
            <w:proofErr w:type="spellStart"/>
            <w:proofErr w:type="gramStart"/>
            <w:r>
              <w:rPr>
                <w:rFonts w:ascii="TimesNewRomanPS-ItalicMT" w:hAnsi="TimesNewRomanPS-ItalicMT" w:cs="TimesNewRomanPS-ItalicMT"/>
                <w:i/>
                <w:iCs/>
                <w:color w:val="000000"/>
                <w:sz w:val="24"/>
                <w:szCs w:val="24"/>
              </w:rPr>
              <w:t>pdf</w:t>
            </w:r>
            <w:proofErr w:type="spellEnd"/>
            <w:proofErr w:type="gramEnd"/>
            <w:r>
              <w:rPr>
                <w:rFonts w:ascii="TimesNewRomanPS-ItalicMT" w:hAnsi="TimesNewRomanPS-ItalicMT" w:cs="TimesNewRomanPS-ItalicMT"/>
                <w:i/>
                <w:iCs/>
                <w:color w:val="000000"/>
                <w:sz w:val="24"/>
                <w:szCs w:val="24"/>
              </w:rPr>
              <w:t xml:space="preserve">&gt;. </w:t>
            </w:r>
            <w:proofErr w:type="spellStart"/>
            <w:r>
              <w:rPr>
                <w:rFonts w:ascii="TimesNewRomanPS-ItalicMT" w:hAnsi="TimesNewRomanPS-ItalicMT" w:cs="TimesNewRomanPS-ItalicMT"/>
                <w:i/>
                <w:iCs/>
                <w:color w:val="000000"/>
                <w:sz w:val="24"/>
                <w:szCs w:val="24"/>
              </w:rPr>
              <w:t>Acesso</w:t>
            </w:r>
            <w:proofErr w:type="spellEnd"/>
            <w:r>
              <w:rPr>
                <w:rFonts w:ascii="TimesNewRomanPS-ItalicMT" w:hAnsi="TimesNewRomanPS-ItalicMT" w:cs="TimesNewRomanPS-ItalicMT"/>
                <w:i/>
                <w:iCs/>
                <w:color w:val="000000"/>
                <w:sz w:val="24"/>
                <w:szCs w:val="24"/>
              </w:rPr>
              <w:t xml:space="preserve"> </w:t>
            </w:r>
            <w:proofErr w:type="spellStart"/>
            <w:r>
              <w:rPr>
                <w:rFonts w:ascii="TimesNewRomanPS-ItalicMT" w:hAnsi="TimesNewRomanPS-ItalicMT" w:cs="TimesNewRomanPS-ItalicMT"/>
                <w:i/>
                <w:iCs/>
                <w:color w:val="000000"/>
                <w:sz w:val="24"/>
                <w:szCs w:val="24"/>
              </w:rPr>
              <w:t>em</w:t>
            </w:r>
            <w:proofErr w:type="spellEnd"/>
            <w:r>
              <w:rPr>
                <w:rFonts w:ascii="TimesNewRomanPSMT" w:hAnsi="TimesNewRomanPSMT" w:cs="TimesNewRomanPSMT"/>
                <w:color w:val="000000"/>
                <w:sz w:val="24"/>
                <w:szCs w:val="24"/>
              </w:rPr>
              <w:t xml:space="preserve">, </w:t>
            </w:r>
            <w:r>
              <w:rPr>
                <w:rFonts w:ascii="TimesNewRomanPS-ItalicMT" w:hAnsi="TimesNewRomanPS-ItalicMT" w:cs="TimesNewRomanPS-ItalicMT"/>
                <w:i/>
                <w:iCs/>
                <w:color w:val="000000"/>
                <w:sz w:val="24"/>
                <w:szCs w:val="24"/>
              </w:rPr>
              <w:t>10</w:t>
            </w:r>
            <w:r>
              <w:rPr>
                <w:rFonts w:ascii="TimesNewRomanPSMT" w:hAnsi="TimesNewRomanPSMT" w:cs="TimesNewRomanPSMT"/>
                <w:color w:val="000000"/>
                <w:sz w:val="24"/>
                <w:szCs w:val="24"/>
              </w:rPr>
              <w:t>, 3-76.</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Saura, E. J. (2011) La exigibilidad jurídica de los Derechos humanos: especial referencia 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los</w:t>
            </w:r>
            <w:proofErr w:type="gramEnd"/>
            <w:r>
              <w:rPr>
                <w:rFonts w:ascii="TimesNewRomanPSMT" w:hAnsi="TimesNewRomanPSMT" w:cs="TimesNewRomanPSMT"/>
                <w:color w:val="000000"/>
                <w:sz w:val="24"/>
                <w:szCs w:val="24"/>
              </w:rPr>
              <w:t xml:space="preserve"> derechos económicos, sociales y culturales." </w:t>
            </w:r>
            <w:proofErr w:type="spellStart"/>
            <w:r>
              <w:rPr>
                <w:rFonts w:ascii="TimesNewRomanPS-ItalicMT" w:hAnsi="TimesNewRomanPS-ItalicMT" w:cs="TimesNewRomanPS-ItalicMT"/>
                <w:i/>
                <w:iCs/>
                <w:color w:val="000000"/>
                <w:sz w:val="24"/>
                <w:szCs w:val="24"/>
              </w:rPr>
              <w:t>Lex</w:t>
            </w:r>
            <w:proofErr w:type="spellEnd"/>
            <w:r>
              <w:rPr>
                <w:rFonts w:ascii="TimesNewRomanPS-ItalicMT" w:hAnsi="TimesNewRomanPS-ItalicMT" w:cs="TimesNewRomanPS-ItalicMT"/>
                <w:i/>
                <w:iCs/>
                <w:color w:val="000000"/>
                <w:sz w:val="24"/>
                <w:szCs w:val="24"/>
              </w:rPr>
              <w:t xml:space="preserve"> Social, 3, 1, </w:t>
            </w:r>
            <w:r>
              <w:rPr>
                <w:rFonts w:ascii="TimesNewRomanPSMT" w:hAnsi="TimesNewRomanPSMT" w:cs="TimesNewRomanPSMT"/>
                <w:color w:val="000000"/>
                <w:sz w:val="24"/>
                <w:szCs w:val="24"/>
              </w:rPr>
              <w:t>págs. 4 a 24.</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Sen</w:t>
            </w:r>
            <w:proofErr w:type="spellEnd"/>
            <w:r>
              <w:rPr>
                <w:rFonts w:ascii="TimesNewRomanPSMT" w:hAnsi="TimesNewRomanPSMT" w:cs="TimesNewRomanPSMT"/>
                <w:color w:val="000000"/>
                <w:sz w:val="24"/>
                <w:szCs w:val="24"/>
              </w:rPr>
              <w:t>, A.K. (2002)</w:t>
            </w:r>
            <w:r>
              <w:rPr>
                <w:rFonts w:ascii="TimesNewRomanPSMT" w:hAnsi="TimesNewRomanPSMT" w:cs="TimesNewRomanPSMT"/>
                <w:color w:val="000000"/>
                <w:sz w:val="16"/>
                <w:szCs w:val="16"/>
              </w:rPr>
              <w:t xml:space="preserve">. </w:t>
            </w:r>
            <w:r>
              <w:rPr>
                <w:rFonts w:ascii="TimesNewRomanPSMT" w:hAnsi="TimesNewRomanPSMT" w:cs="TimesNewRomanPSMT"/>
                <w:color w:val="000000"/>
                <w:sz w:val="24"/>
                <w:szCs w:val="24"/>
              </w:rPr>
              <w:t>El derecho a no tener hambre. Bogotá: Universidad Externado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Colombia.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Todorov</w:t>
            </w:r>
            <w:proofErr w:type="spellEnd"/>
            <w:r>
              <w:rPr>
                <w:rFonts w:ascii="TimesNewRomanPSMT" w:hAnsi="TimesNewRomanPSMT" w:cs="TimesNewRomanPSMT"/>
                <w:color w:val="000000"/>
                <w:sz w:val="24"/>
                <w:szCs w:val="24"/>
              </w:rPr>
              <w:t xml:space="preserve">, T. (2010). In </w:t>
            </w:r>
            <w:proofErr w:type="spellStart"/>
            <w:r>
              <w:rPr>
                <w:rFonts w:ascii="TimesNewRomanPSMT" w:hAnsi="TimesNewRomanPSMT" w:cs="TimesNewRomanPSMT"/>
                <w:color w:val="000000"/>
                <w:sz w:val="24"/>
                <w:szCs w:val="24"/>
              </w:rPr>
              <w:t>defense</w:t>
            </w:r>
            <w:proofErr w:type="spellEnd"/>
            <w:r>
              <w:rPr>
                <w:rFonts w:ascii="TimesNewRomanPSMT" w:hAnsi="TimesNewRomanPSMT" w:cs="TimesNewRomanPSMT"/>
                <w:color w:val="000000"/>
                <w:sz w:val="24"/>
                <w:szCs w:val="24"/>
              </w:rPr>
              <w:t xml:space="preserve"> of </w:t>
            </w:r>
            <w:proofErr w:type="spellStart"/>
            <w:r>
              <w:rPr>
                <w:rFonts w:ascii="TimesNewRomanPSMT" w:hAnsi="TimesNewRomanPSMT" w:cs="TimesNewRomanPSMT"/>
                <w:color w:val="000000"/>
                <w:sz w:val="24"/>
                <w:szCs w:val="24"/>
              </w:rPr>
              <w:t>the</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enlightenment</w:t>
            </w:r>
            <w:proofErr w:type="spellEnd"/>
            <w:r>
              <w:rPr>
                <w:rFonts w:ascii="TimesNewRomanPSMT" w:hAnsi="TimesNewRomanPSMT" w:cs="TimesNewRomanPSMT"/>
                <w:color w:val="000000"/>
                <w:sz w:val="24"/>
                <w:szCs w:val="24"/>
              </w:rPr>
              <w:t xml:space="preserve">. London: </w:t>
            </w:r>
            <w:proofErr w:type="spellStart"/>
            <w:r>
              <w:rPr>
                <w:rFonts w:ascii="TimesNewRomanPSMT" w:hAnsi="TimesNewRomanPSMT" w:cs="TimesNewRomanPSMT"/>
                <w:color w:val="000000"/>
                <w:sz w:val="24"/>
                <w:szCs w:val="24"/>
              </w:rPr>
              <w:t>Atlantic</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Books</w:t>
            </w:r>
            <w:proofErr w:type="spellEnd"/>
            <w:r>
              <w:rPr>
                <w:rFonts w:ascii="TimesNewRomanPSMT" w:hAnsi="TimesNewRomanPSMT" w:cs="TimesNewRomanPSMT"/>
                <w:color w:val="000000"/>
                <w:sz w:val="24"/>
                <w:szCs w:val="24"/>
              </w:rPr>
              <w: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Ulloa, C, A. L, y Álvarez, M, J. L (2016) Sobre la fundamentación </w:t>
            </w:r>
            <w:proofErr w:type="spellStart"/>
            <w:r>
              <w:rPr>
                <w:rFonts w:ascii="TimesNewRomanPSMT" w:hAnsi="TimesNewRomanPSMT" w:cs="TimesNewRomanPSMT"/>
                <w:color w:val="000000"/>
                <w:sz w:val="24"/>
                <w:szCs w:val="24"/>
              </w:rPr>
              <w:t>iusfilosófica</w:t>
            </w:r>
            <w:proofErr w:type="spellEnd"/>
            <w:r>
              <w:rPr>
                <w:rFonts w:ascii="TimesNewRomanPSMT" w:hAnsi="TimesNewRomanPSMT" w:cs="TimesNewRomanPSMT"/>
                <w:color w:val="000000"/>
                <w:sz w:val="24"/>
                <w:szCs w:val="24"/>
              </w:rPr>
              <w:t xml:space="preserve"> de los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derechos</w:t>
            </w:r>
            <w:proofErr w:type="gramEnd"/>
            <w:r>
              <w:rPr>
                <w:rFonts w:ascii="TimesNewRomanPSMT" w:hAnsi="TimesNewRomanPSMT" w:cs="TimesNewRomanPSMT"/>
                <w:color w:val="000000"/>
                <w:sz w:val="24"/>
                <w:szCs w:val="24"/>
              </w:rPr>
              <w:t xml:space="preserve"> económicos, sociales y culturales. </w:t>
            </w:r>
            <w:proofErr w:type="spellStart"/>
            <w:r>
              <w:rPr>
                <w:rFonts w:ascii="TimesNewRomanPS-ItalicMT" w:hAnsi="TimesNewRomanPS-ItalicMT" w:cs="TimesNewRomanPS-ItalicMT"/>
                <w:i/>
                <w:iCs/>
                <w:color w:val="000000"/>
                <w:sz w:val="24"/>
                <w:szCs w:val="24"/>
              </w:rPr>
              <w:t>Lex</w:t>
            </w:r>
            <w:proofErr w:type="spellEnd"/>
            <w:r>
              <w:rPr>
                <w:rFonts w:ascii="TimesNewRomanPS-ItalicMT" w:hAnsi="TimesNewRomanPS-ItalicMT" w:cs="TimesNewRomanPS-ItalicMT"/>
                <w:i/>
                <w:iCs/>
                <w:color w:val="000000"/>
                <w:sz w:val="24"/>
                <w:szCs w:val="24"/>
              </w:rPr>
              <w:t xml:space="preserve"> Social, 6, 2, </w:t>
            </w:r>
            <w:proofErr w:type="spellStart"/>
            <w:r>
              <w:rPr>
                <w:rFonts w:ascii="TimesNewRomanPSMT" w:hAnsi="TimesNewRomanPSMT" w:cs="TimesNewRomanPSMT"/>
                <w:color w:val="000000"/>
                <w:sz w:val="24"/>
                <w:szCs w:val="24"/>
              </w:rPr>
              <w:t>pag</w:t>
            </w:r>
            <w:proofErr w:type="spellEnd"/>
            <w:r>
              <w:rPr>
                <w:rFonts w:ascii="TimesNewRomanPSMT" w:hAnsi="TimesNewRomanPSMT" w:cs="TimesNewRomanPSMT"/>
                <w:color w:val="000000"/>
                <w:sz w:val="24"/>
                <w:szCs w:val="24"/>
              </w:rPr>
              <w:t xml:space="preserve"> 253 a 264,</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1A1A1A"/>
                <w:sz w:val="24"/>
                <w:szCs w:val="24"/>
              </w:rPr>
            </w:pPr>
            <w:r>
              <w:rPr>
                <w:rFonts w:ascii="TimesNewRomanPSMT" w:hAnsi="TimesNewRomanPSMT" w:cs="TimesNewRomanPSMT"/>
                <w:color w:val="1A1A1A"/>
                <w:sz w:val="24"/>
                <w:szCs w:val="24"/>
              </w:rPr>
              <w:t xml:space="preserve">Vanegas, F. S. B. (2011). </w:t>
            </w:r>
            <w:r>
              <w:rPr>
                <w:rFonts w:ascii="TimesNewRomanPS-ItalicMT" w:hAnsi="TimesNewRomanPS-ItalicMT" w:cs="TimesNewRomanPS-ItalicMT"/>
                <w:i/>
                <w:iCs/>
                <w:color w:val="1A1A1A"/>
                <w:sz w:val="24"/>
                <w:szCs w:val="24"/>
              </w:rPr>
              <w:t>Justicia en épocas de transición: conceptos, modelos, debates,</w:t>
            </w:r>
          </w:p>
          <w:p w:rsidR="009F2F41" w:rsidRDefault="009F2F41" w:rsidP="009F2F41">
            <w:pPr>
              <w:autoSpaceDE w:val="0"/>
              <w:autoSpaceDN w:val="0"/>
              <w:adjustRightInd w:val="0"/>
              <w:spacing w:after="0" w:line="240" w:lineRule="auto"/>
              <w:rPr>
                <w:rFonts w:ascii="TimesNewRomanPSMT" w:hAnsi="TimesNewRomanPSMT" w:cs="TimesNewRomanPSMT"/>
                <w:color w:val="1A1A1A"/>
                <w:sz w:val="24"/>
                <w:szCs w:val="24"/>
              </w:rPr>
            </w:pPr>
            <w:proofErr w:type="gramStart"/>
            <w:r>
              <w:rPr>
                <w:rFonts w:ascii="TimesNewRomanPS-ItalicMT" w:hAnsi="TimesNewRomanPS-ItalicMT" w:cs="TimesNewRomanPS-ItalicMT"/>
                <w:i/>
                <w:iCs/>
                <w:color w:val="1A1A1A"/>
                <w:sz w:val="24"/>
                <w:szCs w:val="24"/>
              </w:rPr>
              <w:t>experiencias</w:t>
            </w:r>
            <w:proofErr w:type="gramEnd"/>
            <w:r>
              <w:rPr>
                <w:rFonts w:ascii="TimesNewRomanPSMT" w:hAnsi="TimesNewRomanPSMT" w:cs="TimesNewRomanPSMT"/>
                <w:color w:val="1A1A1A"/>
                <w:sz w:val="24"/>
                <w:szCs w:val="24"/>
              </w:rPr>
              <w:t xml:space="preserve">. </w:t>
            </w:r>
            <w:proofErr w:type="spellStart"/>
            <w:r>
              <w:rPr>
                <w:rFonts w:ascii="TimesNewRomanPSMT" w:hAnsi="TimesNewRomanPSMT" w:cs="TimesNewRomanPSMT"/>
                <w:color w:val="1A1A1A"/>
                <w:sz w:val="24"/>
                <w:szCs w:val="24"/>
              </w:rPr>
              <w:t>Institut</w:t>
            </w:r>
            <w:proofErr w:type="spellEnd"/>
            <w:r>
              <w:rPr>
                <w:rFonts w:ascii="TimesNewRomanPSMT" w:hAnsi="TimesNewRomanPSMT" w:cs="TimesNewRomanPSMT"/>
                <w:color w:val="1A1A1A"/>
                <w:sz w:val="24"/>
                <w:szCs w:val="24"/>
              </w:rPr>
              <w:t xml:space="preserve"> Catalá International per la Pau.</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spellStart"/>
            <w:r>
              <w:rPr>
                <w:rFonts w:ascii="TimesNewRomanPSMT" w:hAnsi="TimesNewRomanPSMT" w:cs="TimesNewRomanPSMT"/>
                <w:color w:val="000000"/>
                <w:sz w:val="24"/>
                <w:szCs w:val="24"/>
              </w:rPr>
              <w:t>Teitel</w:t>
            </w:r>
            <w:proofErr w:type="spellEnd"/>
            <w:r>
              <w:rPr>
                <w:rFonts w:ascii="TimesNewRomanPSMT" w:hAnsi="TimesNewRomanPSMT" w:cs="TimesNewRomanPSMT"/>
                <w:color w:val="000000"/>
                <w:sz w:val="24"/>
                <w:szCs w:val="24"/>
              </w:rPr>
              <w:t xml:space="preserve">, R. G. (2003). </w:t>
            </w:r>
            <w:proofErr w:type="spellStart"/>
            <w:r>
              <w:rPr>
                <w:rFonts w:ascii="TimesNewRomanPSMT" w:hAnsi="TimesNewRomanPSMT" w:cs="TimesNewRomanPSMT"/>
                <w:color w:val="000000"/>
                <w:sz w:val="24"/>
                <w:szCs w:val="24"/>
              </w:rPr>
              <w:t>Transitional</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justice</w:t>
            </w:r>
            <w:proofErr w:type="spellEnd"/>
            <w:r>
              <w:rPr>
                <w:rFonts w:ascii="TimesNewRomanPSMT" w:hAnsi="TimesNewRomanPSMT" w:cs="TimesNewRomanPSMT"/>
                <w:color w:val="000000"/>
                <w:sz w:val="24"/>
                <w:szCs w:val="24"/>
              </w:rPr>
              <w:t xml:space="preserve"> </w:t>
            </w:r>
            <w:proofErr w:type="spellStart"/>
            <w:r>
              <w:rPr>
                <w:rFonts w:ascii="TimesNewRomanPSMT" w:hAnsi="TimesNewRomanPSMT" w:cs="TimesNewRomanPSMT"/>
                <w:color w:val="000000"/>
                <w:sz w:val="24"/>
                <w:szCs w:val="24"/>
              </w:rPr>
              <w:t>genealogy</w:t>
            </w:r>
            <w:proofErr w:type="spellEnd"/>
            <w:r>
              <w:rPr>
                <w:rFonts w:ascii="TimesNewRomanPSMT" w:hAnsi="TimesNewRomanPSMT" w:cs="TimesNewRomanPSMT"/>
                <w:color w:val="000000"/>
                <w:sz w:val="24"/>
                <w:szCs w:val="24"/>
              </w:rPr>
              <w:t xml:space="preserve">. </w:t>
            </w:r>
            <w:proofErr w:type="spellStart"/>
            <w:r>
              <w:rPr>
                <w:rFonts w:ascii="TimesNewRomanPS-ItalicMT" w:hAnsi="TimesNewRomanPS-ItalicMT" w:cs="TimesNewRomanPS-ItalicMT"/>
                <w:i/>
                <w:iCs/>
                <w:color w:val="000000"/>
                <w:sz w:val="24"/>
                <w:szCs w:val="24"/>
              </w:rPr>
              <w:t>Harv</w:t>
            </w:r>
            <w:proofErr w:type="spellEnd"/>
            <w:r>
              <w:rPr>
                <w:rFonts w:ascii="TimesNewRomanPS-ItalicMT" w:hAnsi="TimesNewRomanPS-ItalicMT" w:cs="TimesNewRomanPS-ItalicMT"/>
                <w:i/>
                <w:iCs/>
                <w:color w:val="000000"/>
                <w:sz w:val="24"/>
                <w:szCs w:val="24"/>
              </w:rPr>
              <w:t xml:space="preserve">. </w:t>
            </w:r>
            <w:proofErr w:type="spellStart"/>
            <w:r>
              <w:rPr>
                <w:rFonts w:ascii="TimesNewRomanPS-ItalicMT" w:hAnsi="TimesNewRomanPS-ItalicMT" w:cs="TimesNewRomanPS-ItalicMT"/>
                <w:i/>
                <w:iCs/>
                <w:color w:val="000000"/>
                <w:sz w:val="24"/>
                <w:szCs w:val="24"/>
              </w:rPr>
              <w:t>Hum</w:t>
            </w:r>
            <w:proofErr w:type="spellEnd"/>
            <w:r>
              <w:rPr>
                <w:rFonts w:ascii="TimesNewRomanPS-ItalicMT" w:hAnsi="TimesNewRomanPS-ItalicMT" w:cs="TimesNewRomanPS-ItalicMT"/>
                <w:i/>
                <w:iCs/>
                <w:color w:val="000000"/>
                <w:sz w:val="24"/>
                <w:szCs w:val="24"/>
              </w:rPr>
              <w:t xml:space="preserve">. </w:t>
            </w:r>
            <w:proofErr w:type="spellStart"/>
            <w:r>
              <w:rPr>
                <w:rFonts w:ascii="TimesNewRomanPS-ItalicMT" w:hAnsi="TimesNewRomanPS-ItalicMT" w:cs="TimesNewRomanPS-ItalicMT"/>
                <w:i/>
                <w:iCs/>
                <w:color w:val="000000"/>
                <w:sz w:val="24"/>
                <w:szCs w:val="24"/>
              </w:rPr>
              <w:t>Rts</w:t>
            </w:r>
            <w:proofErr w:type="spellEnd"/>
            <w:r>
              <w:rPr>
                <w:rFonts w:ascii="TimesNewRomanPS-ItalicMT" w:hAnsi="TimesNewRomanPS-ItalicMT" w:cs="TimesNewRomanPS-ItalicMT"/>
                <w:i/>
                <w:iCs/>
                <w:color w:val="000000"/>
                <w:sz w:val="24"/>
                <w:szCs w:val="24"/>
              </w:rPr>
              <w:t>. J.</w:t>
            </w:r>
            <w:r>
              <w:rPr>
                <w:rFonts w:ascii="TimesNewRomanPSMT" w:hAnsi="TimesNewRomanPSMT" w:cs="TimesNewRomanPSMT"/>
                <w:color w:val="000000"/>
                <w:sz w:val="24"/>
                <w:szCs w:val="24"/>
              </w:rPr>
              <w:t xml:space="preserve">, </w:t>
            </w:r>
            <w:r>
              <w:rPr>
                <w:rFonts w:ascii="TimesNewRomanPS-ItalicMT" w:hAnsi="TimesNewRomanPS-ItalicMT" w:cs="TimesNewRomanPS-ItalicMT"/>
                <w:i/>
                <w:iCs/>
                <w:color w:val="000000"/>
                <w:sz w:val="24"/>
                <w:szCs w:val="24"/>
              </w:rPr>
              <w:t>16</w:t>
            </w:r>
            <w:r>
              <w:rPr>
                <w:rFonts w:ascii="TimesNewRomanPSMT" w:hAnsi="TimesNewRomanPSMT" w:cs="TimesNewRomanPSMT"/>
                <w:color w:val="000000"/>
                <w:sz w:val="24"/>
                <w:szCs w:val="24"/>
              </w:rPr>
              <w:t>, 69.</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Colectivo de abogados "José Alvear Restrepo" Exigibilidad jurídica de los DESC en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Colombia mediante acciones jurídicas Internacionales, Extraído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https://www.colectivodeabogados.org/Exigibilidad-juridica-de-los-DESC</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lastRenderedPageBreak/>
              <w:t>Comisión Interamericana de Derechos Humanos (2007). El acceso a la justicia como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garantía</w:t>
            </w:r>
            <w:proofErr w:type="gramEnd"/>
            <w:r>
              <w:rPr>
                <w:rFonts w:ascii="TimesNewRomanPSMT" w:hAnsi="TimesNewRomanPSMT" w:cs="TimesNewRomanPSMT"/>
                <w:color w:val="000000"/>
                <w:sz w:val="24"/>
                <w:szCs w:val="24"/>
              </w:rPr>
              <w:t xml:space="preserve"> de los derechos económicos, sociales y culturales. Estudio de los estándares fijados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por</w:t>
            </w:r>
            <w:proofErr w:type="gramEnd"/>
            <w:r>
              <w:rPr>
                <w:rFonts w:ascii="TimesNewRomanPSMT" w:hAnsi="TimesNewRomanPSMT" w:cs="TimesNewRomanPSMT"/>
                <w:color w:val="000000"/>
                <w:sz w:val="24"/>
                <w:szCs w:val="24"/>
              </w:rPr>
              <w:t xml:space="preserve"> el sistema interamericano de derechos humanos. OEA/</w:t>
            </w:r>
            <w:proofErr w:type="spellStart"/>
            <w:r>
              <w:rPr>
                <w:rFonts w:ascii="TimesNewRomanPSMT" w:hAnsi="TimesNewRomanPSMT" w:cs="TimesNewRomanPSMT"/>
                <w:color w:val="000000"/>
                <w:sz w:val="24"/>
                <w:szCs w:val="24"/>
              </w:rPr>
              <w:t>Ser.L</w:t>
            </w:r>
            <w:proofErr w:type="spellEnd"/>
            <w:r>
              <w:rPr>
                <w:rFonts w:ascii="TimesNewRomanPSMT" w:hAnsi="TimesNewRomanPSMT" w:cs="TimesNewRomanPSMT"/>
                <w:color w:val="000000"/>
                <w:sz w:val="24"/>
                <w:szCs w:val="24"/>
              </w:rPr>
              <w:t>/V/II Doc. 4 Extraído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http://www.cidh.org/pdf%20files/ACCESO%20A%20LA%20JUSTICIA%20DESC.pdf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Comité De Derechos Económicos, Sociales y Culturales (1999). Observación General 12</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del</w:t>
            </w:r>
            <w:proofErr w:type="gramEnd"/>
            <w:r>
              <w:rPr>
                <w:rFonts w:ascii="TimesNewRomanPSMT" w:hAnsi="TimesNewRomanPSMT" w:cs="TimesNewRomanPSMT"/>
                <w:color w:val="000000"/>
                <w:sz w:val="24"/>
                <w:szCs w:val="24"/>
              </w:rPr>
              <w:t xml:space="preserve"> Comité de Derechos Económicos, Sociales y Culturales. El derecho a una alimentación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adecuada</w:t>
            </w:r>
            <w:proofErr w:type="gramEnd"/>
            <w:r>
              <w:rPr>
                <w:rFonts w:ascii="TimesNewRomanPSMT" w:hAnsi="TimesNewRomanPSMT" w:cs="TimesNewRomanPSMT"/>
                <w:color w:val="000000"/>
                <w:sz w:val="24"/>
                <w:szCs w:val="24"/>
              </w:rPr>
              <w:t xml:space="preserve"> (artículo 11). Extraído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http://www.desarrolloeconomico.gov.co/sites/default/files/marco-legal/Observacion-12-</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Comite-Derechos-Economicos.pdf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Departamento Nacional de Estadísticas (2003), Encuesta de calidad de vida 2003.</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Información extraída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https://www.dane.gov.co/files/investigaciones/condiciones_vida/calidad_vida/Presentacion</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_nov25boletin.pdf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Departamento Nacional de Estadística. Encuesta de Goce Efectivo de Derechos EGED</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2013 -2014, 7 de enero de 2015. Datos extraídos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https://www.dane.gov.co/files/investigaciones/EGED/Boletin_EDGE_2013_14.pdf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Instituto Colombiano de Bienestar Familiar (2015) Encuesta Nacional de la Situación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Nutricional ENSIN. Información extraída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https://www.icbf.gov.co/sites/default/files/ensin_2015_final.pdf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para la Alimentación y la Agricultura (2015),</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Colombia, Marco Programático de País, de la FAO para Colombia, 2015 a 2019. Extraído</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00"/>
                <w:sz w:val="24"/>
                <w:szCs w:val="24"/>
              </w:rPr>
              <w:t xml:space="preserve">de </w:t>
            </w:r>
            <w:r>
              <w:rPr>
                <w:rFonts w:ascii="TimesNewRomanPSMT" w:hAnsi="TimesNewRomanPSMT" w:cs="TimesNewRomanPSMT"/>
                <w:color w:val="0000FF"/>
                <w:sz w:val="24"/>
                <w:szCs w:val="24"/>
              </w:rPr>
              <w:t>http://www.fao.org/3/a-bp556s.pdf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(2001) Consejo Económico y Social, El derecho a la</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proofErr w:type="gramStart"/>
            <w:r>
              <w:rPr>
                <w:rFonts w:ascii="TimesNewRomanPSMT" w:hAnsi="TimesNewRomanPSMT" w:cs="TimesNewRomanPSMT"/>
                <w:color w:val="000000"/>
                <w:sz w:val="24"/>
                <w:szCs w:val="24"/>
              </w:rPr>
              <w:t>alimentación</w:t>
            </w:r>
            <w:proofErr w:type="gramEnd"/>
            <w:r>
              <w:rPr>
                <w:rFonts w:ascii="TimesNewRomanPSMT" w:hAnsi="TimesNewRomanPSMT" w:cs="TimesNewRomanPSMT"/>
                <w:color w:val="000000"/>
                <w:sz w:val="24"/>
                <w:szCs w:val="24"/>
              </w:rPr>
              <w:t xml:space="preserve">. E/CN.4/2001/53. </w:t>
            </w:r>
            <w:r>
              <w:rPr>
                <w:rFonts w:ascii="TimesNewRomanPSMT" w:hAnsi="TimesNewRomanPSMT" w:cs="TimesNewRomanPSMT"/>
                <w:color w:val="0000FF"/>
                <w:sz w:val="24"/>
                <w:szCs w:val="24"/>
              </w:rPr>
              <w:t>https://documents-ddsny.</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un.org/</w:t>
            </w:r>
            <w:proofErr w:type="spellStart"/>
            <w:r>
              <w:rPr>
                <w:rFonts w:ascii="TimesNewRomanPSMT" w:hAnsi="TimesNewRomanPSMT" w:cs="TimesNewRomanPSMT"/>
                <w:color w:val="0000FF"/>
                <w:sz w:val="24"/>
                <w:szCs w:val="24"/>
              </w:rPr>
              <w:t>doc</w:t>
            </w:r>
            <w:proofErr w:type="spellEnd"/>
            <w:r>
              <w:rPr>
                <w:rFonts w:ascii="TimesNewRomanPSMT" w:hAnsi="TimesNewRomanPSMT" w:cs="TimesNewRomanPSMT"/>
                <w:color w:val="0000FF"/>
                <w:sz w:val="24"/>
                <w:szCs w:val="24"/>
              </w:rPr>
              <w:t>/UNDOC/GEN/G01/110/38/PDF/G0111038.pdf?OpenElement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para la Alimentación y la Agricultura (2013). El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derecho a la alimentación en el marco internacional de los derechos humanos y en las</w:t>
            </w:r>
          </w:p>
          <w:p w:rsidR="009F2F41" w:rsidRDefault="009F2F41" w:rsidP="009F2F41">
            <w:pPr>
              <w:autoSpaceDE w:val="0"/>
              <w:autoSpaceDN w:val="0"/>
              <w:adjustRightInd w:val="0"/>
              <w:spacing w:after="0" w:line="240" w:lineRule="auto"/>
              <w:rPr>
                <w:rFonts w:ascii="TimesNewRomanPS-ItalicMT" w:hAnsi="TimesNewRomanPS-ItalicMT" w:cs="TimesNewRomanPS-ItalicMT"/>
                <w:i/>
                <w:iCs/>
                <w:color w:val="000000"/>
                <w:sz w:val="24"/>
                <w:szCs w:val="24"/>
              </w:rPr>
            </w:pPr>
            <w:r>
              <w:rPr>
                <w:rFonts w:ascii="TimesNewRomanPSMT" w:hAnsi="TimesNewRomanPSMT" w:cs="TimesNewRomanPSMT"/>
                <w:color w:val="000000"/>
                <w:sz w:val="24"/>
                <w:szCs w:val="24"/>
              </w:rPr>
              <w:t xml:space="preserve">constituciones, </w:t>
            </w:r>
            <w:r>
              <w:rPr>
                <w:rFonts w:ascii="TimesNewRomanPS-ItalicMT" w:hAnsi="TimesNewRomanPS-ItalicMT" w:cs="TimesNewRomanPS-ItalicMT"/>
                <w:i/>
                <w:iCs/>
                <w:color w:val="000000"/>
                <w:sz w:val="24"/>
                <w:szCs w:val="24"/>
              </w:rPr>
              <w:t>Cuadernos de trabajo sobre el derecho a la alimentación,</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00"/>
                <w:sz w:val="24"/>
                <w:szCs w:val="24"/>
              </w:rPr>
              <w:t xml:space="preserve">I3448S/1/09.13Extraido de </w:t>
            </w:r>
            <w:r>
              <w:rPr>
                <w:rFonts w:ascii="TimesNewRomanPSMT" w:hAnsi="TimesNewRomanPSMT" w:cs="TimesNewRomanPSMT"/>
                <w:color w:val="0000FF"/>
                <w:sz w:val="24"/>
                <w:szCs w:val="24"/>
              </w:rPr>
              <w:t>http://www.fao.org/3/a-i3448s.pdf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para la Alimentación y la Agricultura (2007) Las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Directrices sobre el derecho a la alimentación. Documentos informativos y estudio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proofErr w:type="gramStart"/>
            <w:r>
              <w:rPr>
                <w:rFonts w:ascii="TimesNewRomanPSMT" w:hAnsi="TimesNewRomanPSMT" w:cs="TimesNewRomanPSMT"/>
                <w:color w:val="000000"/>
                <w:sz w:val="24"/>
                <w:szCs w:val="24"/>
              </w:rPr>
              <w:lastRenderedPageBreak/>
              <w:t>casos</w:t>
            </w:r>
            <w:proofErr w:type="gramEnd"/>
            <w:r>
              <w:rPr>
                <w:rFonts w:ascii="TimesNewRomanPSMT" w:hAnsi="TimesNewRomanPSMT" w:cs="TimesNewRomanPSMT"/>
                <w:color w:val="000000"/>
                <w:sz w:val="24"/>
                <w:szCs w:val="24"/>
              </w:rPr>
              <w:t xml:space="preserve">. Extraído de </w:t>
            </w:r>
            <w:r>
              <w:rPr>
                <w:rFonts w:ascii="TimesNewRomanPSMT" w:hAnsi="TimesNewRomanPSMT" w:cs="TimesNewRomanPSMT"/>
                <w:color w:val="0000FF"/>
                <w:sz w:val="24"/>
                <w:szCs w:val="24"/>
              </w:rPr>
              <w:t>http://www.fao.org/right-to-food/resources/resources-detail/es/c/46222/</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para la Alimentación y la Agricultura (2017),</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Frentes Parlamentarios contra el Hambre, e iniciativas legislativas para el derecho a una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alimentación</w:t>
            </w:r>
            <w:proofErr w:type="gramEnd"/>
            <w:r>
              <w:rPr>
                <w:rFonts w:ascii="TimesNewRomanPSMT" w:hAnsi="TimesNewRomanPSMT" w:cs="TimesNewRomanPSMT"/>
                <w:color w:val="000000"/>
                <w:sz w:val="24"/>
                <w:szCs w:val="24"/>
              </w:rPr>
              <w:t xml:space="preserve"> y nutrición adecuadas. La experiencia de América Latina y el Caribe 2009-</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2016 Extraído de http://www.fao.org/3/a-i7872s.pdf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(2016) Informe del Relator Especial sobre la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promoción e la verdad, la justicia, la reparación y las garantías de no repetición,</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00"/>
                <w:sz w:val="24"/>
                <w:szCs w:val="24"/>
              </w:rPr>
              <w:t xml:space="preserve">A/HRC/34/62. Extraído de </w:t>
            </w:r>
            <w:r>
              <w:rPr>
                <w:rFonts w:ascii="TimesNewRomanPSMT" w:hAnsi="TimesNewRomanPSMT" w:cs="TimesNewRomanPSMT"/>
                <w:color w:val="0000FF"/>
                <w:sz w:val="24"/>
                <w:szCs w:val="24"/>
              </w:rPr>
              <w:t>https://documents-ddsny.</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un.org/</w:t>
            </w:r>
            <w:proofErr w:type="spellStart"/>
            <w:r>
              <w:rPr>
                <w:rFonts w:ascii="TimesNewRomanPSMT" w:hAnsi="TimesNewRomanPSMT" w:cs="TimesNewRomanPSMT"/>
                <w:color w:val="0000FF"/>
                <w:sz w:val="24"/>
                <w:szCs w:val="24"/>
              </w:rPr>
              <w:t>doc</w:t>
            </w:r>
            <w:proofErr w:type="spellEnd"/>
            <w:r>
              <w:rPr>
                <w:rFonts w:ascii="TimesNewRomanPSMT" w:hAnsi="TimesNewRomanPSMT" w:cs="TimesNewRomanPSMT"/>
                <w:color w:val="0000FF"/>
                <w:sz w:val="24"/>
                <w:szCs w:val="24"/>
              </w:rPr>
              <w:t>/UNDOC/GEN/G16/441/94/PDF/G1644194.pdf?OpenElement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(2004). Consejo de Seguridad. El Estado de derecho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y</w:t>
            </w:r>
            <w:proofErr w:type="gramEnd"/>
            <w:r>
              <w:rPr>
                <w:rFonts w:ascii="TimesNewRomanPSMT" w:hAnsi="TimesNewRomanPSMT" w:cs="TimesNewRomanPSMT"/>
                <w:color w:val="000000"/>
                <w:sz w:val="24"/>
                <w:szCs w:val="24"/>
              </w:rPr>
              <w:t xml:space="preserve"> la justicia de transición en las sociedades que sufren o han sufrido conflictos. Informe del</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00"/>
                <w:sz w:val="24"/>
                <w:szCs w:val="24"/>
              </w:rPr>
              <w:t xml:space="preserve">Secretario General. S/2004/616. </w:t>
            </w:r>
            <w:r>
              <w:rPr>
                <w:rFonts w:ascii="TimesNewRomanPSMT" w:hAnsi="TimesNewRomanPSMT" w:cs="TimesNewRomanPSMT"/>
                <w:color w:val="0000FF"/>
                <w:sz w:val="24"/>
                <w:szCs w:val="24"/>
              </w:rPr>
              <w:t>http://www.un.org/es/comun/docs/?symbol=S/2004/616</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(1997) Consejo Económico y Social. Informe final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revisado acerca de la cuestión de la impunidad de los autores de violaciones de los derechos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humanos (derechos civiles y políticos) preparado por el Sr. L. </w:t>
            </w:r>
            <w:proofErr w:type="spellStart"/>
            <w:r>
              <w:rPr>
                <w:rFonts w:ascii="TimesNewRomanPSMT" w:hAnsi="TimesNewRomanPSMT" w:cs="TimesNewRomanPSMT"/>
                <w:color w:val="000000"/>
                <w:sz w:val="24"/>
                <w:szCs w:val="24"/>
              </w:rPr>
              <w:t>Joinet</w:t>
            </w:r>
            <w:proofErr w:type="spellEnd"/>
            <w:r>
              <w:rPr>
                <w:rFonts w:ascii="TimesNewRomanPSMT" w:hAnsi="TimesNewRomanPSMT" w:cs="TimesNewRomanPSMT"/>
                <w:color w:val="000000"/>
                <w:sz w:val="24"/>
                <w:szCs w:val="24"/>
              </w:rPr>
              <w:t xml:space="preserve"> de conformidad con la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resolución 1996/119 de la Subcomisión, E/CN.4/Sub.2/1997/20/Rev.1.Extraído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https://documents-ddsny.</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un.org/</w:t>
            </w:r>
            <w:proofErr w:type="spellStart"/>
            <w:r>
              <w:rPr>
                <w:rFonts w:ascii="TimesNewRomanPSMT" w:hAnsi="TimesNewRomanPSMT" w:cs="TimesNewRomanPSMT"/>
                <w:color w:val="0000FF"/>
                <w:sz w:val="24"/>
                <w:szCs w:val="24"/>
              </w:rPr>
              <w:t>doc</w:t>
            </w:r>
            <w:proofErr w:type="spellEnd"/>
            <w:r>
              <w:rPr>
                <w:rFonts w:ascii="TimesNewRomanPSMT" w:hAnsi="TimesNewRomanPSMT" w:cs="TimesNewRomanPSMT"/>
                <w:color w:val="0000FF"/>
                <w:sz w:val="24"/>
                <w:szCs w:val="24"/>
              </w:rPr>
              <w:t>/UNDOC/GEN/G97/129/15/PDF/G9712915.pdf?OpenElement</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(2005) Consejo Económico y Social, Informe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 xml:space="preserve">Diane </w:t>
            </w:r>
            <w:proofErr w:type="spellStart"/>
            <w:r>
              <w:rPr>
                <w:rFonts w:ascii="TimesNewRomanPSMT" w:hAnsi="TimesNewRomanPSMT" w:cs="TimesNewRomanPSMT"/>
                <w:color w:val="000000"/>
                <w:sz w:val="24"/>
                <w:szCs w:val="24"/>
              </w:rPr>
              <w:t>Orentlicher</w:t>
            </w:r>
            <w:proofErr w:type="spellEnd"/>
            <w:r>
              <w:rPr>
                <w:rFonts w:ascii="TimesNewRomanPSMT" w:hAnsi="TimesNewRomanPSMT" w:cs="TimesNewRomanPSMT"/>
                <w:color w:val="000000"/>
                <w:sz w:val="24"/>
                <w:szCs w:val="24"/>
              </w:rPr>
              <w:t>. Experta independiente encargada de actualizar el Conjunto de principios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para</w:t>
            </w:r>
            <w:proofErr w:type="gramEnd"/>
            <w:r>
              <w:rPr>
                <w:rFonts w:ascii="TimesNewRomanPSMT" w:hAnsi="TimesNewRomanPSMT" w:cs="TimesNewRomanPSMT"/>
                <w:color w:val="000000"/>
                <w:sz w:val="24"/>
                <w:szCs w:val="24"/>
              </w:rPr>
              <w:t xml:space="preserve"> la lucha contra la impunidad. E/CN.4/2005/102. Extraído de</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http://www.derechoshumanos.net/normativa/normas/onu/lesahumanidad/2005-Principiosactualizados-</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FF"/>
                <w:sz w:val="24"/>
                <w:szCs w:val="24"/>
              </w:rPr>
              <w:t>lucha-contra-impunidad.pdf</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Organización de las Naciones Unidas (2015), Informe del Relator Especial sobre la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promoción de la verdad, la justicia, la reparación y las garantías de no repetición,</w:t>
            </w:r>
          </w:p>
          <w:p w:rsidR="009F2F41" w:rsidRDefault="009F2F41" w:rsidP="009F2F41">
            <w:pPr>
              <w:autoSpaceDE w:val="0"/>
              <w:autoSpaceDN w:val="0"/>
              <w:adjustRightInd w:val="0"/>
              <w:spacing w:after="0" w:line="240" w:lineRule="auto"/>
              <w:rPr>
                <w:rFonts w:ascii="TimesNewRomanPSMT" w:hAnsi="TimesNewRomanPSMT" w:cs="TimesNewRomanPSMT"/>
                <w:color w:val="0000FF"/>
                <w:sz w:val="24"/>
                <w:szCs w:val="24"/>
              </w:rPr>
            </w:pPr>
            <w:r>
              <w:rPr>
                <w:rFonts w:ascii="TimesNewRomanPSMT" w:hAnsi="TimesNewRomanPSMT" w:cs="TimesNewRomanPSMT"/>
                <w:color w:val="000000"/>
                <w:sz w:val="24"/>
                <w:szCs w:val="24"/>
              </w:rPr>
              <w:t xml:space="preserve">A/HRC/30/42, </w:t>
            </w:r>
            <w:r>
              <w:rPr>
                <w:rFonts w:ascii="TimesNewRomanPSMT" w:hAnsi="TimesNewRomanPSMT" w:cs="TimesNewRomanPSMT"/>
                <w:color w:val="0000FF"/>
                <w:sz w:val="24"/>
                <w:szCs w:val="24"/>
              </w:rPr>
              <w:t>https://undocs.org/es/A/HRC/30/42</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acto legislativo 13 de 2014 Por el cual se establece el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derecho</w:t>
            </w:r>
            <w:proofErr w:type="gramEnd"/>
            <w:r>
              <w:rPr>
                <w:rFonts w:ascii="TimesNewRomanPSMT" w:hAnsi="TimesNewRomanPSMT" w:cs="TimesNewRomanPSMT"/>
                <w:color w:val="000000"/>
                <w:sz w:val="24"/>
                <w:szCs w:val="24"/>
              </w:rPr>
              <w:t xml:space="preserve"> fundamental a una alimentación adecuada. Gaceta del Congreso 394/14</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Acto Legislativo número 04 de 2017 Por el cual se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modifica el artículo 65 y se incluye el artículo 65ª dentro del Título II, Capítulo 2 de la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Constitución Política de Colombia. Gaceta del Congreso 637/17.</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lastRenderedPageBreak/>
              <w:t>Congreso de Colombia. Proyecto de Ley 213 De 2018 por el cual se crea el Sistema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Nacional para la Seguridad Alimentaria y Nutricional (</w:t>
            </w:r>
            <w:proofErr w:type="spellStart"/>
            <w:r>
              <w:rPr>
                <w:rFonts w:ascii="TimesNewRomanPSMT" w:hAnsi="TimesNewRomanPSMT" w:cs="TimesNewRomanPSMT"/>
                <w:color w:val="000000"/>
                <w:sz w:val="24"/>
                <w:szCs w:val="24"/>
              </w:rPr>
              <w:t>Sinsan</w:t>
            </w:r>
            <w:proofErr w:type="spellEnd"/>
            <w:r>
              <w:rPr>
                <w:rFonts w:ascii="TimesNewRomanPSMT" w:hAnsi="TimesNewRomanPSMT" w:cs="TimesNewRomanPSMT"/>
                <w:color w:val="000000"/>
                <w:sz w:val="24"/>
                <w:szCs w:val="24"/>
              </w:rPr>
              <w:t>), se crea la Agencia Nacional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de</w:t>
            </w:r>
            <w:proofErr w:type="gramEnd"/>
            <w:r>
              <w:rPr>
                <w:rFonts w:ascii="TimesNewRomanPSMT" w:hAnsi="TimesNewRomanPSMT" w:cs="TimesNewRomanPSMT"/>
                <w:color w:val="000000"/>
                <w:sz w:val="24"/>
                <w:szCs w:val="24"/>
              </w:rPr>
              <w:t xml:space="preserve"> Seguridad Alimentaria (</w:t>
            </w:r>
            <w:proofErr w:type="spellStart"/>
            <w:r>
              <w:rPr>
                <w:rFonts w:ascii="TimesNewRomanPSMT" w:hAnsi="TimesNewRomanPSMT" w:cs="TimesNewRomanPSMT"/>
                <w:color w:val="000000"/>
                <w:sz w:val="24"/>
                <w:szCs w:val="24"/>
              </w:rPr>
              <w:t>Ansan</w:t>
            </w:r>
            <w:proofErr w:type="spellEnd"/>
            <w:r>
              <w:rPr>
                <w:rFonts w:ascii="TimesNewRomanPSMT" w:hAnsi="TimesNewRomanPSMT" w:cs="TimesNewRomanPSMT"/>
                <w:color w:val="000000"/>
                <w:sz w:val="24"/>
                <w:szCs w:val="24"/>
              </w:rPr>
              <w:t>), y se establecen otras disposiciones. Gaceta del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557/16,</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ley 96 de 2015 por medio de la cual se establece la</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producción agropecuaria con destino a la sostenibilidad alimentaria como actividad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utilidad</w:t>
            </w:r>
            <w:proofErr w:type="gramEnd"/>
            <w:r>
              <w:rPr>
                <w:rFonts w:ascii="TimesNewRomanPSMT" w:hAnsi="TimesNewRomanPSMT" w:cs="TimesNewRomanPSMT"/>
                <w:color w:val="000000"/>
                <w:sz w:val="24"/>
                <w:szCs w:val="24"/>
              </w:rPr>
              <w:t xml:space="preserve"> pública e interés social y se dictan otras disposiciones. Gaceta del Congreso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7112/15.</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acto legislativo 027 de 2013, por el cual se establece el</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derecho</w:t>
            </w:r>
            <w:proofErr w:type="gramEnd"/>
            <w:r>
              <w:rPr>
                <w:rFonts w:ascii="TimesNewRomanPSMT" w:hAnsi="TimesNewRomanPSMT" w:cs="TimesNewRomanPSMT"/>
                <w:color w:val="000000"/>
                <w:sz w:val="24"/>
                <w:szCs w:val="24"/>
              </w:rPr>
              <w:t xml:space="preserve"> fundamental a una alimentación adecuada. Gaceta del Congreso, 555/13.</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Ley 066 De &lt;2012, por medio de la cual se establecen</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lineamientos de política para garantizar el derecho a la alimentación y a no padecer hambre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de la población en situación de vulnerabilidad y fragilidad social, se modifican los artículos</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15, 16 y 17 de la Ley 1355 de 2009 y se dictan otras disposiciones. Gaceta del Congreso</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496 de 2012.</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Congreso de Colombia. Proyecto de Ley Estatutaria 01 de 2005, por medio de la cual se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proofErr w:type="gramStart"/>
            <w:r>
              <w:rPr>
                <w:rFonts w:ascii="TimesNewRomanPSMT" w:hAnsi="TimesNewRomanPSMT" w:cs="TimesNewRomanPSMT"/>
                <w:color w:val="000000"/>
                <w:sz w:val="24"/>
                <w:szCs w:val="24"/>
              </w:rPr>
              <w:t>regula</w:t>
            </w:r>
            <w:proofErr w:type="gramEnd"/>
            <w:r>
              <w:rPr>
                <w:rFonts w:ascii="TimesNewRomanPSMT" w:hAnsi="TimesNewRomanPSMT" w:cs="TimesNewRomanPSMT"/>
                <w:color w:val="000000"/>
                <w:sz w:val="24"/>
                <w:szCs w:val="24"/>
              </w:rPr>
              <w:t xml:space="preserve"> la protección judicial de algunos derechos sociales. Gaceta del Congreso 465 de</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2005.</w:t>
            </w:r>
          </w:p>
          <w:p w:rsidR="009F2F41" w:rsidRDefault="009F2F41" w:rsidP="009F2F41">
            <w:pPr>
              <w:autoSpaceDE w:val="0"/>
              <w:autoSpaceDN w:val="0"/>
              <w:adjustRightInd w:val="0"/>
              <w:spacing w:after="0" w:line="240" w:lineRule="auto"/>
              <w:rPr>
                <w:rFonts w:ascii="TimesNewRomanPSMT" w:hAnsi="TimesNewRomanPSMT" w:cs="TimesNewRomanPSMT"/>
                <w:color w:val="000000"/>
                <w:sz w:val="24"/>
                <w:szCs w:val="24"/>
              </w:rPr>
            </w:pPr>
            <w:r>
              <w:rPr>
                <w:rFonts w:ascii="TimesNewRomanPSMT" w:hAnsi="TimesNewRomanPSMT" w:cs="TimesNewRomanPSMT"/>
                <w:color w:val="000000"/>
                <w:sz w:val="24"/>
                <w:szCs w:val="24"/>
              </w:rPr>
              <w:t>Defensoría del Pueblo (2012), Primer informe del Derecho Humano a la alimentación.</w:t>
            </w:r>
          </w:p>
          <w:p w:rsidR="009F2F41" w:rsidRDefault="009F2F41" w:rsidP="009F2F41">
            <w:pPr>
              <w:autoSpaceDE w:val="0"/>
              <w:autoSpaceDN w:val="0"/>
              <w:adjustRightInd w:val="0"/>
              <w:spacing w:after="0" w:line="240" w:lineRule="auto"/>
              <w:rPr>
                <w:rFonts w:ascii="TimesNewRomanPSMT" w:hAnsi="TimesNewRomanPSMT" w:cs="TimesNewRomanPSMT"/>
                <w:color w:val="000000"/>
                <w:sz w:val="16"/>
                <w:szCs w:val="16"/>
              </w:rPr>
            </w:pPr>
            <w:r>
              <w:rPr>
                <w:rFonts w:ascii="TimesNewRomanPSMT" w:hAnsi="TimesNewRomanPSMT" w:cs="TimesNewRomanPSMT"/>
                <w:color w:val="000000"/>
                <w:sz w:val="24"/>
                <w:szCs w:val="24"/>
              </w:rPr>
              <w:t xml:space="preserve">Extraído de </w:t>
            </w:r>
            <w:r>
              <w:rPr>
                <w:rFonts w:ascii="TimesNewRomanPSMT" w:hAnsi="TimesNewRomanPSMT" w:cs="TimesNewRomanPSMT"/>
                <w:color w:val="000000"/>
                <w:sz w:val="16"/>
                <w:szCs w:val="16"/>
              </w:rPr>
              <w:t>http://www.mincit.gov.co/mintranet/loader.php?lServicio=Documentos&amp;lFuncion=verPdf&amp;id=67511&amp;name=7133-</w:t>
            </w:r>
          </w:p>
          <w:p w:rsidR="00BE2B89" w:rsidRPr="00BE2B89" w:rsidRDefault="009F2F41" w:rsidP="009F2F4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NewRomanPSMT" w:hAnsi="TimesNewRomanPSMT" w:cs="TimesNewRomanPSMT"/>
                <w:color w:val="000000"/>
                <w:sz w:val="16"/>
                <w:szCs w:val="16"/>
              </w:rPr>
              <w:t>_</w:t>
            </w:r>
            <w:proofErr w:type="spellStart"/>
            <w:r>
              <w:rPr>
                <w:rFonts w:ascii="TimesNewRomanPSMT" w:hAnsi="TimesNewRomanPSMT" w:cs="TimesNewRomanPSMT"/>
                <w:color w:val="000000"/>
                <w:sz w:val="16"/>
                <w:szCs w:val="16"/>
              </w:rPr>
              <w:t>Defensoria_del_Pueblo_DERECHO_ALIMENTACION.pdf&amp;prefijo</w:t>
            </w:r>
            <w:proofErr w:type="spellEnd"/>
            <w:r>
              <w:rPr>
                <w:rFonts w:ascii="TimesNewRomanPSMT" w:hAnsi="TimesNewRomanPSMT" w:cs="TimesNewRomanPSMT"/>
                <w:color w:val="000000"/>
                <w:sz w:val="16"/>
                <w:szCs w:val="16"/>
              </w:rPr>
              <w:t>=file</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BE2B89" w:rsidRPr="00BE2B89" w:rsidTr="00BE2B89">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Documentos adjuntos</w:t>
            </w:r>
          </w:p>
        </w:tc>
      </w:tr>
      <w:tr w:rsidR="00BE2B89" w:rsidRPr="00BE2B89" w:rsidTr="00BE2B89">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Acta de Comité N°7-2.pdf</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133C2E" w:rsidRDefault="00133C2E"/>
    <w:sectPr w:rsidR="00133C2E" w:rsidSect="00BE2B89">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imesNewRomanPSMT">
    <w:altName w:val="Times New Roman"/>
    <w:charset w:val="00"/>
    <w:family w:val="roman"/>
    <w:pitch w:val="variable"/>
    <w:sig w:usb0="00000003" w:usb1="C0007841" w:usb2="00000009" w:usb3="00000000" w:csb0="000001FF" w:csb1="00000000"/>
  </w:font>
  <w:font w:name="TimesNewRomanPS-Italic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B89"/>
    <w:rsid w:val="00133C2E"/>
    <w:rsid w:val="00513D30"/>
    <w:rsid w:val="005B4087"/>
    <w:rsid w:val="009F2F41"/>
    <w:rsid w:val="00BE2B89"/>
    <w:rsid w:val="00C5082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7A64BA-4E82-4420-A2E2-51F2DAF77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BE2B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E2B8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BE2B89"/>
    <w:rPr>
      <w:color w:val="0000FF"/>
      <w:u w:val="single"/>
    </w:rPr>
  </w:style>
  <w:style w:type="paragraph" w:styleId="NormalWeb">
    <w:name w:val="Normal (Web)"/>
    <w:basedOn w:val="Normal"/>
    <w:uiPriority w:val="99"/>
    <w:unhideWhenUsed/>
    <w:rsid w:val="00513D30"/>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TableParagraph">
    <w:name w:val="Table Paragraph"/>
    <w:basedOn w:val="Normal"/>
    <w:uiPriority w:val="1"/>
    <w:qFormat/>
    <w:rsid w:val="00513D30"/>
    <w:pPr>
      <w:widowControl w:val="0"/>
      <w:autoSpaceDE w:val="0"/>
      <w:autoSpaceDN w:val="0"/>
      <w:spacing w:after="0" w:line="240" w:lineRule="auto"/>
    </w:pPr>
    <w:rPr>
      <w:rFonts w:ascii="Arial" w:eastAsia="Arial" w:hAnsi="Arial" w:cs="Arial"/>
      <w:lang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553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12</Pages>
  <Words>2917</Words>
  <Characters>16044</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5</cp:revision>
  <dcterms:created xsi:type="dcterms:W3CDTF">2018-08-27T19:30:00Z</dcterms:created>
  <dcterms:modified xsi:type="dcterms:W3CDTF">2018-09-18T19:54:00Z</dcterms:modified>
</cp:coreProperties>
</file>