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2DB3" w:rsidRPr="00172DB3" w:rsidRDefault="00172DB3" w:rsidP="00172DB3">
      <w:pPr>
        <w:spacing w:line="360" w:lineRule="auto"/>
        <w:jc w:val="center"/>
        <w:rPr>
          <w:rFonts w:ascii="Arial" w:hAnsi="Arial" w:cs="Arial"/>
          <w:b/>
          <w:color w:val="000000" w:themeColor="text1"/>
        </w:rPr>
      </w:pPr>
      <w:bookmarkStart w:id="0" w:name="_GoBack"/>
      <w:bookmarkEnd w:id="0"/>
      <w:r w:rsidRPr="00172DB3">
        <w:rPr>
          <w:rFonts w:ascii="Arial" w:hAnsi="Arial" w:cs="Arial"/>
          <w:b/>
          <w:color w:val="000000" w:themeColor="text1"/>
        </w:rPr>
        <w:t>LA EVOLUCION DE LA CONCILIACION COMO MECANISMO ALTERNATIVO DE SOLUCION DE CONFLICTOS EN LA PROTECCION DE DATOS DE APPS MOVILES, SEGÚN LA DOCTRINA, LA JURISPRUDENCIA Y LA LEY.</w:t>
      </w:r>
    </w:p>
    <w:p w:rsidR="00172DB3" w:rsidRPr="00172DB3" w:rsidRDefault="00172DB3" w:rsidP="00172DB3">
      <w:pPr>
        <w:spacing w:line="360" w:lineRule="auto"/>
        <w:jc w:val="right"/>
        <w:rPr>
          <w:rFonts w:ascii="Arial" w:hAnsi="Arial" w:cs="Arial"/>
          <w:b/>
          <w:color w:val="000000" w:themeColor="text1"/>
        </w:rPr>
      </w:pPr>
    </w:p>
    <w:p w:rsidR="00172DB3" w:rsidRPr="00172DB3" w:rsidRDefault="00172DB3" w:rsidP="00172DB3">
      <w:pPr>
        <w:spacing w:line="360" w:lineRule="auto"/>
        <w:jc w:val="right"/>
        <w:rPr>
          <w:rFonts w:ascii="Arial" w:hAnsi="Arial" w:cs="Arial"/>
          <w:b/>
          <w:color w:val="000000" w:themeColor="text1"/>
        </w:rPr>
      </w:pPr>
      <w:r w:rsidRPr="00172DB3">
        <w:rPr>
          <w:rFonts w:ascii="Arial" w:hAnsi="Arial" w:cs="Arial"/>
          <w:b/>
          <w:color w:val="000000" w:themeColor="text1"/>
        </w:rPr>
        <w:t>TATIANA MONSALVE RODRÍGUEZ</w:t>
      </w:r>
      <w:r w:rsidRPr="00172DB3">
        <w:rPr>
          <w:rStyle w:val="Refdenotaalpie"/>
          <w:rFonts w:ascii="Arial" w:hAnsi="Arial" w:cs="Arial"/>
          <w:b/>
          <w:color w:val="000000" w:themeColor="text1"/>
        </w:rPr>
        <w:footnoteReference w:id="1"/>
      </w:r>
    </w:p>
    <w:p w:rsidR="00172DB3" w:rsidRPr="00172DB3" w:rsidRDefault="00172DB3" w:rsidP="00172DB3">
      <w:pPr>
        <w:spacing w:line="360" w:lineRule="auto"/>
        <w:jc w:val="right"/>
        <w:rPr>
          <w:rFonts w:ascii="Arial" w:hAnsi="Arial" w:cs="Arial"/>
          <w:b/>
          <w:color w:val="000000" w:themeColor="text1"/>
        </w:rPr>
      </w:pPr>
      <w:r w:rsidRPr="00172DB3">
        <w:rPr>
          <w:rFonts w:ascii="Arial" w:hAnsi="Arial" w:cs="Arial"/>
          <w:b/>
          <w:color w:val="000000" w:themeColor="text1"/>
        </w:rPr>
        <w:t>PAOLA MORALES CÓRDOBA</w:t>
      </w:r>
      <w:r w:rsidRPr="00172DB3">
        <w:rPr>
          <w:rStyle w:val="Refdenotaalpie"/>
          <w:rFonts w:ascii="Arial" w:hAnsi="Arial" w:cs="Arial"/>
          <w:b/>
          <w:color w:val="000000" w:themeColor="text1"/>
        </w:rPr>
        <w:footnoteReference w:id="2"/>
      </w:r>
      <w:r w:rsidRPr="00172DB3">
        <w:rPr>
          <w:rFonts w:ascii="Arial" w:hAnsi="Arial" w:cs="Arial"/>
          <w:b/>
          <w:color w:val="000000" w:themeColor="text1"/>
        </w:rPr>
        <w:t xml:space="preserve"> </w:t>
      </w:r>
    </w:p>
    <w:p w:rsidR="00172DB3" w:rsidRPr="00172DB3" w:rsidRDefault="00172DB3" w:rsidP="00172DB3">
      <w:pPr>
        <w:autoSpaceDE w:val="0"/>
        <w:autoSpaceDN w:val="0"/>
        <w:adjustRightInd w:val="0"/>
        <w:spacing w:line="360" w:lineRule="auto"/>
        <w:jc w:val="both"/>
        <w:rPr>
          <w:rFonts w:ascii="Arial" w:hAnsi="Arial" w:cs="Arial"/>
          <w:b/>
          <w:color w:val="000000" w:themeColor="text1"/>
        </w:rPr>
      </w:pPr>
      <w:r w:rsidRPr="00172DB3">
        <w:rPr>
          <w:rFonts w:ascii="Arial" w:hAnsi="Arial" w:cs="Arial"/>
          <w:b/>
          <w:color w:val="000000" w:themeColor="text1"/>
        </w:rPr>
        <w:t>RESUMEN</w:t>
      </w:r>
    </w:p>
    <w:p w:rsidR="00172DB3" w:rsidRPr="00172DB3" w:rsidRDefault="00172DB3" w:rsidP="00172DB3">
      <w:pPr>
        <w:spacing w:line="360" w:lineRule="auto"/>
        <w:jc w:val="both"/>
        <w:rPr>
          <w:rFonts w:ascii="Arial" w:hAnsi="Arial" w:cs="Arial"/>
          <w:color w:val="000000" w:themeColor="text1"/>
        </w:rPr>
      </w:pPr>
      <w:r w:rsidRPr="00172DB3">
        <w:rPr>
          <w:rFonts w:ascii="Arial" w:eastAsia="Arial Unicode MS" w:hAnsi="Arial" w:cs="Arial"/>
          <w:color w:val="000000" w:themeColor="text1"/>
          <w:lang w:val="es-ES_tradnl" w:eastAsia="es-ES_tradnl"/>
        </w:rPr>
        <w:t>La presente ponencia se propone exponer a través de la evolución de la conciliación, que ha servido para resolver las diferentes disputas que suscitan entre diversas circunstancias de modo, tiempo, espacio y de sujetos, l</w:t>
      </w:r>
      <w:r w:rsidRPr="00172DB3">
        <w:rPr>
          <w:rFonts w:ascii="Arial" w:hAnsi="Arial" w:cs="Arial"/>
          <w:color w:val="000000" w:themeColor="text1"/>
        </w:rPr>
        <w:t xml:space="preserve">a importancia de una clase de mecanismo alternativo de solución de conflictos, que a través del avance de las tecnologías de la información ha aumentado su eficacia, y su campo de aplicación, pues ya con los estudios doctrinales, jurisprudenciales y legislativos que rigen esta materia, se puede constatar, la gran necesidad que surgía anteriormente para darle solución a los distintos problemas con los que se encontraba la sociedad, sin tener que recurrir a una demanda, sino a un mecanismo eficiente, eficaz y capaz de solucionarlos de una manera imparcial. Igualmente es basado en el trabajo de investigación desarrollado el semestre inmediatamente anterior, donde se abarco el tema de la conciliación como MASC en la problemática actual de la protección de datos de los usuarios de aplicaciones móviles; comenzando por estudiar a la conciliación, la cual ha demostrado su relevancia a tal punto de que actualmente cuenta con una clasificación, que le da un mayor ámbito de aplicabilidad como lo son la conciliación judicial y extrajudicial. Ha sido tan útil la conciliación, que según la investigación desarrollada en el tema de datos personales en las aplicaciones móviles, ya es posible aplicarla en este tema en concreto, por medio del estatuto </w:t>
      </w:r>
      <w:r w:rsidRPr="00172DB3">
        <w:rPr>
          <w:rFonts w:ascii="Arial" w:hAnsi="Arial" w:cs="Arial"/>
          <w:color w:val="000000" w:themeColor="text1"/>
        </w:rPr>
        <w:lastRenderedPageBreak/>
        <w:t>del consumidor (Ley 1480 de 2011), que aunque no lo sintetiza explícitamente, si puede ser aplicado en tema de protección de datos de usuarios de app móviles.</w:t>
      </w:r>
    </w:p>
    <w:p w:rsidR="00172DB3" w:rsidRPr="00172DB3" w:rsidRDefault="00172DB3" w:rsidP="00172DB3">
      <w:pPr>
        <w:pStyle w:val="Style12"/>
        <w:widowControl/>
        <w:spacing w:line="360" w:lineRule="auto"/>
        <w:ind w:firstLine="709"/>
        <w:rPr>
          <w:b/>
          <w:color w:val="000000" w:themeColor="text1"/>
        </w:rPr>
      </w:pPr>
    </w:p>
    <w:p w:rsidR="00172DB3" w:rsidRPr="00172DB3" w:rsidRDefault="00172DB3" w:rsidP="00172DB3">
      <w:pPr>
        <w:pStyle w:val="Style12"/>
        <w:widowControl/>
        <w:spacing w:line="360" w:lineRule="auto"/>
        <w:rPr>
          <w:b/>
          <w:color w:val="000000" w:themeColor="text1"/>
          <w:lang w:val="en-US"/>
        </w:rPr>
      </w:pPr>
      <w:r w:rsidRPr="00172DB3">
        <w:rPr>
          <w:b/>
          <w:color w:val="000000" w:themeColor="text1"/>
          <w:lang w:val="en-US"/>
        </w:rPr>
        <w:t>SUMMARY</w:t>
      </w:r>
    </w:p>
    <w:p w:rsidR="00172DB3" w:rsidRPr="00172DB3" w:rsidRDefault="00172DB3" w:rsidP="00172DB3">
      <w:pPr>
        <w:pStyle w:val="Style12"/>
        <w:widowControl/>
        <w:spacing w:line="360" w:lineRule="auto"/>
        <w:rPr>
          <w:color w:val="000000" w:themeColor="text1"/>
          <w:lang w:val="en-GB"/>
        </w:rPr>
      </w:pPr>
      <w:r w:rsidRPr="00172DB3">
        <w:rPr>
          <w:color w:val="000000" w:themeColor="text1"/>
          <w:lang w:val="en-GB"/>
        </w:rPr>
        <w:t>This paper pretends to expose the evolution of the mediation , which has served to resolve the different disputes that arise between a variety of circumstances of mode, time, place and subject , the importance an of alternative dispute resolution mechanism that through the advancement of information technology has increased its efficiency, and its scope , as it can already doctrinal , jurisprudential and legislative studies governing this matter, finding, the great need arose previously to give solution to the various problems that the company was , without resorting to a lawsuit , but an efficient, effective and capable of solving mechanism in an impartial way . Equally the conciliation has proven its relevance to the point that currently has a rating, which gives a greater scope of applicability such as judicial and extrajudicial conciliation. This helpful conciliation, which according to research developed on the subject of personal data in mobile applications, it is possible to apply in this particular subject, through consumer statute (Act 1480 of 2011), which although not synthesized explicitly, if it can be applied in data protection issue of mobile app users.</w:t>
      </w:r>
    </w:p>
    <w:p w:rsidR="00172DB3" w:rsidRPr="00172DB3" w:rsidRDefault="00172DB3" w:rsidP="00172DB3">
      <w:pPr>
        <w:pStyle w:val="Style12"/>
        <w:widowControl/>
        <w:spacing w:line="360" w:lineRule="auto"/>
        <w:ind w:firstLine="709"/>
        <w:rPr>
          <w:b/>
          <w:color w:val="000000" w:themeColor="text1"/>
          <w:lang w:val="en-GB"/>
        </w:rPr>
      </w:pPr>
    </w:p>
    <w:p w:rsidR="00172DB3" w:rsidRPr="00172DB3" w:rsidRDefault="00172DB3" w:rsidP="00172DB3">
      <w:pPr>
        <w:pStyle w:val="Style12"/>
        <w:widowControl/>
        <w:spacing w:line="360" w:lineRule="auto"/>
        <w:rPr>
          <w:color w:val="000000" w:themeColor="text1"/>
          <w:lang w:val="es-ES"/>
        </w:rPr>
      </w:pPr>
      <w:r w:rsidRPr="00172DB3">
        <w:rPr>
          <w:b/>
          <w:color w:val="000000" w:themeColor="text1"/>
          <w:lang w:val="es-ES"/>
        </w:rPr>
        <w:t>PALABRAS CLAVES:</w:t>
      </w:r>
      <w:r w:rsidRPr="00172DB3">
        <w:rPr>
          <w:color w:val="000000" w:themeColor="text1"/>
          <w:lang w:val="es-ES"/>
        </w:rPr>
        <w:t xml:space="preserve"> MASC, aplicaciones móviles, conciliación, datos, tecnologías de la información. </w:t>
      </w:r>
    </w:p>
    <w:p w:rsidR="00172DB3" w:rsidRPr="00172DB3" w:rsidRDefault="00172DB3" w:rsidP="00172DB3">
      <w:pPr>
        <w:pStyle w:val="Style12"/>
        <w:widowControl/>
        <w:spacing w:line="360" w:lineRule="auto"/>
        <w:ind w:firstLine="709"/>
        <w:rPr>
          <w:color w:val="000000" w:themeColor="text1"/>
          <w:lang w:val="es-ES"/>
        </w:rPr>
      </w:pPr>
    </w:p>
    <w:p w:rsidR="00172DB3" w:rsidRPr="00172DB3" w:rsidRDefault="00172DB3" w:rsidP="00172DB3">
      <w:pPr>
        <w:pStyle w:val="Style12"/>
        <w:widowControl/>
        <w:spacing w:line="360" w:lineRule="auto"/>
        <w:rPr>
          <w:b/>
          <w:color w:val="000000" w:themeColor="text1"/>
          <w:lang w:val="en-US"/>
        </w:rPr>
      </w:pPr>
      <w:r w:rsidRPr="00172DB3">
        <w:rPr>
          <w:b/>
          <w:color w:val="000000" w:themeColor="text1"/>
          <w:lang w:val="en-US"/>
        </w:rPr>
        <w:t xml:space="preserve">KEYWORDS: </w:t>
      </w:r>
      <w:r w:rsidRPr="00172DB3">
        <w:rPr>
          <w:color w:val="000000" w:themeColor="text1"/>
          <w:lang w:val="en-US"/>
        </w:rPr>
        <w:t xml:space="preserve">ADR, mobile applications, conciliation, data, information technology. </w:t>
      </w:r>
    </w:p>
    <w:p w:rsidR="00172DB3" w:rsidRPr="00172DB3" w:rsidRDefault="00172DB3" w:rsidP="00172DB3">
      <w:pPr>
        <w:pStyle w:val="Style12"/>
        <w:widowControl/>
        <w:spacing w:line="360" w:lineRule="auto"/>
        <w:ind w:firstLine="709"/>
        <w:rPr>
          <w:b/>
          <w:color w:val="000000" w:themeColor="text1"/>
          <w:lang w:val="en-US"/>
        </w:rPr>
      </w:pPr>
    </w:p>
    <w:p w:rsidR="00172DB3" w:rsidRPr="00172DB3" w:rsidRDefault="00172DB3" w:rsidP="00172DB3">
      <w:pPr>
        <w:pStyle w:val="Style12"/>
        <w:widowControl/>
        <w:spacing w:line="360" w:lineRule="auto"/>
        <w:rPr>
          <w:b/>
          <w:color w:val="000000" w:themeColor="text1"/>
        </w:rPr>
      </w:pPr>
      <w:r w:rsidRPr="00172DB3">
        <w:rPr>
          <w:b/>
          <w:color w:val="000000" w:themeColor="text1"/>
        </w:rPr>
        <w:t>INTRODUCCIÓN</w:t>
      </w:r>
    </w:p>
    <w:p w:rsidR="00172DB3" w:rsidRPr="00172DB3" w:rsidRDefault="00172DB3" w:rsidP="00172DB3">
      <w:pPr>
        <w:spacing w:line="360" w:lineRule="auto"/>
        <w:jc w:val="both"/>
        <w:rPr>
          <w:rFonts w:ascii="Arial" w:hAnsi="Arial" w:cs="Arial"/>
          <w:color w:val="000000" w:themeColor="text1"/>
        </w:rPr>
      </w:pPr>
      <w:r w:rsidRPr="00172DB3">
        <w:rPr>
          <w:rFonts w:ascii="Arial" w:hAnsi="Arial" w:cs="Arial"/>
          <w:color w:val="000000" w:themeColor="text1"/>
        </w:rPr>
        <w:t xml:space="preserve">Es importante resaltar el progreso que ha tenido la conciliación como mecanismo alternativo de solución de controversias, a través del desarrollo de la legislación colombiana, la jurisprudencia y desde antes, con la misma Constitución Política y la doctrina. Es igualmente notable señalar que la conciliación está inmersa en diversos principios constitucionales, como es el del debido proceso, el acceso a la </w:t>
      </w:r>
      <w:r w:rsidRPr="00172DB3">
        <w:rPr>
          <w:rFonts w:ascii="Arial" w:hAnsi="Arial" w:cs="Arial"/>
          <w:color w:val="000000" w:themeColor="text1"/>
        </w:rPr>
        <w:lastRenderedPageBreak/>
        <w:t xml:space="preserve">justicia y en los fines propios de la Carta Política de 1991, los cuales han establecido como un mecanismo garantista y de autocomposición, donde se hace notable la presencia de un tercero que escucha a las partes y luego procede a proponer alternativas de arreglo o supuestas soluciones, que igualmente pueden o no ser acogidas por las partes a través de un acuerdo o una común concordancia entre las mismas. Es por esto vital, establecer que son los MASC, y si la conciliación hace parte de ellos, que se entiende por conciliación, su clasificación, construir una estructura adecuada de la misma, el cual ha sido el desarrollo en la legislación, en la doctrina y en la jurisprudencia acerca de ella, para luego analizar su aplicación en el ámbito de las tecnologías de la información y su incidencia en la protección de datos de los usuarios de aplicaciones móviles. Los mecanismos alternativos de solución de conflictos (MASC), a lo largo de su creación como diferentes posibilidades que tienen las personales envueltas en una controversia, para solucionarla, ha sido igualmente una opción para resolver conflictos de una manera eficiente, eficaz, con plenos efectos legales. </w:t>
      </w:r>
    </w:p>
    <w:p w:rsidR="00172DB3" w:rsidRPr="00172DB3" w:rsidRDefault="00172DB3" w:rsidP="00172DB3">
      <w:pPr>
        <w:spacing w:line="360" w:lineRule="auto"/>
        <w:ind w:firstLine="709"/>
        <w:jc w:val="both"/>
        <w:rPr>
          <w:rFonts w:ascii="Arial" w:hAnsi="Arial" w:cs="Arial"/>
          <w:color w:val="000000" w:themeColor="text1"/>
        </w:rPr>
      </w:pPr>
      <w:r w:rsidRPr="00172DB3">
        <w:rPr>
          <w:rFonts w:ascii="Arial" w:hAnsi="Arial" w:cs="Arial"/>
          <w:color w:val="000000" w:themeColor="text1"/>
        </w:rPr>
        <w:t>En su escrito acerca del ‘’</w:t>
      </w:r>
      <w:r w:rsidRPr="00172DB3">
        <w:rPr>
          <w:rFonts w:ascii="Arial" w:hAnsi="Arial" w:cs="Arial"/>
          <w:i/>
          <w:color w:val="000000" w:themeColor="text1"/>
        </w:rPr>
        <w:t>Estado De Los Métodos Alternativos De Solución De Conflictos En Colombia</w:t>
      </w:r>
      <w:r w:rsidRPr="00172DB3">
        <w:rPr>
          <w:rFonts w:ascii="Arial" w:hAnsi="Arial" w:cs="Arial"/>
          <w:color w:val="000000" w:themeColor="text1"/>
        </w:rPr>
        <w:t xml:space="preserve">’’ Hernando Herrera Mercado, expone las principales causas del surgimiento de los MASC en nuestro país, ahondando en estadísticas y estudios realizados para comprobar los resultados y la acogida de la conciliación como un opción al acceso de justicia y como herramienta en la descongestión judicial que ha venido desarrollando Colombia. El autor parte por reconocer en nuestro país una cultura de judicialización de conflictos, donde se utilizaba todo el aparato judicial, en controversias que quizás requería de una herramienta más apropiada y que no moviera todo los despachos judiciales, con sus jueces inmersos, entorno a ella y suscitara así una congestión judicial, que no solo era reconocida por la población colombiana, sino que igual tenía los jueces tenían un conocimiento total y una visión convencional acerca de las causas y el origen ya descrito, acerca de la congestión judicial. </w:t>
      </w:r>
    </w:p>
    <w:p w:rsidR="00172DB3" w:rsidRPr="00172DB3" w:rsidRDefault="00172DB3" w:rsidP="00172DB3">
      <w:pPr>
        <w:spacing w:line="360" w:lineRule="auto"/>
        <w:ind w:firstLine="709"/>
        <w:jc w:val="both"/>
        <w:rPr>
          <w:rFonts w:ascii="Arial" w:hAnsi="Arial" w:cs="Arial"/>
          <w:color w:val="000000" w:themeColor="text1"/>
        </w:rPr>
      </w:pPr>
      <w:r w:rsidRPr="00172DB3">
        <w:rPr>
          <w:rFonts w:ascii="Arial" w:hAnsi="Arial" w:cs="Arial"/>
          <w:color w:val="000000" w:themeColor="text1"/>
        </w:rPr>
        <w:t xml:space="preserve">Herrera Mercado, también relata el proceso del acceso a la justicia y el génesis de los MASC en Colombia, donde explica el origen de la oportunidad, </w:t>
      </w:r>
      <w:r w:rsidRPr="00172DB3">
        <w:rPr>
          <w:rFonts w:ascii="Arial" w:hAnsi="Arial" w:cs="Arial"/>
          <w:color w:val="000000" w:themeColor="text1"/>
        </w:rPr>
        <w:lastRenderedPageBreak/>
        <w:t xml:space="preserve">creación, redefinición y la extensión de las instancias competentes para llegar a solucionar los conflictos colombianos, donde sintetiza que: </w:t>
      </w:r>
    </w:p>
    <w:p w:rsidR="00172DB3" w:rsidRPr="00172DB3" w:rsidRDefault="00172DB3" w:rsidP="00172DB3">
      <w:pPr>
        <w:spacing w:line="360" w:lineRule="auto"/>
        <w:ind w:firstLine="708"/>
        <w:jc w:val="both"/>
        <w:rPr>
          <w:rFonts w:ascii="Arial" w:hAnsi="Arial" w:cs="Arial"/>
          <w:color w:val="000000" w:themeColor="text1"/>
        </w:rPr>
      </w:pPr>
      <w:r w:rsidRPr="00172DB3">
        <w:rPr>
          <w:rFonts w:ascii="Arial" w:hAnsi="Arial" w:cs="Arial"/>
          <w:color w:val="000000" w:themeColor="text1"/>
        </w:rPr>
        <w:t>Cualquier organización democrática civilizada requiere como imperativo consustancial a su existencia un sistema de resolución de conflictos que dé respuesta efectiva a las controversias surgidas entre los asociados. Al decir de Savater, la consolidación de las vías pacíficas de resolver los conflictos es inevitable, pues de ella depende la vitalidad del colectivo. Es claro que el acceso limitado a la justicia genera una grave negación de los derechos de las personas. En otros términos, en materia de justicia es inadmisible la existencia de sectores de la colectividad marginados de la prestación de este servicio.</w:t>
      </w:r>
      <w:r w:rsidRPr="00172DB3">
        <w:rPr>
          <w:rFonts w:ascii="Arial" w:hAnsi="Arial" w:cs="Arial"/>
          <w:noProof/>
          <w:color w:val="000000" w:themeColor="text1"/>
        </w:rPr>
        <w:t xml:space="preserve"> (Mercado, 1999)</w:t>
      </w:r>
    </w:p>
    <w:p w:rsidR="00172DB3" w:rsidRPr="00172DB3" w:rsidRDefault="00172DB3" w:rsidP="00172DB3">
      <w:pPr>
        <w:spacing w:line="360" w:lineRule="auto"/>
        <w:ind w:firstLine="709"/>
        <w:jc w:val="both"/>
        <w:rPr>
          <w:rFonts w:ascii="Arial" w:hAnsi="Arial" w:cs="Arial"/>
          <w:i/>
          <w:color w:val="000000" w:themeColor="text1"/>
          <w:shd w:val="clear" w:color="auto" w:fill="FFFFFF"/>
        </w:rPr>
      </w:pPr>
      <w:r w:rsidRPr="00172DB3">
        <w:rPr>
          <w:rFonts w:ascii="Arial" w:hAnsi="Arial" w:cs="Arial"/>
          <w:color w:val="000000" w:themeColor="text1"/>
        </w:rPr>
        <w:t>Así pues, la carencia del acceso a la justicia, tipificado en el artículo 229 de la Constitución Nacional, el cual no tenía una transcendencia del campo formal al material, hizo que se replanteara un mecanismo que lograra resolver controversias, haciendo una modificación en el entorno legal tradicional que se vivía en la época antes de la expedición de la ley 640 de 2001. Con esta ley se logró introducción nuevas instituciones jurídicas, que procuraran superar las divergencias vividas por el escaso acceso a la justicia colombiana y que en consecuencia hubiese una descongestión en los despachos judiciales, para que en ellos se resolvieran conflictos que fueran ajustados a un proceso más largo y que necesitaran de su intervención. En cuanto a la evolución de la conciliación, la ley 23 de 1991, dicto disposiciones que demandaba de una mayor ampliación de la funcionalidad del acceso a la justicia; haciendo que los particulares pudieran darle solución a los conflictos a través de personas que contaban con una investidura transitoria de la función de administrar justicia, esto dentro de la normatividad dispuesta en la ley 270 de 1996, que estipula dentro de su artículo 8 párrafo 3:</w:t>
      </w:r>
      <w:r w:rsidRPr="00172DB3">
        <w:rPr>
          <w:rFonts w:ascii="Arial" w:hAnsi="Arial" w:cs="Arial"/>
          <w:color w:val="000000" w:themeColor="text1"/>
          <w:shd w:val="clear" w:color="auto" w:fill="FFFFFF"/>
        </w:rPr>
        <w:t xml:space="preserve"> ‘’</w:t>
      </w:r>
      <w:r w:rsidRPr="00172DB3">
        <w:rPr>
          <w:rFonts w:ascii="Arial" w:hAnsi="Arial" w:cs="Arial"/>
          <w:i/>
          <w:color w:val="000000" w:themeColor="text1"/>
          <w:shd w:val="clear" w:color="auto" w:fill="FFFFFF"/>
        </w:rPr>
        <w:t>Los particulares pueden ser investidos transitoriamente de la función de administrar justicia en la condición de conciliadores o en la de árbitros debidamente habilitados por las partes para proferir fallos en derecho o en equidad.’’</w:t>
      </w:r>
      <w:r w:rsidRPr="00172DB3">
        <w:rPr>
          <w:rFonts w:ascii="Arial" w:hAnsi="Arial" w:cs="Arial"/>
          <w:i/>
          <w:noProof/>
          <w:color w:val="000000" w:themeColor="text1"/>
          <w:shd w:val="clear" w:color="auto" w:fill="FFFFFF"/>
        </w:rPr>
        <w:t xml:space="preserve"> </w:t>
      </w:r>
      <w:r w:rsidRPr="00172DB3">
        <w:rPr>
          <w:rFonts w:ascii="Arial" w:hAnsi="Arial" w:cs="Arial"/>
          <w:noProof/>
          <w:color w:val="000000" w:themeColor="text1"/>
          <w:shd w:val="clear" w:color="auto" w:fill="FFFFFF"/>
        </w:rPr>
        <w:t>(Ley 270, 1996)</w:t>
      </w:r>
      <w:r w:rsidRPr="00172DB3">
        <w:rPr>
          <w:rFonts w:ascii="Arial" w:hAnsi="Arial" w:cs="Arial"/>
          <w:i/>
          <w:color w:val="000000" w:themeColor="text1"/>
          <w:shd w:val="clear" w:color="auto" w:fill="FFFFFF"/>
        </w:rPr>
        <w:t>.</w:t>
      </w:r>
    </w:p>
    <w:p w:rsidR="00172DB3" w:rsidRPr="00172DB3" w:rsidRDefault="00172DB3" w:rsidP="00172DB3">
      <w:pPr>
        <w:pStyle w:val="NormalWeb"/>
        <w:shd w:val="clear" w:color="auto" w:fill="FFFFFF"/>
        <w:spacing w:line="360" w:lineRule="auto"/>
        <w:ind w:firstLine="709"/>
        <w:jc w:val="both"/>
        <w:rPr>
          <w:rFonts w:ascii="Arial" w:hAnsi="Arial" w:cs="Arial"/>
          <w:color w:val="000000" w:themeColor="text1"/>
          <w:shd w:val="clear" w:color="auto" w:fill="FFFFFF"/>
        </w:rPr>
      </w:pPr>
      <w:r w:rsidRPr="00172DB3">
        <w:rPr>
          <w:rFonts w:ascii="Arial" w:hAnsi="Arial" w:cs="Arial"/>
          <w:color w:val="000000" w:themeColor="text1"/>
          <w:shd w:val="clear" w:color="auto" w:fill="FFFFFF"/>
        </w:rPr>
        <w:t xml:space="preserve">Esta nueva opción, permitiría que se pudiera dar solución a ciertos conflictos, sin la necesidad de acudir a la jurisdicción y mover todo el aparato </w:t>
      </w:r>
      <w:r w:rsidRPr="00172DB3">
        <w:rPr>
          <w:rFonts w:ascii="Arial" w:hAnsi="Arial" w:cs="Arial"/>
          <w:color w:val="000000" w:themeColor="text1"/>
          <w:shd w:val="clear" w:color="auto" w:fill="FFFFFF"/>
        </w:rPr>
        <w:lastRenderedPageBreak/>
        <w:t>judicial, para que se decidieran las controversias mediante las sentencias y los fallos judiciales. Se exterioriza en el texto expuesto por Herrera Mercado, que la Asamblea Nacional Constituyente, tuvo un sesgo de preocupación al momento de la creación de herramientas e instrumentos que ayudaran a mejorar el derecho al acceso a la justicia y como resultado de esto, la mayor cobertura del servicio y la calidad eficiente en pro de la descongestión de los despachos judiciales, partiendo de esto se tipifico mediante el artículo 116 de la Constitución Política, donde se vuelve a reiterar que:</w:t>
      </w:r>
    </w:p>
    <w:p w:rsidR="00172DB3" w:rsidRPr="00172DB3" w:rsidRDefault="00172DB3" w:rsidP="00172DB3">
      <w:pPr>
        <w:pStyle w:val="NormalWeb"/>
        <w:shd w:val="clear" w:color="auto" w:fill="FFFFFF"/>
        <w:spacing w:line="360" w:lineRule="auto"/>
        <w:ind w:left="708"/>
        <w:jc w:val="both"/>
        <w:rPr>
          <w:rFonts w:ascii="Arial" w:hAnsi="Arial" w:cs="Arial"/>
          <w:color w:val="000000" w:themeColor="text1"/>
        </w:rPr>
      </w:pPr>
      <w:r w:rsidRPr="00172DB3">
        <w:rPr>
          <w:rFonts w:ascii="Arial" w:hAnsi="Arial" w:cs="Arial"/>
          <w:color w:val="000000" w:themeColor="text1"/>
        </w:rPr>
        <w:t>Art. 116 Los particulares pueden ser investidos transitoriamente de la función de administrar justicia en la condición de jurados en las causas criminales, conciliadores o en la de árbitros habilitados por las partes para proferir fallos en derecho o en equidad, en los términos que determine la ley.</w:t>
      </w:r>
      <w:r w:rsidRPr="00172DB3">
        <w:rPr>
          <w:rFonts w:ascii="Arial" w:hAnsi="Arial" w:cs="Arial"/>
          <w:noProof/>
          <w:color w:val="000000" w:themeColor="text1"/>
        </w:rPr>
        <w:t xml:space="preserve"> (Constitución Política de Colombia, 2012)</w:t>
      </w:r>
    </w:p>
    <w:p w:rsidR="00172DB3" w:rsidRPr="00172DB3" w:rsidRDefault="00172DB3" w:rsidP="00172DB3">
      <w:pPr>
        <w:spacing w:before="240" w:line="360" w:lineRule="auto"/>
        <w:ind w:firstLine="709"/>
        <w:jc w:val="both"/>
        <w:rPr>
          <w:rFonts w:ascii="Arial" w:hAnsi="Arial" w:cs="Arial"/>
          <w:color w:val="000000" w:themeColor="text1"/>
        </w:rPr>
      </w:pPr>
      <w:r w:rsidRPr="00172DB3">
        <w:rPr>
          <w:rFonts w:ascii="Arial" w:hAnsi="Arial" w:cs="Arial"/>
          <w:color w:val="000000" w:themeColor="text1"/>
        </w:rPr>
        <w:t xml:space="preserve">El anterior artículo, fue originado por el estudio legislativo de del Decreto transitorio 2651 de 1991, que luego se convirtió en una ley permanente, mediante la ley 446 de 1998. Esta legislación, comenzó a desarrollar la utilización como instrumento efectivo y ágil de los mecanismos alternativos de solución de conflictos, sin necesidad de acudir a instancias judiciales. Esta forma de solución de disputas, genero consigo beneficios representados en la ya mencionada anteriormente descongestión judicial, la economía procesal y estimulo en gran parte la participación de la sociedad en la solución de controversias, mediante postulados constitucionales y legislativos igualmente.  </w:t>
      </w:r>
    </w:p>
    <w:p w:rsidR="00172DB3" w:rsidRPr="00172DB3" w:rsidRDefault="00172DB3" w:rsidP="00172DB3">
      <w:pPr>
        <w:spacing w:before="240" w:line="360" w:lineRule="auto"/>
        <w:ind w:firstLine="709"/>
        <w:jc w:val="both"/>
        <w:rPr>
          <w:rFonts w:ascii="Arial" w:hAnsi="Arial" w:cs="Arial"/>
          <w:color w:val="000000" w:themeColor="text1"/>
        </w:rPr>
      </w:pPr>
      <w:r w:rsidRPr="00172DB3">
        <w:rPr>
          <w:rFonts w:ascii="Arial" w:hAnsi="Arial" w:cs="Arial"/>
          <w:color w:val="000000" w:themeColor="text1"/>
        </w:rPr>
        <w:t xml:space="preserve">Es de esta manera como se ha venido desarrollando la integración de conciliación dentro de los mecanismos alternativos de solución de conflictos, como una institución a disposición de las personas, donde pueden darle una solución a sus controversias. </w:t>
      </w:r>
    </w:p>
    <w:p w:rsidR="00172DB3" w:rsidRPr="00172DB3" w:rsidRDefault="00172DB3" w:rsidP="00172DB3">
      <w:pPr>
        <w:spacing w:before="240" w:line="360" w:lineRule="auto"/>
        <w:ind w:firstLine="709"/>
        <w:jc w:val="both"/>
        <w:rPr>
          <w:rFonts w:ascii="Arial" w:hAnsi="Arial" w:cs="Arial"/>
          <w:color w:val="000000" w:themeColor="text1"/>
        </w:rPr>
      </w:pPr>
      <w:r w:rsidRPr="00172DB3">
        <w:rPr>
          <w:rFonts w:ascii="Arial" w:hAnsi="Arial" w:cs="Arial"/>
          <w:color w:val="000000" w:themeColor="text1"/>
        </w:rPr>
        <w:t xml:space="preserve">Es de esta manera como la conciliación ha ido ahondado la órbita jurisdiccional y ha servido como herramienta segura y eficaz en el progreso del estanco judicial, de los trámites judiciales, de la descongestión de los despachos y </w:t>
      </w:r>
      <w:r w:rsidRPr="00172DB3">
        <w:rPr>
          <w:rFonts w:ascii="Arial" w:hAnsi="Arial" w:cs="Arial"/>
          <w:color w:val="000000" w:themeColor="text1"/>
        </w:rPr>
        <w:lastRenderedPageBreak/>
        <w:t>ha ayudado en la celeridad de los procesos y en la economía procesal del país. Teniendo ya esto claro, se puede empezar a aplicar a casos concretos, como es lo que sucede con los datos de los usuarios de aplicaciones móviles, quienes pueden ejercer su derecho a la protección de los mismos, por medio del estatuto del consumidor (Ley 1480 de 2011), cuando se vulneren derechos fundamentales de los usuarios, como lo es el derecho a la intimidad de las personas, al buen nombre, el honor y la garantía que presta el Estado, para que se respeten, todo esto tipificado mediante el artículo 15 de la Carta Política, que también establece explícitamente el caso de la recolección y tratamiento de datos, lo cual podría dirigirse hacia el tema de las aplicaciones móviles y los usurarios que hacen uso de estas, para lo que según el estatuto del consumidor y con el avance progresivo de la conciliación como MASC, se podría llegar a conciliar los perjuicios causados por el mal tratamiento o recolección de datos de los usuarios de apps móviles.</w:t>
      </w:r>
    </w:p>
    <w:p w:rsidR="00172DB3" w:rsidRPr="00172DB3" w:rsidRDefault="00172DB3" w:rsidP="00172DB3">
      <w:pPr>
        <w:spacing w:before="240" w:line="360" w:lineRule="auto"/>
        <w:jc w:val="both"/>
        <w:rPr>
          <w:rFonts w:ascii="Arial" w:hAnsi="Arial" w:cs="Arial"/>
          <w:b/>
          <w:color w:val="000000" w:themeColor="text1"/>
        </w:rPr>
      </w:pPr>
      <w:r w:rsidRPr="00172DB3">
        <w:rPr>
          <w:rFonts w:ascii="Arial" w:hAnsi="Arial" w:cs="Arial"/>
          <w:b/>
          <w:color w:val="000000" w:themeColor="text1"/>
        </w:rPr>
        <w:t>METODOLOGIA</w:t>
      </w:r>
    </w:p>
    <w:p w:rsidR="00172DB3" w:rsidRPr="00172DB3" w:rsidRDefault="00172DB3" w:rsidP="00172DB3">
      <w:pPr>
        <w:spacing w:before="240" w:line="360" w:lineRule="auto"/>
        <w:jc w:val="both"/>
        <w:rPr>
          <w:rFonts w:ascii="Arial" w:hAnsi="Arial" w:cs="Arial"/>
          <w:b/>
          <w:color w:val="000000" w:themeColor="text1"/>
        </w:rPr>
      </w:pPr>
      <w:r w:rsidRPr="00172DB3">
        <w:rPr>
          <w:rFonts w:ascii="Arial" w:hAnsi="Arial" w:cs="Arial"/>
          <w:color w:val="000000" w:themeColor="text1"/>
        </w:rPr>
        <w:t>Esta ponencia ha sido desarrollada con base a una metodología encaminada a la investigación socio jurídica con enfoque cualitativo. Entendiéndose como metodología socio jurídico,</w:t>
      </w:r>
      <w:r w:rsidRPr="00172DB3">
        <w:rPr>
          <w:rFonts w:ascii="Arial" w:hAnsi="Arial" w:cs="Arial"/>
          <w:i/>
          <w:color w:val="000000" w:themeColor="text1"/>
        </w:rPr>
        <w:t xml:space="preserve"> ‘’aquel conjunto de supuestos epistemológicos e instrumentos metodológicos, que se deben utilizar para formular el derecho, a partir de una concepción fáctica del mismo, para luego ampliar la información sobre concepciones idealistas del derecho.</w:t>
      </w:r>
      <w:r w:rsidRPr="00172DB3">
        <w:rPr>
          <w:rFonts w:ascii="Arial" w:hAnsi="Arial" w:cs="Arial"/>
          <w:color w:val="000000" w:themeColor="text1"/>
        </w:rPr>
        <w:t xml:space="preserve"> ‘’ </w:t>
      </w:r>
      <w:r w:rsidRPr="00172DB3">
        <w:rPr>
          <w:rFonts w:ascii="Arial" w:hAnsi="Arial" w:cs="Arial"/>
          <w:noProof/>
          <w:color w:val="000000" w:themeColor="text1"/>
        </w:rPr>
        <w:t>(GIRALDO, 2002)</w:t>
      </w:r>
    </w:p>
    <w:p w:rsidR="00172DB3" w:rsidRPr="00172DB3" w:rsidRDefault="00172DB3" w:rsidP="00172DB3">
      <w:pPr>
        <w:spacing w:before="240" w:line="360" w:lineRule="auto"/>
        <w:ind w:firstLine="709"/>
        <w:jc w:val="both"/>
        <w:rPr>
          <w:rFonts w:ascii="Arial" w:hAnsi="Arial" w:cs="Arial"/>
          <w:color w:val="000000" w:themeColor="text1"/>
        </w:rPr>
      </w:pPr>
      <w:r w:rsidRPr="00172DB3">
        <w:rPr>
          <w:rFonts w:ascii="Arial" w:hAnsi="Arial" w:cs="Arial"/>
          <w:color w:val="000000" w:themeColor="text1"/>
        </w:rPr>
        <w:t>Igualmente es importante resaltar, que el método de investigación socio jurídico es la herramienta adecuada, para lograr construir un verdadero derecho, que tiene que adaptarse a las situaciones ontológicas. Este tipo de investigación cuenta con tres etapas para su desarrollo, como son la formulación de un fin político: que describe el deber ser, para que fue creado, cuál es su origen dentro del mundo del derecho y cuál su objetivo principal para desarrollarse dentro de las esferas del derecho mismo, en este caso podemos introducir la protección de datos y los derechos fundamentales de los usuarios de aplicaciones móviles;</w:t>
      </w:r>
      <w:r w:rsidRPr="00172DB3">
        <w:rPr>
          <w:color w:val="000000" w:themeColor="text1"/>
        </w:rPr>
        <w:t xml:space="preserve"> </w:t>
      </w:r>
      <w:r w:rsidRPr="00172DB3">
        <w:rPr>
          <w:rFonts w:ascii="Arial" w:hAnsi="Arial" w:cs="Arial"/>
          <w:color w:val="000000" w:themeColor="text1"/>
        </w:rPr>
        <w:t xml:space="preserve">luego pasamos a analizar la problemática social que intenta superar al fin político: aquí se busca alcanzar un fin político donde, se pueda establecer una relación con </w:t>
      </w:r>
      <w:r w:rsidRPr="00172DB3">
        <w:rPr>
          <w:rFonts w:ascii="Arial" w:hAnsi="Arial" w:cs="Arial"/>
          <w:color w:val="000000" w:themeColor="text1"/>
        </w:rPr>
        <w:lastRenderedPageBreak/>
        <w:t xml:space="preserve">una grave problemática social, que para este caso concreto, vendría a ser la necesidad de tener una herramienta eficaz, para los usuarios de las tecnologías de la información que les permita solucionar sus problemas. Así mismo, estos instrumentos deben beneficiar la construcción de una convivencia pacífica en respeto de los derechos de los individuos; la problemática que suscita en este tema, es en cuanto a la recolección, tratamiento y manejo indebido de los datos de aplicaciones móviles, las cuales por su gran auge dentro de la evolución de las tecnologías de la información, se han convertido para el derecho en un problema a resolver y en una necesidad para el mundo del mismo; finalmente dentro de las características de la investigación socio jurídica, encontramos las hipótesis encaminadas igualmente a alcanzar ese fin político y aquí encontramos el avance legislativo, doctrinal y jurisprudencial que ha tenido y ha encontrado el derecho, para darle solución a los problemas sociales desatados por el fin político creado de las aplicaciones móviles y consigo la protección de datos y los derechos fundamentales de los usuarios que hacen uso de estas. Tenemos entonces que la protección de datos ha sido desarrollada mediante la ley 1581 de 2012, la jurisprudencia de la Corte y la doctrina igualmente; para el tema de los derechos fundamentales se da el mismo caso, ha sido trabajado a través de la Constitución Política, garantizado y salvaguardado por esta, equivalentemente por la doctrina y el desarrollo jurisprudencial, en general para estos dos temas (protección de datos, derechos fundamentales) en el caso de aplicaciones móviles, se sintetizo y posteriormente se manejó la hipótesis de la conciliación como MASC para darle solución a esta controversia, en la cuestión de los perjuicios causados por la indebido recolección, manejo, tratamiento de los datos de los usuarios de aplicaciones móviles, utilizando la ley 640 de 2001 y los desarrollos doctrinales en Colombia y la jurisprudencia de la Corte Constitucional. </w:t>
      </w:r>
    </w:p>
    <w:p w:rsidR="00172DB3" w:rsidRPr="00172DB3" w:rsidRDefault="00172DB3" w:rsidP="00172DB3">
      <w:pPr>
        <w:spacing w:before="240" w:line="360" w:lineRule="auto"/>
        <w:ind w:firstLine="709"/>
        <w:jc w:val="both"/>
        <w:rPr>
          <w:rFonts w:ascii="Arial" w:hAnsi="Arial" w:cs="Arial"/>
          <w:color w:val="000000" w:themeColor="text1"/>
        </w:rPr>
      </w:pPr>
      <w:r w:rsidRPr="00172DB3">
        <w:rPr>
          <w:rFonts w:ascii="Arial" w:hAnsi="Arial" w:cs="Arial"/>
          <w:color w:val="000000" w:themeColor="text1"/>
        </w:rPr>
        <w:t xml:space="preserve">Es de destacar que para esta investigación, se utilizó una metodología cualitativa, pues se realizó una descripción, análisis e interpretación del objeto de estudio, para este llegar a tener un adecuado manejo del tema, para esto se dispuso de una recaudación de datos, que permitieran en un principio reconocer el fenómeno, para lograr a partir de esto identificar, clasificar y posteriormente probar </w:t>
      </w:r>
      <w:r w:rsidRPr="00172DB3">
        <w:rPr>
          <w:rFonts w:ascii="Arial" w:hAnsi="Arial" w:cs="Arial"/>
          <w:color w:val="000000" w:themeColor="text1"/>
        </w:rPr>
        <w:lastRenderedPageBreak/>
        <w:t>la hipótesis planteada en la propuesta del trabajo, partiendo igualmente de fuentes primarias, como la legislación, jurisprudencia y doctrina, entorno a las relación que se da entre el usuario que otorga sus datos y el propietario de la aplicación móvil, que se encarga de recolectarlos, manejarlos y sistematizarlos adecuadamente, también de fuentes secundarias como revistas y artículos científicos de universidades que han estudiado el tema. Al utilizar este tipo de metodología, se tiene como objetivo el explicar las razones que permiten el surgimiento de este nuevo suceso en el ámbito del derecho y como el mismo derecho puede llegar a darle solución.</w:t>
      </w:r>
    </w:p>
    <w:p w:rsidR="00172DB3" w:rsidRPr="00172DB3" w:rsidRDefault="00172DB3" w:rsidP="00172DB3">
      <w:pPr>
        <w:spacing w:line="360" w:lineRule="auto"/>
        <w:jc w:val="both"/>
        <w:rPr>
          <w:rFonts w:ascii="Arial" w:hAnsi="Arial" w:cs="Arial"/>
          <w:color w:val="000000" w:themeColor="text1"/>
        </w:rPr>
      </w:pPr>
    </w:p>
    <w:p w:rsidR="00172DB3" w:rsidRPr="00172DB3" w:rsidRDefault="00172DB3" w:rsidP="00172DB3">
      <w:pPr>
        <w:pStyle w:val="Prrafodelista"/>
        <w:numPr>
          <w:ilvl w:val="0"/>
          <w:numId w:val="1"/>
        </w:numPr>
        <w:spacing w:line="360" w:lineRule="auto"/>
        <w:ind w:firstLine="0"/>
        <w:jc w:val="both"/>
        <w:rPr>
          <w:rFonts w:ascii="Arial" w:hAnsi="Arial" w:cs="Arial"/>
          <w:b/>
          <w:color w:val="000000" w:themeColor="text1"/>
          <w:sz w:val="24"/>
          <w:szCs w:val="24"/>
        </w:rPr>
      </w:pPr>
      <w:r w:rsidRPr="00172DB3">
        <w:rPr>
          <w:rFonts w:ascii="Arial" w:hAnsi="Arial" w:cs="Arial"/>
          <w:b/>
          <w:color w:val="000000" w:themeColor="text1"/>
          <w:sz w:val="24"/>
          <w:szCs w:val="24"/>
        </w:rPr>
        <w:t>LA CONCILIACIÓN</w:t>
      </w:r>
    </w:p>
    <w:p w:rsidR="00172DB3" w:rsidRPr="00172DB3" w:rsidRDefault="00172DB3" w:rsidP="00172DB3">
      <w:pPr>
        <w:spacing w:line="360" w:lineRule="auto"/>
        <w:jc w:val="both"/>
        <w:rPr>
          <w:rFonts w:ascii="Arial" w:hAnsi="Arial" w:cs="Arial"/>
          <w:color w:val="000000" w:themeColor="text1"/>
        </w:rPr>
      </w:pPr>
      <w:r w:rsidRPr="00172DB3">
        <w:rPr>
          <w:rFonts w:ascii="Arial" w:hAnsi="Arial" w:cs="Arial"/>
          <w:color w:val="000000" w:themeColor="text1"/>
        </w:rPr>
        <w:t xml:space="preserve">En primer lugar se debe tener una concepción clara sobre la conciliación, para ello se puede hacer referencia a lo señalado por el autor español Jaime </w:t>
      </w:r>
      <w:proofErr w:type="spellStart"/>
      <w:r w:rsidRPr="00172DB3">
        <w:rPr>
          <w:rFonts w:ascii="Arial" w:hAnsi="Arial" w:cs="Arial"/>
          <w:color w:val="000000" w:themeColor="text1"/>
        </w:rPr>
        <w:t>Guasp</w:t>
      </w:r>
      <w:proofErr w:type="spellEnd"/>
      <w:r w:rsidRPr="00172DB3">
        <w:rPr>
          <w:rFonts w:ascii="Arial" w:hAnsi="Arial" w:cs="Arial"/>
          <w:color w:val="000000" w:themeColor="text1"/>
        </w:rPr>
        <w:t xml:space="preserve"> quien define la conciliación como “la actividad desplegada ante un tercero por las partes de un conflicto de intereses, dirigida a lograr una composición justa del mismo. ’’</w:t>
      </w:r>
      <w:r w:rsidRPr="00172DB3">
        <w:rPr>
          <w:rFonts w:ascii="Arial" w:hAnsi="Arial" w:cs="Arial"/>
          <w:noProof/>
          <w:color w:val="000000" w:themeColor="text1"/>
        </w:rPr>
        <w:t xml:space="preserve"> (GUASP, 19945)</w:t>
      </w:r>
    </w:p>
    <w:p w:rsidR="00172DB3" w:rsidRPr="00172DB3" w:rsidRDefault="00172DB3" w:rsidP="00172DB3">
      <w:pPr>
        <w:spacing w:before="240" w:line="360" w:lineRule="auto"/>
        <w:ind w:firstLine="709"/>
        <w:jc w:val="both"/>
        <w:rPr>
          <w:rFonts w:ascii="Arial" w:hAnsi="Arial" w:cs="Arial"/>
          <w:color w:val="000000" w:themeColor="text1"/>
        </w:rPr>
      </w:pPr>
      <w:r w:rsidRPr="00172DB3">
        <w:rPr>
          <w:rFonts w:ascii="Arial" w:hAnsi="Arial" w:cs="Arial"/>
          <w:color w:val="000000" w:themeColor="text1"/>
        </w:rPr>
        <w:t xml:space="preserve">Con base en lo anterior se tiene que la conciliación se debe entender como la necesaria o facultativa comparecencia de las partes con motivo de darle fin a un conflicto de intereses ante cierta autoridad, la cual es designada por el Estado, para que actué como un intermediador y proponga una solución. </w:t>
      </w:r>
    </w:p>
    <w:p w:rsidR="00172DB3" w:rsidRPr="00172DB3" w:rsidRDefault="00172DB3" w:rsidP="00172DB3">
      <w:pPr>
        <w:spacing w:before="240" w:line="360" w:lineRule="auto"/>
        <w:ind w:firstLine="709"/>
        <w:jc w:val="both"/>
        <w:rPr>
          <w:rFonts w:ascii="Arial" w:hAnsi="Arial" w:cs="Arial"/>
          <w:color w:val="000000" w:themeColor="text1"/>
        </w:rPr>
      </w:pPr>
      <w:r w:rsidRPr="00172DB3">
        <w:rPr>
          <w:rFonts w:ascii="Arial" w:hAnsi="Arial" w:cs="Arial"/>
          <w:color w:val="000000" w:themeColor="text1"/>
        </w:rPr>
        <w:t xml:space="preserve">Así mismo en el libro </w:t>
      </w:r>
      <w:r w:rsidRPr="00172DB3">
        <w:rPr>
          <w:rFonts w:ascii="Arial" w:hAnsi="Arial" w:cs="Arial"/>
          <w:i/>
          <w:color w:val="000000" w:themeColor="text1"/>
        </w:rPr>
        <w:t>Negociación, mediación y conciliación</w:t>
      </w:r>
      <w:r w:rsidRPr="00172DB3">
        <w:rPr>
          <w:rFonts w:ascii="Arial" w:hAnsi="Arial" w:cs="Arial"/>
          <w:color w:val="000000" w:themeColor="text1"/>
        </w:rPr>
        <w:t xml:space="preserve"> del autor Raúl Núñez Ojeda, se presenta como punto principal los antecedentes internacionales de la conciliación, por tal motivo se debe señalar en primer lugar el caso del derecho español  en donde la conciliación fue establecida como aquella actividad previa y necesaria para todo tipo de litigio, aunque en la actualidad tiene el carácter de voluntaria, puesto que el futuro demandante no es obligado a intentar la conciliación antes de presentar la demanda, como anteriormente si lo era; tan solo se le otorga la facultad de poder hacerlo. </w:t>
      </w:r>
      <w:r w:rsidRPr="00172DB3">
        <w:rPr>
          <w:rFonts w:ascii="Arial" w:hAnsi="Arial" w:cs="Arial"/>
          <w:noProof/>
          <w:color w:val="000000" w:themeColor="text1"/>
        </w:rPr>
        <w:t>(OJEDA, 2009)</w:t>
      </w:r>
    </w:p>
    <w:p w:rsidR="00172DB3" w:rsidRPr="00172DB3" w:rsidRDefault="00172DB3" w:rsidP="00172DB3">
      <w:pPr>
        <w:spacing w:before="240" w:line="360" w:lineRule="auto"/>
        <w:ind w:firstLine="709"/>
        <w:jc w:val="both"/>
        <w:rPr>
          <w:rFonts w:ascii="Arial" w:hAnsi="Arial" w:cs="Arial"/>
          <w:color w:val="000000" w:themeColor="text1"/>
        </w:rPr>
      </w:pPr>
      <w:r w:rsidRPr="00172DB3">
        <w:rPr>
          <w:rFonts w:ascii="Arial" w:hAnsi="Arial" w:cs="Arial"/>
          <w:color w:val="000000" w:themeColor="text1"/>
        </w:rPr>
        <w:lastRenderedPageBreak/>
        <w:t xml:space="preserve">En cuanto al derecho anglosajón, en la actualidad la conciliación no cuenta con gran aceptación por parte de los doctrinantes americanos, quienes prefieren en temas de las ADR, a la mediación, que a un tercero (conciliador) que concilie.  Para la doctrina inglesa y americana, un problema en cuanto a la conciliación radica en que coincide con la mediación desde el punto de vista semántico, porque suelen ser confundidas, pues conciliación se utiliza como sinónimo de mediación. </w:t>
      </w:r>
    </w:p>
    <w:p w:rsidR="00172DB3" w:rsidRPr="00172DB3" w:rsidRDefault="00172DB3" w:rsidP="00172DB3">
      <w:pPr>
        <w:spacing w:before="240" w:line="360" w:lineRule="auto"/>
        <w:ind w:firstLine="709"/>
        <w:jc w:val="both"/>
        <w:rPr>
          <w:rFonts w:ascii="Arial" w:hAnsi="Arial" w:cs="Arial"/>
          <w:color w:val="000000" w:themeColor="text1"/>
        </w:rPr>
      </w:pPr>
      <w:r w:rsidRPr="00172DB3">
        <w:rPr>
          <w:rFonts w:ascii="Arial" w:hAnsi="Arial" w:cs="Arial"/>
          <w:color w:val="000000" w:themeColor="text1"/>
        </w:rPr>
        <w:t xml:space="preserve">Para el derecho alemán, la conciliación en su origen se concebía como obligatoria para después acudir al proceso civil, su objetivo era evitar o colocar fin a un proceso civil, por medio de un mediador que evalúa la situación, escucha a las partes y propone una serie de soluciones alternativas para darle fin a la disputa. </w:t>
      </w:r>
    </w:p>
    <w:p w:rsidR="00172DB3" w:rsidRPr="00172DB3" w:rsidRDefault="00172DB3" w:rsidP="00172DB3">
      <w:pPr>
        <w:spacing w:before="240" w:line="360" w:lineRule="auto"/>
        <w:ind w:firstLine="709"/>
        <w:jc w:val="both"/>
        <w:rPr>
          <w:rFonts w:ascii="Arial" w:hAnsi="Arial" w:cs="Arial"/>
          <w:color w:val="000000" w:themeColor="text1"/>
        </w:rPr>
      </w:pPr>
      <w:r w:rsidRPr="00172DB3">
        <w:rPr>
          <w:rFonts w:ascii="Arial" w:hAnsi="Arial" w:cs="Arial"/>
          <w:color w:val="000000" w:themeColor="text1"/>
        </w:rPr>
        <w:t xml:space="preserve">Por su parte en el derecho francés, la conciliación se concibe como un medio por el cual se puede llegar a poner término a un conflicto mediante una solución aceptada por las partes interesadas; en Francia las partes pueden acudir a un conciliador de justicia, bajo la término que el diferendo que las opone recaiga sobre derechos en relación de los cuales ellas tienen libre disposición. Para que sea apropiada la conciliación, debe existir el principio de contradicción, es decir un debate entre las partes, es así como el conciliador debe procurar porque cada parte exprese sus peticiones y argumentos, para luego exponer las posibles soluciones que terminarían con el conflicto. Es por esto que el conciliador se le denomina un auxiliar de justicia. </w:t>
      </w:r>
    </w:p>
    <w:p w:rsidR="00172DB3" w:rsidRPr="00172DB3" w:rsidRDefault="00172DB3" w:rsidP="00172DB3">
      <w:pPr>
        <w:spacing w:before="240" w:line="360" w:lineRule="auto"/>
        <w:ind w:firstLine="709"/>
        <w:jc w:val="both"/>
        <w:rPr>
          <w:rFonts w:ascii="Arial" w:hAnsi="Arial" w:cs="Arial"/>
          <w:color w:val="000000" w:themeColor="text1"/>
        </w:rPr>
      </w:pPr>
      <w:r w:rsidRPr="00172DB3">
        <w:rPr>
          <w:rFonts w:ascii="Arial" w:hAnsi="Arial" w:cs="Arial"/>
          <w:color w:val="000000" w:themeColor="text1"/>
        </w:rPr>
        <w:t xml:space="preserve">Finalmente se debe hablar del caso Colombiano, en donde la conciliación ha tenido cierta evolución histórica con la Ley 13 de 1825, la cual da origen a esta figura, donde se expone que no existirá ningún encuentro contencioso civil sin antes haber intentado la conciliación. Por otro lado se tiene que a diferencia de otros países, dentro de la legislación interna se tipifica en el artículo 116 de la Constitución Política de 1991 que “los particulares pueden ser envestidos transitoriamente de la función de administrar justicia en la condición de jurados de causas criminales, conciliadores o en la de árbitros...” creando así la posibilidad de </w:t>
      </w:r>
      <w:r w:rsidRPr="00172DB3">
        <w:rPr>
          <w:rFonts w:ascii="Arial" w:hAnsi="Arial" w:cs="Arial"/>
          <w:color w:val="000000" w:themeColor="text1"/>
        </w:rPr>
        <w:lastRenderedPageBreak/>
        <w:t xml:space="preserve">que los particulares administren justicia, amparando por medio de esta las funciones de la conciliación. </w:t>
      </w:r>
    </w:p>
    <w:p w:rsidR="00172DB3" w:rsidRPr="00172DB3" w:rsidRDefault="00172DB3" w:rsidP="00172DB3">
      <w:pPr>
        <w:spacing w:before="240" w:line="360" w:lineRule="auto"/>
        <w:ind w:firstLine="709"/>
        <w:jc w:val="both"/>
        <w:rPr>
          <w:rFonts w:ascii="Arial" w:hAnsi="Arial" w:cs="Arial"/>
          <w:color w:val="000000" w:themeColor="text1"/>
        </w:rPr>
      </w:pPr>
      <w:r w:rsidRPr="00172DB3">
        <w:rPr>
          <w:rFonts w:ascii="Arial" w:hAnsi="Arial" w:cs="Arial"/>
          <w:color w:val="000000" w:themeColor="text1"/>
        </w:rPr>
        <w:t>Es a raíz de esta norma de carácter constitucional que el Gobierno nacional decide posicionar una herramienta que ayude a descongestionar el aparato judicial colombiano, motivo por el cual el Presidente de la República mediante el uso de sus facultades extraordinarias expide una norma que busca descongestionar los despachos judiciales, es así como nace el decreto 2651 de 1991 siendo una norma transitoria, en el cual se estipulaba en el artículo 2º que:</w:t>
      </w:r>
    </w:p>
    <w:p w:rsidR="00172DB3" w:rsidRPr="00172DB3" w:rsidRDefault="00172DB3" w:rsidP="00172DB3">
      <w:pPr>
        <w:spacing w:before="240" w:line="360" w:lineRule="auto"/>
        <w:ind w:left="708"/>
        <w:jc w:val="both"/>
        <w:rPr>
          <w:rFonts w:ascii="Arial" w:hAnsi="Arial" w:cs="Arial"/>
          <w:color w:val="000000" w:themeColor="text1"/>
          <w:shd w:val="clear" w:color="auto" w:fill="FFFFFF"/>
        </w:rPr>
      </w:pPr>
      <w:r w:rsidRPr="00172DB3">
        <w:rPr>
          <w:rFonts w:ascii="Arial" w:hAnsi="Arial" w:cs="Arial"/>
          <w:color w:val="000000" w:themeColor="text1"/>
          <w:shd w:val="clear" w:color="auto" w:fill="FFFFFF"/>
        </w:rPr>
        <w:t xml:space="preserve">En los procesos en que no se haya proferido sentencia de primera o única instancia, que versen total o parcialmente sobre cuestiones susceptibles de transacción, distintos de los laborales, penales y contencioso administrativos y de aquellos en los cuales alguna de las partes estuviere representada por curador ad </w:t>
      </w:r>
      <w:proofErr w:type="spellStart"/>
      <w:r w:rsidRPr="00172DB3">
        <w:rPr>
          <w:rFonts w:ascii="Arial" w:hAnsi="Arial" w:cs="Arial"/>
          <w:color w:val="000000" w:themeColor="text1"/>
          <w:shd w:val="clear" w:color="auto" w:fill="FFFFFF"/>
        </w:rPr>
        <w:t>lítem</w:t>
      </w:r>
      <w:proofErr w:type="spellEnd"/>
      <w:r w:rsidRPr="00172DB3">
        <w:rPr>
          <w:rFonts w:ascii="Arial" w:hAnsi="Arial" w:cs="Arial"/>
          <w:color w:val="000000" w:themeColor="text1"/>
          <w:shd w:val="clear" w:color="auto" w:fill="FFFFFF"/>
        </w:rPr>
        <w:t>, las partes, de común acuerdo, pueden pedir al Juez que aquéllas se sometan a trámite de conciliación, y que si ésta fracasa o fuere parcial, a posterior arbitramento salvo que acuerden acudir a amigable composición […].</w:t>
      </w:r>
    </w:p>
    <w:p w:rsidR="00172DB3" w:rsidRPr="00172DB3" w:rsidRDefault="00172DB3" w:rsidP="00172DB3">
      <w:pPr>
        <w:spacing w:before="240" w:line="360" w:lineRule="auto"/>
        <w:ind w:firstLine="709"/>
        <w:jc w:val="both"/>
        <w:rPr>
          <w:rFonts w:ascii="Arial" w:hAnsi="Arial" w:cs="Arial"/>
          <w:color w:val="000000" w:themeColor="text1"/>
          <w:shd w:val="clear" w:color="auto" w:fill="FFFFFF"/>
        </w:rPr>
      </w:pPr>
      <w:r w:rsidRPr="00172DB3">
        <w:rPr>
          <w:rFonts w:ascii="Arial" w:hAnsi="Arial" w:cs="Arial"/>
          <w:color w:val="000000" w:themeColor="text1"/>
          <w:shd w:val="clear" w:color="auto" w:fill="FFFFFF"/>
        </w:rPr>
        <w:t>Es por medio de esa norma que en Colombia la conciliación como mecanismo alternativo de solución de conflictos iba tomando mayor importancia y reconocimiento, a su vez que iba evolucionando cada día más como una figura que contribuía de manera eficaz y positiva a la descongestión del sistema judicial que para la época estaba saturado y que necesitaba una herramienta que contribuyera de manera más rápida a la debida solución de conflictos. Sin embargo debido al carácter transitorio que ostentaba el decreto 2651 el cual estaba destinado en  principio a regir por sólo cuarenta y dos (42) meses, el legislador se vio en  la necesidad de ampliar si vigencia en el tiempo.</w:t>
      </w:r>
    </w:p>
    <w:p w:rsidR="00172DB3" w:rsidRPr="00172DB3" w:rsidRDefault="00172DB3" w:rsidP="00172DB3">
      <w:pPr>
        <w:pStyle w:val="NormalWeb"/>
        <w:spacing w:line="360" w:lineRule="auto"/>
        <w:ind w:firstLine="709"/>
        <w:jc w:val="both"/>
        <w:rPr>
          <w:rFonts w:ascii="Arial" w:hAnsi="Arial" w:cs="Arial"/>
          <w:color w:val="000000" w:themeColor="text1"/>
          <w:shd w:val="clear" w:color="auto" w:fill="FFFFFF"/>
        </w:rPr>
      </w:pPr>
      <w:r w:rsidRPr="00172DB3">
        <w:rPr>
          <w:rFonts w:ascii="Arial" w:hAnsi="Arial" w:cs="Arial"/>
          <w:color w:val="000000" w:themeColor="text1"/>
          <w:shd w:val="clear" w:color="auto" w:fill="FFFFFF"/>
        </w:rPr>
        <w:t>Es por dicha razón que se creó la ley 192 de 1995;</w:t>
      </w:r>
      <w:r w:rsidRPr="00172DB3">
        <w:rPr>
          <w:rFonts w:ascii="Arial" w:hAnsi="Arial" w:cs="Arial"/>
          <w:color w:val="000000" w:themeColor="text1"/>
        </w:rPr>
        <w:t xml:space="preserve"> Por medio de la cual se prorroga por un (1) año la vigencia del Decreto 2651 de noviembre 25 de 1991, sobre descongestión de la justicia. Dándole más importancia a la figura de conciliación </w:t>
      </w:r>
      <w:r w:rsidRPr="00172DB3">
        <w:rPr>
          <w:rFonts w:ascii="Arial" w:hAnsi="Arial" w:cs="Arial"/>
          <w:color w:val="000000" w:themeColor="text1"/>
          <w:shd w:val="clear" w:color="auto" w:fill="FFFFFF"/>
        </w:rPr>
        <w:t xml:space="preserve">como un mecanismo alterno para la oportuna y pronta solución de </w:t>
      </w:r>
      <w:r w:rsidRPr="00172DB3">
        <w:rPr>
          <w:rFonts w:ascii="Arial" w:hAnsi="Arial" w:cs="Arial"/>
          <w:color w:val="000000" w:themeColor="text1"/>
          <w:shd w:val="clear" w:color="auto" w:fill="FFFFFF"/>
        </w:rPr>
        <w:lastRenderedPageBreak/>
        <w:t xml:space="preserve">cualquier tipo de controversias suscitadas en el campo jurídico colombiano. No obstante el gobierno nacional debía darle una mejor solución al carácter de norma transitoria al presente decreto, motivo por el cual se creó la ley 446 de 1998, </w:t>
      </w:r>
      <w:r w:rsidRPr="00172DB3">
        <w:rPr>
          <w:rFonts w:ascii="Arial" w:hAnsi="Arial" w:cs="Arial"/>
          <w:bCs/>
          <w:color w:val="000000" w:themeColor="text1"/>
          <w:shd w:val="clear" w:color="auto" w:fill="FFFFFF"/>
        </w:rPr>
        <w:t xml:space="preserve">por la cual se adoptan como legislación permanente algunas normas del Decreto 2651 de 1991, se modifican algunas del Código de Procedimiento Civil, se derogan otras de la Ley 23 de 1991 y del Decreto 2279 de 1989, se modifican y expiden normas del Código Contencioso Administrativo y se dictan otras disposiciones sobre descongestión, eficiencia y acceso a la justicia. Estableciendo de esa manera </w:t>
      </w:r>
      <w:r w:rsidRPr="00172DB3">
        <w:rPr>
          <w:rFonts w:ascii="Arial" w:hAnsi="Arial" w:cs="Arial"/>
          <w:color w:val="000000" w:themeColor="text1"/>
          <w:shd w:val="clear" w:color="auto" w:fill="FFFFFF"/>
        </w:rPr>
        <w:t xml:space="preserve">la permanencia de la figura de la conciliación del ámbito jurídico colombiano. </w:t>
      </w:r>
    </w:p>
    <w:p w:rsidR="00172DB3" w:rsidRPr="00172DB3" w:rsidRDefault="00172DB3" w:rsidP="00172DB3">
      <w:pPr>
        <w:pStyle w:val="NormalWeb"/>
        <w:spacing w:line="360" w:lineRule="auto"/>
        <w:ind w:firstLine="709"/>
        <w:jc w:val="both"/>
        <w:rPr>
          <w:rFonts w:ascii="Arial" w:hAnsi="Arial" w:cs="Arial"/>
          <w:color w:val="000000" w:themeColor="text1"/>
          <w:shd w:val="clear" w:color="auto" w:fill="FFFFFF"/>
        </w:rPr>
      </w:pPr>
      <w:r w:rsidRPr="00172DB3">
        <w:rPr>
          <w:rFonts w:ascii="Arial" w:hAnsi="Arial" w:cs="Arial"/>
          <w:color w:val="000000" w:themeColor="text1"/>
          <w:shd w:val="clear" w:color="auto" w:fill="FFFFFF"/>
        </w:rPr>
        <w:t>Sin embargo la norma que realmente establece la incorporación de los mecanismos alternativos de solución de conflictos se instaura mediante el Decreto 1818 de 1998 p</w:t>
      </w:r>
      <w:r w:rsidRPr="00172DB3">
        <w:rPr>
          <w:rFonts w:ascii="Arial" w:hAnsi="Arial" w:cs="Arial"/>
          <w:bCs/>
          <w:color w:val="000000" w:themeColor="text1"/>
          <w:shd w:val="clear" w:color="auto" w:fill="FFFFFF"/>
        </w:rPr>
        <w:t>or medio del cual se expide el Estatuto de los mecanismos alternativos de solución de conflictos. Es por medio del considerando que se expresa lo siguiente: “L</w:t>
      </w:r>
      <w:r w:rsidRPr="00172DB3">
        <w:rPr>
          <w:rFonts w:ascii="Arial" w:hAnsi="Arial" w:cs="Arial"/>
          <w:color w:val="000000" w:themeColor="text1"/>
          <w:shd w:val="clear" w:color="auto" w:fill="FFFFFF"/>
        </w:rPr>
        <w:t>a Ley 446 de 1998  facultó al Gobierno Nacional para que dentro de los dos meses siguientes a la expedición de dicha ley, compile las normas aplicables a la conciliación, arbitraje, amigable composición y a la conciliación en equidad…”.</w:t>
      </w:r>
    </w:p>
    <w:p w:rsidR="00172DB3" w:rsidRPr="00172DB3" w:rsidRDefault="00172DB3" w:rsidP="00172DB3">
      <w:pPr>
        <w:pStyle w:val="NormalWeb"/>
        <w:spacing w:line="360" w:lineRule="auto"/>
        <w:ind w:firstLine="709"/>
        <w:jc w:val="both"/>
        <w:rPr>
          <w:rFonts w:ascii="Arial" w:hAnsi="Arial" w:cs="Arial"/>
          <w:color w:val="000000" w:themeColor="text1"/>
          <w:shd w:val="clear" w:color="auto" w:fill="FFFFFF"/>
        </w:rPr>
      </w:pPr>
      <w:r w:rsidRPr="00172DB3">
        <w:rPr>
          <w:rFonts w:ascii="Arial" w:hAnsi="Arial" w:cs="Arial"/>
          <w:color w:val="000000" w:themeColor="text1"/>
          <w:shd w:val="clear" w:color="auto" w:fill="FFFFFF"/>
        </w:rPr>
        <w:t xml:space="preserve">Es así como en su primer artículo define a la conciliación como un mecanismo alternativo de solución de conflictos por medio de cual las personas pueden por si solas encargarse de la solución de las controversias que las afectan, por supuesto con la participación o ayuda de una tercero ajeno a la controversia que obre de forma imparcial y neutral, quien va a ostentar el nombre de conciliador. De igual manera en la presente norma se habla de los asuntos susceptibles de conciliación, los efectos de la misma y las clases de conciliación que se pueden presentar en el sistema normativo colombiano. </w:t>
      </w:r>
    </w:p>
    <w:p w:rsidR="00172DB3" w:rsidRPr="00172DB3" w:rsidRDefault="00172DB3" w:rsidP="00172DB3">
      <w:pPr>
        <w:pStyle w:val="NormalWeb"/>
        <w:spacing w:line="360" w:lineRule="auto"/>
        <w:ind w:firstLine="709"/>
        <w:jc w:val="both"/>
        <w:rPr>
          <w:rFonts w:ascii="Arial" w:hAnsi="Arial" w:cs="Arial"/>
          <w:color w:val="000000" w:themeColor="text1"/>
          <w:shd w:val="clear" w:color="auto" w:fill="FFFFFF"/>
        </w:rPr>
      </w:pPr>
      <w:r w:rsidRPr="00172DB3">
        <w:rPr>
          <w:rFonts w:ascii="Arial" w:hAnsi="Arial" w:cs="Arial"/>
          <w:color w:val="000000" w:themeColor="text1"/>
          <w:shd w:val="clear" w:color="auto" w:fill="FFFFFF"/>
        </w:rPr>
        <w:t xml:space="preserve">Del mismo modo el Presidente de la República de Colombia en ejercicio de sus facultades legales, expide el Decreto 1214 de 2000 por medio del cual se le establecen funciones a los comités de conciliación que se habían establecido con </w:t>
      </w:r>
      <w:r w:rsidRPr="00172DB3">
        <w:rPr>
          <w:rFonts w:ascii="Arial" w:hAnsi="Arial" w:cs="Arial"/>
          <w:color w:val="000000" w:themeColor="text1"/>
          <w:shd w:val="clear" w:color="auto" w:fill="FFFFFF"/>
        </w:rPr>
        <w:lastRenderedPageBreak/>
        <w:t>antelación en el artículo 75 de la ley 446 de 1998, en donde señalaba que tanto las entidades como los organismos de derecho público a nivel nacional, departamental, distrital y municipal de carácter descentralizados deben contar con un comité de conciliación, fundamento por el cual el decreto 1214 de 2000 crea funciones que van dirigidas a estos comités en su artículo 5º con el fin de dar cumplimiento a lo comprendido por el artículo 75 de la ley 446.</w:t>
      </w:r>
    </w:p>
    <w:p w:rsidR="00172DB3" w:rsidRPr="00172DB3" w:rsidRDefault="00172DB3" w:rsidP="00172DB3">
      <w:pPr>
        <w:pStyle w:val="NormalWeb"/>
        <w:spacing w:line="360" w:lineRule="auto"/>
        <w:ind w:firstLine="709"/>
        <w:jc w:val="both"/>
        <w:rPr>
          <w:rFonts w:ascii="Arial" w:hAnsi="Arial" w:cs="Arial"/>
          <w:color w:val="000000" w:themeColor="text1"/>
          <w:shd w:val="clear" w:color="auto" w:fill="FFFFFF"/>
        </w:rPr>
      </w:pPr>
      <w:r w:rsidRPr="00172DB3">
        <w:rPr>
          <w:rFonts w:ascii="Arial" w:hAnsi="Arial" w:cs="Arial"/>
          <w:color w:val="000000" w:themeColor="text1"/>
          <w:shd w:val="clear" w:color="auto" w:fill="FFFFFF"/>
        </w:rPr>
        <w:t xml:space="preserve">Otro paso muy importante en cuanto a la evolución de la conciliación en Colombia se vislumbra en la Resolución de 800 de 2000, en la cual se dan los requisitos para la creación de los centros de conciliación y/o arbitraje, es de esta manera como se implementa en el primer artículo que tanto los consultorios jurídicos de las facultades de derecho, las facultades de ciencias sociales y humanas y las personas jurídicas sin ánimo de lucro pueden crear centros de conciliación y/o arbitraje siempre y cuando cumplan cada uno de los requisitos establecidos en el mismo artículo. </w:t>
      </w:r>
    </w:p>
    <w:p w:rsidR="00172DB3" w:rsidRPr="00172DB3" w:rsidRDefault="00172DB3" w:rsidP="00172DB3">
      <w:pPr>
        <w:pStyle w:val="NormalWeb"/>
        <w:spacing w:line="360" w:lineRule="auto"/>
        <w:ind w:firstLine="709"/>
        <w:jc w:val="both"/>
        <w:rPr>
          <w:rFonts w:ascii="Arial" w:hAnsi="Arial" w:cs="Arial"/>
          <w:color w:val="000000" w:themeColor="text1"/>
          <w:shd w:val="clear" w:color="auto" w:fill="FFFFFF"/>
        </w:rPr>
      </w:pPr>
      <w:r w:rsidRPr="00172DB3">
        <w:rPr>
          <w:rFonts w:ascii="Arial" w:hAnsi="Arial" w:cs="Arial"/>
          <w:color w:val="000000" w:themeColor="text1"/>
          <w:shd w:val="clear" w:color="auto" w:fill="FFFFFF"/>
        </w:rPr>
        <w:t xml:space="preserve">De este modo se evidencia como con el pasar de los años y en atención a las necesidades de una aparato judicial muy congestionado es que no sólo nace una figura como la conciliación, sino que a su vez esta ha ido teniendo una evolución normativa en el mismo sistema jurídico, pasando así como ya se ha desarrollo por cada una de las leyes anteriores hasta llegar a la ley 640 de 2001, la cual es la norma vigente en lo referente a la conciliación como mecanismo alternativo e solución de conflictos. En dicha norma  no solo se señalan las normas generales de la conciliación, sino que también se direcciona las calidades, funciones y obligaciones del conciliador, estableciendo de igual manera la importancia de los centros de conciliación y sus deberes y reforzando del mismo modo la conciliación materia tanto contenciosa administrativa, como  en materia civil, laboral y de familia. </w:t>
      </w:r>
    </w:p>
    <w:p w:rsidR="00172DB3" w:rsidRPr="00172DB3" w:rsidRDefault="00172DB3" w:rsidP="00172DB3">
      <w:pPr>
        <w:spacing w:before="240" w:line="360" w:lineRule="auto"/>
        <w:ind w:firstLine="709"/>
        <w:jc w:val="both"/>
        <w:rPr>
          <w:rFonts w:ascii="Arial" w:hAnsi="Arial" w:cs="Arial"/>
          <w:color w:val="000000" w:themeColor="text1"/>
        </w:rPr>
      </w:pPr>
      <w:r w:rsidRPr="00172DB3">
        <w:rPr>
          <w:rFonts w:ascii="Arial" w:hAnsi="Arial" w:cs="Arial"/>
          <w:color w:val="000000" w:themeColor="text1"/>
        </w:rPr>
        <w:t xml:space="preserve">Se tiene entonces que la conciliación en Colombia según la ley 640 de 2001 se puede dar judicial o extrajudicialmente, es así como en el libro </w:t>
      </w:r>
      <w:r w:rsidRPr="00172DB3">
        <w:rPr>
          <w:rFonts w:ascii="Arial" w:hAnsi="Arial" w:cs="Arial"/>
          <w:i/>
          <w:color w:val="000000" w:themeColor="text1"/>
        </w:rPr>
        <w:t xml:space="preserve">Tratado sobre la conciliación </w:t>
      </w:r>
      <w:r w:rsidRPr="00172DB3">
        <w:rPr>
          <w:rFonts w:ascii="Arial" w:hAnsi="Arial" w:cs="Arial"/>
          <w:color w:val="000000" w:themeColor="text1"/>
        </w:rPr>
        <w:t xml:space="preserve">de José Ignacio Castaño García, se define a la conciliación judicial </w:t>
      </w:r>
      <w:r w:rsidRPr="00172DB3">
        <w:rPr>
          <w:rFonts w:ascii="Arial" w:hAnsi="Arial" w:cs="Arial"/>
          <w:color w:val="000000" w:themeColor="text1"/>
        </w:rPr>
        <w:lastRenderedPageBreak/>
        <w:t>como ‘’aquella ordenada llevar a cabo por la ley dentro del trámite de un proceso jurisdiccional’’.</w:t>
      </w:r>
      <w:r w:rsidRPr="00172DB3">
        <w:rPr>
          <w:rFonts w:ascii="Arial" w:hAnsi="Arial" w:cs="Arial"/>
          <w:noProof/>
          <w:color w:val="000000" w:themeColor="text1"/>
        </w:rPr>
        <w:t xml:space="preserve"> (GARCIA, 2004)</w:t>
      </w:r>
      <w:r w:rsidRPr="00172DB3">
        <w:rPr>
          <w:rFonts w:ascii="Arial" w:hAnsi="Arial" w:cs="Arial"/>
          <w:color w:val="000000" w:themeColor="text1"/>
        </w:rPr>
        <w:t xml:space="preserve">  Un juez convoca la necesidad de llevarla a cabo, la preside y legaliza el acuerdo al que llegaron las partes durante la audiencia. </w:t>
      </w:r>
    </w:p>
    <w:p w:rsidR="00172DB3" w:rsidRPr="00172DB3" w:rsidRDefault="00172DB3" w:rsidP="00172DB3">
      <w:pPr>
        <w:spacing w:before="240" w:line="360" w:lineRule="auto"/>
        <w:ind w:firstLine="709"/>
        <w:jc w:val="both"/>
        <w:rPr>
          <w:rFonts w:ascii="Arial" w:hAnsi="Arial" w:cs="Arial"/>
          <w:color w:val="000000" w:themeColor="text1"/>
        </w:rPr>
      </w:pPr>
      <w:r w:rsidRPr="00172DB3">
        <w:rPr>
          <w:rFonts w:ascii="Arial" w:hAnsi="Arial" w:cs="Arial"/>
          <w:color w:val="000000" w:themeColor="text1"/>
        </w:rPr>
        <w:t>Para la conciliación extrajudicial, también llamada simple y voluntaria, el autor expone que ‘’La conciliación extrajudicial simple y voluntaria es la practicada por fuera de proceso judicial convocada y dirigida por un particular, transitoriamente revestido con poderes jurisdiccionales, como conciliador o funcionario público autorizado por la ley para ello, a la cual se acude voluntariamente para buscar la solución concertada de un conflicto donde, el acuerdo al cual las partes lleguen, tendrá carácter de cosa juzgada y presta merito ejecutivo, efectos estos que son los mismos que la sentencia que en su lugar dictaría un juez de la república”. La conciliación surge como una herramienta que sirve para solucionar conflictos entre partes que buscan distintos intereses, pero para el caso de la presente investigación, no solo se utilizara como un mecanismo de solución de conflictos, sino para resarcir, indemnizar en casos de violación de derechos humanos y/o fundamentales.</w:t>
      </w:r>
    </w:p>
    <w:p w:rsidR="00172DB3" w:rsidRPr="00172DB3" w:rsidRDefault="00172DB3" w:rsidP="00172DB3">
      <w:pPr>
        <w:spacing w:before="240" w:line="360" w:lineRule="auto"/>
        <w:ind w:firstLine="709"/>
        <w:jc w:val="both"/>
        <w:rPr>
          <w:rFonts w:ascii="Arial" w:hAnsi="Arial" w:cs="Arial"/>
          <w:color w:val="000000" w:themeColor="text1"/>
        </w:rPr>
      </w:pPr>
      <w:r w:rsidRPr="00172DB3">
        <w:rPr>
          <w:rFonts w:ascii="Arial" w:hAnsi="Arial" w:cs="Arial"/>
          <w:color w:val="000000" w:themeColor="text1"/>
        </w:rPr>
        <w:t xml:space="preserve">Por último se tiene que la conciliación ha obtenido tanto impacto en el sistema jurídico colombiano que no solo se aborda desde la doctrina y legislación, sino que a su vez este mecanismo cuenta con un variado desarrollo jurisprudencial, es por ello que cabe mencionar los conceptos más relevantes dentro de los antecedentes jurisprudenciales colombianos que han aludido a la conciliación como una herramienta eficaz en lo relacionado con la pronta resolución de conflictos. </w:t>
      </w:r>
    </w:p>
    <w:p w:rsidR="00172DB3" w:rsidRPr="00172DB3" w:rsidRDefault="00172DB3" w:rsidP="00172DB3">
      <w:pPr>
        <w:spacing w:before="240" w:line="360" w:lineRule="auto"/>
        <w:ind w:firstLine="709"/>
        <w:jc w:val="both"/>
        <w:rPr>
          <w:rFonts w:ascii="Arial" w:hAnsi="Arial" w:cs="Arial"/>
          <w:color w:val="000000" w:themeColor="text1"/>
        </w:rPr>
      </w:pPr>
      <w:r w:rsidRPr="00172DB3">
        <w:rPr>
          <w:rFonts w:ascii="Arial" w:hAnsi="Arial" w:cs="Arial"/>
          <w:color w:val="000000" w:themeColor="text1"/>
        </w:rPr>
        <w:t xml:space="preserve">Es así como en un primer momento se debe hacer especial acotación a la definición otorgada por la Sentencia C- 160 de 1999, en donde establece que la conciliación es una institución mediante la cual se busca salvaguardar un interés público, de manera tal que es por medio de esta que se busca que las partes en conflicto den solución pronta al mismo de manera negociada, con la  oportuna intervención ya sea de un funcionario estatal o según lo permitido por el artículo 116 de la Constitución Política,  un particular envestido transitoriamente de la </w:t>
      </w:r>
      <w:r w:rsidRPr="00172DB3">
        <w:rPr>
          <w:rFonts w:ascii="Arial" w:hAnsi="Arial" w:cs="Arial"/>
          <w:color w:val="000000" w:themeColor="text1"/>
        </w:rPr>
        <w:lastRenderedPageBreak/>
        <w:t xml:space="preserve">función de administrar justicia, quienes actuaran como un tercero neutral que servirá como apoyo para que las partes entre ellas mismas encentren la solución más adecuada a su controversia. </w:t>
      </w:r>
    </w:p>
    <w:p w:rsidR="00172DB3" w:rsidRPr="00172DB3" w:rsidRDefault="00172DB3" w:rsidP="00172DB3">
      <w:pPr>
        <w:spacing w:before="240" w:line="360" w:lineRule="auto"/>
        <w:ind w:firstLine="709"/>
        <w:jc w:val="both"/>
        <w:rPr>
          <w:rFonts w:ascii="Arial" w:hAnsi="Arial" w:cs="Arial"/>
          <w:color w:val="000000" w:themeColor="text1"/>
        </w:rPr>
      </w:pPr>
      <w:r w:rsidRPr="00172DB3">
        <w:rPr>
          <w:rFonts w:ascii="Arial" w:hAnsi="Arial" w:cs="Arial"/>
          <w:color w:val="000000" w:themeColor="text1"/>
        </w:rPr>
        <w:t xml:space="preserve">Del mismo modo la sentencia C- 160 instaura unos elementos esenciales que comprenden la conciliación, los cuales son:  </w:t>
      </w:r>
    </w:p>
    <w:p w:rsidR="00172DB3" w:rsidRPr="00172DB3" w:rsidRDefault="00172DB3" w:rsidP="00172DB3">
      <w:pPr>
        <w:pStyle w:val="Prrafodelista"/>
        <w:spacing w:before="240" w:after="0" w:line="360" w:lineRule="auto"/>
        <w:ind w:left="756"/>
        <w:jc w:val="both"/>
        <w:rPr>
          <w:rFonts w:ascii="Arial" w:hAnsi="Arial" w:cs="Arial"/>
          <w:color w:val="000000" w:themeColor="text1"/>
          <w:sz w:val="24"/>
          <w:szCs w:val="24"/>
        </w:rPr>
      </w:pPr>
      <w:r w:rsidRPr="00172DB3">
        <w:rPr>
          <w:rFonts w:ascii="Arial" w:hAnsi="Arial" w:cs="Arial"/>
          <w:color w:val="000000" w:themeColor="text1"/>
          <w:sz w:val="24"/>
          <w:szCs w:val="24"/>
        </w:rPr>
        <w:t xml:space="preserve">a) Forma parte de los mecanismos de solución de conflictos de carácter </w:t>
      </w:r>
      <w:proofErr w:type="spellStart"/>
      <w:r w:rsidRPr="00172DB3">
        <w:rPr>
          <w:rFonts w:ascii="Arial" w:hAnsi="Arial" w:cs="Arial"/>
          <w:color w:val="000000" w:themeColor="text1"/>
          <w:sz w:val="24"/>
          <w:szCs w:val="24"/>
        </w:rPr>
        <w:t>autocompositivos</w:t>
      </w:r>
      <w:proofErr w:type="spellEnd"/>
      <w:r w:rsidRPr="00172DB3">
        <w:rPr>
          <w:rFonts w:ascii="Arial" w:hAnsi="Arial" w:cs="Arial"/>
          <w:color w:val="000000" w:themeColor="text1"/>
          <w:sz w:val="24"/>
          <w:szCs w:val="24"/>
        </w:rPr>
        <w:t>. b) se considera como actividad preventiva, en el sentido que se puede dar de manera extrajudicial con el fin de no ir directamente al aparto judicial, sino que antes de ello sea un procedimiento que ayude a decantar conflictos que se pueden solucionar con un simple acurdo entre las partes. c) La conciliación no cuenta con el carácter de actividad judicial debido a que el conciliador es un tercero neutral quien está presente, pero son únicamente las partes las encargadas de brindar alternativas de solución a su controversia. d) La conciliación se posiciona como un mecanismo alternativo de solución de conflictos que ayuda a descongestionar el aparato judicial. e) La conciliación es procedente en cada uno de los temas que son susceptibles de transacción f) es te mecanismos está constituido de manera legal por el Estado Colombiano.</w:t>
      </w:r>
    </w:p>
    <w:p w:rsidR="00172DB3" w:rsidRPr="00172DB3" w:rsidRDefault="00172DB3" w:rsidP="00172DB3">
      <w:pPr>
        <w:pStyle w:val="Prrafodelista"/>
        <w:spacing w:after="0" w:line="360" w:lineRule="auto"/>
        <w:ind w:left="756" w:firstLine="709"/>
        <w:jc w:val="both"/>
        <w:rPr>
          <w:rFonts w:ascii="Arial" w:hAnsi="Arial" w:cs="Arial"/>
          <w:color w:val="000000" w:themeColor="text1"/>
          <w:sz w:val="24"/>
          <w:szCs w:val="24"/>
        </w:rPr>
      </w:pPr>
    </w:p>
    <w:p w:rsidR="00172DB3" w:rsidRPr="00172DB3" w:rsidRDefault="00172DB3" w:rsidP="00172DB3">
      <w:pPr>
        <w:spacing w:line="360" w:lineRule="auto"/>
        <w:ind w:firstLine="709"/>
        <w:jc w:val="both"/>
        <w:rPr>
          <w:rFonts w:ascii="Arial" w:hAnsi="Arial" w:cs="Arial"/>
          <w:color w:val="000000" w:themeColor="text1"/>
        </w:rPr>
      </w:pPr>
      <w:r w:rsidRPr="00172DB3">
        <w:rPr>
          <w:rFonts w:ascii="Arial" w:hAnsi="Arial" w:cs="Arial"/>
          <w:color w:val="000000" w:themeColor="text1"/>
        </w:rPr>
        <w:t xml:space="preserve">Por otro lado la Sentencia C- 1195 de 2001 reconoce que la conciliación contiene dos sentidos diferentes, el primero es un sentido netamente procedimental en el cual se toma como una mecanismo de resolución de conflictos por medio del cual las personas pueden por sí mismas darle una solución a sus controversias, esto implica la ayuda de una figura neutral denominada conciliador quien debe tener carácter parcial en la misma.  Es por lo anterior que se considera que la conciliación es una serie de pasos a seguir que están debidamente establecidos que tienen como finalidad generar un acuerdo entre las parte que se encuentran en conflicto. El segundo elemento hace referencia al sentido sustancial que tiene la conciliación, esto hace referencia al acuerdo logrado por las partes </w:t>
      </w:r>
      <w:r w:rsidRPr="00172DB3">
        <w:rPr>
          <w:rFonts w:ascii="Arial" w:hAnsi="Arial" w:cs="Arial"/>
          <w:color w:val="000000" w:themeColor="text1"/>
        </w:rPr>
        <w:lastRenderedPageBreak/>
        <w:t xml:space="preserve">que queda soportado mediante acuerdo conciliatorio al cual llegan las partes de forma voluntaria y que es debidamente certificado por el conciliador. </w:t>
      </w:r>
    </w:p>
    <w:p w:rsidR="00172DB3" w:rsidRPr="00172DB3" w:rsidRDefault="00172DB3" w:rsidP="00172DB3">
      <w:pPr>
        <w:spacing w:line="360" w:lineRule="auto"/>
        <w:ind w:firstLine="709"/>
        <w:jc w:val="both"/>
        <w:rPr>
          <w:rFonts w:ascii="Arial" w:hAnsi="Arial" w:cs="Arial"/>
          <w:color w:val="000000" w:themeColor="text1"/>
        </w:rPr>
      </w:pPr>
      <w:r w:rsidRPr="00172DB3">
        <w:rPr>
          <w:rFonts w:ascii="Arial" w:hAnsi="Arial" w:cs="Arial"/>
          <w:color w:val="000000" w:themeColor="text1"/>
        </w:rPr>
        <w:t>Así mismo en la presente sentencia se habla de lo beneficioso que resulta el proceso de conciliación extrajudicial, en el entendido que facilita el acceso a la administración de justicia consolidándose como una alternativa para la pronta y efectiva solución de los problemas que lleguen a rodear a las personas. Es por ello que en la providencia se identifican varios fines que tiene la conciliación:</w:t>
      </w:r>
    </w:p>
    <w:p w:rsidR="00172DB3" w:rsidRPr="00172DB3" w:rsidRDefault="00172DB3" w:rsidP="00172DB3">
      <w:pPr>
        <w:spacing w:line="360" w:lineRule="auto"/>
        <w:ind w:left="708" w:firstLine="1"/>
        <w:jc w:val="both"/>
        <w:rPr>
          <w:rFonts w:ascii="Arial" w:hAnsi="Arial" w:cs="Arial"/>
          <w:color w:val="000000" w:themeColor="text1"/>
        </w:rPr>
      </w:pPr>
      <w:r w:rsidRPr="00172DB3">
        <w:rPr>
          <w:rFonts w:ascii="Arial" w:hAnsi="Arial" w:cs="Arial"/>
          <w:color w:val="000000" w:themeColor="text1"/>
        </w:rPr>
        <w:t xml:space="preserve">(i) </w:t>
      </w:r>
      <w:proofErr w:type="gramStart"/>
      <w:r w:rsidRPr="00172DB3">
        <w:rPr>
          <w:rFonts w:ascii="Arial" w:hAnsi="Arial" w:cs="Arial"/>
          <w:color w:val="000000" w:themeColor="text1"/>
        </w:rPr>
        <w:t>garantizar</w:t>
      </w:r>
      <w:proofErr w:type="gramEnd"/>
      <w:r w:rsidRPr="00172DB3">
        <w:rPr>
          <w:rFonts w:ascii="Arial" w:hAnsi="Arial" w:cs="Arial"/>
          <w:color w:val="000000" w:themeColor="text1"/>
        </w:rPr>
        <w:t xml:space="preserve"> el acceso a la justicia; (ii) promover la participación de los individuos en la solución de sus disputas; (iii) estimular la convivencia pacífica; (iv) facilitar la solución de los conflictos sin dilaciones injustificadas; y (v) descongestionar los despachos judiciales. </w:t>
      </w:r>
      <w:r w:rsidRPr="00172DB3">
        <w:rPr>
          <w:rFonts w:ascii="Arial" w:hAnsi="Arial" w:cs="Arial"/>
          <w:color w:val="000000" w:themeColor="text1"/>
        </w:rPr>
        <w:cr/>
      </w:r>
    </w:p>
    <w:p w:rsidR="00172DB3" w:rsidRPr="00172DB3" w:rsidRDefault="00172DB3" w:rsidP="00172DB3">
      <w:pPr>
        <w:pStyle w:val="Prrafodelista"/>
        <w:numPr>
          <w:ilvl w:val="0"/>
          <w:numId w:val="1"/>
        </w:numPr>
        <w:spacing w:after="0" w:line="360" w:lineRule="auto"/>
        <w:jc w:val="both"/>
        <w:rPr>
          <w:rFonts w:ascii="Arial" w:hAnsi="Arial" w:cs="Arial"/>
          <w:b/>
          <w:color w:val="000000" w:themeColor="text1"/>
          <w:sz w:val="24"/>
          <w:szCs w:val="24"/>
        </w:rPr>
      </w:pPr>
      <w:r w:rsidRPr="00172DB3">
        <w:rPr>
          <w:rFonts w:ascii="Arial" w:hAnsi="Arial" w:cs="Arial"/>
          <w:b/>
          <w:color w:val="000000" w:themeColor="text1"/>
          <w:sz w:val="24"/>
          <w:szCs w:val="24"/>
        </w:rPr>
        <w:t>LOS DATOS PERSONALES EN  APLICACIONES MÓVILES</w:t>
      </w:r>
    </w:p>
    <w:p w:rsidR="00172DB3" w:rsidRPr="00172DB3" w:rsidRDefault="00172DB3" w:rsidP="00172DB3">
      <w:pPr>
        <w:spacing w:line="360" w:lineRule="auto"/>
        <w:jc w:val="both"/>
        <w:rPr>
          <w:rFonts w:ascii="Arial" w:hAnsi="Arial" w:cs="Arial"/>
          <w:color w:val="000000" w:themeColor="text1"/>
        </w:rPr>
      </w:pPr>
      <w:r w:rsidRPr="00172DB3">
        <w:rPr>
          <w:rFonts w:ascii="Arial" w:hAnsi="Arial" w:cs="Arial"/>
          <w:color w:val="000000" w:themeColor="text1"/>
        </w:rPr>
        <w:t>Aquí es importante cuestionarse, ¿si la conciliación es un mecanismo eficiente y adecuado para resolver las controversias originadas por los daños ocasionados a la protección de datos personales en los usuarios de aplicaciones móviles, como parte de la llamada sociedad de la información</w:t>
      </w:r>
      <w:proofErr w:type="gramStart"/>
      <w:r w:rsidRPr="00172DB3">
        <w:rPr>
          <w:rFonts w:ascii="Arial" w:hAnsi="Arial" w:cs="Arial"/>
          <w:color w:val="000000" w:themeColor="text1"/>
        </w:rPr>
        <w:t>?.</w:t>
      </w:r>
      <w:proofErr w:type="gramEnd"/>
      <w:r w:rsidRPr="00172DB3">
        <w:rPr>
          <w:rFonts w:ascii="Arial" w:hAnsi="Arial" w:cs="Arial"/>
          <w:color w:val="000000" w:themeColor="text1"/>
        </w:rPr>
        <w:t xml:space="preserve"> Pues bien, con el avance y la vertiginosa evolución de las tecnologías, es bastante lógico que hoy en día las personas tengan celulares inteligentes, con infinidad de aplicaciones las cuales tienen como función principal ser una herramienta eficaz de búsqueda, que satisfaga las necesidades de los usuarios en diversos temas; es importante desde luego saber de ante mano que son las aplicaciones móviles y que comprenden los datos a los que acceden. Las aplicaciones móviles tienen sus propios sistemas operativos, entendidos estos como aquellos programas que controlan los dispositivos móviles los cuales están orientados a la conectividad inalámbrica, los formatos multimedia y las diversas maneras de introducir información en ellos. Las aplicaciones móviles pueden ser gratis o tener algún precio y eso depende del sistema operativo.</w:t>
      </w:r>
    </w:p>
    <w:p w:rsidR="00172DB3" w:rsidRPr="00172DB3" w:rsidRDefault="00172DB3" w:rsidP="00172DB3">
      <w:pPr>
        <w:spacing w:line="360" w:lineRule="auto"/>
        <w:ind w:firstLine="709"/>
        <w:jc w:val="both"/>
        <w:textAlignment w:val="baseline"/>
        <w:rPr>
          <w:rFonts w:ascii="Arial" w:hAnsi="Arial" w:cs="Arial"/>
          <w:color w:val="000000" w:themeColor="text1"/>
          <w:lang w:eastAsia="es-CO"/>
        </w:rPr>
      </w:pPr>
      <w:r w:rsidRPr="00172DB3">
        <w:rPr>
          <w:rFonts w:ascii="Arial" w:hAnsi="Arial" w:cs="Arial"/>
          <w:color w:val="000000" w:themeColor="text1"/>
        </w:rPr>
        <w:t xml:space="preserve">Una vez aludido el concepto de apps móviles es pertinente señalar la importancia del tratamiento de los datos personales en las mismas, es por ello que la universidad de Los Andes, a través de su </w:t>
      </w:r>
      <w:r w:rsidRPr="00172DB3">
        <w:rPr>
          <w:rFonts w:ascii="Arial" w:hAnsi="Arial" w:cs="Arial"/>
          <w:i/>
          <w:color w:val="000000" w:themeColor="text1"/>
        </w:rPr>
        <w:t xml:space="preserve">‘’Revista RIPDP (Revista Internacional </w:t>
      </w:r>
      <w:r w:rsidRPr="00172DB3">
        <w:rPr>
          <w:rFonts w:ascii="Arial" w:hAnsi="Arial" w:cs="Arial"/>
          <w:i/>
          <w:color w:val="000000" w:themeColor="text1"/>
        </w:rPr>
        <w:lastRenderedPageBreak/>
        <w:t>de Protección de Datos Personales)’’</w:t>
      </w:r>
      <w:r w:rsidRPr="00172DB3">
        <w:rPr>
          <w:rFonts w:ascii="Arial" w:hAnsi="Arial" w:cs="Arial"/>
          <w:bCs/>
          <w:i/>
          <w:color w:val="000000" w:themeColor="text1"/>
        </w:rPr>
        <w:t xml:space="preserve"> </w:t>
      </w:r>
      <w:r w:rsidRPr="00172DB3">
        <w:rPr>
          <w:rFonts w:ascii="Arial" w:hAnsi="Arial" w:cs="Arial"/>
          <w:bCs/>
          <w:color w:val="000000" w:themeColor="text1"/>
        </w:rPr>
        <w:t xml:space="preserve">especializada en la protección de datos, en su primera edición trata temas acerca del ‘’asecho del derecho a la privacidad de datos en América Latina, el desarrollo de la protección de datos personales en Iberoamérica desde una perspectiva comparada y el reequilibrio en los modelos de protección de datos a nivel internacional, la protección inteligente de los datos personales, </w:t>
      </w:r>
      <w:hyperlink r:id="rId8" w:history="1">
        <w:r w:rsidRPr="00172DB3">
          <w:rPr>
            <w:rFonts w:ascii="Arial" w:hAnsi="Arial" w:cs="Arial"/>
            <w:color w:val="000000" w:themeColor="text1"/>
            <w:bdr w:val="none" w:sz="0" w:space="0" w:color="auto" w:frame="1"/>
            <w:lang w:eastAsia="es-CO"/>
          </w:rPr>
          <w:t>Aproximación constitucional de la protección de datos personales en Latinoamérica</w:t>
        </w:r>
      </w:hyperlink>
      <w:r w:rsidRPr="00172DB3">
        <w:rPr>
          <w:rFonts w:ascii="Arial" w:hAnsi="Arial" w:cs="Arial"/>
          <w:color w:val="000000" w:themeColor="text1"/>
          <w:lang w:eastAsia="es-CO"/>
        </w:rPr>
        <w:t> Nelson Remolina Angarita en Colombia, entre otras temáticas.’’</w:t>
      </w:r>
      <w:r w:rsidRPr="00172DB3">
        <w:rPr>
          <w:rFonts w:ascii="Arial" w:hAnsi="Arial" w:cs="Arial"/>
          <w:noProof/>
          <w:color w:val="000000" w:themeColor="text1"/>
          <w:lang w:eastAsia="es-CO"/>
        </w:rPr>
        <w:t xml:space="preserve"> (ANDES, 2012)</w:t>
      </w:r>
    </w:p>
    <w:p w:rsidR="00172DB3" w:rsidRPr="00172DB3" w:rsidRDefault="00172DB3" w:rsidP="00172DB3">
      <w:pPr>
        <w:spacing w:line="360" w:lineRule="auto"/>
        <w:ind w:firstLine="709"/>
        <w:jc w:val="both"/>
        <w:textAlignment w:val="baseline"/>
        <w:rPr>
          <w:rFonts w:ascii="Arial" w:hAnsi="Arial" w:cs="Arial"/>
          <w:color w:val="000000" w:themeColor="text1"/>
        </w:rPr>
      </w:pPr>
      <w:r w:rsidRPr="00172DB3">
        <w:rPr>
          <w:rFonts w:ascii="Arial" w:hAnsi="Arial" w:cs="Arial"/>
          <w:color w:val="000000" w:themeColor="text1"/>
          <w:lang w:eastAsia="es-CO"/>
        </w:rPr>
        <w:t xml:space="preserve">Para Antonio Anselmo Martino en su texto </w:t>
      </w:r>
      <w:r w:rsidRPr="00172DB3">
        <w:rPr>
          <w:rFonts w:ascii="Arial" w:hAnsi="Arial" w:cs="Arial"/>
          <w:bCs/>
          <w:i/>
          <w:color w:val="000000" w:themeColor="text1"/>
        </w:rPr>
        <w:t xml:space="preserve">Asecho Del Derecho A La Privacidad De Datos En América Latina, </w:t>
      </w:r>
      <w:r w:rsidRPr="00172DB3">
        <w:rPr>
          <w:rFonts w:ascii="Arial" w:hAnsi="Arial" w:cs="Arial"/>
          <w:bCs/>
          <w:color w:val="000000" w:themeColor="text1"/>
        </w:rPr>
        <w:t xml:space="preserve">prima la seguridad ante la privacidad, tomando en cuenta el momento tecnológico en el que vivimos, según el autor la brecha tecnológica afecta de gran manera a América Latina; esos llamados gobiernos electrónicos, fuertes que procuran aumentar su soberanía justificando violaciones y atropellos a los derechos íntimos de las personas, en especial la privacidad. Es así como el uso de la información de algún modo afecta directa o indirectamente los diferentes ámbitos de la sociedad, el buen manejo de la información los datos proporcionaría un mejor nivel de bienestar y de igual manera aumentaría la productividad y competitividad entre los países. Es claro que el mundo de hoy, está inmerso en una era tecnológica y digital, la cual encuentra su mayor </w:t>
      </w:r>
      <w:r w:rsidRPr="00172DB3">
        <w:rPr>
          <w:rFonts w:ascii="Arial" w:hAnsi="Arial" w:cs="Arial"/>
          <w:color w:val="000000" w:themeColor="text1"/>
        </w:rPr>
        <w:t>impulso en el acceso y en la capacidad de procesamiento de información sobre todos los temas.</w:t>
      </w:r>
    </w:p>
    <w:p w:rsidR="00172DB3" w:rsidRPr="00172DB3" w:rsidRDefault="00172DB3" w:rsidP="00172DB3">
      <w:pPr>
        <w:spacing w:after="240" w:line="360" w:lineRule="auto"/>
        <w:ind w:firstLine="709"/>
        <w:jc w:val="both"/>
        <w:rPr>
          <w:rFonts w:ascii="Arial" w:hAnsi="Arial" w:cs="Arial"/>
          <w:color w:val="000000" w:themeColor="text1"/>
        </w:rPr>
      </w:pPr>
      <w:r w:rsidRPr="00172DB3">
        <w:rPr>
          <w:rFonts w:ascii="Arial" w:hAnsi="Arial" w:cs="Arial"/>
          <w:color w:val="000000" w:themeColor="text1"/>
        </w:rPr>
        <w:t xml:space="preserve">Por su parte, el autor Antonio Troncoso </w:t>
      </w:r>
      <w:proofErr w:type="spellStart"/>
      <w:r w:rsidRPr="00172DB3">
        <w:rPr>
          <w:rFonts w:ascii="Arial" w:hAnsi="Arial" w:cs="Arial"/>
          <w:color w:val="000000" w:themeColor="text1"/>
        </w:rPr>
        <w:t>Reigada</w:t>
      </w:r>
      <w:proofErr w:type="spellEnd"/>
      <w:r w:rsidRPr="00172DB3">
        <w:rPr>
          <w:rFonts w:ascii="Arial" w:hAnsi="Arial" w:cs="Arial"/>
          <w:color w:val="000000" w:themeColor="text1"/>
        </w:rPr>
        <w:t xml:space="preserve">, en su texto  acerca del </w:t>
      </w:r>
      <w:r w:rsidRPr="00172DB3">
        <w:rPr>
          <w:rFonts w:ascii="Arial" w:hAnsi="Arial" w:cs="Arial"/>
          <w:i/>
          <w:color w:val="000000" w:themeColor="text1"/>
        </w:rPr>
        <w:t xml:space="preserve">desarrollo de la protección de datos personales en Iberoamérica desde una perspectiva comparada y el reequilibro en los modelos de protección de datos a nivel internacional, </w:t>
      </w:r>
      <w:r w:rsidRPr="00172DB3">
        <w:rPr>
          <w:rFonts w:ascii="Arial" w:hAnsi="Arial" w:cs="Arial"/>
          <w:color w:val="000000" w:themeColor="text1"/>
        </w:rPr>
        <w:t xml:space="preserve">establece la gran importancia que está adquiriendo el uso de la tecnología en el mundo y la necesidad de proteger los datos que son depositados, los países iberoamericanos están pasando por un proceso de aprobación de normas para la protección de datos personales. Por su parte, los países iberoamericanos han poco a poco reconocido por medio de sus constituciones, el derecho fundamental a la protección de datos y a la intimidad. En Colombia, por medio de la Corte Constitucional, en la sentencia C-748 de 2011, se lleva a cabo </w:t>
      </w:r>
      <w:r w:rsidRPr="00172DB3">
        <w:rPr>
          <w:rFonts w:ascii="Arial" w:hAnsi="Arial" w:cs="Arial"/>
          <w:color w:val="000000" w:themeColor="text1"/>
        </w:rPr>
        <w:lastRenderedPageBreak/>
        <w:t xml:space="preserve">el control constitucional al proyecto de la ley estatutaria N°. 184 de 2010, la cual dicta disposiciones acerca de la protección de datos. </w:t>
      </w:r>
    </w:p>
    <w:p w:rsidR="00172DB3" w:rsidRPr="00172DB3" w:rsidRDefault="00172DB3" w:rsidP="00172DB3">
      <w:pPr>
        <w:spacing w:after="240" w:line="360" w:lineRule="auto"/>
        <w:ind w:firstLine="709"/>
        <w:jc w:val="both"/>
        <w:rPr>
          <w:rFonts w:ascii="Arial" w:hAnsi="Arial" w:cs="Arial"/>
          <w:color w:val="000000" w:themeColor="text1"/>
        </w:rPr>
      </w:pPr>
      <w:r w:rsidRPr="00172DB3">
        <w:rPr>
          <w:rFonts w:ascii="Arial" w:hAnsi="Arial" w:cs="Arial"/>
          <w:color w:val="000000" w:themeColor="text1"/>
        </w:rPr>
        <w:t xml:space="preserve">En el trabajo del autor Nelson Remolina Angarita, </w:t>
      </w:r>
      <w:r w:rsidRPr="00172DB3">
        <w:rPr>
          <w:rFonts w:ascii="Arial" w:hAnsi="Arial" w:cs="Arial"/>
          <w:i/>
          <w:color w:val="000000" w:themeColor="text1"/>
        </w:rPr>
        <w:t>Aproximación constitucional de la protección de datos personales en Latinoamérica</w:t>
      </w:r>
      <w:r w:rsidRPr="00172DB3">
        <w:rPr>
          <w:rFonts w:ascii="Arial" w:hAnsi="Arial" w:cs="Arial"/>
          <w:color w:val="000000" w:themeColor="text1"/>
        </w:rPr>
        <w:t xml:space="preserve">, retrata los antecedentes y la historia por decir de alguna manera, en que la protección de datos cobro fuerza como derecho fundamental, es decir su constitucionalización, la primera generación de documentos sobre la protección de datos se dio desde 1970 hasta el año 2000, por parte del consejo de Europa, la ONU y la Organización para la cooperación y desarrollo económico. Es de esta manera, como la protección de datos se comenzó a definir, como una especie de mutación a la vida privada y familiar. </w:t>
      </w:r>
    </w:p>
    <w:p w:rsidR="00172DB3" w:rsidRPr="00172DB3" w:rsidRDefault="00172DB3" w:rsidP="00172DB3">
      <w:pPr>
        <w:spacing w:after="240" w:line="360" w:lineRule="auto"/>
        <w:ind w:firstLine="709"/>
        <w:jc w:val="both"/>
        <w:rPr>
          <w:rFonts w:ascii="Arial" w:hAnsi="Arial" w:cs="Arial"/>
          <w:color w:val="000000" w:themeColor="text1"/>
          <w:lang w:eastAsia="es-CO"/>
        </w:rPr>
      </w:pPr>
      <w:r w:rsidRPr="00172DB3">
        <w:rPr>
          <w:rFonts w:ascii="Arial" w:hAnsi="Arial" w:cs="Arial"/>
          <w:color w:val="000000" w:themeColor="text1"/>
        </w:rPr>
        <w:t xml:space="preserve">Es importante referir que las aplicaciones móviles tienen acceso a los datos personales, que según la legislación colombiana se clasifican en datos públicos, privados, semiprivados y datos sensibles. Es por ello que para saber a qué tipo de datos acceden las aplicaciones móviles se debe mencionar la Ley 1266 de 2003, a la Ley 1581 de 2012 y al Decreto 1377 de 2013, dichas normatividades son las que rigen en Colombia todo lo concerniente a la protección de datos personales, es mediante el análisis de estas leyes y decreto que se logra establecer que tanto los datos privados, semiprivados como los públicos. En primer lugar se tiene que los datos privados según la ley 1266 de 2003 en su artículo 3º en literal h) dice que son todos aquellos </w:t>
      </w:r>
      <w:r w:rsidRPr="00172DB3">
        <w:rPr>
          <w:rFonts w:ascii="Arial" w:hAnsi="Arial" w:cs="Arial"/>
          <w:color w:val="000000" w:themeColor="text1"/>
          <w:lang w:eastAsia="es-CO"/>
        </w:rPr>
        <w:t>que por su naturaleza íntima o reservada sólo es relevante para el titular.</w:t>
      </w:r>
      <w:r w:rsidRPr="00172DB3">
        <w:rPr>
          <w:rFonts w:ascii="Arial" w:hAnsi="Arial" w:cs="Arial"/>
          <w:color w:val="000000" w:themeColor="text1"/>
        </w:rPr>
        <w:t xml:space="preserve"> De igual manera en el mismo artículo pero en el literal g) define que </w:t>
      </w:r>
      <w:r w:rsidRPr="00172DB3">
        <w:rPr>
          <w:rFonts w:ascii="Arial" w:hAnsi="Arial" w:cs="Arial"/>
          <w:color w:val="000000" w:themeColor="text1"/>
          <w:lang w:eastAsia="es-CO"/>
        </w:rPr>
        <w:t>es semiprivado el dato que no tiene naturaleza íntima, reservada, ni pública y cuyo conocimiento o divulgación puede interesar no sólo a su titular sino a cierto sector o grupo de personas o a la sociedad en general, como el dato financiero y crediticio de actividad comercial o de servicios.</w:t>
      </w:r>
    </w:p>
    <w:p w:rsidR="00172DB3" w:rsidRPr="00172DB3" w:rsidRDefault="00172DB3" w:rsidP="00172DB3">
      <w:pPr>
        <w:spacing w:after="240" w:line="360" w:lineRule="auto"/>
        <w:ind w:firstLine="709"/>
        <w:jc w:val="both"/>
        <w:rPr>
          <w:rFonts w:ascii="Arial" w:hAnsi="Arial" w:cs="Arial"/>
          <w:color w:val="000000" w:themeColor="text1"/>
          <w:shd w:val="clear" w:color="auto" w:fill="FFFFFF"/>
        </w:rPr>
      </w:pPr>
      <w:r w:rsidRPr="00172DB3">
        <w:rPr>
          <w:rFonts w:ascii="Arial" w:hAnsi="Arial" w:cs="Arial"/>
          <w:color w:val="000000" w:themeColor="text1"/>
          <w:lang w:eastAsia="es-CO"/>
        </w:rPr>
        <w:t>Es así como</w:t>
      </w:r>
      <w:r w:rsidRPr="00172DB3">
        <w:rPr>
          <w:rStyle w:val="Refdecomentario"/>
          <w:rFonts w:eastAsia="Calibri"/>
          <w:color w:val="000000" w:themeColor="text1"/>
        </w:rPr>
        <w:t xml:space="preserve"> </w:t>
      </w:r>
      <w:r w:rsidRPr="00172DB3">
        <w:rPr>
          <w:rStyle w:val="Refdecomentario"/>
          <w:rFonts w:ascii="Arial" w:eastAsia="Calibri" w:hAnsi="Arial" w:cs="Arial"/>
          <w:color w:val="000000" w:themeColor="text1"/>
          <w:sz w:val="24"/>
          <w:szCs w:val="24"/>
        </w:rPr>
        <w:t>la l</w:t>
      </w:r>
      <w:r w:rsidRPr="00172DB3">
        <w:rPr>
          <w:rFonts w:ascii="Arial" w:hAnsi="Arial" w:cs="Arial"/>
          <w:color w:val="000000" w:themeColor="text1"/>
          <w:lang w:eastAsia="es-CO"/>
        </w:rPr>
        <w:t xml:space="preserve">ey 1581 de 2012 y su decreto reglamentario 1377 de 2013 instauran que </w:t>
      </w:r>
      <w:r w:rsidRPr="00172DB3">
        <w:rPr>
          <w:rFonts w:ascii="Arial" w:hAnsi="Arial" w:cs="Arial"/>
          <w:color w:val="000000" w:themeColor="text1"/>
          <w:shd w:val="clear" w:color="auto" w:fill="FFFFFF"/>
        </w:rPr>
        <w:t xml:space="preserve">es el dato público todo aquel que no sea semiprivado, privado o sensible. Son considerados datos públicos, entre otros, los datos relativos al estado civil de las personas, a su profesión u oficio y a su calidad de comerciante </w:t>
      </w:r>
      <w:r w:rsidRPr="00172DB3">
        <w:rPr>
          <w:rFonts w:ascii="Arial" w:hAnsi="Arial" w:cs="Arial"/>
          <w:color w:val="000000" w:themeColor="text1"/>
          <w:shd w:val="clear" w:color="auto" w:fill="FFFFFF"/>
        </w:rPr>
        <w:lastRenderedPageBreak/>
        <w:t>o de servidor público. Por su naturaleza, los datos públicos pueden estar contenidos, entre otros, en registros públicos, documentos públicos, gacetas y boletines oficiales y sentencias judiciales debidamente ejecutoriadas que no estén sometidas a reserva.</w:t>
      </w:r>
    </w:p>
    <w:p w:rsidR="00172DB3" w:rsidRPr="00172DB3" w:rsidRDefault="00172DB3" w:rsidP="00172DB3">
      <w:pPr>
        <w:spacing w:before="240" w:line="360" w:lineRule="auto"/>
        <w:ind w:firstLine="709"/>
        <w:jc w:val="both"/>
        <w:rPr>
          <w:rFonts w:ascii="Arial" w:hAnsi="Arial" w:cs="Arial"/>
          <w:color w:val="000000" w:themeColor="text1"/>
          <w:shd w:val="clear" w:color="auto" w:fill="FFFFFF"/>
        </w:rPr>
      </w:pPr>
      <w:r w:rsidRPr="00172DB3">
        <w:rPr>
          <w:rFonts w:ascii="Arial" w:hAnsi="Arial" w:cs="Arial"/>
          <w:color w:val="000000" w:themeColor="text1"/>
          <w:shd w:val="clear" w:color="auto" w:fill="FFFFFF"/>
        </w:rPr>
        <w:t xml:space="preserve">Es conforme a la anterior definición que se debe hablar sobre el dato sensible, el cual según la ley 1581 de 2012 en su artículo 5º y el decreto 1377 de 2013 en su artículo 3º;   es todo aquel que afecta la intimidad del Titular o cuyo uso indebido puede generar su discriminación, tales como aquellos que revelen el origen racial o étnico, la orientación política, las convicciones religiosas o filosóficas, la pertenencia a sindicatos, organizaciones sociales, de derechos humanos o que promueva intereses de cualquier partido político o que garanticen los derechos y garantías de partidos políticos de oposición, así como los datos relativos a la salud, a la vida sexual, y los datos biométricos. Es por ello la misma ley 1581 de 2012 en su artículo 6 prohíbe el tratamiento de datos sensibles, exceptuando ciertas circunstancias que van des de la autorización previa del titular hasta la protección del interés general. </w:t>
      </w:r>
    </w:p>
    <w:p w:rsidR="00172DB3" w:rsidRPr="00172DB3" w:rsidRDefault="00172DB3" w:rsidP="00172DB3">
      <w:pPr>
        <w:spacing w:before="240" w:line="360" w:lineRule="auto"/>
        <w:ind w:firstLine="709"/>
        <w:jc w:val="both"/>
        <w:rPr>
          <w:rFonts w:ascii="Arial" w:hAnsi="Arial" w:cs="Arial"/>
          <w:color w:val="000000" w:themeColor="text1"/>
          <w:lang w:eastAsia="es-CO"/>
        </w:rPr>
      </w:pPr>
      <w:r w:rsidRPr="00172DB3">
        <w:rPr>
          <w:rFonts w:ascii="Arial" w:hAnsi="Arial" w:cs="Arial"/>
          <w:color w:val="000000" w:themeColor="text1"/>
          <w:lang w:eastAsia="es-CO"/>
        </w:rPr>
        <w:t xml:space="preserve">Establecida la categorización de los datos personales en la legislación Colombiana, se puede con base en lo desarrollado en lo anterior, determinar que las categorías de datos a las cuales acceden las aplicaciones móviles pueden ser; tanto a datos públicos, datos privados y datos semiprivados, excluyendo de esta forma a la categoría especial de datos sensibles debido a que el tratamiento de estos está expresamente prohibido por la Ley 1581 del 2012, en su artículo 6º en el cual se establece dicha prohibición y a su vez ciertas situaciones susceptibles de excepción, como en los casos donde el titular del dato dé una autorización de manera explícita para el tratamiento del mismo, salvo los casos que la ley señale donde no sea necesario su tratamiento; como es también el caso del tratamiento que se realiza en el lapso del desarrollo de actividades legítimas y que presten garantías por parte de alguna organización sin ánimo lucro y el cual su objetivo sea meramente político o que los datos sean de miembros que mantengan regularmente en contacto a razón de su objetivo o finalidad, en estos casos </w:t>
      </w:r>
      <w:r w:rsidRPr="00172DB3">
        <w:rPr>
          <w:rFonts w:ascii="Arial" w:hAnsi="Arial" w:cs="Arial"/>
          <w:color w:val="000000" w:themeColor="text1"/>
          <w:lang w:eastAsia="es-CO"/>
        </w:rPr>
        <w:lastRenderedPageBreak/>
        <w:t>concretos los datos no podrán ser suministrados a terceros, sin la plena autorización del titular; para las situaciones donde el titular este física y jurídicamente  incapacitado y es necesario salvaguardar su interés vital, el tratamiento de los datos estará en manos de su representante legal; igualmente será excepcional en los momentos donde el tratamiento de estos datos sean relevantes para el reconocimiento e identificación, en el ejercicio o defensa de algún derecho dentro de un proceso judicial y finalmente en la circunstancia donde se tenga una finalidad histórica, estadística o de tipo científico, en este evento se entenderá necesaria la supresión de identidades de los titulares de los datos.</w:t>
      </w:r>
    </w:p>
    <w:p w:rsidR="00172DB3" w:rsidRPr="00172DB3" w:rsidRDefault="00172DB3" w:rsidP="00172DB3">
      <w:pPr>
        <w:spacing w:before="240" w:line="360" w:lineRule="auto"/>
        <w:ind w:firstLine="709"/>
        <w:jc w:val="both"/>
        <w:rPr>
          <w:rFonts w:ascii="Arial" w:hAnsi="Arial" w:cs="Arial"/>
          <w:color w:val="000000" w:themeColor="text1"/>
        </w:rPr>
      </w:pPr>
      <w:r w:rsidRPr="00172DB3">
        <w:rPr>
          <w:rFonts w:ascii="Arial" w:hAnsi="Arial" w:cs="Arial"/>
          <w:color w:val="000000" w:themeColor="text1"/>
        </w:rPr>
        <w:t>De esta manera, el artículo 6º del Decreto 1377 del 2013, adopta las causales de excepción anteriormente descritas y complementa el tema del tratamiento de los datos, en cuanto a las formalidades, para que se informe al titular que por ser datos sensibles, no está obligado a autorizar su tratamiento, además el deber de informar de forma clara, explicita y previa al titular del dato, los requisitos generales de la autorización, para que se dé la recolección de cualquier clase de dato personal e igualmente cuales serán esos datos que por ser objeto de tratamiento, son sensibles y finalmente, con qué fin se realiza el tratamiento y se debe obtener el consentimiento expreso, además se reitera que ningún tipo de actividad podrá condicionar al titular, para que este se vea forzado a suministrar sus datos sensibles.</w:t>
      </w:r>
    </w:p>
    <w:p w:rsidR="00172DB3" w:rsidRPr="00172DB3" w:rsidRDefault="00172DB3" w:rsidP="00172DB3">
      <w:pPr>
        <w:pStyle w:val="pa6"/>
        <w:shd w:val="clear" w:color="auto" w:fill="FFFFFF"/>
        <w:spacing w:before="240" w:beforeAutospacing="0" w:after="160" w:afterAutospacing="0" w:line="360" w:lineRule="auto"/>
        <w:ind w:firstLine="709"/>
        <w:jc w:val="both"/>
        <w:rPr>
          <w:rFonts w:ascii="Arial" w:hAnsi="Arial" w:cs="Arial"/>
          <w:color w:val="000000" w:themeColor="text1"/>
        </w:rPr>
      </w:pPr>
      <w:r w:rsidRPr="00172DB3">
        <w:rPr>
          <w:rFonts w:ascii="Arial" w:hAnsi="Arial" w:cs="Arial"/>
          <w:color w:val="000000" w:themeColor="text1"/>
        </w:rPr>
        <w:t xml:space="preserve">Se tiene entonces que las aplicaciones móviles sobre todo las aplicaciones web, para poder acceder a ellas se debe primero, aceptar las condiciones que estas establecen y para las cuales la única  opción ofrecida  al usuario es “acepto” y que además en la mayoría de los casos exigen que el usuario se registre obligándole a brindar cierta información, sin que se le comunique por lo menos el aviso de privacidad exigido por la ley en donde se le da a conocer al titular del dato y usuario de las apps móviles que tipo de dato van a recopilar, cual va hacer su uso, finalidad o tipo de tratamiento del mismo. Son entonces este tipo de apps web de carácter totalmente invasivo, lo cual quiere decir que una vez al haber accedido a dicha aplicación móvil, esta puede acceder a la agenda de contactos </w:t>
      </w:r>
      <w:r w:rsidRPr="00172DB3">
        <w:rPr>
          <w:rFonts w:ascii="Arial" w:hAnsi="Arial" w:cs="Arial"/>
          <w:color w:val="000000" w:themeColor="text1"/>
        </w:rPr>
        <w:lastRenderedPageBreak/>
        <w:t xml:space="preserve">del móvil, puede activar el GPS logrando establecer así la posición geográfica en la que se encuentre la persona, pueden perfectamente manipular el perfil de una red social del usuario, o hasta acceder al álbum de fotos almacenadas en el dispositivo móvil. </w:t>
      </w:r>
      <w:r w:rsidRPr="00172DB3">
        <w:rPr>
          <w:rFonts w:ascii="Arial" w:hAnsi="Arial" w:cs="Arial"/>
          <w:color w:val="000000" w:themeColor="text1"/>
        </w:rPr>
        <w:tab/>
      </w:r>
    </w:p>
    <w:p w:rsidR="00172DB3" w:rsidRPr="00172DB3" w:rsidRDefault="00172DB3" w:rsidP="00172DB3">
      <w:pPr>
        <w:spacing w:after="240" w:line="360" w:lineRule="auto"/>
        <w:ind w:firstLine="709"/>
        <w:jc w:val="both"/>
        <w:rPr>
          <w:rFonts w:ascii="Arial" w:hAnsi="Arial" w:cs="Arial"/>
          <w:color w:val="000000" w:themeColor="text1"/>
        </w:rPr>
      </w:pPr>
      <w:r w:rsidRPr="00172DB3">
        <w:rPr>
          <w:rFonts w:ascii="Arial" w:hAnsi="Arial" w:cs="Arial"/>
          <w:color w:val="000000" w:themeColor="text1"/>
          <w:lang w:eastAsia="es-CO"/>
        </w:rPr>
        <w:t xml:space="preserve">Lastimosamente en Colombia no se ha desarrollado normatividades explicitas en lo referente a la aplicaciones móviles y a la protección que se le debe brindar al usuario de las mismas, si bien es cierto se cuenta con una legislación que busca regular el habeas data, esta no es suficiente cuando se está inmerso en el campo de las aplicaciones móviles. Caso contrario es la comunidad Europea, que al ver la necesidad que surgía gracias a la globalización y al desarrollo de las nuevas tecnologías digitales en lo referente a la protección de datos en las apps móviles, dicta una Directiva que establece obligaciones expresas a los desarrolladores de las apps móviles, dicha norma es la </w:t>
      </w:r>
      <w:hyperlink r:id="rId9" w:tgtFrame="_blank" w:tooltip="Directiva 2002/58/CE de Privacidad y Comunicaciones Electrónicas" w:history="1">
        <w:r w:rsidRPr="00172DB3">
          <w:rPr>
            <w:rStyle w:val="Hipervnculo"/>
            <w:rFonts w:ascii="Arial" w:hAnsi="Arial" w:cs="Arial"/>
            <w:color w:val="000000" w:themeColor="text1"/>
            <w:u w:val="none"/>
          </w:rPr>
          <w:t>Directiva 2002/58/CE de Privacidad y Comunicaciones Electrónicas</w:t>
        </w:r>
      </w:hyperlink>
      <w:r w:rsidRPr="00172DB3">
        <w:rPr>
          <w:rFonts w:ascii="Arial" w:hAnsi="Arial" w:cs="Arial"/>
          <w:color w:val="000000" w:themeColor="text1"/>
        </w:rPr>
        <w:t xml:space="preserve">, donde se tipifica lo relativo a las personas físicas y el tratamiento de aquellos datos personales para su circulación, en el que se debe tener primacía de los derechos fundamentales y así mismo tendrá gran cabida el derecho a la intimidad, en cuanto a la libre publicación y tráfico de los mismos, dentro de los avances tecnológicos y las redes públicas de comunicación, que han sido paulatinamente desarrolladas y que por las necesidades específicas que suscitan, es de vital importancia su regulación, que entra a derogar la Directiva 95/46/CE la cual regulaba el tratamiento de los datos personales y protegía la intimidad del sector de telecomunicaciones. </w:t>
      </w:r>
    </w:p>
    <w:p w:rsidR="00172DB3" w:rsidRPr="00172DB3" w:rsidRDefault="00172DB3" w:rsidP="00172DB3">
      <w:pPr>
        <w:spacing w:before="240" w:line="360" w:lineRule="auto"/>
        <w:ind w:firstLine="709"/>
        <w:jc w:val="both"/>
        <w:rPr>
          <w:rFonts w:ascii="Arial" w:hAnsi="Arial" w:cs="Arial"/>
          <w:color w:val="000000" w:themeColor="text1"/>
        </w:rPr>
      </w:pPr>
      <w:r w:rsidRPr="00172DB3">
        <w:rPr>
          <w:rFonts w:ascii="Arial" w:hAnsi="Arial" w:cs="Arial"/>
          <w:color w:val="000000" w:themeColor="text1"/>
        </w:rPr>
        <w:t xml:space="preserve">Es esta nueva Directiva 2002/58/CE la que establece el derecho de información previa que se le deba dar al usuario de las apps móviles y titular del dato, sobre cuál va hacer el tratamiento que va a recibir su información, instituye de esta forma la importancia que tiene el manejo de los datos de menores de 14 años el cual debe ser guiado por sus padres o representantes de manera mucho más estricta debido a que los menores son considerado un público vulnerable es por ello que se debe acentuar el principio de minimización de los datos y la limitación de la finalidad de los mismos, además esta directiva regula el derecho </w:t>
      </w:r>
      <w:r w:rsidRPr="00172DB3">
        <w:rPr>
          <w:rFonts w:ascii="Arial" w:hAnsi="Arial" w:cs="Arial"/>
          <w:color w:val="000000" w:themeColor="text1"/>
        </w:rPr>
        <w:lastRenderedPageBreak/>
        <w:t>que tiene el usuario que ha desinstalado la aplicación móvil, para que su información no sea susceptible desde ese momento en adelante de tratamiento, enmarca la importancia del derecho que tiene los usuarios de las apps móviles a poder rectificar, cancelar o suspender el uso o tratamiento de sus datos personales, entre muchas otras. Por otro lado se debe enmarcar la importancia de la Directiva 2000/31  de la comunidad europea encaminada a regular todo lo referente al comercio electrónico, allí se instaura  como prioridad propender por la  integración jurídica comunitaria con el objetivo de constituir un verdadero espacio sin fronteras  en lo concerniente a  los servicios de la sociedad de la información, es por esto que el objeto principal de esta directiva es lograr una circulación masiva y libre de los diversos servicios que tiene hoy en día la sociedad de la información, sin embargo esa libertar de expresión o de circulación no debe ir en contravía de los demás derechos humanos que cuentas a su vez con una protección muy fuerte, tal es el caso del derecho a la intimidad, es con base en ello, la presente directiva consagra que la protección de datos personales regirá  únicamente por la Directiva 95/46/CE y la Directiva 97/66/CE del Parlamento Europeo y del Consejo, concernientes a la protección de datos de las personas físicas, de su libre circulación y por supuesto referente  al tratamiento de los datos personales y a la protección de la intimidad en el sector de las telecomunicaciones, que son totalmente aplicables a los servicios de la sociedad de la información. Estas Directivas constituyen un marco jurídico, que se ha desarrollado entorno a los datos personales, por lo cual no se hace necesario abordar este aspecto en la presente Directiva 2000/31 para propender por  la seguridad de los datos personales y su correcta circulación. Es por tal motivo que la Directiva 2000/31, implementa en su artículo 1º numeral 5, la prohibición encaminada a que la presente directiva regule temas concernientes al derecho a la intimidad y por ende a la protección de datos personales, ya que para ello existen directivas específicas que reglamentan esta materia.</w:t>
      </w:r>
    </w:p>
    <w:p w:rsidR="00172DB3" w:rsidRPr="00172DB3" w:rsidRDefault="00172DB3" w:rsidP="00172DB3">
      <w:pPr>
        <w:spacing w:before="240" w:line="360" w:lineRule="auto"/>
        <w:ind w:firstLine="709"/>
        <w:jc w:val="both"/>
        <w:rPr>
          <w:rFonts w:ascii="Arial" w:hAnsi="Arial" w:cs="Arial"/>
          <w:color w:val="000000" w:themeColor="text1"/>
        </w:rPr>
      </w:pPr>
      <w:r w:rsidRPr="00172DB3">
        <w:rPr>
          <w:rFonts w:ascii="Arial" w:hAnsi="Arial" w:cs="Arial"/>
          <w:color w:val="000000" w:themeColor="text1"/>
        </w:rPr>
        <w:t xml:space="preserve">Sin embargo cada una de esta directivas europeas son sólo un ejemplo del avance tan grande al cual ha llegado la Comunidad Europea y que debería ser acogido por el sistema jurídico Colombiano, para darle mayor seguridad a los </w:t>
      </w:r>
      <w:r w:rsidRPr="00172DB3">
        <w:rPr>
          <w:rFonts w:ascii="Arial" w:hAnsi="Arial" w:cs="Arial"/>
          <w:color w:val="000000" w:themeColor="text1"/>
        </w:rPr>
        <w:lastRenderedPageBreak/>
        <w:t>usuarios que depositan diariamente sus datos en bases de aplicaciones móviles y que desconocen cómo se manejan, quienes los manipulan y finalmente con que objetivos los recolectan.</w:t>
      </w:r>
    </w:p>
    <w:p w:rsidR="00172DB3" w:rsidRPr="00172DB3" w:rsidRDefault="00172DB3" w:rsidP="00172DB3">
      <w:pPr>
        <w:spacing w:line="360" w:lineRule="auto"/>
        <w:jc w:val="both"/>
        <w:rPr>
          <w:rStyle w:val="Refdecomentario"/>
          <w:rFonts w:eastAsia="Calibri"/>
          <w:color w:val="000000" w:themeColor="text1"/>
        </w:rPr>
      </w:pPr>
    </w:p>
    <w:p w:rsidR="00172DB3" w:rsidRPr="00172DB3" w:rsidRDefault="00172DB3" w:rsidP="00172DB3">
      <w:pPr>
        <w:spacing w:line="360" w:lineRule="auto"/>
        <w:jc w:val="both"/>
        <w:rPr>
          <w:rFonts w:ascii="Arial" w:hAnsi="Arial" w:cs="Arial"/>
          <w:b/>
          <w:color w:val="000000" w:themeColor="text1"/>
        </w:rPr>
      </w:pPr>
      <w:r w:rsidRPr="00172DB3">
        <w:rPr>
          <w:rStyle w:val="Refdecomentario"/>
          <w:rFonts w:ascii="Arial" w:eastAsia="Calibri" w:hAnsi="Arial" w:cs="Arial"/>
          <w:b/>
          <w:color w:val="000000" w:themeColor="text1"/>
          <w:sz w:val="24"/>
          <w:szCs w:val="24"/>
        </w:rPr>
        <w:t>C</w:t>
      </w:r>
      <w:r w:rsidRPr="00172DB3">
        <w:rPr>
          <w:rFonts w:ascii="Arial" w:hAnsi="Arial" w:cs="Arial"/>
          <w:b/>
          <w:color w:val="000000" w:themeColor="text1"/>
        </w:rPr>
        <w:t>ONCLUSION</w:t>
      </w:r>
    </w:p>
    <w:p w:rsidR="00172DB3" w:rsidRPr="00172DB3" w:rsidRDefault="00172DB3" w:rsidP="00172DB3">
      <w:pPr>
        <w:spacing w:line="360" w:lineRule="auto"/>
        <w:jc w:val="both"/>
        <w:rPr>
          <w:rFonts w:ascii="Arial" w:hAnsi="Arial" w:cs="Arial"/>
          <w:color w:val="000000" w:themeColor="text1"/>
        </w:rPr>
      </w:pPr>
      <w:r w:rsidRPr="00172DB3">
        <w:rPr>
          <w:rFonts w:ascii="Arial" w:hAnsi="Arial" w:cs="Arial"/>
          <w:color w:val="000000" w:themeColor="text1"/>
        </w:rPr>
        <w:t xml:space="preserve">Es así como se concluye que la conciliación como mecanismo alternativo de solución de conflictos, ha servido desde su inserción en el ámbito jurídico colombiano, como una herramienta eficiente, que a través de su evolución ha ayudado a solucionar problemas, suscitados por la congestión judicial, los trámites procesales y la poca efectividad del Estado colombiano. La notable evolución de la conciliación como mecanismo autocompositivo, donde dos o más personas deciden darle solución a sus diferencias, con la ayuda de aquel tercero que actúa de manera imparcial, neutral y calificado (conciliador), proponiendo posibles formas de mediar el conflicto e igualmente teniendo en cuenta la libertad de las partes para aceptar o no el acuerdo. Desde la Corte Constitucional, en su sentencia C-642 de 1999 se enmarca a la conciliación como un instrumento de interés público, con características propias de la solemnidad, la bilateralidad, lo conmutativo, la libre discusión que se da en su práctica y sus efectos propios de una sentencia judicial, es decir tránsito a cosa juzgado y de mérito ejecutivo. También es importante resaltar, que como resultado a la gran acogida y al auge obtenido, se ha establecido clases de conciliación, en las que se encuentra: la conciliación judicial (como requisito de procedibilidad) y la extrajudicial que puede ser en derecho o en equidad, para lo que la primera (en derecho), hace referencia a aquella conciliación que se puede llevar a cabo a través de los centros de conciliación, y en el caso de la segunda (en equidad) se tiene que se denominará de esta manera cuando se realice por medio de un conciliador en equidad. </w:t>
      </w:r>
    </w:p>
    <w:p w:rsidR="00172DB3" w:rsidRPr="00172DB3" w:rsidRDefault="00172DB3" w:rsidP="00172DB3">
      <w:pPr>
        <w:spacing w:line="360" w:lineRule="auto"/>
        <w:ind w:firstLine="709"/>
        <w:jc w:val="both"/>
        <w:rPr>
          <w:rFonts w:ascii="Arial" w:hAnsi="Arial" w:cs="Arial"/>
          <w:color w:val="000000" w:themeColor="text1"/>
        </w:rPr>
      </w:pPr>
      <w:r w:rsidRPr="00172DB3">
        <w:rPr>
          <w:rFonts w:ascii="Arial" w:hAnsi="Arial" w:cs="Arial"/>
          <w:color w:val="000000" w:themeColor="text1"/>
        </w:rPr>
        <w:t xml:space="preserve">La conciliación igualmente por medio de la investigación ya desarrollada, ha permitido determinar que puede ser utilizada en casos concretos, como es la protección de datos de usuarios de aplicaciones móviles, no para llegar a conciliar sobre el derecho de habeas data (artículo 15 C.P) que se circunscribe en la recolección, circulación y supresión de los datos por medio de las bases de datos, sino que se llegue a un acuerdo entre las partes en lo concerniente a la </w:t>
      </w:r>
      <w:r w:rsidRPr="00172DB3">
        <w:rPr>
          <w:rFonts w:ascii="Arial" w:hAnsi="Arial" w:cs="Arial"/>
          <w:color w:val="000000" w:themeColor="text1"/>
        </w:rPr>
        <w:lastRenderedPageBreak/>
        <w:t xml:space="preserve">compensación y pago de perjuicios de los daños ocasionados por el propietario de las app móviles. Es por esto importante señalar que la conciliación como MASC se puede llegar a aplicar por medio del Estatuto del consumidor (Ley 1480 de 2011), en los casos donde se vean vulnerados derechos fundamentales, por medio de la Superintendencia de Industria y Comercio, quienes también se invisten en el papel de conciliadores, en materia de perjuicios causados por la indebida recolección, tratamiento y manejo de datos personales, pues es de conocimiento que la conciliación no versa sobre derechos, ni sobre datos como tal; sino por los daños ocasionados como resultado de este hecho. </w:t>
      </w:r>
    </w:p>
    <w:p w:rsidR="00172DB3" w:rsidRPr="00172DB3" w:rsidRDefault="00172DB3" w:rsidP="00172DB3">
      <w:pPr>
        <w:spacing w:line="360" w:lineRule="auto"/>
        <w:jc w:val="both"/>
        <w:rPr>
          <w:rFonts w:ascii="Arial" w:hAnsi="Arial" w:cs="Arial"/>
          <w:color w:val="000000" w:themeColor="text1"/>
        </w:rPr>
      </w:pPr>
    </w:p>
    <w:p w:rsidR="00172DB3" w:rsidRPr="00172DB3" w:rsidRDefault="00172DB3" w:rsidP="00172DB3">
      <w:pPr>
        <w:spacing w:line="360" w:lineRule="auto"/>
        <w:jc w:val="both"/>
        <w:rPr>
          <w:rFonts w:ascii="Arial" w:hAnsi="Arial" w:cs="Arial"/>
          <w:b/>
          <w:color w:val="000000" w:themeColor="text1"/>
        </w:rPr>
      </w:pPr>
      <w:r w:rsidRPr="00172DB3">
        <w:rPr>
          <w:rFonts w:ascii="Arial" w:hAnsi="Arial" w:cs="Arial"/>
          <w:b/>
          <w:color w:val="000000" w:themeColor="text1"/>
        </w:rPr>
        <w:t>REFERENCIAS BIBLIOGRAFICAS</w:t>
      </w:r>
    </w:p>
    <w:p w:rsidR="00172DB3" w:rsidRPr="00172DB3" w:rsidRDefault="00172DB3" w:rsidP="00172DB3">
      <w:pPr>
        <w:pStyle w:val="Ttulo1"/>
        <w:spacing w:before="240" w:line="360" w:lineRule="auto"/>
        <w:ind w:left="709" w:hanging="709"/>
        <w:rPr>
          <w:rFonts w:ascii="Arial" w:hAnsi="Arial" w:cs="Arial"/>
          <w:b w:val="0"/>
          <w:noProof/>
          <w:color w:val="000000" w:themeColor="text1"/>
          <w:sz w:val="24"/>
        </w:rPr>
      </w:pPr>
      <w:r w:rsidRPr="00172DB3">
        <w:rPr>
          <w:rFonts w:ascii="Arial" w:hAnsi="Arial" w:cs="Arial"/>
          <w:b w:val="0"/>
          <w:noProof/>
          <w:color w:val="000000" w:themeColor="text1"/>
          <w:sz w:val="24"/>
        </w:rPr>
        <w:t xml:space="preserve">ANDES, U. D. ( 2012). </w:t>
      </w:r>
      <w:r w:rsidRPr="00172DB3">
        <w:rPr>
          <w:rFonts w:ascii="Arial" w:hAnsi="Arial" w:cs="Arial"/>
          <w:b w:val="0"/>
          <w:i/>
          <w:noProof/>
          <w:color w:val="000000" w:themeColor="text1"/>
          <w:sz w:val="24"/>
        </w:rPr>
        <w:t>Red Académica Internacional de Protección de Datos Personales. En UNIANDES. Bogotá D.C: Edición 1.</w:t>
      </w:r>
    </w:p>
    <w:p w:rsidR="00172DB3" w:rsidRPr="00172DB3" w:rsidRDefault="00172DB3" w:rsidP="00172DB3">
      <w:pPr>
        <w:pStyle w:val="Bibliografa"/>
        <w:spacing w:before="240" w:line="360" w:lineRule="auto"/>
        <w:ind w:left="720" w:hanging="720"/>
        <w:rPr>
          <w:rFonts w:ascii="Arial" w:hAnsi="Arial" w:cs="Arial"/>
          <w:noProof/>
          <w:color w:val="000000" w:themeColor="text1"/>
          <w:sz w:val="24"/>
          <w:szCs w:val="24"/>
          <w:lang w:val="es-ES"/>
        </w:rPr>
      </w:pPr>
      <w:r w:rsidRPr="00172DB3">
        <w:rPr>
          <w:rFonts w:ascii="Arial" w:hAnsi="Arial" w:cs="Arial"/>
          <w:noProof/>
          <w:color w:val="000000" w:themeColor="text1"/>
          <w:sz w:val="24"/>
          <w:szCs w:val="24"/>
          <w:lang w:val="es-ES"/>
        </w:rPr>
        <w:t xml:space="preserve">C., V. (2001). </w:t>
      </w:r>
      <w:r w:rsidRPr="00172DB3">
        <w:rPr>
          <w:rFonts w:ascii="Arial" w:hAnsi="Arial" w:cs="Arial"/>
          <w:i/>
          <w:iCs/>
          <w:noProof/>
          <w:color w:val="000000" w:themeColor="text1"/>
          <w:sz w:val="24"/>
          <w:szCs w:val="24"/>
          <w:lang w:val="es-ES"/>
        </w:rPr>
        <w:t>Conciliación en el ciberespacio: una propuesta para la resolución de conflictos en internet.</w:t>
      </w:r>
      <w:r w:rsidRPr="00172DB3">
        <w:rPr>
          <w:rFonts w:ascii="Arial" w:hAnsi="Arial" w:cs="Arial"/>
          <w:noProof/>
          <w:color w:val="000000" w:themeColor="text1"/>
          <w:sz w:val="24"/>
          <w:szCs w:val="24"/>
          <w:lang w:val="es-ES"/>
        </w:rPr>
        <w:t xml:space="preserve"> </w:t>
      </w:r>
    </w:p>
    <w:p w:rsidR="00172DB3" w:rsidRPr="00172DB3" w:rsidRDefault="00172DB3" w:rsidP="00172DB3">
      <w:pPr>
        <w:pStyle w:val="Bibliografa"/>
        <w:spacing w:before="240" w:line="360" w:lineRule="auto"/>
        <w:ind w:left="720" w:hanging="720"/>
        <w:rPr>
          <w:rFonts w:ascii="Arial" w:hAnsi="Arial" w:cs="Arial"/>
          <w:noProof/>
          <w:color w:val="000000" w:themeColor="text1"/>
          <w:sz w:val="24"/>
          <w:szCs w:val="24"/>
          <w:lang w:val="es-ES"/>
        </w:rPr>
      </w:pPr>
      <w:r w:rsidRPr="00172DB3">
        <w:rPr>
          <w:rFonts w:ascii="Arial" w:hAnsi="Arial" w:cs="Arial"/>
          <w:noProof/>
          <w:color w:val="000000" w:themeColor="text1"/>
          <w:sz w:val="24"/>
          <w:szCs w:val="24"/>
          <w:lang w:val="es-ES"/>
        </w:rPr>
        <w:t>Constitución Política de Colombia. (2012). Bogotá.</w:t>
      </w:r>
    </w:p>
    <w:p w:rsidR="00172DB3" w:rsidRPr="00172DB3" w:rsidRDefault="00172DB3" w:rsidP="00172DB3">
      <w:pPr>
        <w:spacing w:before="240" w:line="360" w:lineRule="auto"/>
        <w:ind w:left="709" w:hanging="709"/>
        <w:jc w:val="both"/>
        <w:rPr>
          <w:rFonts w:ascii="Arial" w:hAnsi="Arial" w:cs="Arial"/>
          <w:color w:val="000000" w:themeColor="text1"/>
        </w:rPr>
      </w:pPr>
      <w:r w:rsidRPr="00172DB3">
        <w:rPr>
          <w:rFonts w:ascii="Arial" w:hAnsi="Arial" w:cs="Arial"/>
          <w:color w:val="000000" w:themeColor="text1"/>
        </w:rPr>
        <w:t xml:space="preserve">Decreto 2651 de 1991. </w:t>
      </w:r>
      <w:r w:rsidRPr="00172DB3">
        <w:rPr>
          <w:rFonts w:ascii="Arial" w:hAnsi="Arial" w:cs="Arial"/>
          <w:i/>
          <w:color w:val="000000" w:themeColor="text1"/>
        </w:rPr>
        <w:t>Por el cual se expiden normas transitorias para Descongestionar los Despachos Judiciales. Diario Oficial 40177 de noviembre 25 de 1991.</w:t>
      </w:r>
    </w:p>
    <w:p w:rsidR="00172DB3" w:rsidRPr="00172DB3" w:rsidRDefault="00172DB3" w:rsidP="00172DB3">
      <w:pPr>
        <w:spacing w:before="240" w:line="360" w:lineRule="auto"/>
        <w:ind w:left="709" w:hanging="709"/>
        <w:jc w:val="both"/>
        <w:rPr>
          <w:rFonts w:ascii="Arial" w:hAnsi="Arial" w:cs="Arial"/>
          <w:bCs/>
          <w:color w:val="000000" w:themeColor="text1"/>
          <w:shd w:val="clear" w:color="auto" w:fill="FFFFFF"/>
        </w:rPr>
      </w:pPr>
      <w:r w:rsidRPr="00172DB3">
        <w:rPr>
          <w:rFonts w:ascii="Arial" w:hAnsi="Arial" w:cs="Arial"/>
          <w:color w:val="000000" w:themeColor="text1"/>
          <w:shd w:val="clear" w:color="auto" w:fill="FFFFFF"/>
        </w:rPr>
        <w:t xml:space="preserve">Decreto 1818 de 1998 </w:t>
      </w:r>
      <w:r w:rsidRPr="00172DB3">
        <w:rPr>
          <w:rFonts w:ascii="Arial" w:hAnsi="Arial" w:cs="Arial"/>
          <w:i/>
          <w:color w:val="000000" w:themeColor="text1"/>
          <w:shd w:val="clear" w:color="auto" w:fill="FFFFFF"/>
        </w:rPr>
        <w:t>p</w:t>
      </w:r>
      <w:r w:rsidRPr="00172DB3">
        <w:rPr>
          <w:rFonts w:ascii="Arial" w:hAnsi="Arial" w:cs="Arial"/>
          <w:bCs/>
          <w:i/>
          <w:color w:val="000000" w:themeColor="text1"/>
          <w:shd w:val="clear" w:color="auto" w:fill="FFFFFF"/>
        </w:rPr>
        <w:t>or medio del cual se expide el Estatuto de los mecanismos alternativos de solución de conflictos.</w:t>
      </w:r>
    </w:p>
    <w:p w:rsidR="00172DB3" w:rsidRPr="00172DB3" w:rsidRDefault="00172DB3" w:rsidP="00172DB3">
      <w:pPr>
        <w:spacing w:before="240" w:line="360" w:lineRule="auto"/>
        <w:ind w:left="709" w:hanging="709"/>
        <w:jc w:val="both"/>
        <w:rPr>
          <w:rFonts w:ascii="Arial" w:hAnsi="Arial" w:cs="Arial"/>
          <w:color w:val="000000" w:themeColor="text1"/>
          <w:shd w:val="clear" w:color="auto" w:fill="FFFFFF"/>
        </w:rPr>
      </w:pPr>
      <w:r w:rsidRPr="00172DB3">
        <w:rPr>
          <w:rFonts w:ascii="Arial" w:hAnsi="Arial" w:cs="Arial"/>
          <w:color w:val="000000" w:themeColor="text1"/>
          <w:shd w:val="clear" w:color="auto" w:fill="FFFFFF"/>
        </w:rPr>
        <w:t>Decreto 1214 de 2000</w:t>
      </w:r>
      <w:r w:rsidRPr="00172DB3">
        <w:rPr>
          <w:rFonts w:ascii="Arial" w:hAnsi="Arial" w:cs="Arial"/>
          <w:color w:val="000000" w:themeColor="text1"/>
        </w:rPr>
        <w:t xml:space="preserve">. </w:t>
      </w:r>
      <w:r w:rsidRPr="00172DB3">
        <w:rPr>
          <w:rFonts w:ascii="Arial" w:hAnsi="Arial" w:cs="Arial"/>
          <w:i/>
          <w:color w:val="000000" w:themeColor="text1"/>
        </w:rPr>
        <w:t>Por el cual se establecen funciones para los Comités de Conciliación de que trata el artículo 75 de la Ley 446 de 1998 y se dictan otras disposiciones. Diario Oficial 44069 del 5 de julio de 2000.</w:t>
      </w:r>
    </w:p>
    <w:p w:rsidR="00172DB3" w:rsidRPr="00172DB3" w:rsidRDefault="00172DB3" w:rsidP="00172DB3">
      <w:pPr>
        <w:spacing w:before="240" w:line="360" w:lineRule="auto"/>
        <w:ind w:left="708" w:hanging="708"/>
        <w:jc w:val="both"/>
        <w:rPr>
          <w:rFonts w:ascii="Arial" w:hAnsi="Arial" w:cs="Arial"/>
          <w:color w:val="000000" w:themeColor="text1"/>
        </w:rPr>
      </w:pPr>
      <w:r w:rsidRPr="00172DB3">
        <w:rPr>
          <w:rFonts w:ascii="Arial" w:hAnsi="Arial" w:cs="Arial"/>
          <w:color w:val="000000" w:themeColor="text1"/>
          <w:shd w:val="clear" w:color="auto" w:fill="FFFFFF"/>
        </w:rPr>
        <w:t>DECRETO 1377 DE 2013.</w:t>
      </w:r>
      <w:r w:rsidRPr="00172DB3">
        <w:rPr>
          <w:rFonts w:ascii="Arial" w:hAnsi="Arial" w:cs="Arial"/>
          <w:i/>
          <w:color w:val="000000" w:themeColor="text1"/>
        </w:rPr>
        <w:t xml:space="preserve"> Por el cual se reglamenta parcialmente la Ley 1581 de 2012.</w:t>
      </w:r>
    </w:p>
    <w:p w:rsidR="00172DB3" w:rsidRPr="00172DB3" w:rsidRDefault="00172DB3" w:rsidP="00172DB3">
      <w:pPr>
        <w:spacing w:before="240" w:line="360" w:lineRule="auto"/>
        <w:ind w:left="709" w:hanging="709"/>
        <w:jc w:val="both"/>
        <w:rPr>
          <w:rFonts w:ascii="Arial" w:hAnsi="Arial" w:cs="Arial"/>
          <w:color w:val="000000" w:themeColor="text1"/>
        </w:rPr>
      </w:pPr>
      <w:r w:rsidRPr="00172DB3">
        <w:rPr>
          <w:rFonts w:ascii="Arial" w:hAnsi="Arial" w:cs="Arial"/>
          <w:color w:val="000000" w:themeColor="text1"/>
        </w:rPr>
        <w:lastRenderedPageBreak/>
        <w:t xml:space="preserve">DIRECTIVA 95/46/CE </w:t>
      </w:r>
      <w:r w:rsidRPr="00172DB3">
        <w:rPr>
          <w:rFonts w:ascii="Arial" w:hAnsi="Arial" w:cs="Arial"/>
          <w:i/>
          <w:color w:val="000000" w:themeColor="text1"/>
        </w:rPr>
        <w:t>del Parlamento Europeo y del Consejo de 24 de octubre de 1995. Relativa a la protección de las personas físicas en lo que respecta al tratamiento de datos personales y a la libre circulación de estos datos</w:t>
      </w:r>
      <w:r w:rsidRPr="00172DB3">
        <w:rPr>
          <w:rFonts w:ascii="Arial" w:hAnsi="Arial" w:cs="Arial"/>
          <w:color w:val="000000" w:themeColor="text1"/>
        </w:rPr>
        <w:t xml:space="preserve">. Del sitio web: HYPERLINK "https://sede.uned.es/extras/sede/dir1995-46_part1_es.pdf"  </w:t>
      </w:r>
      <w:r w:rsidRPr="00172DB3">
        <w:rPr>
          <w:rStyle w:val="Hipervnculo"/>
          <w:rFonts w:ascii="Arial" w:hAnsi="Arial" w:cs="Arial"/>
          <w:color w:val="000000" w:themeColor="text1"/>
          <w:u w:val="none"/>
        </w:rPr>
        <w:t xml:space="preserve">https: //sede.uned.es/extras/sede/dir1995-46_part1_es.pdf </w:t>
      </w:r>
    </w:p>
    <w:p w:rsidR="00172DB3" w:rsidRPr="00172DB3" w:rsidRDefault="00172DB3" w:rsidP="00172DB3">
      <w:pPr>
        <w:spacing w:line="360" w:lineRule="auto"/>
        <w:jc w:val="both"/>
        <w:rPr>
          <w:rFonts w:ascii="Arial" w:hAnsi="Arial" w:cs="Arial"/>
          <w:color w:val="000000" w:themeColor="text1"/>
        </w:rPr>
      </w:pPr>
    </w:p>
    <w:p w:rsidR="00172DB3" w:rsidRPr="00172DB3" w:rsidRDefault="00172DB3" w:rsidP="00172DB3">
      <w:pPr>
        <w:spacing w:line="360" w:lineRule="auto"/>
        <w:ind w:left="709" w:hanging="709"/>
        <w:jc w:val="both"/>
        <w:rPr>
          <w:rFonts w:ascii="Arial" w:hAnsi="Arial" w:cs="Arial"/>
          <w:color w:val="000000" w:themeColor="text1"/>
          <w:lang w:val="en-US"/>
        </w:rPr>
      </w:pPr>
      <w:r w:rsidRPr="00172DB3">
        <w:rPr>
          <w:rFonts w:ascii="Arial" w:hAnsi="Arial" w:cs="Arial"/>
          <w:color w:val="000000" w:themeColor="text1"/>
        </w:rPr>
        <w:t xml:space="preserve">DIRECTIVA 2000/31/CE </w:t>
      </w:r>
      <w:r w:rsidRPr="00172DB3">
        <w:rPr>
          <w:rFonts w:ascii="Arial" w:hAnsi="Arial" w:cs="Arial"/>
          <w:i/>
          <w:color w:val="000000" w:themeColor="text1"/>
        </w:rPr>
        <w:t xml:space="preserve">del Parlamento Europeo y del Consejo, de 8 de junio de 2000, relativa a determinados aspectos jurídicos de los servicios de la sociedad de la información, en particular el comercio electrónico en el mercado interior (Directiva sobre el comercio electrónico). </w:t>
      </w:r>
      <w:r w:rsidRPr="00172DB3">
        <w:rPr>
          <w:rFonts w:ascii="Arial" w:hAnsi="Arial" w:cs="Arial"/>
          <w:color w:val="000000" w:themeColor="text1"/>
          <w:lang w:val="en-US"/>
        </w:rPr>
        <w:t xml:space="preserve">Del </w:t>
      </w:r>
      <w:proofErr w:type="spellStart"/>
      <w:r w:rsidRPr="00172DB3">
        <w:rPr>
          <w:rFonts w:ascii="Arial" w:hAnsi="Arial" w:cs="Arial"/>
          <w:color w:val="000000" w:themeColor="text1"/>
          <w:lang w:val="en-US"/>
        </w:rPr>
        <w:t>sitio</w:t>
      </w:r>
      <w:proofErr w:type="spellEnd"/>
      <w:r w:rsidRPr="00172DB3">
        <w:rPr>
          <w:rFonts w:ascii="Arial" w:hAnsi="Arial" w:cs="Arial"/>
          <w:color w:val="000000" w:themeColor="text1"/>
          <w:lang w:val="en-US"/>
        </w:rPr>
        <w:t xml:space="preserve"> web: HYPERLINK </w:t>
      </w:r>
      <w:hyperlink r:id="rId10" w:history="1">
        <w:r w:rsidRPr="00172DB3">
          <w:rPr>
            <w:rStyle w:val="Hipervnculo"/>
            <w:rFonts w:ascii="Arial" w:hAnsi="Arial" w:cs="Arial"/>
            <w:color w:val="000000" w:themeColor="text1"/>
            <w:u w:val="none"/>
            <w:lang w:val="en-US"/>
          </w:rPr>
          <w:t>http://eurlex.europa.eu/LexUriServ/LexUriServ.do?uri=CELEX:32000L0031:Es:HTML</w:t>
        </w:r>
      </w:hyperlink>
      <w:r w:rsidRPr="00172DB3">
        <w:rPr>
          <w:rFonts w:ascii="Arial" w:hAnsi="Arial" w:cs="Arial"/>
          <w:color w:val="000000" w:themeColor="text1"/>
          <w:lang w:val="en-US"/>
        </w:rPr>
        <w:t xml:space="preserve"> </w:t>
      </w:r>
      <w:r w:rsidRPr="00172DB3">
        <w:rPr>
          <w:rStyle w:val="Hipervnculo"/>
          <w:rFonts w:ascii="Arial" w:hAnsi="Arial" w:cs="Arial"/>
          <w:color w:val="000000" w:themeColor="text1"/>
          <w:u w:val="none"/>
          <w:lang w:val="en-US"/>
        </w:rPr>
        <w:t xml:space="preserve">http://eurlex.europa.eu/LexUriServ/LexUriServ.do?uri=CELEX:32000L0031:Es:HTML </w:t>
      </w:r>
    </w:p>
    <w:p w:rsidR="00172DB3" w:rsidRPr="00172DB3" w:rsidRDefault="00172DB3" w:rsidP="00172DB3">
      <w:pPr>
        <w:spacing w:line="360" w:lineRule="auto"/>
        <w:ind w:left="709" w:hanging="709"/>
        <w:jc w:val="both"/>
        <w:rPr>
          <w:rFonts w:ascii="Arial" w:hAnsi="Arial" w:cs="Arial"/>
          <w:color w:val="000000" w:themeColor="text1"/>
          <w:lang w:val="en-US"/>
        </w:rPr>
      </w:pPr>
    </w:p>
    <w:p w:rsidR="00172DB3" w:rsidRPr="00172DB3" w:rsidRDefault="00172DB3" w:rsidP="00172DB3">
      <w:pPr>
        <w:spacing w:line="360" w:lineRule="auto"/>
        <w:ind w:left="709" w:hanging="709"/>
        <w:jc w:val="both"/>
        <w:rPr>
          <w:rFonts w:ascii="Arial" w:hAnsi="Arial" w:cs="Arial"/>
          <w:color w:val="000000" w:themeColor="text1"/>
          <w:lang w:val="en-US"/>
        </w:rPr>
      </w:pPr>
      <w:r w:rsidRPr="00172DB3">
        <w:rPr>
          <w:rFonts w:ascii="Arial" w:hAnsi="Arial" w:cs="Arial"/>
          <w:color w:val="000000" w:themeColor="text1"/>
        </w:rPr>
        <w:t xml:space="preserve">DIRECTIVA 2002/58/CE </w:t>
      </w:r>
      <w:r w:rsidRPr="00172DB3">
        <w:rPr>
          <w:rFonts w:ascii="Arial" w:hAnsi="Arial" w:cs="Arial"/>
          <w:i/>
          <w:color w:val="000000" w:themeColor="text1"/>
        </w:rPr>
        <w:t>Del Parlamento Europeo y del Consejo de 12 de julio de 2002. Relativa al tratamiento de los datos personales y a la protección de la intimidad en el sector de las comunicaciones electrónicas (Directiva sobre la privacidad y las comunicaciones electrónicas).</w:t>
      </w:r>
      <w:r w:rsidRPr="00172DB3">
        <w:rPr>
          <w:rFonts w:ascii="Arial" w:hAnsi="Arial" w:cs="Arial"/>
          <w:color w:val="000000" w:themeColor="text1"/>
        </w:rPr>
        <w:t xml:space="preserve"> </w:t>
      </w:r>
      <w:r w:rsidRPr="00172DB3">
        <w:rPr>
          <w:rFonts w:ascii="Arial" w:hAnsi="Arial" w:cs="Arial"/>
          <w:color w:val="000000" w:themeColor="text1"/>
          <w:lang w:val="en-US"/>
        </w:rPr>
        <w:t xml:space="preserve">Del </w:t>
      </w:r>
      <w:proofErr w:type="spellStart"/>
      <w:r w:rsidRPr="00172DB3">
        <w:rPr>
          <w:rFonts w:ascii="Arial" w:hAnsi="Arial" w:cs="Arial"/>
          <w:color w:val="000000" w:themeColor="text1"/>
          <w:lang w:val="en-US"/>
        </w:rPr>
        <w:t>sitio</w:t>
      </w:r>
      <w:proofErr w:type="spellEnd"/>
      <w:r w:rsidRPr="00172DB3">
        <w:rPr>
          <w:rFonts w:ascii="Arial" w:hAnsi="Arial" w:cs="Arial"/>
          <w:color w:val="000000" w:themeColor="text1"/>
          <w:lang w:val="en-US"/>
        </w:rPr>
        <w:t xml:space="preserve"> web: HYPERLINK "http://eurlex.europa.eu/LexUriServ/LexUriServ.do?uri=OJ:L:2002:201:0037:0037:ES:PDF"</w:t>
      </w:r>
      <w:r w:rsidRPr="00172DB3">
        <w:rPr>
          <w:rStyle w:val="Hipervnculo"/>
          <w:rFonts w:ascii="Arial" w:hAnsi="Arial" w:cs="Arial"/>
          <w:color w:val="000000" w:themeColor="text1"/>
          <w:u w:val="none"/>
          <w:lang w:val="en-US"/>
        </w:rPr>
        <w:t xml:space="preserve">http://eurlex.europa.eu/LexUriServ/LexUriServ.do?uri=OJ:L:2002:201:0037:0037:ES:PDF </w:t>
      </w:r>
    </w:p>
    <w:p w:rsidR="00172DB3" w:rsidRPr="00172DB3" w:rsidRDefault="00172DB3" w:rsidP="00172DB3">
      <w:pPr>
        <w:spacing w:line="360" w:lineRule="auto"/>
        <w:rPr>
          <w:rFonts w:ascii="Arial" w:hAnsi="Arial" w:cs="Arial"/>
          <w:color w:val="000000" w:themeColor="text1"/>
          <w:lang w:val="en-US"/>
        </w:rPr>
      </w:pPr>
    </w:p>
    <w:p w:rsidR="00172DB3" w:rsidRPr="00172DB3" w:rsidRDefault="00172DB3" w:rsidP="00172DB3">
      <w:pPr>
        <w:pStyle w:val="Bibliografa"/>
        <w:spacing w:line="360" w:lineRule="auto"/>
        <w:ind w:left="720" w:hanging="720"/>
        <w:rPr>
          <w:rFonts w:ascii="Arial" w:hAnsi="Arial" w:cs="Arial"/>
          <w:noProof/>
          <w:color w:val="000000" w:themeColor="text1"/>
          <w:sz w:val="24"/>
          <w:szCs w:val="24"/>
          <w:lang w:val="es-ES"/>
        </w:rPr>
      </w:pPr>
      <w:r w:rsidRPr="00172DB3">
        <w:rPr>
          <w:rFonts w:ascii="Arial" w:hAnsi="Arial" w:cs="Arial"/>
          <w:noProof/>
          <w:color w:val="000000" w:themeColor="text1"/>
          <w:sz w:val="24"/>
          <w:szCs w:val="24"/>
          <w:lang w:val="es-ES"/>
        </w:rPr>
        <w:t xml:space="preserve">Eugenia, C. M. (2005). </w:t>
      </w:r>
      <w:r w:rsidRPr="00172DB3">
        <w:rPr>
          <w:rFonts w:ascii="Arial" w:hAnsi="Arial" w:cs="Arial"/>
          <w:i/>
          <w:iCs/>
          <w:noProof/>
          <w:color w:val="000000" w:themeColor="text1"/>
          <w:sz w:val="24"/>
          <w:szCs w:val="24"/>
          <w:lang w:val="es-ES"/>
        </w:rPr>
        <w:t>El arbitraje virtual como medio alternativo para la resolución de conflictos surgidos en el comercio electronico y su legalidad en la normativa vigente venezolana.</w:t>
      </w:r>
      <w:r w:rsidRPr="00172DB3">
        <w:rPr>
          <w:rFonts w:ascii="Arial" w:hAnsi="Arial" w:cs="Arial"/>
          <w:noProof/>
          <w:color w:val="000000" w:themeColor="text1"/>
          <w:sz w:val="24"/>
          <w:szCs w:val="24"/>
          <w:lang w:val="es-ES"/>
        </w:rPr>
        <w:t xml:space="preserve"> Maracaibo, Venezuela: Universidad Rafael Belloso Chacín.</w:t>
      </w:r>
    </w:p>
    <w:p w:rsidR="00172DB3" w:rsidRPr="00172DB3" w:rsidRDefault="00172DB3" w:rsidP="00172DB3">
      <w:pPr>
        <w:pStyle w:val="Bibliografa"/>
        <w:spacing w:before="240" w:line="360" w:lineRule="auto"/>
        <w:ind w:left="720" w:hanging="720"/>
        <w:rPr>
          <w:rFonts w:ascii="Arial" w:hAnsi="Arial" w:cs="Arial"/>
          <w:noProof/>
          <w:color w:val="000000" w:themeColor="text1"/>
          <w:sz w:val="24"/>
          <w:szCs w:val="24"/>
          <w:lang w:val="es-ES"/>
        </w:rPr>
      </w:pPr>
      <w:r w:rsidRPr="00172DB3">
        <w:rPr>
          <w:rFonts w:ascii="Arial" w:hAnsi="Arial" w:cs="Arial"/>
          <w:noProof/>
          <w:color w:val="000000" w:themeColor="text1"/>
          <w:sz w:val="24"/>
          <w:szCs w:val="24"/>
          <w:lang w:val="es-ES"/>
        </w:rPr>
        <w:t xml:space="preserve">GARCIA, J. I. (2004). </w:t>
      </w:r>
      <w:r w:rsidRPr="00172DB3">
        <w:rPr>
          <w:rFonts w:ascii="Arial" w:hAnsi="Arial" w:cs="Arial"/>
          <w:i/>
          <w:noProof/>
          <w:color w:val="000000" w:themeColor="text1"/>
          <w:sz w:val="24"/>
          <w:szCs w:val="24"/>
          <w:lang w:val="es-ES"/>
        </w:rPr>
        <w:t xml:space="preserve">Tratado sobre conciliación. . En J. I. GARCIA. Bogotá D.C.: LEYER. </w:t>
      </w:r>
    </w:p>
    <w:p w:rsidR="00172DB3" w:rsidRPr="00172DB3" w:rsidRDefault="00172DB3" w:rsidP="00172DB3">
      <w:pPr>
        <w:spacing w:before="240"/>
        <w:ind w:left="709" w:hanging="709"/>
        <w:rPr>
          <w:rFonts w:ascii="Arial" w:hAnsi="Arial" w:cs="Arial"/>
          <w:color w:val="000000" w:themeColor="text1"/>
        </w:rPr>
      </w:pPr>
      <w:r w:rsidRPr="00172DB3">
        <w:rPr>
          <w:rFonts w:ascii="Arial" w:hAnsi="Arial" w:cs="Arial"/>
          <w:color w:val="000000" w:themeColor="text1"/>
        </w:rPr>
        <w:lastRenderedPageBreak/>
        <w:t xml:space="preserve">GIRALDO, J. A (2002). </w:t>
      </w:r>
      <w:r w:rsidRPr="00172DB3">
        <w:rPr>
          <w:rFonts w:ascii="Arial" w:hAnsi="Arial" w:cs="Arial"/>
          <w:i/>
          <w:color w:val="000000" w:themeColor="text1"/>
        </w:rPr>
        <w:t xml:space="preserve">Metodología y técnica de la Investigación </w:t>
      </w:r>
      <w:proofErr w:type="spellStart"/>
      <w:r w:rsidRPr="00172DB3">
        <w:rPr>
          <w:rFonts w:ascii="Arial" w:hAnsi="Arial" w:cs="Arial"/>
          <w:i/>
          <w:color w:val="000000" w:themeColor="text1"/>
        </w:rPr>
        <w:t>Sociojurídica</w:t>
      </w:r>
      <w:proofErr w:type="spellEnd"/>
      <w:r w:rsidRPr="00172DB3">
        <w:rPr>
          <w:rFonts w:ascii="Arial" w:hAnsi="Arial" w:cs="Arial"/>
          <w:i/>
          <w:color w:val="000000" w:themeColor="text1"/>
        </w:rPr>
        <w:t>. Bogotá. Librería de los profesionales.</w:t>
      </w:r>
    </w:p>
    <w:p w:rsidR="00172DB3" w:rsidRPr="00172DB3" w:rsidRDefault="00172DB3" w:rsidP="00172DB3">
      <w:pPr>
        <w:pStyle w:val="Bibliografa"/>
        <w:spacing w:before="240" w:line="360" w:lineRule="auto"/>
        <w:ind w:left="720" w:hanging="720"/>
        <w:rPr>
          <w:rFonts w:ascii="Arial" w:hAnsi="Arial" w:cs="Arial"/>
          <w:noProof/>
          <w:color w:val="000000" w:themeColor="text1"/>
          <w:sz w:val="24"/>
          <w:szCs w:val="24"/>
          <w:lang w:val="es-ES"/>
        </w:rPr>
      </w:pPr>
      <w:r w:rsidRPr="00172DB3">
        <w:rPr>
          <w:rFonts w:ascii="Arial" w:hAnsi="Arial" w:cs="Arial"/>
          <w:noProof/>
          <w:color w:val="000000" w:themeColor="text1"/>
          <w:sz w:val="24"/>
          <w:szCs w:val="24"/>
          <w:lang w:val="es-ES"/>
        </w:rPr>
        <w:t xml:space="preserve">GUASP, J. (19945). </w:t>
      </w:r>
      <w:r w:rsidRPr="00172DB3">
        <w:rPr>
          <w:rFonts w:ascii="Arial" w:hAnsi="Arial" w:cs="Arial"/>
          <w:i/>
          <w:noProof/>
          <w:color w:val="000000" w:themeColor="text1"/>
          <w:sz w:val="24"/>
          <w:szCs w:val="24"/>
          <w:lang w:val="es-ES"/>
        </w:rPr>
        <w:t>Comentarios a la ley de enjuiciamiento civil Tomo II. En J. GUASP. Madrid.</w:t>
      </w:r>
    </w:p>
    <w:p w:rsidR="00172DB3" w:rsidRPr="00172DB3" w:rsidRDefault="00172DB3" w:rsidP="00172DB3">
      <w:pPr>
        <w:pStyle w:val="Bibliografa"/>
        <w:spacing w:line="360" w:lineRule="auto"/>
        <w:ind w:left="720" w:hanging="720"/>
        <w:rPr>
          <w:rFonts w:ascii="Arial" w:hAnsi="Arial" w:cs="Arial"/>
          <w:noProof/>
          <w:color w:val="000000" w:themeColor="text1"/>
          <w:sz w:val="24"/>
          <w:szCs w:val="24"/>
          <w:lang w:val="es-ES"/>
        </w:rPr>
      </w:pPr>
      <w:r w:rsidRPr="00172DB3">
        <w:rPr>
          <w:rFonts w:ascii="Arial" w:hAnsi="Arial" w:cs="Arial"/>
          <w:noProof/>
          <w:color w:val="000000" w:themeColor="text1"/>
          <w:sz w:val="24"/>
          <w:szCs w:val="24"/>
          <w:lang w:val="es-ES"/>
        </w:rPr>
        <w:t xml:space="preserve">HERIBERTO, G. P. (s.f.). </w:t>
      </w:r>
      <w:r w:rsidRPr="00172DB3">
        <w:rPr>
          <w:rFonts w:ascii="Arial" w:hAnsi="Arial" w:cs="Arial"/>
          <w:i/>
          <w:iCs/>
          <w:noProof/>
          <w:color w:val="000000" w:themeColor="text1"/>
          <w:sz w:val="24"/>
          <w:szCs w:val="24"/>
          <w:lang w:val="es-ES"/>
        </w:rPr>
        <w:t>Solución de Controversias comerciales online: algunos comentarios y reflexiones a la luz del derecho internacional.</w:t>
      </w:r>
      <w:r w:rsidRPr="00172DB3">
        <w:rPr>
          <w:rFonts w:ascii="Arial" w:hAnsi="Arial" w:cs="Arial"/>
          <w:noProof/>
          <w:color w:val="000000" w:themeColor="text1"/>
          <w:sz w:val="24"/>
          <w:szCs w:val="24"/>
          <w:lang w:val="es-ES"/>
        </w:rPr>
        <w:t xml:space="preserve"> Mexico, DF: Instituto de Investigaciones Juridicas Universidad Autonoma de Mexico.</w:t>
      </w:r>
    </w:p>
    <w:p w:rsidR="00172DB3" w:rsidRPr="00172DB3" w:rsidRDefault="00172DB3" w:rsidP="00172DB3">
      <w:pPr>
        <w:spacing w:line="360" w:lineRule="auto"/>
        <w:jc w:val="both"/>
        <w:rPr>
          <w:rFonts w:ascii="Arial" w:hAnsi="Arial" w:cs="Arial"/>
          <w:color w:val="000000" w:themeColor="text1"/>
        </w:rPr>
      </w:pPr>
      <w:r w:rsidRPr="00172DB3">
        <w:rPr>
          <w:rFonts w:ascii="Arial" w:hAnsi="Arial" w:cs="Arial"/>
          <w:color w:val="000000" w:themeColor="text1"/>
        </w:rPr>
        <w:t>Ley 13 de 1825.</w:t>
      </w:r>
    </w:p>
    <w:p w:rsidR="00172DB3" w:rsidRPr="00172DB3" w:rsidRDefault="00172DB3" w:rsidP="00172DB3">
      <w:pPr>
        <w:spacing w:before="240" w:line="360" w:lineRule="auto"/>
        <w:ind w:left="709" w:hanging="709"/>
        <w:jc w:val="both"/>
        <w:rPr>
          <w:rFonts w:ascii="Arial" w:hAnsi="Arial" w:cs="Arial"/>
          <w:color w:val="000000" w:themeColor="text1"/>
          <w:lang w:eastAsia="es-CO"/>
        </w:rPr>
      </w:pPr>
      <w:r w:rsidRPr="00172DB3">
        <w:rPr>
          <w:rFonts w:ascii="Arial" w:hAnsi="Arial" w:cs="Arial"/>
          <w:color w:val="000000" w:themeColor="text1"/>
          <w:shd w:val="clear" w:color="auto" w:fill="FFFFFF"/>
        </w:rPr>
        <w:t xml:space="preserve">Ley 192 de 1995, </w:t>
      </w:r>
      <w:r w:rsidRPr="00172DB3">
        <w:rPr>
          <w:rFonts w:ascii="Arial" w:hAnsi="Arial" w:cs="Arial"/>
          <w:i/>
          <w:color w:val="000000" w:themeColor="text1"/>
          <w:lang w:eastAsia="es-CO"/>
        </w:rPr>
        <w:t>Por medio de la cual se prorroga por un (1) año la vigencia del Decreto 2651 de noviembre 25 de 1991, sobre descongestión de la justicia. Diario Oficial No. 41.910, de 29 de junio de 1995</w:t>
      </w:r>
    </w:p>
    <w:p w:rsidR="00172DB3" w:rsidRPr="00172DB3" w:rsidRDefault="00172DB3" w:rsidP="00172DB3">
      <w:pPr>
        <w:pStyle w:val="Bibliografa"/>
        <w:spacing w:before="240" w:line="360" w:lineRule="auto"/>
        <w:ind w:left="720" w:hanging="720"/>
        <w:rPr>
          <w:rFonts w:ascii="Arial" w:hAnsi="Arial" w:cs="Arial"/>
          <w:noProof/>
          <w:color w:val="000000" w:themeColor="text1"/>
          <w:sz w:val="24"/>
          <w:szCs w:val="24"/>
          <w:lang w:val="es-ES"/>
        </w:rPr>
      </w:pPr>
      <w:r w:rsidRPr="00172DB3">
        <w:rPr>
          <w:rFonts w:ascii="Arial" w:hAnsi="Arial" w:cs="Arial"/>
          <w:noProof/>
          <w:color w:val="000000" w:themeColor="text1"/>
          <w:sz w:val="24"/>
          <w:szCs w:val="24"/>
          <w:lang w:val="es-ES"/>
        </w:rPr>
        <w:t>Ley 270. (1996). Bogotá.</w:t>
      </w:r>
    </w:p>
    <w:p w:rsidR="00172DB3" w:rsidRPr="00172DB3" w:rsidRDefault="00172DB3" w:rsidP="00172DB3">
      <w:pPr>
        <w:spacing w:line="360" w:lineRule="auto"/>
        <w:ind w:left="709" w:hanging="709"/>
        <w:jc w:val="both"/>
        <w:rPr>
          <w:rFonts w:ascii="Arial" w:hAnsi="Arial" w:cs="Arial"/>
          <w:color w:val="000000" w:themeColor="text1"/>
          <w:lang w:eastAsia="es-CO"/>
        </w:rPr>
      </w:pPr>
      <w:r w:rsidRPr="00172DB3">
        <w:rPr>
          <w:rFonts w:ascii="Arial" w:hAnsi="Arial" w:cs="Arial"/>
          <w:color w:val="000000" w:themeColor="text1"/>
        </w:rPr>
        <w:t xml:space="preserve">Ley 640 del 2001. </w:t>
      </w:r>
      <w:r w:rsidRPr="00172DB3">
        <w:rPr>
          <w:rFonts w:ascii="Arial" w:hAnsi="Arial" w:cs="Arial"/>
          <w:i/>
          <w:color w:val="000000" w:themeColor="text1"/>
        </w:rPr>
        <w:t xml:space="preserve">Por la cual se modifican normas relativas a la conciliación y se dictan otras disposiciones. Enero 5. </w:t>
      </w:r>
      <w:r w:rsidRPr="00172DB3">
        <w:rPr>
          <w:rFonts w:ascii="Arial" w:hAnsi="Arial" w:cs="Arial"/>
          <w:i/>
          <w:color w:val="000000" w:themeColor="text1"/>
          <w:lang w:eastAsia="es-CO"/>
        </w:rPr>
        <w:t>Diario Oficial No. 44.303 de 24 de enero de 2001.</w:t>
      </w:r>
    </w:p>
    <w:p w:rsidR="00172DB3" w:rsidRPr="00172DB3" w:rsidRDefault="00172DB3" w:rsidP="00172DB3">
      <w:pPr>
        <w:spacing w:before="240" w:line="360" w:lineRule="auto"/>
        <w:ind w:left="709" w:hanging="709"/>
        <w:jc w:val="both"/>
        <w:rPr>
          <w:rFonts w:ascii="Arial" w:hAnsi="Arial" w:cs="Arial"/>
          <w:i/>
          <w:color w:val="000000" w:themeColor="text1"/>
        </w:rPr>
      </w:pPr>
      <w:r w:rsidRPr="00172DB3">
        <w:rPr>
          <w:rFonts w:ascii="Arial" w:hAnsi="Arial" w:cs="Arial"/>
          <w:color w:val="000000" w:themeColor="text1"/>
          <w:lang w:eastAsia="es-CO"/>
        </w:rPr>
        <w:t>LEY 1266 DE 2008.</w:t>
      </w:r>
      <w:r w:rsidRPr="00172DB3">
        <w:rPr>
          <w:rFonts w:ascii="Arial" w:hAnsi="Arial" w:cs="Arial"/>
          <w:color w:val="000000" w:themeColor="text1"/>
        </w:rPr>
        <w:t xml:space="preserve"> </w:t>
      </w:r>
      <w:r w:rsidRPr="00172DB3">
        <w:rPr>
          <w:rFonts w:ascii="Arial" w:hAnsi="Arial" w:cs="Arial"/>
          <w:i/>
          <w:color w:val="000000" w:themeColor="text1"/>
        </w:rPr>
        <w:t>Por la cual se dictan las disposiciones generales del hábeas data y se regula el manejo de la información contenida en bases de datos personales, en especial la financiera, crediticia, comercial, de servicios y la proveniente de terceros países y se dictan otras disposiciones. Diciembre 31. Diario Oficial No. 47.219 de 31 de diciembre de 2008.</w:t>
      </w:r>
    </w:p>
    <w:p w:rsidR="00172DB3" w:rsidRPr="00172DB3" w:rsidRDefault="00172DB3" w:rsidP="00172DB3">
      <w:pPr>
        <w:spacing w:before="240" w:line="360" w:lineRule="auto"/>
        <w:ind w:left="709" w:hanging="709"/>
        <w:jc w:val="both"/>
        <w:rPr>
          <w:rFonts w:ascii="Arial" w:hAnsi="Arial" w:cs="Arial"/>
          <w:color w:val="000000" w:themeColor="text1"/>
          <w:lang w:eastAsia="es-CO"/>
        </w:rPr>
      </w:pPr>
      <w:r w:rsidRPr="00172DB3">
        <w:rPr>
          <w:rFonts w:ascii="Arial" w:hAnsi="Arial" w:cs="Arial"/>
          <w:color w:val="000000" w:themeColor="text1"/>
        </w:rPr>
        <w:t xml:space="preserve">LEY 1581 DE 2012. </w:t>
      </w:r>
      <w:r w:rsidRPr="00172DB3">
        <w:rPr>
          <w:rFonts w:ascii="Arial" w:hAnsi="Arial" w:cs="Arial"/>
          <w:i/>
          <w:color w:val="000000" w:themeColor="text1"/>
        </w:rPr>
        <w:t xml:space="preserve">Por la cual se dictan disposiciones generales para la protección de datos personales. </w:t>
      </w:r>
      <w:r w:rsidRPr="00172DB3">
        <w:rPr>
          <w:rFonts w:ascii="Arial" w:hAnsi="Arial" w:cs="Arial"/>
          <w:i/>
          <w:color w:val="000000" w:themeColor="text1"/>
          <w:lang w:eastAsia="es-CO"/>
        </w:rPr>
        <w:t>Octubre 17. Diario Oficial No. 48.587 de 18 de octubre de 2012.</w:t>
      </w:r>
    </w:p>
    <w:p w:rsidR="00172DB3" w:rsidRPr="00172DB3" w:rsidRDefault="00172DB3" w:rsidP="00172DB3">
      <w:pPr>
        <w:pStyle w:val="Bibliografa"/>
        <w:spacing w:before="240" w:line="360" w:lineRule="auto"/>
        <w:ind w:left="720" w:hanging="720"/>
        <w:rPr>
          <w:rFonts w:ascii="Arial" w:hAnsi="Arial" w:cs="Arial"/>
          <w:noProof/>
          <w:color w:val="000000" w:themeColor="text1"/>
          <w:sz w:val="24"/>
          <w:szCs w:val="24"/>
          <w:lang w:val="es-ES"/>
        </w:rPr>
      </w:pPr>
      <w:r w:rsidRPr="00172DB3">
        <w:rPr>
          <w:rFonts w:ascii="Arial" w:hAnsi="Arial" w:cs="Arial"/>
          <w:noProof/>
          <w:color w:val="000000" w:themeColor="text1"/>
          <w:sz w:val="24"/>
          <w:szCs w:val="24"/>
          <w:lang w:val="es-ES"/>
        </w:rPr>
        <w:t xml:space="preserve">MERCADO, H. H. (1999). </w:t>
      </w:r>
      <w:r w:rsidRPr="00172DB3">
        <w:rPr>
          <w:rFonts w:ascii="Arial" w:hAnsi="Arial" w:cs="Arial"/>
          <w:i/>
          <w:iCs/>
          <w:noProof/>
          <w:color w:val="000000" w:themeColor="text1"/>
          <w:sz w:val="24"/>
          <w:szCs w:val="24"/>
          <w:lang w:val="es-ES"/>
        </w:rPr>
        <w:t>ESTADO DE LOS METODOS ALTERNATIVOS DE SOLUCION DE CONFLICTOS EN COLOMBIA.</w:t>
      </w:r>
      <w:r w:rsidRPr="00172DB3">
        <w:rPr>
          <w:rFonts w:ascii="Arial" w:hAnsi="Arial" w:cs="Arial"/>
          <w:noProof/>
          <w:color w:val="000000" w:themeColor="text1"/>
          <w:sz w:val="24"/>
          <w:szCs w:val="24"/>
          <w:lang w:val="es-ES"/>
        </w:rPr>
        <w:t xml:space="preserve"> Obtenido de http://projusticia.org.pe/Informes/Reforma/Solucion_Conflictos_Colombia.pdf.</w:t>
      </w:r>
    </w:p>
    <w:p w:rsidR="00172DB3" w:rsidRPr="00172DB3" w:rsidRDefault="00172DB3" w:rsidP="00172DB3">
      <w:pPr>
        <w:pStyle w:val="Bibliografa"/>
        <w:spacing w:before="240" w:line="360" w:lineRule="auto"/>
        <w:ind w:left="720" w:hanging="720"/>
        <w:rPr>
          <w:rFonts w:ascii="Arial" w:hAnsi="Arial" w:cs="Arial"/>
          <w:noProof/>
          <w:color w:val="000000" w:themeColor="text1"/>
          <w:sz w:val="24"/>
          <w:szCs w:val="24"/>
          <w:lang w:val="es-ES"/>
        </w:rPr>
      </w:pPr>
      <w:r w:rsidRPr="00172DB3">
        <w:rPr>
          <w:rFonts w:ascii="Arial" w:hAnsi="Arial" w:cs="Arial"/>
          <w:noProof/>
          <w:color w:val="000000" w:themeColor="text1"/>
          <w:sz w:val="24"/>
          <w:szCs w:val="24"/>
          <w:lang w:val="es-ES"/>
        </w:rPr>
        <w:lastRenderedPageBreak/>
        <w:t xml:space="preserve">OJEDA, R. N. (2009). </w:t>
      </w:r>
      <w:r w:rsidRPr="00172DB3">
        <w:rPr>
          <w:rFonts w:ascii="Arial" w:hAnsi="Arial" w:cs="Arial"/>
          <w:i/>
          <w:noProof/>
          <w:color w:val="000000" w:themeColor="text1"/>
          <w:sz w:val="24"/>
          <w:szCs w:val="24"/>
          <w:lang w:val="es-ES"/>
        </w:rPr>
        <w:t xml:space="preserve">Negociación, mediación y conciliación: como métodos alternativos de solución de controversias. En R. N. OJEDA, </w:t>
      </w:r>
      <w:r w:rsidRPr="00172DB3">
        <w:rPr>
          <w:rFonts w:ascii="Arial" w:hAnsi="Arial" w:cs="Arial"/>
          <w:i/>
          <w:iCs/>
          <w:noProof/>
          <w:color w:val="000000" w:themeColor="text1"/>
          <w:sz w:val="24"/>
          <w:szCs w:val="24"/>
          <w:lang w:val="es-ES"/>
        </w:rPr>
        <w:t>Negociación, mediación y conciliación: como métodos alternativos de solución de controversias.</w:t>
      </w:r>
      <w:r w:rsidRPr="00172DB3">
        <w:rPr>
          <w:rFonts w:ascii="Arial" w:hAnsi="Arial" w:cs="Arial"/>
          <w:i/>
          <w:noProof/>
          <w:color w:val="000000" w:themeColor="text1"/>
          <w:sz w:val="24"/>
          <w:szCs w:val="24"/>
          <w:lang w:val="es-ES"/>
        </w:rPr>
        <w:t xml:space="preserve"> Bogotá D.C.: LEYER.</w:t>
      </w:r>
    </w:p>
    <w:p w:rsidR="00172DB3" w:rsidRPr="00172DB3" w:rsidRDefault="00172DB3" w:rsidP="00172DB3">
      <w:pPr>
        <w:spacing w:before="240" w:line="360" w:lineRule="auto"/>
        <w:ind w:left="709" w:hanging="709"/>
        <w:jc w:val="both"/>
        <w:rPr>
          <w:rFonts w:ascii="Arial" w:hAnsi="Arial" w:cs="Arial"/>
          <w:color w:val="000000" w:themeColor="text1"/>
          <w:shd w:val="clear" w:color="auto" w:fill="FFFFFF"/>
        </w:rPr>
      </w:pPr>
      <w:r w:rsidRPr="00172DB3">
        <w:rPr>
          <w:rFonts w:ascii="Arial" w:hAnsi="Arial" w:cs="Arial"/>
          <w:color w:val="000000" w:themeColor="text1"/>
          <w:shd w:val="clear" w:color="auto" w:fill="FFFFFF"/>
        </w:rPr>
        <w:t xml:space="preserve">Resolución de 800 de 2000. </w:t>
      </w:r>
      <w:r w:rsidRPr="00172DB3">
        <w:rPr>
          <w:rFonts w:ascii="Arial" w:hAnsi="Arial" w:cs="Arial"/>
          <w:color w:val="000000" w:themeColor="text1"/>
        </w:rPr>
        <w:t>Por la cual se establecen los requisitos para la creación de centros de conciliación y/o arbitraje. Diario Oficial No. 44.182, del 03 de octubre de 2000.</w:t>
      </w:r>
    </w:p>
    <w:p w:rsidR="00172DB3" w:rsidRPr="00172DB3" w:rsidRDefault="00172DB3" w:rsidP="00172DB3">
      <w:pPr>
        <w:spacing w:before="240" w:line="360" w:lineRule="auto"/>
        <w:ind w:left="709" w:hanging="709"/>
        <w:jc w:val="both"/>
        <w:rPr>
          <w:rFonts w:ascii="Arial" w:hAnsi="Arial" w:cs="Arial"/>
          <w:color w:val="000000" w:themeColor="text1"/>
        </w:rPr>
      </w:pPr>
      <w:r w:rsidRPr="00172DB3">
        <w:rPr>
          <w:rFonts w:ascii="Arial" w:hAnsi="Arial" w:cs="Arial"/>
          <w:color w:val="000000" w:themeColor="text1"/>
        </w:rPr>
        <w:t>Sentencia C- 160 de 1999.</w:t>
      </w:r>
      <w:r w:rsidRPr="00172DB3">
        <w:rPr>
          <w:rStyle w:val="Textoennegrita"/>
          <w:rFonts w:ascii="Arial" w:hAnsi="Arial" w:cs="Arial"/>
          <w:color w:val="000000" w:themeColor="text1"/>
        </w:rPr>
        <w:t xml:space="preserve"> </w:t>
      </w:r>
      <w:r w:rsidRPr="00172DB3">
        <w:rPr>
          <w:rFonts w:ascii="Arial" w:hAnsi="Arial" w:cs="Arial"/>
          <w:i/>
          <w:color w:val="000000" w:themeColor="text1"/>
        </w:rPr>
        <w:t>Magistrado Ponente; Dr. Antonio Barrera Carbonell. 17/03/1999</w:t>
      </w:r>
    </w:p>
    <w:p w:rsidR="00172DB3" w:rsidRPr="00172DB3" w:rsidRDefault="00172DB3" w:rsidP="00172DB3">
      <w:pPr>
        <w:pStyle w:val="Textoindependiente2"/>
        <w:shd w:val="clear" w:color="auto" w:fill="FFFFFF"/>
        <w:spacing w:before="240" w:after="0" w:line="360" w:lineRule="auto"/>
        <w:ind w:left="709" w:hanging="709"/>
        <w:jc w:val="both"/>
        <w:rPr>
          <w:rFonts w:ascii="Arial" w:hAnsi="Arial" w:cs="Arial"/>
          <w:color w:val="000000" w:themeColor="text1"/>
        </w:rPr>
      </w:pPr>
      <w:r w:rsidRPr="00172DB3">
        <w:rPr>
          <w:rFonts w:ascii="Arial" w:hAnsi="Arial" w:cs="Arial"/>
          <w:color w:val="000000" w:themeColor="text1"/>
        </w:rPr>
        <w:t xml:space="preserve">Sentencia C- 1195 de 2001. </w:t>
      </w:r>
      <w:r w:rsidRPr="00172DB3">
        <w:rPr>
          <w:rFonts w:ascii="Arial" w:hAnsi="Arial" w:cs="Arial"/>
          <w:i/>
          <w:color w:val="000000" w:themeColor="text1"/>
        </w:rPr>
        <w:t>Magistrados Ponentes; Dr. Manuel José Cepeda Espinosa, Dr. Marco Gerardo Monroy Cabra. 15/11/2001.</w:t>
      </w:r>
    </w:p>
    <w:p w:rsidR="00172DB3" w:rsidRPr="00172DB3" w:rsidRDefault="00172DB3" w:rsidP="00172DB3">
      <w:pPr>
        <w:spacing w:before="240" w:line="360" w:lineRule="auto"/>
        <w:jc w:val="both"/>
        <w:rPr>
          <w:rFonts w:ascii="Arial" w:hAnsi="Arial" w:cs="Arial"/>
          <w:color w:val="000000" w:themeColor="text1"/>
        </w:rPr>
      </w:pPr>
      <w:r w:rsidRPr="00172DB3">
        <w:rPr>
          <w:rFonts w:ascii="Arial" w:hAnsi="Arial" w:cs="Arial"/>
          <w:color w:val="000000" w:themeColor="text1"/>
        </w:rPr>
        <w:t xml:space="preserve"> </w:t>
      </w:r>
    </w:p>
    <w:p w:rsidR="000C3E7A" w:rsidRPr="00172DB3" w:rsidRDefault="000C3E7A">
      <w:pPr>
        <w:rPr>
          <w:color w:val="000000" w:themeColor="text1"/>
        </w:rPr>
      </w:pPr>
    </w:p>
    <w:sectPr w:rsidR="000C3E7A" w:rsidRPr="00172DB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71D9" w:rsidRDefault="009F71D9" w:rsidP="00172DB3">
      <w:r>
        <w:separator/>
      </w:r>
    </w:p>
  </w:endnote>
  <w:endnote w:type="continuationSeparator" w:id="0">
    <w:p w:rsidR="009F71D9" w:rsidRDefault="009F71D9" w:rsidP="00172D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71D9" w:rsidRDefault="009F71D9" w:rsidP="00172DB3">
      <w:r>
        <w:separator/>
      </w:r>
    </w:p>
  </w:footnote>
  <w:footnote w:type="continuationSeparator" w:id="0">
    <w:p w:rsidR="009F71D9" w:rsidRDefault="009F71D9" w:rsidP="00172DB3">
      <w:r>
        <w:continuationSeparator/>
      </w:r>
    </w:p>
  </w:footnote>
  <w:footnote w:id="1">
    <w:p w:rsidR="00172DB3" w:rsidRDefault="00172DB3" w:rsidP="00172DB3">
      <w:pPr>
        <w:pStyle w:val="Textonotapie"/>
      </w:pPr>
      <w:r>
        <w:rPr>
          <w:rStyle w:val="Refdenotaalpie"/>
        </w:rPr>
        <w:footnoteRef/>
      </w:r>
      <w:r>
        <w:t xml:space="preserve"> Estudiante de séptimo semestre de la </w:t>
      </w:r>
      <w:r w:rsidRPr="008708BA">
        <w:t xml:space="preserve">Universidad Santo Tomas, en la facultad de derecho, que pertenece al semillero de </w:t>
      </w:r>
      <w:r w:rsidRPr="008708BA">
        <w:rPr>
          <w:rFonts w:cs="Arial"/>
          <w:lang w:val="es-PE"/>
        </w:rPr>
        <w:t>Resolución de Conflictos en Línea. Contacto: 317-8955761. E-mail: tatiimons@gmail.com</w:t>
      </w:r>
    </w:p>
  </w:footnote>
  <w:footnote w:id="2">
    <w:p w:rsidR="00172DB3" w:rsidRPr="008708BA" w:rsidRDefault="00172DB3" w:rsidP="00172DB3">
      <w:pPr>
        <w:pStyle w:val="Textonotapie"/>
        <w:rPr>
          <w:rFonts w:cs="Arial"/>
          <w:lang w:val="es-PE"/>
        </w:rPr>
      </w:pPr>
      <w:r>
        <w:rPr>
          <w:rStyle w:val="Refdenotaalpie"/>
        </w:rPr>
        <w:footnoteRef/>
      </w:r>
      <w:r>
        <w:t xml:space="preserve"> Estudiante de séptimo semestre de la </w:t>
      </w:r>
      <w:r w:rsidRPr="008708BA">
        <w:t xml:space="preserve">Universidad Santo Tomas, en la facultad de derecho, que pertenece al semillero de </w:t>
      </w:r>
      <w:r w:rsidRPr="008708BA">
        <w:rPr>
          <w:rFonts w:cs="Arial"/>
          <w:lang w:val="es-PE"/>
        </w:rPr>
        <w:t>Resolución de Conflictos en Línea. Contacto: 314-4786529.E-mail: paomoracordoba@hotmail.com</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CD36E51"/>
    <w:multiLevelType w:val="hybridMultilevel"/>
    <w:tmpl w:val="156E9FC4"/>
    <w:lvl w:ilvl="0" w:tplc="8AC6795A">
      <w:start w:val="1"/>
      <w:numFmt w:val="upperRoman"/>
      <w:lvlText w:val="%1."/>
      <w:lvlJc w:val="left"/>
      <w:pPr>
        <w:ind w:left="0" w:hanging="720"/>
      </w:pPr>
      <w:rPr>
        <w:rFonts w:hint="default"/>
      </w:rPr>
    </w:lvl>
    <w:lvl w:ilvl="1" w:tplc="240A0019">
      <w:start w:val="1"/>
      <w:numFmt w:val="lowerLetter"/>
      <w:lvlText w:val="%2."/>
      <w:lvlJc w:val="left"/>
      <w:pPr>
        <w:ind w:left="360" w:hanging="360"/>
      </w:pPr>
    </w:lvl>
    <w:lvl w:ilvl="2" w:tplc="240A001B" w:tentative="1">
      <w:start w:val="1"/>
      <w:numFmt w:val="lowerRoman"/>
      <w:lvlText w:val="%3."/>
      <w:lvlJc w:val="right"/>
      <w:pPr>
        <w:ind w:left="1080" w:hanging="180"/>
      </w:pPr>
    </w:lvl>
    <w:lvl w:ilvl="3" w:tplc="240A000F" w:tentative="1">
      <w:start w:val="1"/>
      <w:numFmt w:val="decimal"/>
      <w:lvlText w:val="%4."/>
      <w:lvlJc w:val="left"/>
      <w:pPr>
        <w:ind w:left="1800" w:hanging="360"/>
      </w:pPr>
    </w:lvl>
    <w:lvl w:ilvl="4" w:tplc="240A0019" w:tentative="1">
      <w:start w:val="1"/>
      <w:numFmt w:val="lowerLetter"/>
      <w:lvlText w:val="%5."/>
      <w:lvlJc w:val="left"/>
      <w:pPr>
        <w:ind w:left="2520" w:hanging="360"/>
      </w:pPr>
    </w:lvl>
    <w:lvl w:ilvl="5" w:tplc="240A001B" w:tentative="1">
      <w:start w:val="1"/>
      <w:numFmt w:val="lowerRoman"/>
      <w:lvlText w:val="%6."/>
      <w:lvlJc w:val="right"/>
      <w:pPr>
        <w:ind w:left="3240" w:hanging="180"/>
      </w:pPr>
    </w:lvl>
    <w:lvl w:ilvl="6" w:tplc="240A000F" w:tentative="1">
      <w:start w:val="1"/>
      <w:numFmt w:val="decimal"/>
      <w:lvlText w:val="%7."/>
      <w:lvlJc w:val="left"/>
      <w:pPr>
        <w:ind w:left="3960" w:hanging="360"/>
      </w:pPr>
    </w:lvl>
    <w:lvl w:ilvl="7" w:tplc="240A0019" w:tentative="1">
      <w:start w:val="1"/>
      <w:numFmt w:val="lowerLetter"/>
      <w:lvlText w:val="%8."/>
      <w:lvlJc w:val="left"/>
      <w:pPr>
        <w:ind w:left="4680" w:hanging="360"/>
      </w:pPr>
    </w:lvl>
    <w:lvl w:ilvl="8" w:tplc="240A001B" w:tentative="1">
      <w:start w:val="1"/>
      <w:numFmt w:val="lowerRoman"/>
      <w:lvlText w:val="%9."/>
      <w:lvlJc w:val="right"/>
      <w:pPr>
        <w:ind w:left="540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DB3"/>
    <w:rsid w:val="000C3E7A"/>
    <w:rsid w:val="000E2CDD"/>
    <w:rsid w:val="00172DB3"/>
    <w:rsid w:val="007314B4"/>
    <w:rsid w:val="009F71D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2DB3"/>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qFormat/>
    <w:rsid w:val="00172DB3"/>
    <w:pPr>
      <w:keepNext/>
      <w:outlineLvl w:val="0"/>
    </w:pPr>
    <w:rPr>
      <w:b/>
      <w:bCs/>
      <w:sz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172DB3"/>
    <w:rPr>
      <w:rFonts w:ascii="Times New Roman" w:eastAsia="Times New Roman" w:hAnsi="Times New Roman" w:cs="Times New Roman"/>
      <w:b/>
      <w:bCs/>
      <w:sz w:val="20"/>
      <w:szCs w:val="24"/>
      <w:lang w:val="es-ES" w:eastAsia="es-ES"/>
    </w:rPr>
  </w:style>
  <w:style w:type="character" w:styleId="Hipervnculo">
    <w:name w:val="Hyperlink"/>
    <w:uiPriority w:val="99"/>
    <w:rsid w:val="00172DB3"/>
    <w:rPr>
      <w:color w:val="0000FF"/>
      <w:u w:val="single"/>
    </w:rPr>
  </w:style>
  <w:style w:type="character" w:styleId="Refdecomentario">
    <w:name w:val="annotation reference"/>
    <w:uiPriority w:val="99"/>
    <w:rsid w:val="00172DB3"/>
    <w:rPr>
      <w:sz w:val="16"/>
      <w:szCs w:val="16"/>
    </w:rPr>
  </w:style>
  <w:style w:type="paragraph" w:styleId="Prrafodelista">
    <w:name w:val="List Paragraph"/>
    <w:basedOn w:val="Normal"/>
    <w:uiPriority w:val="34"/>
    <w:qFormat/>
    <w:rsid w:val="00172DB3"/>
    <w:pPr>
      <w:spacing w:after="200" w:line="276" w:lineRule="auto"/>
      <w:ind w:left="720"/>
      <w:contextualSpacing/>
    </w:pPr>
    <w:rPr>
      <w:rFonts w:ascii="Calibri" w:eastAsia="Calibri" w:hAnsi="Calibri"/>
      <w:sz w:val="22"/>
      <w:szCs w:val="22"/>
      <w:lang w:val="es-CO" w:eastAsia="en-US"/>
    </w:rPr>
  </w:style>
  <w:style w:type="paragraph" w:styleId="Bibliografa">
    <w:name w:val="Bibliography"/>
    <w:basedOn w:val="Normal"/>
    <w:next w:val="Normal"/>
    <w:uiPriority w:val="37"/>
    <w:unhideWhenUsed/>
    <w:rsid w:val="00172DB3"/>
    <w:pPr>
      <w:spacing w:after="200" w:line="276" w:lineRule="auto"/>
    </w:pPr>
    <w:rPr>
      <w:rFonts w:ascii="Calibri" w:eastAsia="Calibri" w:hAnsi="Calibri"/>
      <w:sz w:val="22"/>
      <w:szCs w:val="22"/>
      <w:lang w:val="es-CO" w:eastAsia="en-US"/>
    </w:rPr>
  </w:style>
  <w:style w:type="paragraph" w:styleId="Textonotapie">
    <w:name w:val="footnote text"/>
    <w:basedOn w:val="Normal"/>
    <w:link w:val="TextonotapieCar"/>
    <w:uiPriority w:val="99"/>
    <w:unhideWhenUsed/>
    <w:rsid w:val="00172DB3"/>
    <w:pPr>
      <w:spacing w:after="200" w:line="276" w:lineRule="auto"/>
    </w:pPr>
    <w:rPr>
      <w:rFonts w:ascii="Calibri" w:eastAsia="Calibri" w:hAnsi="Calibri"/>
      <w:sz w:val="20"/>
      <w:szCs w:val="20"/>
      <w:lang w:val="es-CO" w:eastAsia="en-US"/>
    </w:rPr>
  </w:style>
  <w:style w:type="character" w:customStyle="1" w:styleId="TextonotapieCar">
    <w:name w:val="Texto nota pie Car"/>
    <w:basedOn w:val="Fuentedeprrafopredeter"/>
    <w:link w:val="Textonotapie"/>
    <w:uiPriority w:val="99"/>
    <w:rsid w:val="00172DB3"/>
    <w:rPr>
      <w:rFonts w:ascii="Calibri" w:eastAsia="Calibri" w:hAnsi="Calibri" w:cs="Times New Roman"/>
      <w:sz w:val="20"/>
      <w:szCs w:val="20"/>
    </w:rPr>
  </w:style>
  <w:style w:type="character" w:styleId="Refdenotaalpie">
    <w:name w:val="footnote reference"/>
    <w:uiPriority w:val="99"/>
    <w:unhideWhenUsed/>
    <w:rsid w:val="00172DB3"/>
    <w:rPr>
      <w:vertAlign w:val="superscript"/>
    </w:rPr>
  </w:style>
  <w:style w:type="paragraph" w:styleId="Textoindependiente2">
    <w:name w:val="Body Text 2"/>
    <w:basedOn w:val="Normal"/>
    <w:link w:val="Textoindependiente2Car"/>
    <w:uiPriority w:val="99"/>
    <w:semiHidden/>
    <w:unhideWhenUsed/>
    <w:rsid w:val="00172DB3"/>
    <w:pPr>
      <w:spacing w:after="120" w:line="480" w:lineRule="auto"/>
    </w:pPr>
  </w:style>
  <w:style w:type="character" w:customStyle="1" w:styleId="Textoindependiente2Car">
    <w:name w:val="Texto independiente 2 Car"/>
    <w:basedOn w:val="Fuentedeprrafopredeter"/>
    <w:link w:val="Textoindependiente2"/>
    <w:uiPriority w:val="99"/>
    <w:semiHidden/>
    <w:rsid w:val="00172DB3"/>
    <w:rPr>
      <w:rFonts w:ascii="Times New Roman" w:eastAsia="Times New Roman" w:hAnsi="Times New Roman" w:cs="Times New Roman"/>
      <w:sz w:val="24"/>
      <w:szCs w:val="24"/>
      <w:lang w:val="es-ES" w:eastAsia="es-ES"/>
    </w:rPr>
  </w:style>
  <w:style w:type="paragraph" w:customStyle="1" w:styleId="Style12">
    <w:name w:val="Style12"/>
    <w:basedOn w:val="Normal"/>
    <w:uiPriority w:val="99"/>
    <w:rsid w:val="00172DB3"/>
    <w:pPr>
      <w:widowControl w:val="0"/>
      <w:autoSpaceDE w:val="0"/>
      <w:autoSpaceDN w:val="0"/>
      <w:adjustRightInd w:val="0"/>
      <w:spacing w:line="274" w:lineRule="exact"/>
      <w:jc w:val="both"/>
    </w:pPr>
    <w:rPr>
      <w:rFonts w:ascii="Arial" w:hAnsi="Arial" w:cs="Arial"/>
      <w:lang w:val="es-CO" w:eastAsia="es-CO"/>
    </w:rPr>
  </w:style>
  <w:style w:type="paragraph" w:styleId="NormalWeb">
    <w:name w:val="Normal (Web)"/>
    <w:basedOn w:val="Normal"/>
    <w:uiPriority w:val="99"/>
    <w:unhideWhenUsed/>
    <w:rsid w:val="00172DB3"/>
    <w:pPr>
      <w:spacing w:before="100" w:beforeAutospacing="1" w:after="100" w:afterAutospacing="1"/>
    </w:pPr>
    <w:rPr>
      <w:lang w:val="es-CO" w:eastAsia="es-CO"/>
    </w:rPr>
  </w:style>
  <w:style w:type="paragraph" w:customStyle="1" w:styleId="pa6">
    <w:name w:val="pa6"/>
    <w:basedOn w:val="Normal"/>
    <w:rsid w:val="00172DB3"/>
    <w:pPr>
      <w:spacing w:before="100" w:beforeAutospacing="1" w:after="100" w:afterAutospacing="1"/>
    </w:pPr>
    <w:rPr>
      <w:lang w:val="es-CO" w:eastAsia="es-CO"/>
    </w:rPr>
  </w:style>
  <w:style w:type="character" w:styleId="Textoennegrita">
    <w:name w:val="Strong"/>
    <w:uiPriority w:val="22"/>
    <w:qFormat/>
    <w:rsid w:val="00172DB3"/>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2DB3"/>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qFormat/>
    <w:rsid w:val="00172DB3"/>
    <w:pPr>
      <w:keepNext/>
      <w:outlineLvl w:val="0"/>
    </w:pPr>
    <w:rPr>
      <w:b/>
      <w:bCs/>
      <w:sz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172DB3"/>
    <w:rPr>
      <w:rFonts w:ascii="Times New Roman" w:eastAsia="Times New Roman" w:hAnsi="Times New Roman" w:cs="Times New Roman"/>
      <w:b/>
      <w:bCs/>
      <w:sz w:val="20"/>
      <w:szCs w:val="24"/>
      <w:lang w:val="es-ES" w:eastAsia="es-ES"/>
    </w:rPr>
  </w:style>
  <w:style w:type="character" w:styleId="Hipervnculo">
    <w:name w:val="Hyperlink"/>
    <w:uiPriority w:val="99"/>
    <w:rsid w:val="00172DB3"/>
    <w:rPr>
      <w:color w:val="0000FF"/>
      <w:u w:val="single"/>
    </w:rPr>
  </w:style>
  <w:style w:type="character" w:styleId="Refdecomentario">
    <w:name w:val="annotation reference"/>
    <w:uiPriority w:val="99"/>
    <w:rsid w:val="00172DB3"/>
    <w:rPr>
      <w:sz w:val="16"/>
      <w:szCs w:val="16"/>
    </w:rPr>
  </w:style>
  <w:style w:type="paragraph" w:styleId="Prrafodelista">
    <w:name w:val="List Paragraph"/>
    <w:basedOn w:val="Normal"/>
    <w:uiPriority w:val="34"/>
    <w:qFormat/>
    <w:rsid w:val="00172DB3"/>
    <w:pPr>
      <w:spacing w:after="200" w:line="276" w:lineRule="auto"/>
      <w:ind w:left="720"/>
      <w:contextualSpacing/>
    </w:pPr>
    <w:rPr>
      <w:rFonts w:ascii="Calibri" w:eastAsia="Calibri" w:hAnsi="Calibri"/>
      <w:sz w:val="22"/>
      <w:szCs w:val="22"/>
      <w:lang w:val="es-CO" w:eastAsia="en-US"/>
    </w:rPr>
  </w:style>
  <w:style w:type="paragraph" w:styleId="Bibliografa">
    <w:name w:val="Bibliography"/>
    <w:basedOn w:val="Normal"/>
    <w:next w:val="Normal"/>
    <w:uiPriority w:val="37"/>
    <w:unhideWhenUsed/>
    <w:rsid w:val="00172DB3"/>
    <w:pPr>
      <w:spacing w:after="200" w:line="276" w:lineRule="auto"/>
    </w:pPr>
    <w:rPr>
      <w:rFonts w:ascii="Calibri" w:eastAsia="Calibri" w:hAnsi="Calibri"/>
      <w:sz w:val="22"/>
      <w:szCs w:val="22"/>
      <w:lang w:val="es-CO" w:eastAsia="en-US"/>
    </w:rPr>
  </w:style>
  <w:style w:type="paragraph" w:styleId="Textonotapie">
    <w:name w:val="footnote text"/>
    <w:basedOn w:val="Normal"/>
    <w:link w:val="TextonotapieCar"/>
    <w:uiPriority w:val="99"/>
    <w:unhideWhenUsed/>
    <w:rsid w:val="00172DB3"/>
    <w:pPr>
      <w:spacing w:after="200" w:line="276" w:lineRule="auto"/>
    </w:pPr>
    <w:rPr>
      <w:rFonts w:ascii="Calibri" w:eastAsia="Calibri" w:hAnsi="Calibri"/>
      <w:sz w:val="20"/>
      <w:szCs w:val="20"/>
      <w:lang w:val="es-CO" w:eastAsia="en-US"/>
    </w:rPr>
  </w:style>
  <w:style w:type="character" w:customStyle="1" w:styleId="TextonotapieCar">
    <w:name w:val="Texto nota pie Car"/>
    <w:basedOn w:val="Fuentedeprrafopredeter"/>
    <w:link w:val="Textonotapie"/>
    <w:uiPriority w:val="99"/>
    <w:rsid w:val="00172DB3"/>
    <w:rPr>
      <w:rFonts w:ascii="Calibri" w:eastAsia="Calibri" w:hAnsi="Calibri" w:cs="Times New Roman"/>
      <w:sz w:val="20"/>
      <w:szCs w:val="20"/>
    </w:rPr>
  </w:style>
  <w:style w:type="character" w:styleId="Refdenotaalpie">
    <w:name w:val="footnote reference"/>
    <w:uiPriority w:val="99"/>
    <w:unhideWhenUsed/>
    <w:rsid w:val="00172DB3"/>
    <w:rPr>
      <w:vertAlign w:val="superscript"/>
    </w:rPr>
  </w:style>
  <w:style w:type="paragraph" w:styleId="Textoindependiente2">
    <w:name w:val="Body Text 2"/>
    <w:basedOn w:val="Normal"/>
    <w:link w:val="Textoindependiente2Car"/>
    <w:uiPriority w:val="99"/>
    <w:semiHidden/>
    <w:unhideWhenUsed/>
    <w:rsid w:val="00172DB3"/>
    <w:pPr>
      <w:spacing w:after="120" w:line="480" w:lineRule="auto"/>
    </w:pPr>
  </w:style>
  <w:style w:type="character" w:customStyle="1" w:styleId="Textoindependiente2Car">
    <w:name w:val="Texto independiente 2 Car"/>
    <w:basedOn w:val="Fuentedeprrafopredeter"/>
    <w:link w:val="Textoindependiente2"/>
    <w:uiPriority w:val="99"/>
    <w:semiHidden/>
    <w:rsid w:val="00172DB3"/>
    <w:rPr>
      <w:rFonts w:ascii="Times New Roman" w:eastAsia="Times New Roman" w:hAnsi="Times New Roman" w:cs="Times New Roman"/>
      <w:sz w:val="24"/>
      <w:szCs w:val="24"/>
      <w:lang w:val="es-ES" w:eastAsia="es-ES"/>
    </w:rPr>
  </w:style>
  <w:style w:type="paragraph" w:customStyle="1" w:styleId="Style12">
    <w:name w:val="Style12"/>
    <w:basedOn w:val="Normal"/>
    <w:uiPriority w:val="99"/>
    <w:rsid w:val="00172DB3"/>
    <w:pPr>
      <w:widowControl w:val="0"/>
      <w:autoSpaceDE w:val="0"/>
      <w:autoSpaceDN w:val="0"/>
      <w:adjustRightInd w:val="0"/>
      <w:spacing w:line="274" w:lineRule="exact"/>
      <w:jc w:val="both"/>
    </w:pPr>
    <w:rPr>
      <w:rFonts w:ascii="Arial" w:hAnsi="Arial" w:cs="Arial"/>
      <w:lang w:val="es-CO" w:eastAsia="es-CO"/>
    </w:rPr>
  </w:style>
  <w:style w:type="paragraph" w:styleId="NormalWeb">
    <w:name w:val="Normal (Web)"/>
    <w:basedOn w:val="Normal"/>
    <w:uiPriority w:val="99"/>
    <w:unhideWhenUsed/>
    <w:rsid w:val="00172DB3"/>
    <w:pPr>
      <w:spacing w:before="100" w:beforeAutospacing="1" w:after="100" w:afterAutospacing="1"/>
    </w:pPr>
    <w:rPr>
      <w:lang w:val="es-CO" w:eastAsia="es-CO"/>
    </w:rPr>
  </w:style>
  <w:style w:type="paragraph" w:customStyle="1" w:styleId="pa6">
    <w:name w:val="pa6"/>
    <w:basedOn w:val="Normal"/>
    <w:rsid w:val="00172DB3"/>
    <w:pPr>
      <w:spacing w:before="100" w:beforeAutospacing="1" w:after="100" w:afterAutospacing="1"/>
    </w:pPr>
    <w:rPr>
      <w:lang w:val="es-CO" w:eastAsia="es-CO"/>
    </w:rPr>
  </w:style>
  <w:style w:type="character" w:styleId="Textoennegrita">
    <w:name w:val="Strong"/>
    <w:uiPriority w:val="22"/>
    <w:qFormat/>
    <w:rsid w:val="00172DB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habeasdatacolombia.uniandes.edu.co/wp-content/uploads/7_-Nelson-Remolina.pdf"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eurlex.europa.eu/LexUriServ/LexUriServ.do?uri=CELEX:32000L0031:Es:HTML" TargetMode="External"/><Relationship Id="rId4" Type="http://schemas.openxmlformats.org/officeDocument/2006/relationships/settings" Target="settings.xml"/><Relationship Id="rId9" Type="http://schemas.openxmlformats.org/officeDocument/2006/relationships/hyperlink" Target="http://eur-lex.europa.eu/LexUriServ/LexUriServ.do?uri=OJ:L:2002:201:0037:0037:ES: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26</Pages>
  <Words>8354</Words>
  <Characters>45950</Characters>
  <Application>Microsoft Office Word</Application>
  <DocSecurity>0</DocSecurity>
  <Lines>382</Lines>
  <Paragraphs>108</Paragraphs>
  <ScaleCrop>false</ScaleCrop>
  <HeadingPairs>
    <vt:vector size="2" baseType="variant">
      <vt:variant>
        <vt:lpstr>Título</vt:lpstr>
      </vt:variant>
      <vt:variant>
        <vt:i4>1</vt:i4>
      </vt:variant>
    </vt:vector>
  </HeadingPairs>
  <TitlesOfParts>
    <vt:vector size="1" baseType="lpstr">
      <vt:lpstr/>
    </vt:vector>
  </TitlesOfParts>
  <Company>GP</Company>
  <LinksUpToDate>false</LinksUpToDate>
  <CharactersWithSpaces>54196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2</cp:revision>
  <dcterms:created xsi:type="dcterms:W3CDTF">2014-10-08T15:55:00Z</dcterms:created>
  <dcterms:modified xsi:type="dcterms:W3CDTF">2014-10-08T15:55:00Z</dcterms:modified>
</cp:coreProperties>
</file>