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8AF" w:rsidRPr="00332504" w:rsidRDefault="00642463" w:rsidP="005D15C7">
      <w:pPr>
        <w:spacing w:line="276" w:lineRule="auto"/>
        <w:jc w:val="center"/>
        <w:rPr>
          <w:rFonts w:ascii="Times New Roman" w:hAnsi="Times New Roman" w:cs="Times New Roman"/>
          <w:b/>
          <w:sz w:val="24"/>
          <w:szCs w:val="24"/>
          <w:lang w:val="es-ES"/>
        </w:rPr>
      </w:pPr>
      <w:r w:rsidRPr="00332504">
        <w:rPr>
          <w:rFonts w:ascii="Times New Roman" w:hAnsi="Times New Roman" w:cs="Times New Roman"/>
          <w:b/>
          <w:sz w:val="24"/>
          <w:szCs w:val="24"/>
          <w:lang w:val="es-ES"/>
        </w:rPr>
        <w:t>DECIMOQUINTA CONVOCATORIA PARA EL FOMENTO DE LA INVESTIGACIÓN Y LA INNOVACIÓN 2020</w:t>
      </w:r>
    </w:p>
    <w:tbl>
      <w:tblPr>
        <w:tblW w:w="14734" w:type="dxa"/>
        <w:shd w:val="clear" w:color="auto" w:fill="FFFFFF"/>
        <w:tblLook w:val="04A0" w:firstRow="1" w:lastRow="0" w:firstColumn="1" w:lastColumn="0" w:noHBand="0" w:noVBand="1"/>
      </w:tblPr>
      <w:tblGrid>
        <w:gridCol w:w="5095"/>
        <w:gridCol w:w="9639"/>
      </w:tblGrid>
      <w:tr w:rsidR="002A18AF" w:rsidRPr="00332504" w:rsidTr="00662970">
        <w:tc>
          <w:tcPr>
            <w:tcW w:w="5000" w:type="pct"/>
            <w:gridSpan w:val="2"/>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t>Título del proyecto</w:t>
            </w:r>
          </w:p>
        </w:tc>
      </w:tr>
      <w:tr w:rsidR="002A18AF" w:rsidRPr="00332504" w:rsidTr="00662970">
        <w:tc>
          <w:tcPr>
            <w:tcW w:w="5000" w:type="pct"/>
            <w:gridSpan w:val="2"/>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A18AF" w:rsidRPr="00332504" w:rsidRDefault="005D15C7" w:rsidP="005D15C7">
            <w:pPr>
              <w:pStyle w:val="Sinespaciado"/>
              <w:spacing w:line="276" w:lineRule="auto"/>
              <w:jc w:val="center"/>
              <w:rPr>
                <w:rFonts w:ascii="Times New Roman" w:eastAsia="Times New Roman" w:hAnsi="Times New Roman"/>
                <w:color w:val="222222"/>
                <w:sz w:val="24"/>
                <w:szCs w:val="24"/>
                <w:lang w:eastAsia="es-CO"/>
              </w:rPr>
            </w:pPr>
            <w:r w:rsidRPr="00332504">
              <w:rPr>
                <w:rFonts w:ascii="Times New Roman" w:hAnsi="Times New Roman"/>
                <w:sz w:val="24"/>
                <w:szCs w:val="24"/>
              </w:rPr>
              <w:t>Armonización de los procesos de planeación y ordenamiento para el desarrollo sostenible y la paz en Colombia: aproximaciones territoriales</w:t>
            </w:r>
          </w:p>
        </w:tc>
      </w:tr>
      <w:tr w:rsidR="00265B89" w:rsidRPr="00332504" w:rsidTr="00F30B66">
        <w:tc>
          <w:tcPr>
            <w:tcW w:w="1729"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265B89" w:rsidRPr="00332504" w:rsidRDefault="00265B89" w:rsidP="005D15C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t>Campo de acción</w:t>
            </w:r>
          </w:p>
        </w:tc>
        <w:tc>
          <w:tcPr>
            <w:tcW w:w="3271"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vAlign w:val="center"/>
          </w:tcPr>
          <w:p w:rsidR="00265B89" w:rsidRPr="00332504" w:rsidRDefault="00265B89" w:rsidP="005D15C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t>Transdisciplinariedad - Aporte al PIM</w:t>
            </w:r>
          </w:p>
        </w:tc>
      </w:tr>
      <w:tr w:rsidR="00265B89" w:rsidRPr="00332504" w:rsidTr="00F30B66">
        <w:tc>
          <w:tcPr>
            <w:tcW w:w="172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10B4C" w:rsidRPr="00332504" w:rsidRDefault="00D10B4C" w:rsidP="00CD559F">
            <w:pPr>
              <w:spacing w:before="100" w:beforeAutospacing="1" w:after="100" w:afterAutospacing="1" w:line="276" w:lineRule="auto"/>
              <w:ind w:left="112" w:right="114"/>
              <w:jc w:val="both"/>
              <w:rPr>
                <w:rFonts w:ascii="Times New Roman" w:eastAsia="Times New Roman" w:hAnsi="Times New Roman" w:cs="Times New Roman"/>
                <w:bCs/>
                <w:color w:val="222222"/>
                <w:sz w:val="24"/>
                <w:szCs w:val="24"/>
                <w:lang w:eastAsia="es-CO"/>
              </w:rPr>
            </w:pPr>
            <w:r w:rsidRPr="00332504">
              <w:rPr>
                <w:rFonts w:ascii="Times New Roman" w:eastAsia="Times New Roman" w:hAnsi="Times New Roman" w:cs="Times New Roman"/>
                <w:bCs/>
                <w:color w:val="222222"/>
                <w:sz w:val="24"/>
                <w:szCs w:val="24"/>
                <w:lang w:eastAsia="es-CO"/>
              </w:rPr>
              <w:t xml:space="preserve">En el marco de las ocho grandes áreas de conocimiento asumidas como apuestas nacionales para la USTA, como parte de la acreditación multicampus 2015, la presente propuesta de investigación se inscribe y aporta a las áreas de: </w:t>
            </w:r>
            <w:r w:rsidRPr="00332504">
              <w:rPr>
                <w:rFonts w:ascii="Times New Roman" w:eastAsia="Times New Roman" w:hAnsi="Times New Roman" w:cs="Times New Roman"/>
                <w:bCs/>
                <w:i/>
                <w:color w:val="222222"/>
                <w:sz w:val="24"/>
                <w:szCs w:val="24"/>
                <w:lang w:eastAsia="es-CO"/>
              </w:rPr>
              <w:t>i) Ciudadanía y construcción de política pública en y para escenarios de paz y; ii) Desarrollo urbano y regional.</w:t>
            </w:r>
            <w:r w:rsidR="00CD559F" w:rsidRPr="00332504">
              <w:rPr>
                <w:rFonts w:ascii="Times New Roman" w:eastAsia="Times New Roman" w:hAnsi="Times New Roman" w:cs="Times New Roman"/>
                <w:bCs/>
                <w:color w:val="222222"/>
                <w:sz w:val="24"/>
                <w:szCs w:val="24"/>
                <w:lang w:eastAsia="es-CO"/>
              </w:rPr>
              <w:t xml:space="preserve"> Asimismo</w:t>
            </w:r>
            <w:r w:rsidRPr="00332504">
              <w:rPr>
                <w:rFonts w:ascii="Times New Roman" w:eastAsia="Times New Roman" w:hAnsi="Times New Roman" w:cs="Times New Roman"/>
                <w:bCs/>
                <w:color w:val="222222"/>
                <w:sz w:val="24"/>
                <w:szCs w:val="24"/>
                <w:lang w:eastAsia="es-CO"/>
              </w:rPr>
              <w:t xml:space="preserve">, en relación con </w:t>
            </w:r>
            <w:r w:rsidR="00CD559F" w:rsidRPr="00332504">
              <w:rPr>
                <w:rFonts w:ascii="Times New Roman" w:eastAsia="Times New Roman" w:hAnsi="Times New Roman" w:cs="Times New Roman"/>
                <w:bCs/>
                <w:color w:val="222222"/>
                <w:sz w:val="24"/>
                <w:szCs w:val="24"/>
                <w:lang w:eastAsia="es-CO"/>
              </w:rPr>
              <w:t xml:space="preserve">las interacciones identificadas para los campos </w:t>
            </w:r>
            <w:r w:rsidR="00CD559F" w:rsidRPr="00332504">
              <w:rPr>
                <w:rFonts w:ascii="Times New Roman" w:eastAsia="Times New Roman" w:hAnsi="Times New Roman" w:cs="Times New Roman"/>
                <w:bCs/>
                <w:i/>
                <w:color w:val="222222"/>
                <w:sz w:val="24"/>
                <w:szCs w:val="24"/>
                <w:lang w:eastAsia="es-CO"/>
              </w:rPr>
              <w:t xml:space="preserve">sociedad </w:t>
            </w:r>
            <w:r w:rsidR="00CD559F" w:rsidRPr="00332504">
              <w:rPr>
                <w:rFonts w:ascii="Times New Roman" w:eastAsia="Times New Roman" w:hAnsi="Times New Roman" w:cs="Times New Roman"/>
                <w:bCs/>
                <w:color w:val="222222"/>
                <w:sz w:val="24"/>
                <w:szCs w:val="24"/>
                <w:lang w:eastAsia="es-CO"/>
              </w:rPr>
              <w:t xml:space="preserve">y </w:t>
            </w:r>
            <w:r w:rsidR="00CD559F" w:rsidRPr="00332504">
              <w:rPr>
                <w:rFonts w:ascii="Times New Roman" w:eastAsia="Times New Roman" w:hAnsi="Times New Roman" w:cs="Times New Roman"/>
                <w:bCs/>
                <w:i/>
                <w:color w:val="222222"/>
                <w:sz w:val="24"/>
                <w:szCs w:val="24"/>
                <w:lang w:eastAsia="es-CO"/>
              </w:rPr>
              <w:t>ambiente</w:t>
            </w:r>
            <w:r w:rsidR="00CD559F" w:rsidRPr="00332504">
              <w:rPr>
                <w:rFonts w:ascii="Times New Roman" w:eastAsia="Times New Roman" w:hAnsi="Times New Roman" w:cs="Times New Roman"/>
                <w:bCs/>
                <w:color w:val="222222"/>
                <w:sz w:val="24"/>
                <w:szCs w:val="24"/>
                <w:lang w:eastAsia="es-CO"/>
              </w:rPr>
              <w:t xml:space="preserve">, el proceso de investigación contenido en la propuesta, puede aportar a: </w:t>
            </w:r>
            <w:r w:rsidR="00CD559F" w:rsidRPr="00332504">
              <w:rPr>
                <w:rFonts w:ascii="Times New Roman" w:eastAsia="Times New Roman" w:hAnsi="Times New Roman" w:cs="Times New Roman"/>
                <w:bCs/>
                <w:i/>
                <w:color w:val="222222"/>
                <w:sz w:val="24"/>
                <w:szCs w:val="24"/>
                <w:lang w:eastAsia="es-CO"/>
              </w:rPr>
              <w:t xml:space="preserve">paz y convivencia </w:t>
            </w:r>
            <w:r w:rsidR="00CD559F" w:rsidRPr="00332504">
              <w:rPr>
                <w:rFonts w:ascii="Times New Roman" w:eastAsia="Times New Roman" w:hAnsi="Times New Roman" w:cs="Times New Roman"/>
                <w:bCs/>
                <w:color w:val="222222"/>
                <w:sz w:val="24"/>
                <w:szCs w:val="24"/>
                <w:lang w:eastAsia="es-CO"/>
              </w:rPr>
              <w:t>y</w:t>
            </w:r>
            <w:r w:rsidR="00CD559F" w:rsidRPr="00332504">
              <w:rPr>
                <w:rFonts w:ascii="Times New Roman" w:eastAsia="Times New Roman" w:hAnsi="Times New Roman" w:cs="Times New Roman"/>
                <w:bCs/>
                <w:i/>
                <w:color w:val="222222"/>
                <w:sz w:val="24"/>
                <w:szCs w:val="24"/>
                <w:lang w:eastAsia="es-CO"/>
              </w:rPr>
              <w:t xml:space="preserve"> participación ciudadana</w:t>
            </w:r>
            <w:r w:rsidR="00CD559F" w:rsidRPr="00332504">
              <w:rPr>
                <w:rFonts w:ascii="Times New Roman" w:eastAsia="Times New Roman" w:hAnsi="Times New Roman" w:cs="Times New Roman"/>
                <w:bCs/>
                <w:color w:val="222222"/>
                <w:sz w:val="24"/>
                <w:szCs w:val="24"/>
                <w:lang w:eastAsia="es-CO"/>
              </w:rPr>
              <w:t>. (Ostos &amp; Cortés, 2018)</w:t>
            </w:r>
          </w:p>
          <w:p w:rsidR="002E1C24" w:rsidRPr="00332504" w:rsidRDefault="002E1C24" w:rsidP="005418DE">
            <w:pPr>
              <w:spacing w:before="100" w:beforeAutospacing="1" w:after="100" w:afterAutospacing="1" w:line="276" w:lineRule="auto"/>
              <w:ind w:left="112" w:right="114"/>
              <w:jc w:val="both"/>
              <w:rPr>
                <w:rFonts w:ascii="Times New Roman" w:eastAsia="Times New Roman" w:hAnsi="Times New Roman" w:cs="Times New Roman"/>
                <w:bCs/>
                <w:color w:val="222222"/>
                <w:sz w:val="24"/>
                <w:szCs w:val="24"/>
                <w:lang w:eastAsia="es-CO"/>
              </w:rPr>
            </w:pPr>
            <w:r w:rsidRPr="00332504">
              <w:rPr>
                <w:rFonts w:ascii="Times New Roman" w:eastAsia="Times New Roman" w:hAnsi="Times New Roman" w:cs="Times New Roman"/>
                <w:bCs/>
                <w:color w:val="222222"/>
                <w:sz w:val="24"/>
                <w:szCs w:val="24"/>
                <w:lang w:eastAsia="es-CO"/>
              </w:rPr>
              <w:t xml:space="preserve">Como se anota en el desarrollo de la propuesta, </w:t>
            </w:r>
            <w:r w:rsidR="005418DE" w:rsidRPr="00332504">
              <w:rPr>
                <w:rFonts w:ascii="Times New Roman" w:eastAsia="Times New Roman" w:hAnsi="Times New Roman" w:cs="Times New Roman"/>
                <w:bCs/>
                <w:color w:val="222222"/>
                <w:sz w:val="24"/>
                <w:szCs w:val="24"/>
                <w:lang w:eastAsia="es-CO"/>
              </w:rPr>
              <w:t xml:space="preserve">la investigación busca aportar a </w:t>
            </w:r>
            <w:r w:rsidRPr="00332504">
              <w:rPr>
                <w:rFonts w:ascii="Times New Roman" w:eastAsia="Times New Roman" w:hAnsi="Times New Roman" w:cs="Times New Roman"/>
                <w:bCs/>
                <w:color w:val="222222"/>
                <w:sz w:val="24"/>
                <w:szCs w:val="24"/>
                <w:lang w:eastAsia="es-CO"/>
              </w:rPr>
              <w:t>una mejor comprensi</w:t>
            </w:r>
            <w:r w:rsidR="005418DE" w:rsidRPr="00332504">
              <w:rPr>
                <w:rFonts w:ascii="Times New Roman" w:eastAsia="Times New Roman" w:hAnsi="Times New Roman" w:cs="Times New Roman"/>
                <w:bCs/>
                <w:color w:val="222222"/>
                <w:sz w:val="24"/>
                <w:szCs w:val="24"/>
                <w:lang w:eastAsia="es-CO"/>
              </w:rPr>
              <w:t xml:space="preserve">ón y armonización de los procesos de planeación y ordenamiento territorial, por parte de los actores públicos, privados y comunitarios, como base el fortalecimiento de capacidades locales y ciudadanas tendientes al desarrollo sostenible y la paz. </w:t>
            </w:r>
          </w:p>
        </w:tc>
        <w:tc>
          <w:tcPr>
            <w:tcW w:w="3271" w:type="pct"/>
            <w:tcBorders>
              <w:top w:val="single" w:sz="6" w:space="0" w:color="DDDDDD"/>
              <w:left w:val="single" w:sz="6" w:space="0" w:color="DDDDDD"/>
              <w:bottom w:val="single" w:sz="6" w:space="0" w:color="DDDDDD"/>
              <w:right w:val="single" w:sz="6" w:space="0" w:color="DDDDDD"/>
            </w:tcBorders>
            <w:shd w:val="clear" w:color="auto" w:fill="FFFFFF"/>
            <w:vAlign w:val="center"/>
          </w:tcPr>
          <w:p w:rsidR="00B306EC" w:rsidRPr="00332504" w:rsidRDefault="00B306EC" w:rsidP="00B306EC">
            <w:pPr>
              <w:pStyle w:val="Sinespaciado"/>
              <w:spacing w:line="276" w:lineRule="auto"/>
              <w:jc w:val="both"/>
              <w:rPr>
                <w:rFonts w:ascii="Times New Roman" w:hAnsi="Times New Roman"/>
                <w:sz w:val="24"/>
                <w:szCs w:val="24"/>
              </w:rPr>
            </w:pPr>
            <w:r w:rsidRPr="00332504">
              <w:rPr>
                <w:rFonts w:ascii="Times New Roman" w:hAnsi="Times New Roman"/>
                <w:sz w:val="24"/>
                <w:szCs w:val="24"/>
              </w:rPr>
              <w:t xml:space="preserve">El proyecto aporta a la </w:t>
            </w:r>
            <w:r w:rsidRPr="00332504">
              <w:rPr>
                <w:rFonts w:ascii="Times New Roman" w:hAnsi="Times New Roman"/>
                <w:b/>
                <w:sz w:val="24"/>
                <w:szCs w:val="24"/>
              </w:rPr>
              <w:t xml:space="preserve">Línea </w:t>
            </w:r>
            <w:r w:rsidR="00B224CF" w:rsidRPr="00332504">
              <w:rPr>
                <w:rFonts w:ascii="Times New Roman" w:hAnsi="Times New Roman"/>
                <w:b/>
                <w:sz w:val="24"/>
                <w:szCs w:val="24"/>
              </w:rPr>
              <w:t xml:space="preserve">3. </w:t>
            </w:r>
            <w:r w:rsidRPr="00332504">
              <w:rPr>
                <w:rFonts w:ascii="Times New Roman" w:hAnsi="Times New Roman"/>
                <w:b/>
                <w:sz w:val="24"/>
                <w:szCs w:val="24"/>
              </w:rPr>
              <w:t>Proyección Social e Investigación Pertinentes</w:t>
            </w:r>
            <w:r w:rsidRPr="00332504">
              <w:rPr>
                <w:rFonts w:ascii="Times New Roman" w:hAnsi="Times New Roman"/>
                <w:sz w:val="24"/>
                <w:szCs w:val="24"/>
              </w:rPr>
              <w:t xml:space="preserve"> </w:t>
            </w:r>
            <w:r w:rsidR="00B224CF" w:rsidRPr="00332504">
              <w:rPr>
                <w:rFonts w:ascii="Times New Roman" w:hAnsi="Times New Roman"/>
                <w:sz w:val="24"/>
                <w:szCs w:val="24"/>
              </w:rPr>
              <w:t xml:space="preserve">del Plan Integral Multicapus 2016 – 2027 (PIM), </w:t>
            </w:r>
            <w:r w:rsidRPr="00332504">
              <w:rPr>
                <w:rFonts w:ascii="Times New Roman" w:hAnsi="Times New Roman"/>
                <w:sz w:val="24"/>
                <w:szCs w:val="24"/>
              </w:rPr>
              <w:t>al enriquecer procesos que ya adelantan la Maestría, la Unidad de Responsabilidad Social</w:t>
            </w:r>
            <w:r w:rsidR="003A2535" w:rsidRPr="00332504">
              <w:rPr>
                <w:rFonts w:ascii="Times New Roman" w:hAnsi="Times New Roman"/>
                <w:sz w:val="24"/>
                <w:szCs w:val="24"/>
              </w:rPr>
              <w:t xml:space="preserve"> (URS)</w:t>
            </w:r>
            <w:r w:rsidRPr="00332504">
              <w:rPr>
                <w:rFonts w:ascii="Times New Roman" w:hAnsi="Times New Roman"/>
                <w:sz w:val="24"/>
                <w:szCs w:val="24"/>
              </w:rPr>
              <w:t xml:space="preserve"> y la Universidad</w:t>
            </w:r>
            <w:r w:rsidR="003A2535" w:rsidRPr="00332504">
              <w:rPr>
                <w:rFonts w:ascii="Times New Roman" w:hAnsi="Times New Roman"/>
                <w:sz w:val="24"/>
                <w:szCs w:val="24"/>
              </w:rPr>
              <w:t xml:space="preserve"> en su conjunto</w:t>
            </w:r>
            <w:r w:rsidRPr="00332504">
              <w:rPr>
                <w:rFonts w:ascii="Times New Roman" w:hAnsi="Times New Roman"/>
                <w:sz w:val="24"/>
                <w:szCs w:val="24"/>
              </w:rPr>
              <w:t>. El primero, es el proceso que a través del Centro de Proyección Social</w:t>
            </w:r>
            <w:r w:rsidR="003A2535" w:rsidRPr="00332504">
              <w:rPr>
                <w:rFonts w:ascii="Times New Roman" w:hAnsi="Times New Roman"/>
                <w:sz w:val="24"/>
                <w:szCs w:val="24"/>
              </w:rPr>
              <w:t xml:space="preserve"> (</w:t>
            </w:r>
            <w:r w:rsidRPr="00332504">
              <w:rPr>
                <w:rFonts w:ascii="Times New Roman" w:hAnsi="Times New Roman"/>
                <w:sz w:val="24"/>
                <w:szCs w:val="24"/>
              </w:rPr>
              <w:t>CPS</w:t>
            </w:r>
            <w:r w:rsidR="003A2535" w:rsidRPr="00332504">
              <w:rPr>
                <w:rFonts w:ascii="Times New Roman" w:hAnsi="Times New Roman"/>
                <w:sz w:val="24"/>
                <w:szCs w:val="24"/>
              </w:rPr>
              <w:t>)</w:t>
            </w:r>
            <w:r w:rsidRPr="00332504">
              <w:rPr>
                <w:rFonts w:ascii="Times New Roman" w:hAnsi="Times New Roman"/>
                <w:sz w:val="24"/>
                <w:szCs w:val="24"/>
              </w:rPr>
              <w:t xml:space="preserve"> ubicado en Soacha, impulsa la URS junto con la Promotoría de Justicia y Paz alrededor de la recién creada Mesa Humanitaria por Soacha y la Agenda Programática, para este mismo municipio</w:t>
            </w:r>
            <w:r w:rsidR="003A2535" w:rsidRPr="00332504">
              <w:rPr>
                <w:rFonts w:ascii="Times New Roman" w:hAnsi="Times New Roman"/>
                <w:sz w:val="24"/>
                <w:szCs w:val="24"/>
              </w:rPr>
              <w:t xml:space="preserve"> (Promotoría, 2019)</w:t>
            </w:r>
            <w:r w:rsidRPr="00332504">
              <w:rPr>
                <w:rFonts w:ascii="Times New Roman" w:hAnsi="Times New Roman"/>
                <w:sz w:val="24"/>
                <w:szCs w:val="24"/>
              </w:rPr>
              <w:t xml:space="preserve">. El segundo, es el proceso que se adelanta con la Corporación BOYAPAZ, el cual resulta pertinente al ser la USTA parte de las </w:t>
            </w:r>
            <w:r w:rsidR="00D240F9" w:rsidRPr="00332504">
              <w:rPr>
                <w:rFonts w:ascii="Times New Roman" w:hAnsi="Times New Roman"/>
                <w:sz w:val="24"/>
                <w:szCs w:val="24"/>
              </w:rPr>
              <w:t xml:space="preserve">instituciones </w:t>
            </w:r>
            <w:r w:rsidRPr="00332504">
              <w:rPr>
                <w:rFonts w:ascii="Times New Roman" w:hAnsi="Times New Roman"/>
                <w:sz w:val="24"/>
                <w:szCs w:val="24"/>
              </w:rPr>
              <w:t>promotoras de los P</w:t>
            </w:r>
            <w:r w:rsidR="00D240F9" w:rsidRPr="00332504">
              <w:rPr>
                <w:rFonts w:ascii="Times New Roman" w:hAnsi="Times New Roman"/>
                <w:sz w:val="24"/>
                <w:szCs w:val="24"/>
              </w:rPr>
              <w:t xml:space="preserve">rogramas de </w:t>
            </w:r>
            <w:r w:rsidRPr="00332504">
              <w:rPr>
                <w:rFonts w:ascii="Times New Roman" w:hAnsi="Times New Roman"/>
                <w:sz w:val="24"/>
                <w:szCs w:val="24"/>
              </w:rPr>
              <w:t>D</w:t>
            </w:r>
            <w:r w:rsidR="00D240F9" w:rsidRPr="00332504">
              <w:rPr>
                <w:rFonts w:ascii="Times New Roman" w:hAnsi="Times New Roman"/>
                <w:sz w:val="24"/>
                <w:szCs w:val="24"/>
              </w:rPr>
              <w:t xml:space="preserve">esarrollo y </w:t>
            </w:r>
            <w:r w:rsidRPr="00332504">
              <w:rPr>
                <w:rFonts w:ascii="Times New Roman" w:hAnsi="Times New Roman"/>
                <w:sz w:val="24"/>
                <w:szCs w:val="24"/>
              </w:rPr>
              <w:t>P</w:t>
            </w:r>
            <w:r w:rsidR="00D240F9" w:rsidRPr="00332504">
              <w:rPr>
                <w:rFonts w:ascii="Times New Roman" w:hAnsi="Times New Roman"/>
                <w:sz w:val="24"/>
                <w:szCs w:val="24"/>
              </w:rPr>
              <w:t>az y al contar con un vínculo regional a través de la Sede de Tunja</w:t>
            </w:r>
            <w:r w:rsidRPr="00332504">
              <w:rPr>
                <w:rFonts w:ascii="Times New Roman" w:hAnsi="Times New Roman"/>
                <w:sz w:val="24"/>
                <w:szCs w:val="24"/>
              </w:rPr>
              <w:t xml:space="preserve">. </w:t>
            </w:r>
          </w:p>
          <w:p w:rsidR="00B306EC" w:rsidRPr="00332504" w:rsidRDefault="00B306EC" w:rsidP="00B306EC">
            <w:pPr>
              <w:pStyle w:val="Sinespaciado"/>
              <w:spacing w:line="276" w:lineRule="auto"/>
              <w:jc w:val="both"/>
              <w:rPr>
                <w:rFonts w:ascii="Times New Roman" w:hAnsi="Times New Roman"/>
                <w:sz w:val="24"/>
                <w:szCs w:val="24"/>
              </w:rPr>
            </w:pPr>
          </w:p>
          <w:p w:rsidR="00B306EC" w:rsidRPr="00332504" w:rsidRDefault="00B306EC" w:rsidP="00B306EC">
            <w:pPr>
              <w:pStyle w:val="Sinespaciado"/>
              <w:spacing w:line="276" w:lineRule="auto"/>
              <w:jc w:val="both"/>
              <w:rPr>
                <w:rFonts w:ascii="Times New Roman" w:hAnsi="Times New Roman"/>
                <w:sz w:val="24"/>
                <w:szCs w:val="24"/>
              </w:rPr>
            </w:pPr>
            <w:r w:rsidRPr="00332504">
              <w:rPr>
                <w:rFonts w:ascii="Times New Roman" w:hAnsi="Times New Roman"/>
                <w:sz w:val="24"/>
                <w:szCs w:val="24"/>
              </w:rPr>
              <w:t xml:space="preserve">De manera específica, los objetivos y resultados esperados de esta propuesta de investigación, aportan al </w:t>
            </w:r>
            <w:r w:rsidR="00B224CF" w:rsidRPr="00332504">
              <w:rPr>
                <w:rFonts w:ascii="Times New Roman" w:hAnsi="Times New Roman"/>
                <w:sz w:val="24"/>
                <w:szCs w:val="24"/>
              </w:rPr>
              <w:t xml:space="preserve">Plan General de Desarrollo 2016 – 2019, en </w:t>
            </w:r>
            <w:r w:rsidR="00F30B66" w:rsidRPr="00332504">
              <w:rPr>
                <w:rFonts w:ascii="Times New Roman" w:hAnsi="Times New Roman"/>
                <w:sz w:val="24"/>
                <w:szCs w:val="24"/>
              </w:rPr>
              <w:t>el subojetivo</w:t>
            </w:r>
            <w:r w:rsidR="00B224CF" w:rsidRPr="00332504">
              <w:rPr>
                <w:rFonts w:ascii="Times New Roman" w:hAnsi="Times New Roman"/>
                <w:sz w:val="24"/>
                <w:szCs w:val="24"/>
              </w:rPr>
              <w:t>:</w:t>
            </w:r>
            <w:r w:rsidRPr="00332504">
              <w:rPr>
                <w:rFonts w:ascii="Times New Roman" w:hAnsi="Times New Roman"/>
                <w:sz w:val="24"/>
                <w:szCs w:val="24"/>
              </w:rPr>
              <w:t xml:space="preserve"> </w:t>
            </w:r>
            <w:r w:rsidRPr="00332504">
              <w:rPr>
                <w:rFonts w:ascii="Times New Roman" w:hAnsi="Times New Roman"/>
                <w:i/>
                <w:sz w:val="24"/>
                <w:szCs w:val="24"/>
              </w:rPr>
              <w:t xml:space="preserve">3.2 Acción 3.2.2 </w:t>
            </w:r>
            <w:r w:rsidR="00AA7853">
              <w:rPr>
                <w:rFonts w:ascii="Times New Roman" w:hAnsi="Times New Roman"/>
                <w:i/>
                <w:sz w:val="24"/>
                <w:szCs w:val="24"/>
              </w:rPr>
              <w:t xml:space="preserve">y </w:t>
            </w:r>
            <w:r w:rsidRPr="00332504">
              <w:rPr>
                <w:rFonts w:ascii="Times New Roman" w:hAnsi="Times New Roman"/>
                <w:i/>
                <w:sz w:val="24"/>
                <w:szCs w:val="24"/>
              </w:rPr>
              <w:t xml:space="preserve">3.4 </w:t>
            </w:r>
            <w:r w:rsidR="00AA7853">
              <w:rPr>
                <w:rFonts w:ascii="Times New Roman" w:hAnsi="Times New Roman"/>
                <w:i/>
                <w:sz w:val="24"/>
                <w:szCs w:val="24"/>
              </w:rPr>
              <w:t xml:space="preserve">y </w:t>
            </w:r>
            <w:r w:rsidRPr="00332504">
              <w:rPr>
                <w:rFonts w:ascii="Times New Roman" w:hAnsi="Times New Roman"/>
                <w:i/>
                <w:sz w:val="24"/>
                <w:szCs w:val="24"/>
              </w:rPr>
              <w:t>Acción 3.4.6 Establecer estrategias para consecución de recursos externos que financien los proyectos de investigación de la sede.</w:t>
            </w:r>
            <w:r w:rsidR="00B224CF" w:rsidRPr="00332504">
              <w:rPr>
                <w:rFonts w:ascii="Times New Roman" w:hAnsi="Times New Roman"/>
                <w:i/>
                <w:sz w:val="24"/>
                <w:szCs w:val="24"/>
              </w:rPr>
              <w:t xml:space="preserve"> </w:t>
            </w:r>
            <w:r w:rsidR="00B224CF" w:rsidRPr="00332504">
              <w:rPr>
                <w:rFonts w:ascii="Times New Roman" w:hAnsi="Times New Roman"/>
                <w:sz w:val="24"/>
                <w:szCs w:val="24"/>
              </w:rPr>
              <w:t>(</w:t>
            </w:r>
            <w:r w:rsidR="00F30B66" w:rsidRPr="00332504">
              <w:rPr>
                <w:rFonts w:ascii="Times New Roman" w:hAnsi="Times New Roman"/>
                <w:sz w:val="24"/>
                <w:szCs w:val="24"/>
              </w:rPr>
              <w:t>PGD</w:t>
            </w:r>
            <w:r w:rsidR="00B224CF" w:rsidRPr="00332504">
              <w:rPr>
                <w:rFonts w:ascii="Times New Roman" w:hAnsi="Times New Roman"/>
                <w:sz w:val="24"/>
                <w:szCs w:val="24"/>
              </w:rPr>
              <w:t>, 2016)</w:t>
            </w:r>
          </w:p>
          <w:p w:rsidR="00B306EC" w:rsidRPr="00332504" w:rsidRDefault="00B306EC" w:rsidP="00B306EC">
            <w:pPr>
              <w:pStyle w:val="Sinespaciado"/>
              <w:spacing w:line="276" w:lineRule="auto"/>
              <w:jc w:val="both"/>
              <w:rPr>
                <w:rFonts w:ascii="Times New Roman" w:hAnsi="Times New Roman"/>
                <w:i/>
                <w:sz w:val="24"/>
                <w:szCs w:val="24"/>
              </w:rPr>
            </w:pPr>
          </w:p>
          <w:p w:rsidR="00265B89" w:rsidRPr="00332504" w:rsidRDefault="00B306EC" w:rsidP="00AA7853">
            <w:pPr>
              <w:pStyle w:val="Sinespaciado"/>
              <w:spacing w:line="276" w:lineRule="auto"/>
              <w:jc w:val="both"/>
              <w:rPr>
                <w:rFonts w:ascii="Times New Roman" w:eastAsia="Times New Roman" w:hAnsi="Times New Roman"/>
                <w:b/>
                <w:bCs/>
                <w:color w:val="222222"/>
                <w:sz w:val="24"/>
                <w:szCs w:val="24"/>
                <w:lang w:eastAsia="es-CO"/>
              </w:rPr>
            </w:pPr>
            <w:r w:rsidRPr="00332504">
              <w:rPr>
                <w:rFonts w:ascii="Times New Roman" w:hAnsi="Times New Roman"/>
                <w:sz w:val="24"/>
                <w:szCs w:val="24"/>
              </w:rPr>
              <w:t xml:space="preserve">En este marco, la propuesta articula el conocimiento interdisciplinar de docentes y estudiantes, con el saber social y público, en lo que puede definirse como una apuesta por la ecología de saberes </w:t>
            </w:r>
            <w:r w:rsidR="00D240F9" w:rsidRPr="00332504">
              <w:rPr>
                <w:rFonts w:ascii="Times New Roman" w:hAnsi="Times New Roman"/>
                <w:sz w:val="24"/>
                <w:szCs w:val="24"/>
              </w:rPr>
              <w:t>(Sousa Santos, 2012)</w:t>
            </w:r>
            <w:r w:rsidR="00AA7853">
              <w:rPr>
                <w:rFonts w:ascii="Times New Roman" w:hAnsi="Times New Roman"/>
                <w:sz w:val="24"/>
                <w:szCs w:val="24"/>
              </w:rPr>
              <w:t xml:space="preserve">. </w:t>
            </w:r>
            <w:r w:rsidRPr="00332504">
              <w:rPr>
                <w:rFonts w:ascii="Times New Roman" w:hAnsi="Times New Roman"/>
                <w:sz w:val="24"/>
                <w:szCs w:val="24"/>
              </w:rPr>
              <w:t xml:space="preserve"> </w:t>
            </w:r>
          </w:p>
        </w:tc>
      </w:tr>
      <w:tr w:rsidR="00265B89" w:rsidRPr="00332504" w:rsidTr="00662970">
        <w:tc>
          <w:tcPr>
            <w:tcW w:w="5000" w:type="pct"/>
            <w:gridSpan w:val="2"/>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265B89" w:rsidRPr="00332504" w:rsidRDefault="00265B89" w:rsidP="005D15C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lastRenderedPageBreak/>
              <w:t>Articulación con funciones sustantivas y el sector social y productivo</w:t>
            </w:r>
          </w:p>
        </w:tc>
      </w:tr>
      <w:tr w:rsidR="00265B89" w:rsidRPr="00332504" w:rsidTr="00662970">
        <w:tc>
          <w:tcPr>
            <w:tcW w:w="5000" w:type="pct"/>
            <w:gridSpan w:val="2"/>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3A2535" w:rsidRPr="00332504" w:rsidRDefault="003A2535" w:rsidP="003A2535">
            <w:pPr>
              <w:pStyle w:val="Sinespaciado"/>
              <w:spacing w:line="276" w:lineRule="auto"/>
              <w:jc w:val="both"/>
              <w:rPr>
                <w:rFonts w:ascii="Times New Roman" w:hAnsi="Times New Roman"/>
                <w:sz w:val="24"/>
                <w:szCs w:val="24"/>
              </w:rPr>
            </w:pPr>
            <w:r w:rsidRPr="00332504">
              <w:rPr>
                <w:rFonts w:ascii="Times New Roman" w:hAnsi="Times New Roman"/>
                <w:sz w:val="24"/>
                <w:szCs w:val="24"/>
              </w:rPr>
              <w:t xml:space="preserve">El proyecto de investigación se construye a partir de las alianzas </w:t>
            </w:r>
            <w:r w:rsidR="00D240F9" w:rsidRPr="00332504">
              <w:rPr>
                <w:rFonts w:ascii="Times New Roman" w:hAnsi="Times New Roman"/>
                <w:sz w:val="24"/>
                <w:szCs w:val="24"/>
              </w:rPr>
              <w:t>y</w:t>
            </w:r>
            <w:r w:rsidRPr="00332504">
              <w:rPr>
                <w:rFonts w:ascii="Times New Roman" w:hAnsi="Times New Roman"/>
                <w:sz w:val="24"/>
                <w:szCs w:val="24"/>
              </w:rPr>
              <w:t xml:space="preserve"> logros generados por la trayectoria de docencia, investigación y responsabilidad social de la Maestría en Planeación para el Desarrollo, que son soportados en</w:t>
            </w:r>
            <w:r w:rsidR="00B224CF" w:rsidRPr="00332504">
              <w:rPr>
                <w:rFonts w:ascii="Times New Roman" w:hAnsi="Times New Roman"/>
                <w:sz w:val="24"/>
                <w:szCs w:val="24"/>
              </w:rPr>
              <w:t xml:space="preserve"> sus</w:t>
            </w:r>
            <w:r w:rsidRPr="00332504">
              <w:rPr>
                <w:rFonts w:ascii="Times New Roman" w:hAnsi="Times New Roman"/>
                <w:sz w:val="24"/>
                <w:szCs w:val="24"/>
              </w:rPr>
              <w:t xml:space="preserve"> núcleos problémicos</w:t>
            </w:r>
            <w:r w:rsidR="00B224CF" w:rsidRPr="00332504">
              <w:rPr>
                <w:rFonts w:ascii="Times New Roman" w:hAnsi="Times New Roman"/>
                <w:sz w:val="24"/>
                <w:szCs w:val="24"/>
              </w:rPr>
              <w:t xml:space="preserve">: </w:t>
            </w:r>
            <w:r w:rsidRPr="00332504">
              <w:rPr>
                <w:rFonts w:ascii="Times New Roman" w:hAnsi="Times New Roman"/>
                <w:sz w:val="24"/>
                <w:szCs w:val="24"/>
              </w:rPr>
              <w:t>Desarrollo y Planeación (PEP, 2016). En efecto, el programa de maestría cuenta con una importante trayectoria de articulación con actores sociales, plataformas y redes de investigación y acción en Colombia y América Latina, desde donde se promueve el fortalecimiento de procesos de gobernanza democrática, planeación y ordenamiento territorial participativos. El aprendizaje y los interrogantes que han arrojado estos escenarios, motivan la formulación de una propuesta que indague sobre el funcionamiento y las mejores rutas de acceso a los instrumentos y en general al sistema de planeación, desde una perspectiva multiescalar y, desde allí, hacer aportes a los actores públicos, comunitarios y privados de los territorios. Un mejor uso de los instrumentos y mecanismos de planeación, así como el reconocimiento de sus alcances y limitaciones, constituye una necesidad que debe ser cubierta, para mejorar, tanto la gestión pública de los territorios, como el ejercicio ciudadano y la exigibilidad de derechos, abrazando horizontes de desarrollo sostenible y paz. En este sentido, la aproximación territorial que se llevará a cabo a través de estudios de caso, facilitará el desarrollo de acciones de investigación y responsabilidad social concretas que garanticen aportes oportunos y contextualizados, desde la Maestría y la Universidad, hacia la sociedad.</w:t>
            </w:r>
          </w:p>
          <w:p w:rsidR="003A2535" w:rsidRPr="00332504" w:rsidRDefault="003A2535" w:rsidP="003A2535">
            <w:pPr>
              <w:pStyle w:val="Sinespaciado"/>
              <w:spacing w:line="276" w:lineRule="auto"/>
              <w:jc w:val="both"/>
              <w:rPr>
                <w:rFonts w:ascii="Times New Roman" w:hAnsi="Times New Roman"/>
                <w:sz w:val="24"/>
                <w:szCs w:val="24"/>
              </w:rPr>
            </w:pPr>
          </w:p>
          <w:p w:rsidR="003A2535" w:rsidRPr="00332504" w:rsidRDefault="00BB4793" w:rsidP="00613D20">
            <w:pPr>
              <w:pStyle w:val="Sinespaciado"/>
              <w:spacing w:line="276" w:lineRule="auto"/>
              <w:ind w:right="130"/>
              <w:jc w:val="both"/>
              <w:rPr>
                <w:rFonts w:ascii="Times New Roman" w:hAnsi="Times New Roman"/>
                <w:sz w:val="24"/>
                <w:szCs w:val="24"/>
              </w:rPr>
            </w:pPr>
            <w:r w:rsidRPr="00332504">
              <w:rPr>
                <w:rFonts w:ascii="Times New Roman" w:hAnsi="Times New Roman"/>
                <w:sz w:val="24"/>
                <w:szCs w:val="24"/>
              </w:rPr>
              <w:t>Además de la alianzas y acciones desarrolladas con la Unidad de Responsabilidad Social y con BOYAPAZ, que permiten dar</w:t>
            </w:r>
            <w:r w:rsidR="003A2535" w:rsidRPr="00332504">
              <w:rPr>
                <w:rFonts w:ascii="Times New Roman" w:hAnsi="Times New Roman"/>
                <w:sz w:val="24"/>
                <w:szCs w:val="24"/>
              </w:rPr>
              <w:t xml:space="preserve"> cuenta de la articulación de la propuesta de investigación</w:t>
            </w:r>
            <w:r w:rsidRPr="00332504">
              <w:rPr>
                <w:rFonts w:ascii="Times New Roman" w:hAnsi="Times New Roman"/>
                <w:sz w:val="24"/>
                <w:szCs w:val="24"/>
              </w:rPr>
              <w:t xml:space="preserve"> con las funciones sustantivas; también se ha extendido la invitación a las redes y plataformas con las que la Maestría viene construyendo procesos de docencia y responsabilidad social. L</w:t>
            </w:r>
            <w:r w:rsidR="003A2535" w:rsidRPr="00332504">
              <w:rPr>
                <w:rFonts w:ascii="Times New Roman" w:hAnsi="Times New Roman"/>
                <w:sz w:val="24"/>
                <w:szCs w:val="24"/>
              </w:rPr>
              <w:t>a Red Latinoamericana de Participación Popular en Políticas Públicas (Red PPPP); la Corporación Viva La Ciudadanía</w:t>
            </w:r>
            <w:r w:rsidRPr="00332504">
              <w:rPr>
                <w:rFonts w:ascii="Times New Roman" w:hAnsi="Times New Roman"/>
                <w:sz w:val="24"/>
                <w:szCs w:val="24"/>
              </w:rPr>
              <w:t>;</w:t>
            </w:r>
            <w:r w:rsidR="003A2535" w:rsidRPr="00332504">
              <w:rPr>
                <w:rFonts w:ascii="Times New Roman" w:hAnsi="Times New Roman"/>
                <w:sz w:val="24"/>
                <w:szCs w:val="24"/>
              </w:rPr>
              <w:t xml:space="preserve"> el Consejo Nacional de Planeación (CNP) y</w:t>
            </w:r>
            <w:r w:rsidRPr="00332504">
              <w:rPr>
                <w:rFonts w:ascii="Times New Roman" w:hAnsi="Times New Roman"/>
                <w:sz w:val="24"/>
                <w:szCs w:val="24"/>
              </w:rPr>
              <w:t>;</w:t>
            </w:r>
            <w:r w:rsidR="003A2535" w:rsidRPr="00332504">
              <w:rPr>
                <w:rFonts w:ascii="Times New Roman" w:hAnsi="Times New Roman"/>
                <w:sz w:val="24"/>
                <w:szCs w:val="24"/>
              </w:rPr>
              <w:t xml:space="preserve"> el Observatorio Fiscal de la Universidad Javeriana, han manifestado su intención de articularse a la investigación. Héctor </w:t>
            </w:r>
            <w:proofErr w:type="spellStart"/>
            <w:r w:rsidR="003A2535" w:rsidRPr="00332504">
              <w:rPr>
                <w:rFonts w:ascii="Times New Roman" w:hAnsi="Times New Roman"/>
                <w:sz w:val="24"/>
                <w:szCs w:val="24"/>
              </w:rPr>
              <w:t>Pog</w:t>
            </w:r>
            <w:r w:rsidRPr="00332504">
              <w:rPr>
                <w:rFonts w:ascii="Times New Roman" w:hAnsi="Times New Roman"/>
                <w:sz w:val="24"/>
                <w:szCs w:val="24"/>
              </w:rPr>
              <w:t>g</w:t>
            </w:r>
            <w:r w:rsidR="003A2535" w:rsidRPr="00332504">
              <w:rPr>
                <w:rFonts w:ascii="Times New Roman" w:hAnsi="Times New Roman"/>
                <w:sz w:val="24"/>
                <w:szCs w:val="24"/>
              </w:rPr>
              <w:t>iese</w:t>
            </w:r>
            <w:proofErr w:type="spellEnd"/>
            <w:r w:rsidR="003A2535" w:rsidRPr="00332504">
              <w:rPr>
                <w:rFonts w:ascii="Times New Roman" w:hAnsi="Times New Roman"/>
                <w:sz w:val="24"/>
                <w:szCs w:val="24"/>
              </w:rPr>
              <w:t>, docente FLACSO y uno de los investigadores con mayor trayectoria en planeación participativa, fundador de la Red PPPP, ha sido docente invitado a la Maestría y en esta oportunidad estará en disposición de asesorar la implementación de herramientas metodológicas que permitan concretar reflexiones y apuestas compartidas hasta ahora en los espacios académicos. Viva La Ciudadanía y la Maestría hacen parte de la Red de Planeación Local y Prespuestación Participativa, la cual articula a un importante número de entidades territoriales del país, para quienes los resultados de la investigación son pertinentes, así como para el CNP, instancia con la cual la Maestría desarrolla tareas de asesoramiento metodológico desde el 2018-II.</w:t>
            </w:r>
          </w:p>
          <w:p w:rsidR="00D03855" w:rsidRPr="00332504" w:rsidRDefault="00D03855" w:rsidP="003A2535">
            <w:pPr>
              <w:pStyle w:val="Sinespaciado"/>
              <w:spacing w:line="276" w:lineRule="auto"/>
              <w:jc w:val="both"/>
              <w:rPr>
                <w:rFonts w:ascii="Times New Roman" w:hAnsi="Times New Roman"/>
                <w:sz w:val="24"/>
                <w:szCs w:val="24"/>
              </w:rPr>
            </w:pPr>
          </w:p>
          <w:p w:rsidR="00400E55" w:rsidRPr="00332504" w:rsidRDefault="003A2535" w:rsidP="00D03855">
            <w:pPr>
              <w:pStyle w:val="Sinespaciado"/>
              <w:spacing w:line="276" w:lineRule="auto"/>
              <w:jc w:val="both"/>
              <w:rPr>
                <w:rFonts w:ascii="Times New Roman" w:eastAsia="Times New Roman" w:hAnsi="Times New Roman"/>
                <w:b/>
                <w:bCs/>
                <w:color w:val="222222"/>
                <w:sz w:val="24"/>
                <w:szCs w:val="24"/>
                <w:lang w:eastAsia="es-CO"/>
              </w:rPr>
            </w:pPr>
            <w:r w:rsidRPr="00332504">
              <w:rPr>
                <w:rFonts w:ascii="Times New Roman" w:hAnsi="Times New Roman"/>
                <w:sz w:val="24"/>
                <w:szCs w:val="24"/>
              </w:rPr>
              <w:t xml:space="preserve">Finalmente, la investigación se fortalecerá </w:t>
            </w:r>
            <w:r w:rsidR="00D03855" w:rsidRPr="00332504">
              <w:rPr>
                <w:rFonts w:ascii="Times New Roman" w:hAnsi="Times New Roman"/>
                <w:sz w:val="24"/>
                <w:szCs w:val="24"/>
              </w:rPr>
              <w:t>con</w:t>
            </w:r>
            <w:r w:rsidRPr="00332504">
              <w:rPr>
                <w:rFonts w:ascii="Times New Roman" w:hAnsi="Times New Roman"/>
                <w:sz w:val="24"/>
                <w:szCs w:val="24"/>
              </w:rPr>
              <w:t xml:space="preserve"> </w:t>
            </w:r>
            <w:r w:rsidR="00D03855" w:rsidRPr="00332504">
              <w:rPr>
                <w:rFonts w:ascii="Times New Roman" w:hAnsi="Times New Roman"/>
                <w:sz w:val="24"/>
                <w:szCs w:val="24"/>
              </w:rPr>
              <w:t xml:space="preserve">la </w:t>
            </w:r>
            <w:r w:rsidRPr="00332504">
              <w:rPr>
                <w:rFonts w:ascii="Times New Roman" w:hAnsi="Times New Roman"/>
                <w:sz w:val="24"/>
                <w:szCs w:val="24"/>
              </w:rPr>
              <w:t xml:space="preserve">articulación de tres espacios académicos de la Maestría, </w:t>
            </w:r>
            <w:r w:rsidR="00D03855" w:rsidRPr="00332504">
              <w:rPr>
                <w:rFonts w:ascii="Times New Roman" w:eastAsia="Times New Roman" w:hAnsi="Times New Roman"/>
                <w:bCs/>
                <w:color w:val="222222"/>
                <w:sz w:val="24"/>
                <w:szCs w:val="24"/>
                <w:lang w:eastAsia="es-CO"/>
              </w:rPr>
              <w:t>a partir del diálogo estratégico</w:t>
            </w:r>
            <w:r w:rsidRPr="00332504">
              <w:rPr>
                <w:rFonts w:ascii="Times New Roman" w:eastAsia="Times New Roman" w:hAnsi="Times New Roman"/>
                <w:bCs/>
                <w:color w:val="222222"/>
                <w:sz w:val="24"/>
                <w:szCs w:val="24"/>
                <w:lang w:eastAsia="es-CO"/>
              </w:rPr>
              <w:t xml:space="preserve"> con las preguntas problémicas </w:t>
            </w:r>
            <w:r w:rsidR="00D03855" w:rsidRPr="00332504">
              <w:rPr>
                <w:rFonts w:ascii="Times New Roman" w:eastAsia="Times New Roman" w:hAnsi="Times New Roman"/>
                <w:bCs/>
                <w:color w:val="222222"/>
                <w:sz w:val="24"/>
                <w:szCs w:val="24"/>
                <w:lang w:eastAsia="es-CO"/>
              </w:rPr>
              <w:t xml:space="preserve">definidas en el PEP, 2016 y en cada uno de los Syllabus. Los espacios son, </w:t>
            </w:r>
            <w:r w:rsidRPr="00332504">
              <w:rPr>
                <w:rFonts w:ascii="Times New Roman" w:eastAsia="Times New Roman" w:hAnsi="Times New Roman"/>
                <w:bCs/>
                <w:color w:val="222222"/>
                <w:sz w:val="24"/>
                <w:szCs w:val="24"/>
                <w:lang w:eastAsia="es-CO"/>
              </w:rPr>
              <w:t>Descentralización y Desarrollo Territorial en Colombia (II semestre) a cargo de la Investigadora Principal; Instrumentos de Planeación en Colombia (III semestre) y Taller de Profundización (IV semestre) a cargo de los docentes co-investigadores</w:t>
            </w:r>
            <w:r w:rsidRPr="00332504">
              <w:rPr>
                <w:rFonts w:ascii="Times New Roman" w:eastAsia="Times New Roman" w:hAnsi="Times New Roman"/>
                <w:b/>
                <w:bCs/>
                <w:color w:val="222222"/>
                <w:sz w:val="24"/>
                <w:szCs w:val="24"/>
                <w:lang w:eastAsia="es-CO"/>
              </w:rPr>
              <w:t xml:space="preserve">. </w:t>
            </w:r>
            <w:r w:rsidR="00DB652E" w:rsidRPr="00332504">
              <w:rPr>
                <w:rFonts w:ascii="Times New Roman" w:hAnsi="Times New Roman"/>
                <w:sz w:val="24"/>
                <w:szCs w:val="24"/>
              </w:rPr>
              <w:t xml:space="preserve"> </w:t>
            </w:r>
          </w:p>
        </w:tc>
      </w:tr>
      <w:tr w:rsidR="002A18AF" w:rsidRPr="00332504" w:rsidTr="00F30B66">
        <w:tc>
          <w:tcPr>
            <w:tcW w:w="1729"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2A18AF" w:rsidRPr="00332504" w:rsidRDefault="002A18AF" w:rsidP="005D15C7">
            <w:pPr>
              <w:spacing w:after="0"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t>Grupo de investigación</w:t>
            </w:r>
          </w:p>
        </w:tc>
        <w:tc>
          <w:tcPr>
            <w:tcW w:w="3271"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vAlign w:val="center"/>
          </w:tcPr>
          <w:p w:rsidR="002A18AF" w:rsidRPr="00332504" w:rsidRDefault="002A18AF" w:rsidP="005D15C7">
            <w:pPr>
              <w:spacing w:after="0"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t>Línea de investigación en la que se inscribe el proyecto</w:t>
            </w:r>
          </w:p>
        </w:tc>
      </w:tr>
      <w:tr w:rsidR="002A18AF" w:rsidRPr="00332504" w:rsidTr="00662970">
        <w:tc>
          <w:tcPr>
            <w:tcW w:w="5000" w:type="pct"/>
            <w:gridSpan w:val="2"/>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A18AF" w:rsidRPr="00332504" w:rsidRDefault="005D15C7" w:rsidP="004B44C6">
            <w:pPr>
              <w:pStyle w:val="Sinespaciado"/>
              <w:spacing w:line="276" w:lineRule="auto"/>
              <w:jc w:val="both"/>
              <w:rPr>
                <w:rFonts w:ascii="Times New Roman" w:eastAsia="Times New Roman" w:hAnsi="Times New Roman"/>
                <w:color w:val="222222"/>
                <w:sz w:val="24"/>
                <w:szCs w:val="24"/>
                <w:lang w:eastAsia="es-CO"/>
              </w:rPr>
            </w:pPr>
            <w:r w:rsidRPr="00332504">
              <w:rPr>
                <w:rFonts w:ascii="Times New Roman" w:hAnsi="Times New Roman"/>
                <w:sz w:val="24"/>
                <w:szCs w:val="24"/>
              </w:rPr>
              <w:t xml:space="preserve">La propuesta se inscribe en la línea de investigación “Desarrollo, políticas públicas y planeación participativa”, del Grupo de Investigación </w:t>
            </w:r>
            <w:r w:rsidR="004B44C6" w:rsidRPr="00332504">
              <w:rPr>
                <w:rFonts w:ascii="Times New Roman" w:hAnsi="Times New Roman"/>
                <w:sz w:val="24"/>
                <w:szCs w:val="24"/>
              </w:rPr>
              <w:t xml:space="preserve">Conflictos </w:t>
            </w:r>
            <w:r w:rsidRPr="00332504">
              <w:rPr>
                <w:rFonts w:ascii="Times New Roman" w:hAnsi="Times New Roman"/>
                <w:sz w:val="24"/>
                <w:szCs w:val="24"/>
              </w:rPr>
              <w:t xml:space="preserve">Sociales, Género y Territorios. </w:t>
            </w:r>
          </w:p>
        </w:tc>
      </w:tr>
    </w:tbl>
    <w:p w:rsidR="002A18AF" w:rsidRDefault="002A18AF" w:rsidP="005D15C7">
      <w:pPr>
        <w:spacing w:after="0" w:line="276" w:lineRule="auto"/>
        <w:rPr>
          <w:rFonts w:ascii="Times New Roman" w:eastAsia="Times New Roman" w:hAnsi="Times New Roman" w:cs="Times New Roman"/>
          <w:sz w:val="24"/>
          <w:szCs w:val="24"/>
          <w:lang w:eastAsia="es-CO"/>
        </w:rPr>
      </w:pPr>
    </w:p>
    <w:p w:rsidR="00AA7853" w:rsidRDefault="00AA7853" w:rsidP="005D15C7">
      <w:pPr>
        <w:spacing w:after="0" w:line="276" w:lineRule="auto"/>
        <w:rPr>
          <w:rFonts w:ascii="Times New Roman" w:eastAsia="Times New Roman" w:hAnsi="Times New Roman" w:cs="Times New Roman"/>
          <w:sz w:val="24"/>
          <w:szCs w:val="24"/>
          <w:lang w:eastAsia="es-CO"/>
        </w:rPr>
      </w:pPr>
    </w:p>
    <w:p w:rsidR="00AA7853" w:rsidRPr="00332504" w:rsidRDefault="00AA7853" w:rsidP="005D15C7">
      <w:pPr>
        <w:spacing w:after="0" w:line="276" w:lineRule="auto"/>
        <w:rPr>
          <w:rFonts w:ascii="Times New Roman" w:eastAsia="Times New Roman" w:hAnsi="Times New Roman" w:cs="Times New Roman"/>
          <w:sz w:val="24"/>
          <w:szCs w:val="24"/>
          <w:lang w:eastAsia="es-CO"/>
        </w:rPr>
      </w:pPr>
    </w:p>
    <w:tbl>
      <w:tblPr>
        <w:tblW w:w="14734" w:type="dxa"/>
        <w:shd w:val="clear" w:color="auto" w:fill="FFFFFF"/>
        <w:tblLook w:val="04A0" w:firstRow="1" w:lastRow="0" w:firstColumn="1" w:lastColumn="0" w:noHBand="0" w:noVBand="1"/>
      </w:tblPr>
      <w:tblGrid>
        <w:gridCol w:w="3089"/>
        <w:gridCol w:w="3635"/>
        <w:gridCol w:w="3973"/>
        <w:gridCol w:w="4037"/>
      </w:tblGrid>
      <w:tr w:rsidR="00C635CF" w:rsidRPr="00332504" w:rsidTr="00C635CF">
        <w:trPr>
          <w:trHeight w:val="516"/>
        </w:trPr>
        <w:tc>
          <w:tcPr>
            <w:tcW w:w="1159"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Nombre del Investigador principal</w:t>
            </w:r>
          </w:p>
        </w:tc>
        <w:tc>
          <w:tcPr>
            <w:tcW w:w="1132"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Enlace CvLAC</w:t>
            </w:r>
          </w:p>
        </w:tc>
        <w:tc>
          <w:tcPr>
            <w:tcW w:w="1459"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Enlace ORCID</w:t>
            </w:r>
          </w:p>
        </w:tc>
        <w:tc>
          <w:tcPr>
            <w:tcW w:w="1251"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Enlace Google Académico</w:t>
            </w:r>
          </w:p>
        </w:tc>
      </w:tr>
      <w:tr w:rsidR="00C635CF" w:rsidRPr="00332504" w:rsidTr="00C635CF">
        <w:trPr>
          <w:trHeight w:val="536"/>
        </w:trPr>
        <w:tc>
          <w:tcPr>
            <w:tcW w:w="11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A18AF" w:rsidRPr="00332504" w:rsidRDefault="00A54DA9" w:rsidP="00A54DA9">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 xml:space="preserve">Johanna </w:t>
            </w:r>
            <w:r w:rsidR="004B44C6" w:rsidRPr="00332504">
              <w:rPr>
                <w:rFonts w:ascii="Times New Roman" w:eastAsia="Times New Roman" w:hAnsi="Times New Roman" w:cs="Times New Roman"/>
                <w:color w:val="222222"/>
                <w:sz w:val="20"/>
                <w:szCs w:val="20"/>
                <w:lang w:eastAsia="es-CO"/>
              </w:rPr>
              <w:t>Eloisa Vargas</w:t>
            </w:r>
            <w:r w:rsidRPr="00332504">
              <w:rPr>
                <w:rFonts w:ascii="Times New Roman" w:eastAsia="Times New Roman" w:hAnsi="Times New Roman" w:cs="Times New Roman"/>
                <w:color w:val="222222"/>
                <w:sz w:val="20"/>
                <w:szCs w:val="20"/>
                <w:lang w:eastAsia="es-CO"/>
              </w:rPr>
              <w:t xml:space="preserve"> </w:t>
            </w:r>
            <w:r w:rsidR="004B44C6" w:rsidRPr="00332504">
              <w:rPr>
                <w:rFonts w:ascii="Times New Roman" w:eastAsia="Times New Roman" w:hAnsi="Times New Roman" w:cs="Times New Roman"/>
                <w:color w:val="222222"/>
                <w:sz w:val="20"/>
                <w:szCs w:val="20"/>
                <w:lang w:eastAsia="es-CO"/>
              </w:rPr>
              <w:t>Moreno</w:t>
            </w:r>
          </w:p>
        </w:tc>
        <w:tc>
          <w:tcPr>
            <w:tcW w:w="113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A18AF" w:rsidRPr="00332504" w:rsidRDefault="00E1613E" w:rsidP="005D15C7">
            <w:pPr>
              <w:spacing w:after="0" w:line="276" w:lineRule="auto"/>
              <w:jc w:val="center"/>
              <w:rPr>
                <w:rFonts w:eastAsia="Times New Roman" w:cstheme="minorHAnsi"/>
                <w:color w:val="222222"/>
                <w:sz w:val="20"/>
                <w:szCs w:val="20"/>
                <w:lang w:eastAsia="es-CO"/>
              </w:rPr>
            </w:pPr>
            <w:hyperlink w:history="1">
              <w:r w:rsidRPr="00332504">
                <w:rPr>
                  <w:rStyle w:val="Hipervnculo"/>
                  <w:rFonts w:cstheme="minorHAnsi"/>
                  <w:sz w:val="20"/>
                  <w:szCs w:val="20"/>
                </w:rPr>
                <w:t>https://scienti.colciencias. gov.co/</w:t>
              </w:r>
              <w:proofErr w:type="spellStart"/>
              <w:r w:rsidRPr="00332504">
                <w:rPr>
                  <w:rStyle w:val="Hipervnculo"/>
                  <w:rFonts w:cstheme="minorHAnsi"/>
                  <w:sz w:val="20"/>
                  <w:szCs w:val="20"/>
                </w:rPr>
                <w:t>cvlac</w:t>
              </w:r>
              <w:proofErr w:type="spellEnd"/>
              <w:r w:rsidRPr="00332504">
                <w:rPr>
                  <w:rStyle w:val="Hipervnculo"/>
                  <w:rFonts w:cstheme="minorHAnsi"/>
                  <w:sz w:val="20"/>
                  <w:szCs w:val="20"/>
                </w:rPr>
                <w:t xml:space="preserve">/visualizador/ </w:t>
              </w:r>
              <w:proofErr w:type="spellStart"/>
              <w:r w:rsidRPr="00332504">
                <w:rPr>
                  <w:rStyle w:val="Hipervnculo"/>
                  <w:rFonts w:cstheme="minorHAnsi"/>
                  <w:sz w:val="20"/>
                  <w:szCs w:val="20"/>
                </w:rPr>
                <w:t>generarCurriculoCv.do?cod_rh</w:t>
              </w:r>
              <w:proofErr w:type="spellEnd"/>
              <w:r w:rsidRPr="00332504">
                <w:rPr>
                  <w:rStyle w:val="Hipervnculo"/>
                  <w:rFonts w:cstheme="minorHAnsi"/>
                  <w:sz w:val="20"/>
                  <w:szCs w:val="20"/>
                </w:rPr>
                <w:t>= 0001370212</w:t>
              </w:r>
            </w:hyperlink>
          </w:p>
        </w:tc>
        <w:tc>
          <w:tcPr>
            <w:tcW w:w="14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A18AF" w:rsidRPr="00332504" w:rsidRDefault="00E408E2" w:rsidP="005D15C7">
            <w:pPr>
              <w:spacing w:after="0" w:line="276" w:lineRule="auto"/>
              <w:jc w:val="center"/>
              <w:rPr>
                <w:rFonts w:eastAsia="Times New Roman" w:cstheme="minorHAnsi"/>
                <w:color w:val="222222"/>
                <w:sz w:val="20"/>
                <w:szCs w:val="20"/>
                <w:lang w:eastAsia="es-CO"/>
              </w:rPr>
            </w:pPr>
            <w:hyperlink r:id="rId8">
              <w:r w:rsidRPr="00332504">
                <w:rPr>
                  <w:rFonts w:cstheme="minorHAnsi"/>
                  <w:color w:val="1154CC"/>
                  <w:w w:val="105"/>
                  <w:sz w:val="20"/>
                  <w:szCs w:val="20"/>
                  <w:u w:val="single" w:color="1154CC"/>
                  <w:lang w:val="es-ES_tradnl"/>
                </w:rPr>
                <w:t>https://orci</w:t>
              </w:r>
              <w:r w:rsidRPr="00332504">
                <w:rPr>
                  <w:rFonts w:cstheme="minorHAnsi"/>
                  <w:color w:val="1154CC"/>
                  <w:w w:val="105"/>
                  <w:sz w:val="20"/>
                  <w:szCs w:val="20"/>
                  <w:u w:val="single" w:color="1154CC"/>
                  <w:lang w:val="es-ES_tradnl"/>
                </w:rPr>
                <w:t>d</w:t>
              </w:r>
              <w:r w:rsidRPr="00332504">
                <w:rPr>
                  <w:rFonts w:cstheme="minorHAnsi"/>
                  <w:color w:val="1154CC"/>
                  <w:w w:val="105"/>
                  <w:sz w:val="20"/>
                  <w:szCs w:val="20"/>
                  <w:u w:val="single" w:color="1154CC"/>
                  <w:lang w:val="es-ES_tradnl"/>
                </w:rPr>
                <w:t>.or</w:t>
              </w:r>
              <w:r w:rsidRPr="00332504">
                <w:rPr>
                  <w:rFonts w:cstheme="minorHAnsi"/>
                  <w:color w:val="1154CC"/>
                  <w:w w:val="105"/>
                  <w:sz w:val="20"/>
                  <w:szCs w:val="20"/>
                  <w:lang w:val="es-ES_tradnl"/>
                </w:rPr>
                <w:t>g</w:t>
              </w:r>
              <w:r w:rsidRPr="00332504">
                <w:rPr>
                  <w:rFonts w:cstheme="minorHAnsi"/>
                  <w:color w:val="1154CC"/>
                  <w:w w:val="105"/>
                  <w:sz w:val="20"/>
                  <w:szCs w:val="20"/>
                  <w:u w:val="single" w:color="1154CC"/>
                  <w:lang w:val="es-ES_tradnl"/>
                </w:rPr>
                <w:t>/0000-0002-8709-7604</w:t>
              </w:r>
            </w:hyperlink>
          </w:p>
        </w:tc>
        <w:tc>
          <w:tcPr>
            <w:tcW w:w="1251"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A18AF" w:rsidRPr="00332504" w:rsidRDefault="00E408E2" w:rsidP="005D15C7">
            <w:pPr>
              <w:spacing w:after="0" w:line="276" w:lineRule="auto"/>
              <w:jc w:val="center"/>
              <w:rPr>
                <w:rFonts w:eastAsia="Times New Roman" w:cstheme="minorHAnsi"/>
                <w:color w:val="222222"/>
                <w:sz w:val="20"/>
                <w:szCs w:val="20"/>
                <w:lang w:eastAsia="es-CO"/>
              </w:rPr>
            </w:pPr>
            <w:hyperlink r:id="rId9">
              <w:r w:rsidRPr="00332504">
                <w:rPr>
                  <w:rFonts w:cstheme="minorHAnsi"/>
                  <w:color w:val="1154CC"/>
                  <w:w w:val="105"/>
                  <w:sz w:val="20"/>
                  <w:szCs w:val="20"/>
                  <w:u w:val="single" w:color="1154CC"/>
                  <w:lang w:val="es-ES_tradnl"/>
                </w:rPr>
                <w:t>https://scholar.</w:t>
              </w:r>
              <w:r w:rsidRPr="00332504">
                <w:rPr>
                  <w:rFonts w:cstheme="minorHAnsi"/>
                  <w:color w:val="1154CC"/>
                  <w:w w:val="105"/>
                  <w:sz w:val="20"/>
                  <w:szCs w:val="20"/>
                  <w:lang w:val="es-ES_tradnl"/>
                </w:rPr>
                <w:t>g</w:t>
              </w:r>
              <w:r w:rsidRPr="00332504">
                <w:rPr>
                  <w:rFonts w:cstheme="minorHAnsi"/>
                  <w:color w:val="1154CC"/>
                  <w:w w:val="105"/>
                  <w:sz w:val="20"/>
                  <w:szCs w:val="20"/>
                  <w:u w:val="single" w:color="1154CC"/>
                  <w:lang w:val="es-ES_tradnl"/>
                </w:rPr>
                <w:t>oo</w:t>
              </w:r>
              <w:r w:rsidRPr="00332504">
                <w:rPr>
                  <w:rFonts w:cstheme="minorHAnsi"/>
                  <w:color w:val="1154CC"/>
                  <w:w w:val="105"/>
                  <w:sz w:val="20"/>
                  <w:szCs w:val="20"/>
                  <w:lang w:val="es-ES_tradnl"/>
                </w:rPr>
                <w:t>g</w:t>
              </w:r>
              <w:r w:rsidRPr="00332504">
                <w:rPr>
                  <w:rFonts w:cstheme="minorHAnsi"/>
                  <w:color w:val="1154CC"/>
                  <w:w w:val="105"/>
                  <w:sz w:val="20"/>
                  <w:szCs w:val="20"/>
                  <w:u w:val="single" w:color="1154CC"/>
                  <w:lang w:val="es-ES_tradnl"/>
                </w:rPr>
                <w:t>le.es/citations?</w:t>
              </w:r>
              <w:r w:rsidRPr="00332504">
                <w:rPr>
                  <w:rFonts w:cstheme="minorHAnsi"/>
                  <w:color w:val="1154CC"/>
                  <w:w w:val="105"/>
                  <w:sz w:val="20"/>
                  <w:szCs w:val="20"/>
                  <w:lang w:val="es-ES_tradnl"/>
                </w:rPr>
                <w:t xml:space="preserve"> </w:t>
              </w:r>
              <w:proofErr w:type="spellStart"/>
              <w:r w:rsidRPr="00332504">
                <w:rPr>
                  <w:rFonts w:cstheme="minorHAnsi"/>
                  <w:color w:val="1154CC"/>
                  <w:w w:val="105"/>
                  <w:sz w:val="20"/>
                  <w:szCs w:val="20"/>
                  <w:u w:val="single" w:color="1154CC"/>
                  <w:lang w:val="es-ES_tradnl"/>
                </w:rPr>
                <w:t>user</w:t>
              </w:r>
              <w:proofErr w:type="spellEnd"/>
              <w:r w:rsidRPr="00332504">
                <w:rPr>
                  <w:rFonts w:cstheme="minorHAnsi"/>
                  <w:color w:val="1154CC"/>
                  <w:w w:val="105"/>
                  <w:sz w:val="20"/>
                  <w:szCs w:val="20"/>
                  <w:u w:val="single" w:color="1154CC"/>
                  <w:lang w:val="es-ES_tradnl"/>
                </w:rPr>
                <w:t>=X8NxaQoAAAAJ&amp;hl=</w:t>
              </w:r>
              <w:proofErr w:type="spellStart"/>
              <w:r w:rsidRPr="00332504">
                <w:rPr>
                  <w:rFonts w:cstheme="minorHAnsi"/>
                  <w:color w:val="1154CC"/>
                  <w:w w:val="105"/>
                  <w:sz w:val="20"/>
                  <w:szCs w:val="20"/>
                  <w:u w:val="single" w:color="1154CC"/>
                  <w:lang w:val="es-ES_tradnl"/>
                </w:rPr>
                <w:t>es&amp;oi</w:t>
              </w:r>
              <w:proofErr w:type="spellEnd"/>
              <w:r w:rsidRPr="00332504">
                <w:rPr>
                  <w:rFonts w:cstheme="minorHAnsi"/>
                  <w:color w:val="1154CC"/>
                  <w:w w:val="105"/>
                  <w:sz w:val="20"/>
                  <w:szCs w:val="20"/>
                  <w:u w:val="single" w:color="1154CC"/>
                  <w:lang w:val="es-ES_tradnl"/>
                </w:rPr>
                <w:t>=</w:t>
              </w:r>
              <w:proofErr w:type="spellStart"/>
              <w:r w:rsidRPr="00332504">
                <w:rPr>
                  <w:rFonts w:cstheme="minorHAnsi"/>
                  <w:color w:val="1154CC"/>
                  <w:w w:val="105"/>
                  <w:sz w:val="20"/>
                  <w:szCs w:val="20"/>
                  <w:u w:val="single" w:color="1154CC"/>
                  <w:lang w:val="es-ES_tradnl"/>
                </w:rPr>
                <w:t>ao</w:t>
              </w:r>
              <w:proofErr w:type="spellEnd"/>
            </w:hyperlink>
          </w:p>
        </w:tc>
      </w:tr>
      <w:tr w:rsidR="00C635CF" w:rsidRPr="00332504" w:rsidTr="00C635CF">
        <w:trPr>
          <w:trHeight w:val="536"/>
        </w:trPr>
        <w:tc>
          <w:tcPr>
            <w:tcW w:w="1159"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División</w:t>
            </w:r>
          </w:p>
        </w:tc>
        <w:tc>
          <w:tcPr>
            <w:tcW w:w="1132"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Facultad</w:t>
            </w:r>
          </w:p>
        </w:tc>
        <w:tc>
          <w:tcPr>
            <w:tcW w:w="1459"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Programa</w:t>
            </w:r>
          </w:p>
        </w:tc>
        <w:tc>
          <w:tcPr>
            <w:tcW w:w="1251"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Grupo de investigación</w:t>
            </w:r>
          </w:p>
        </w:tc>
      </w:tr>
      <w:tr w:rsidR="00C635CF" w:rsidRPr="00332504" w:rsidTr="00C635CF">
        <w:trPr>
          <w:trHeight w:val="536"/>
        </w:trPr>
        <w:tc>
          <w:tcPr>
            <w:tcW w:w="11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A18AF" w:rsidRPr="00332504" w:rsidRDefault="004B44C6" w:rsidP="005D15C7">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Ciencias Sociales</w:t>
            </w:r>
          </w:p>
        </w:tc>
        <w:tc>
          <w:tcPr>
            <w:tcW w:w="113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A18AF" w:rsidRPr="00332504" w:rsidRDefault="004B44C6" w:rsidP="005D15C7">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Sociología</w:t>
            </w:r>
          </w:p>
        </w:tc>
        <w:tc>
          <w:tcPr>
            <w:tcW w:w="14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A18AF" w:rsidRPr="00332504" w:rsidRDefault="004B44C6" w:rsidP="005D15C7">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Maestría en Planeación para el Desarrollo</w:t>
            </w:r>
          </w:p>
        </w:tc>
        <w:tc>
          <w:tcPr>
            <w:tcW w:w="1251"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A18AF" w:rsidRPr="00332504" w:rsidRDefault="004B44C6" w:rsidP="005D15C7">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Conflictos Sociales, Género y Territorios</w:t>
            </w:r>
          </w:p>
        </w:tc>
      </w:tr>
      <w:tr w:rsidR="00C635CF" w:rsidRPr="00332504" w:rsidTr="00C635CF">
        <w:trPr>
          <w:trHeight w:val="536"/>
        </w:trPr>
        <w:tc>
          <w:tcPr>
            <w:tcW w:w="1159"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AC47BF" w:rsidRPr="00332504" w:rsidRDefault="00AC47B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 xml:space="preserve">Nombre del Co-investigador </w:t>
            </w:r>
          </w:p>
        </w:tc>
        <w:tc>
          <w:tcPr>
            <w:tcW w:w="1132"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AC47BF" w:rsidRPr="00332504" w:rsidRDefault="00AC47B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Enlace CvLAC</w:t>
            </w:r>
          </w:p>
        </w:tc>
        <w:tc>
          <w:tcPr>
            <w:tcW w:w="1459"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AC47BF" w:rsidRPr="00332504" w:rsidRDefault="00AC47B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Enlace ORCID</w:t>
            </w:r>
          </w:p>
        </w:tc>
        <w:tc>
          <w:tcPr>
            <w:tcW w:w="1251"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AC47BF" w:rsidRPr="00332504" w:rsidRDefault="00AC47B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Enlace Google Académico</w:t>
            </w:r>
          </w:p>
        </w:tc>
      </w:tr>
      <w:tr w:rsidR="00C635CF" w:rsidRPr="00332504" w:rsidTr="00C635CF">
        <w:trPr>
          <w:trHeight w:val="536"/>
        </w:trPr>
        <w:tc>
          <w:tcPr>
            <w:tcW w:w="11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AC47BF" w:rsidRPr="00332504" w:rsidRDefault="004B44C6" w:rsidP="005D15C7">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Jorge Andrés Pinzón Rueda</w:t>
            </w:r>
          </w:p>
        </w:tc>
        <w:tc>
          <w:tcPr>
            <w:tcW w:w="113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AC47BF" w:rsidRPr="00332504" w:rsidRDefault="002B5078" w:rsidP="002B5078">
            <w:pPr>
              <w:spacing w:line="240" w:lineRule="atLeast"/>
              <w:jc w:val="center"/>
              <w:rPr>
                <w:rFonts w:ascii="Times New Roman" w:eastAsia="Times New Roman" w:hAnsi="Times New Roman" w:cs="Times New Roman"/>
                <w:b/>
                <w:bCs/>
                <w:color w:val="222222"/>
                <w:sz w:val="20"/>
                <w:szCs w:val="20"/>
                <w:lang w:eastAsia="es-CO"/>
              </w:rPr>
            </w:pPr>
            <w:hyperlink w:history="1">
              <w:r w:rsidRPr="00332504">
                <w:rPr>
                  <w:rStyle w:val="Hipervnculo"/>
                  <w:rFonts w:ascii="Arial" w:hAnsi="Arial" w:cs="Arial"/>
                  <w:sz w:val="20"/>
                  <w:szCs w:val="20"/>
                </w:rPr>
                <w:t xml:space="preserve">https://scienti.colciencias. gov.co/cvlac/visualizador/ </w:t>
              </w:r>
              <w:proofErr w:type="spellStart"/>
              <w:r w:rsidRPr="00332504">
                <w:rPr>
                  <w:rStyle w:val="Hipervnculo"/>
                  <w:rFonts w:ascii="Arial" w:hAnsi="Arial" w:cs="Arial"/>
                  <w:sz w:val="20"/>
                  <w:szCs w:val="20"/>
                </w:rPr>
                <w:t>generarCurriculoCv.do?cod_rh</w:t>
              </w:r>
              <w:proofErr w:type="spellEnd"/>
              <w:r w:rsidRPr="00332504">
                <w:rPr>
                  <w:rStyle w:val="Hipervnculo"/>
                  <w:rFonts w:ascii="Arial" w:hAnsi="Arial" w:cs="Arial"/>
                  <w:sz w:val="20"/>
                  <w:szCs w:val="20"/>
                </w:rPr>
                <w:t>= 0001410827</w:t>
              </w:r>
            </w:hyperlink>
            <w:r w:rsidRPr="00332504">
              <w:rPr>
                <w:rStyle w:val="tl8wme"/>
                <w:rFonts w:ascii="Arial" w:hAnsi="Arial" w:cs="Arial"/>
                <w:color w:val="263238"/>
                <w:sz w:val="20"/>
                <w:szCs w:val="20"/>
              </w:rPr>
              <w:t xml:space="preserve"> </w:t>
            </w:r>
          </w:p>
        </w:tc>
        <w:tc>
          <w:tcPr>
            <w:tcW w:w="14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AC47BF" w:rsidRPr="00332504" w:rsidRDefault="002B5078" w:rsidP="002B5078">
            <w:pPr>
              <w:spacing w:line="240" w:lineRule="atLeast"/>
              <w:jc w:val="center"/>
              <w:rPr>
                <w:rStyle w:val="Hipervnculo"/>
                <w:rFonts w:ascii="Arial" w:hAnsi="Arial" w:cs="Arial"/>
                <w:sz w:val="20"/>
                <w:szCs w:val="20"/>
              </w:rPr>
            </w:pPr>
            <w:hyperlink r:id="rId10" w:tgtFrame="_blank" w:history="1">
              <w:r w:rsidRPr="00332504">
                <w:rPr>
                  <w:rStyle w:val="Hipervnculo"/>
                  <w:rFonts w:ascii="Arial" w:hAnsi="Arial" w:cs="Arial"/>
                  <w:sz w:val="20"/>
                  <w:szCs w:val="20"/>
                </w:rPr>
                <w:t>https://orcid.org/0000-0002-0519-4524</w:t>
              </w:r>
            </w:hyperlink>
            <w:r w:rsidRPr="00332504">
              <w:rPr>
                <w:rStyle w:val="Hipervnculo"/>
                <w:rFonts w:ascii="Arial" w:hAnsi="Arial" w:cs="Arial"/>
                <w:sz w:val="20"/>
                <w:szCs w:val="20"/>
              </w:rPr>
              <w:t xml:space="preserve">  </w:t>
            </w:r>
          </w:p>
        </w:tc>
        <w:tc>
          <w:tcPr>
            <w:tcW w:w="1251"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AC47BF" w:rsidRPr="00332504" w:rsidRDefault="002B5078"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hyperlink r:id="rId11" w:history="1">
              <w:r w:rsidRPr="00332504">
                <w:rPr>
                  <w:rStyle w:val="Hipervnculo"/>
                  <w:rFonts w:ascii="Arial" w:hAnsi="Arial" w:cs="Arial"/>
                  <w:sz w:val="20"/>
                  <w:szCs w:val="20"/>
                </w:rPr>
                <w:t>https://scholar.google.com/citations? user=Zj1gDYEAAAAJ&amp;hl=es&amp;oi=ao</w:t>
              </w:r>
            </w:hyperlink>
            <w:r w:rsidRPr="00332504">
              <w:rPr>
                <w:rFonts w:ascii="Arial" w:hAnsi="Arial" w:cs="Arial"/>
                <w:color w:val="263238"/>
                <w:sz w:val="20"/>
                <w:szCs w:val="20"/>
              </w:rPr>
              <w:t>   </w:t>
            </w:r>
          </w:p>
        </w:tc>
      </w:tr>
      <w:tr w:rsidR="00C635CF" w:rsidRPr="00332504" w:rsidTr="00C635CF">
        <w:trPr>
          <w:trHeight w:val="536"/>
        </w:trPr>
        <w:tc>
          <w:tcPr>
            <w:tcW w:w="1159"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AC47BF" w:rsidRPr="00332504" w:rsidRDefault="00AC47B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División</w:t>
            </w:r>
          </w:p>
        </w:tc>
        <w:tc>
          <w:tcPr>
            <w:tcW w:w="1132"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AC47BF" w:rsidRPr="00332504" w:rsidRDefault="00AC47B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Facultad</w:t>
            </w:r>
          </w:p>
        </w:tc>
        <w:tc>
          <w:tcPr>
            <w:tcW w:w="1459"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AC47BF" w:rsidRPr="00332504" w:rsidRDefault="00AC47B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Programa</w:t>
            </w:r>
          </w:p>
        </w:tc>
        <w:tc>
          <w:tcPr>
            <w:tcW w:w="1251"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AC47BF" w:rsidRPr="00332504" w:rsidRDefault="00AC47BF" w:rsidP="005D15C7">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Grupo de investigación</w:t>
            </w:r>
          </w:p>
        </w:tc>
      </w:tr>
      <w:tr w:rsidR="00C635CF" w:rsidRPr="00332504" w:rsidTr="00C635CF">
        <w:trPr>
          <w:trHeight w:val="536"/>
        </w:trPr>
        <w:tc>
          <w:tcPr>
            <w:tcW w:w="11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Ciencias Sociales</w:t>
            </w:r>
          </w:p>
        </w:tc>
        <w:tc>
          <w:tcPr>
            <w:tcW w:w="113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Sociología</w:t>
            </w:r>
          </w:p>
        </w:tc>
        <w:tc>
          <w:tcPr>
            <w:tcW w:w="14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Maestría en Planeación para el Desarrollo</w:t>
            </w:r>
          </w:p>
        </w:tc>
        <w:tc>
          <w:tcPr>
            <w:tcW w:w="1251"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Conflictos Sociales, Género y Territorios</w:t>
            </w:r>
          </w:p>
        </w:tc>
      </w:tr>
      <w:tr w:rsidR="00C635CF" w:rsidRPr="00332504" w:rsidTr="00C635CF">
        <w:trPr>
          <w:trHeight w:val="536"/>
        </w:trPr>
        <w:tc>
          <w:tcPr>
            <w:tcW w:w="1159"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 xml:space="preserve">Nombre del Co-investigador </w:t>
            </w:r>
          </w:p>
        </w:tc>
        <w:tc>
          <w:tcPr>
            <w:tcW w:w="1132"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Enlace CvLAC</w:t>
            </w:r>
          </w:p>
        </w:tc>
        <w:tc>
          <w:tcPr>
            <w:tcW w:w="1459"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Enlace ORCID</w:t>
            </w:r>
          </w:p>
        </w:tc>
        <w:tc>
          <w:tcPr>
            <w:tcW w:w="1251"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Enlace Google Académico</w:t>
            </w:r>
          </w:p>
        </w:tc>
      </w:tr>
      <w:tr w:rsidR="00C635CF" w:rsidRPr="00332504" w:rsidTr="00C635CF">
        <w:trPr>
          <w:trHeight w:val="536"/>
        </w:trPr>
        <w:tc>
          <w:tcPr>
            <w:tcW w:w="11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Carlos Arturo Sandoval Mendieta</w:t>
            </w:r>
          </w:p>
        </w:tc>
        <w:tc>
          <w:tcPr>
            <w:tcW w:w="113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408E2" w:rsidRPr="00332504" w:rsidRDefault="00E408E2" w:rsidP="00E408E2">
            <w:pPr>
              <w:pStyle w:val="TableParagraph"/>
              <w:spacing w:line="254" w:lineRule="auto"/>
              <w:ind w:left="272" w:right="251" w:firstLine="87"/>
              <w:jc w:val="center"/>
              <w:rPr>
                <w:color w:val="1154CC"/>
                <w:w w:val="105"/>
                <w:sz w:val="20"/>
                <w:szCs w:val="20"/>
                <w:u w:val="single" w:color="1154CC"/>
                <w:lang w:val="es-ES_tradnl"/>
              </w:rPr>
            </w:pPr>
            <w:r w:rsidRPr="00332504">
              <w:rPr>
                <w:color w:val="1154CC"/>
                <w:w w:val="105"/>
                <w:sz w:val="20"/>
                <w:szCs w:val="20"/>
                <w:u w:val="single" w:color="1154CC"/>
                <w:lang w:val="es-ES_tradnl"/>
              </w:rPr>
              <w:fldChar w:fldCharType="begin"/>
            </w:r>
            <w:r w:rsidRPr="00332504">
              <w:rPr>
                <w:color w:val="1154CC"/>
                <w:w w:val="105"/>
                <w:sz w:val="20"/>
                <w:szCs w:val="20"/>
                <w:u w:val="single" w:color="1154CC"/>
                <w:lang w:val="es-ES_tradnl"/>
              </w:rPr>
              <w:instrText xml:space="preserve"> HYPERLINK "https://scienti.colciencias.</w:instrText>
            </w:r>
          </w:p>
          <w:p w:rsidR="00E408E2" w:rsidRPr="00332504" w:rsidRDefault="00E408E2" w:rsidP="00E408E2">
            <w:pPr>
              <w:pStyle w:val="TableParagraph"/>
              <w:spacing w:line="254" w:lineRule="auto"/>
              <w:ind w:left="272" w:right="251" w:firstLine="87"/>
              <w:jc w:val="center"/>
              <w:rPr>
                <w:color w:val="1154CC"/>
                <w:w w:val="105"/>
                <w:sz w:val="20"/>
                <w:szCs w:val="20"/>
                <w:u w:val="single" w:color="1154CC"/>
                <w:lang w:val="es-ES_tradnl"/>
              </w:rPr>
            </w:pPr>
            <w:r w:rsidRPr="00332504">
              <w:rPr>
                <w:color w:val="1154CC"/>
                <w:w w:val="105"/>
                <w:sz w:val="20"/>
                <w:szCs w:val="20"/>
                <w:u w:val="single" w:color="1154CC"/>
                <w:lang w:val="es-ES_tradnl"/>
              </w:rPr>
              <w:instrText xml:space="preserve">gov.co/cvlac/visualizador/ </w:instrText>
            </w:r>
          </w:p>
          <w:p w:rsidR="00E408E2" w:rsidRPr="00332504" w:rsidRDefault="00E408E2" w:rsidP="00E408E2">
            <w:pPr>
              <w:pStyle w:val="TableParagraph"/>
              <w:spacing w:line="254" w:lineRule="auto"/>
              <w:ind w:left="272" w:right="251" w:firstLine="87"/>
              <w:jc w:val="center"/>
              <w:rPr>
                <w:color w:val="1154CC"/>
                <w:w w:val="105"/>
                <w:sz w:val="20"/>
                <w:szCs w:val="20"/>
                <w:u w:val="single" w:color="1154CC"/>
                <w:lang w:val="es-ES_tradnl"/>
              </w:rPr>
            </w:pPr>
            <w:r w:rsidRPr="00332504">
              <w:rPr>
                <w:color w:val="1154CC"/>
                <w:w w:val="105"/>
                <w:sz w:val="20"/>
                <w:szCs w:val="20"/>
                <w:u w:val="single" w:color="1154CC"/>
                <w:lang w:val="es-ES_tradnl"/>
              </w:rPr>
              <w:instrText xml:space="preserve">generarCurriculoCv.do?cod_rh= </w:instrText>
            </w:r>
          </w:p>
          <w:p w:rsidR="00E408E2" w:rsidRPr="00332504" w:rsidRDefault="00E408E2" w:rsidP="00E408E2">
            <w:pPr>
              <w:pStyle w:val="TableParagraph"/>
              <w:spacing w:line="254" w:lineRule="auto"/>
              <w:ind w:left="272" w:right="251" w:firstLine="87"/>
              <w:jc w:val="center"/>
              <w:rPr>
                <w:rStyle w:val="Hipervnculo"/>
                <w:w w:val="105"/>
                <w:sz w:val="20"/>
                <w:szCs w:val="20"/>
                <w:u w:color="1154CC"/>
                <w:lang w:val="es-ES_tradnl"/>
              </w:rPr>
            </w:pPr>
            <w:r w:rsidRPr="00332504">
              <w:rPr>
                <w:color w:val="1154CC"/>
                <w:w w:val="105"/>
                <w:sz w:val="20"/>
                <w:szCs w:val="20"/>
                <w:u w:val="single" w:color="1154CC"/>
                <w:lang w:val="es-ES_tradnl"/>
              </w:rPr>
              <w:instrText xml:space="preserve">0001406643" </w:instrText>
            </w:r>
            <w:r w:rsidRPr="00332504">
              <w:rPr>
                <w:color w:val="1154CC"/>
                <w:w w:val="105"/>
                <w:sz w:val="20"/>
                <w:szCs w:val="20"/>
                <w:u w:val="single" w:color="1154CC"/>
                <w:lang w:val="es-ES_tradnl"/>
              </w:rPr>
              <w:fldChar w:fldCharType="separate"/>
            </w:r>
            <w:r w:rsidRPr="00332504">
              <w:rPr>
                <w:rStyle w:val="Hipervnculo"/>
                <w:w w:val="105"/>
                <w:sz w:val="20"/>
                <w:szCs w:val="20"/>
                <w:u w:color="1154CC"/>
                <w:lang w:val="es-ES_tradnl"/>
              </w:rPr>
              <w:t>https://scienti.colciencias.</w:t>
            </w:r>
          </w:p>
          <w:p w:rsidR="00E408E2" w:rsidRPr="00332504" w:rsidRDefault="00E408E2" w:rsidP="00E408E2">
            <w:pPr>
              <w:pStyle w:val="TableParagraph"/>
              <w:spacing w:line="254" w:lineRule="auto"/>
              <w:ind w:left="272" w:right="251" w:firstLine="87"/>
              <w:jc w:val="center"/>
              <w:rPr>
                <w:rStyle w:val="Hipervnculo"/>
                <w:w w:val="105"/>
                <w:sz w:val="20"/>
                <w:szCs w:val="20"/>
                <w:u w:color="1154CC"/>
                <w:lang w:val="es-ES_tradnl"/>
              </w:rPr>
            </w:pPr>
            <w:r w:rsidRPr="00332504">
              <w:rPr>
                <w:rStyle w:val="Hipervnculo"/>
                <w:w w:val="105"/>
                <w:sz w:val="20"/>
                <w:szCs w:val="20"/>
                <w:u w:color="1154CC"/>
                <w:lang w:val="es-ES_tradnl"/>
              </w:rPr>
              <w:t>gov.co/</w:t>
            </w:r>
            <w:proofErr w:type="spellStart"/>
            <w:r w:rsidRPr="00332504">
              <w:rPr>
                <w:rStyle w:val="Hipervnculo"/>
                <w:w w:val="105"/>
                <w:sz w:val="20"/>
                <w:szCs w:val="20"/>
                <w:u w:color="1154CC"/>
                <w:lang w:val="es-ES_tradnl"/>
              </w:rPr>
              <w:t>cvlac</w:t>
            </w:r>
            <w:proofErr w:type="spellEnd"/>
            <w:r w:rsidRPr="00332504">
              <w:rPr>
                <w:rStyle w:val="Hipervnculo"/>
                <w:w w:val="105"/>
                <w:sz w:val="20"/>
                <w:szCs w:val="20"/>
                <w:u w:color="1154CC"/>
                <w:lang w:val="es-ES_tradnl"/>
              </w:rPr>
              <w:t>/</w:t>
            </w:r>
            <w:r w:rsidRPr="00332504">
              <w:rPr>
                <w:rStyle w:val="Hipervnculo"/>
                <w:w w:val="105"/>
                <w:sz w:val="20"/>
                <w:szCs w:val="20"/>
                <w:u w:color="1154CC"/>
                <w:lang w:val="es-ES_tradnl"/>
              </w:rPr>
              <w:t xml:space="preserve">visualizador/ </w:t>
            </w:r>
          </w:p>
          <w:p w:rsidR="00E408E2" w:rsidRPr="00332504" w:rsidRDefault="00E408E2" w:rsidP="00E408E2">
            <w:pPr>
              <w:pStyle w:val="TableParagraph"/>
              <w:spacing w:line="254" w:lineRule="auto"/>
              <w:ind w:left="272" w:right="251" w:firstLine="87"/>
              <w:jc w:val="center"/>
              <w:rPr>
                <w:rStyle w:val="Hipervnculo"/>
                <w:w w:val="105"/>
                <w:sz w:val="20"/>
                <w:szCs w:val="20"/>
                <w:u w:color="1154CC"/>
                <w:lang w:val="es-ES_tradnl"/>
              </w:rPr>
            </w:pPr>
            <w:proofErr w:type="spellStart"/>
            <w:r w:rsidRPr="00332504">
              <w:rPr>
                <w:rStyle w:val="Hipervnculo"/>
                <w:w w:val="105"/>
                <w:sz w:val="20"/>
                <w:szCs w:val="20"/>
                <w:u w:color="1154CC"/>
                <w:lang w:val="es-ES_tradnl"/>
              </w:rPr>
              <w:t>generarCurriculoCv.do?cod_rh</w:t>
            </w:r>
            <w:proofErr w:type="spellEnd"/>
            <w:r w:rsidRPr="00332504">
              <w:rPr>
                <w:rStyle w:val="Hipervnculo"/>
                <w:w w:val="105"/>
                <w:sz w:val="20"/>
                <w:szCs w:val="20"/>
                <w:u w:color="1154CC"/>
                <w:lang w:val="es-ES_tradnl"/>
              </w:rPr>
              <w:t xml:space="preserve">= </w:t>
            </w:r>
          </w:p>
          <w:p w:rsidR="004B44C6" w:rsidRPr="00332504" w:rsidRDefault="00E408E2" w:rsidP="002B5078">
            <w:pPr>
              <w:pStyle w:val="TableParagraph"/>
              <w:spacing w:line="254" w:lineRule="auto"/>
              <w:ind w:left="272" w:right="251" w:firstLine="87"/>
              <w:jc w:val="center"/>
              <w:rPr>
                <w:rFonts w:ascii="Times New Roman" w:eastAsia="Times New Roman" w:hAnsi="Times New Roman"/>
                <w:b/>
                <w:bCs/>
                <w:color w:val="222222"/>
                <w:sz w:val="20"/>
                <w:szCs w:val="20"/>
                <w:lang w:eastAsia="es-CO"/>
              </w:rPr>
            </w:pPr>
            <w:r w:rsidRPr="00332504">
              <w:rPr>
                <w:rStyle w:val="Hipervnculo"/>
                <w:w w:val="105"/>
                <w:sz w:val="20"/>
                <w:szCs w:val="20"/>
                <w:u w:color="1154CC"/>
                <w:lang w:val="es-ES_tradnl"/>
              </w:rPr>
              <w:t>0001406643</w:t>
            </w:r>
            <w:r w:rsidRPr="00332504">
              <w:rPr>
                <w:color w:val="1154CC"/>
                <w:w w:val="105"/>
                <w:sz w:val="20"/>
                <w:szCs w:val="20"/>
                <w:u w:val="single" w:color="1154CC"/>
                <w:lang w:val="es-ES_tradnl"/>
              </w:rPr>
              <w:fldChar w:fldCharType="end"/>
            </w:r>
          </w:p>
        </w:tc>
        <w:tc>
          <w:tcPr>
            <w:tcW w:w="14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B5078" w:rsidRPr="00332504" w:rsidRDefault="002B5078" w:rsidP="002B5078">
            <w:pPr>
              <w:pStyle w:val="TableParagraph"/>
              <w:spacing w:line="254" w:lineRule="auto"/>
              <w:ind w:left="272" w:right="251" w:firstLine="87"/>
              <w:jc w:val="center"/>
              <w:rPr>
                <w:color w:val="1154CC"/>
                <w:w w:val="105"/>
                <w:sz w:val="20"/>
                <w:szCs w:val="20"/>
                <w:u w:val="single" w:color="1154CC"/>
                <w:lang w:val="es-ES_tradnl"/>
              </w:rPr>
            </w:pPr>
            <w:r w:rsidRPr="00332504">
              <w:rPr>
                <w:color w:val="1154CC"/>
                <w:w w:val="105"/>
                <w:sz w:val="20"/>
                <w:szCs w:val="20"/>
                <w:u w:val="single" w:color="1154CC"/>
                <w:lang w:val="es-ES_tradnl"/>
              </w:rPr>
              <w:fldChar w:fldCharType="begin"/>
            </w:r>
            <w:r w:rsidRPr="00332504">
              <w:rPr>
                <w:color w:val="1154CC"/>
                <w:w w:val="105"/>
                <w:sz w:val="20"/>
                <w:szCs w:val="20"/>
                <w:u w:val="single" w:color="1154CC"/>
                <w:lang w:val="es-ES_tradnl"/>
              </w:rPr>
              <w:instrText xml:space="preserve"> HYPERLINK "https://orcid.org/0000-0002-6744- </w:instrText>
            </w:r>
          </w:p>
          <w:p w:rsidR="002B5078" w:rsidRPr="00332504" w:rsidRDefault="002B5078" w:rsidP="002B5078">
            <w:pPr>
              <w:pStyle w:val="TableParagraph"/>
              <w:spacing w:line="254" w:lineRule="auto"/>
              <w:ind w:left="272" w:right="251" w:firstLine="87"/>
              <w:jc w:val="center"/>
              <w:rPr>
                <w:rStyle w:val="Hipervnculo"/>
                <w:w w:val="105"/>
                <w:sz w:val="20"/>
                <w:szCs w:val="20"/>
                <w:u w:color="1154CC"/>
                <w:lang w:val="es-ES_tradnl"/>
              </w:rPr>
            </w:pPr>
            <w:r w:rsidRPr="00332504">
              <w:rPr>
                <w:color w:val="1154CC"/>
                <w:w w:val="105"/>
                <w:sz w:val="20"/>
                <w:szCs w:val="20"/>
                <w:u w:val="single" w:color="1154CC"/>
                <w:lang w:val="es-ES_tradnl"/>
              </w:rPr>
              <w:instrText xml:space="preserve">7814" </w:instrText>
            </w:r>
            <w:r w:rsidRPr="00332504">
              <w:rPr>
                <w:color w:val="1154CC"/>
                <w:w w:val="105"/>
                <w:sz w:val="20"/>
                <w:szCs w:val="20"/>
                <w:u w:val="single" w:color="1154CC"/>
                <w:lang w:val="es-ES_tradnl"/>
              </w:rPr>
              <w:fldChar w:fldCharType="separate"/>
            </w:r>
            <w:r w:rsidRPr="00332504">
              <w:rPr>
                <w:rStyle w:val="Hipervnculo"/>
                <w:w w:val="105"/>
                <w:sz w:val="20"/>
                <w:szCs w:val="20"/>
                <w:u w:color="1154CC"/>
                <w:lang w:val="es-ES_tradnl"/>
              </w:rPr>
              <w:t xml:space="preserve">https://orcid.org/0000-0002-6744- </w:t>
            </w:r>
          </w:p>
          <w:p w:rsidR="004B44C6" w:rsidRPr="00332504" w:rsidRDefault="002B5078" w:rsidP="002B5078">
            <w:pPr>
              <w:pStyle w:val="TableParagraph"/>
              <w:spacing w:line="254" w:lineRule="auto"/>
              <w:ind w:left="272" w:right="251" w:firstLine="87"/>
              <w:jc w:val="center"/>
              <w:rPr>
                <w:rFonts w:ascii="Times New Roman" w:eastAsia="Times New Roman" w:hAnsi="Times New Roman"/>
                <w:b/>
                <w:bCs/>
                <w:color w:val="222222"/>
                <w:sz w:val="20"/>
                <w:szCs w:val="20"/>
                <w:lang w:eastAsia="es-CO"/>
              </w:rPr>
            </w:pPr>
            <w:r w:rsidRPr="00332504">
              <w:rPr>
                <w:rStyle w:val="Hipervnculo"/>
                <w:w w:val="105"/>
                <w:sz w:val="20"/>
                <w:szCs w:val="20"/>
                <w:u w:color="1154CC"/>
                <w:lang w:val="es-ES_tradnl"/>
              </w:rPr>
              <w:t>7814</w:t>
            </w:r>
            <w:r w:rsidRPr="00332504">
              <w:rPr>
                <w:color w:val="1154CC"/>
                <w:w w:val="105"/>
                <w:sz w:val="20"/>
                <w:szCs w:val="20"/>
                <w:u w:val="single" w:color="1154CC"/>
                <w:lang w:val="es-ES_tradnl"/>
              </w:rPr>
              <w:fldChar w:fldCharType="end"/>
            </w:r>
          </w:p>
        </w:tc>
        <w:tc>
          <w:tcPr>
            <w:tcW w:w="1251"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B5078" w:rsidRPr="00332504" w:rsidRDefault="002B5078" w:rsidP="002B5078">
            <w:pPr>
              <w:pStyle w:val="TableParagraph"/>
              <w:spacing w:line="254" w:lineRule="auto"/>
              <w:ind w:left="272" w:right="251" w:firstLine="87"/>
              <w:jc w:val="center"/>
              <w:rPr>
                <w:color w:val="1154CC"/>
                <w:w w:val="105"/>
                <w:sz w:val="20"/>
                <w:szCs w:val="20"/>
                <w:u w:val="single" w:color="1154CC"/>
                <w:lang w:val="es-ES_tradnl"/>
              </w:rPr>
            </w:pPr>
            <w:r w:rsidRPr="00332504">
              <w:rPr>
                <w:color w:val="1154CC"/>
                <w:w w:val="105"/>
                <w:sz w:val="20"/>
                <w:szCs w:val="20"/>
                <w:u w:val="single" w:color="1154CC"/>
                <w:lang w:val="es-ES_tradnl"/>
              </w:rPr>
              <w:fldChar w:fldCharType="begin"/>
            </w:r>
            <w:r w:rsidRPr="00332504">
              <w:rPr>
                <w:color w:val="1154CC"/>
                <w:w w:val="105"/>
                <w:sz w:val="20"/>
                <w:szCs w:val="20"/>
                <w:u w:val="single" w:color="1154CC"/>
                <w:lang w:val="es-ES_tradnl"/>
              </w:rPr>
              <w:instrText xml:space="preserve"> HYPERLINK "https://scholar.google.com/citations? </w:instrText>
            </w:r>
          </w:p>
          <w:p w:rsidR="002B5078" w:rsidRPr="00332504" w:rsidRDefault="002B5078" w:rsidP="002B5078">
            <w:pPr>
              <w:pStyle w:val="TableParagraph"/>
              <w:spacing w:line="254" w:lineRule="auto"/>
              <w:ind w:left="272" w:right="251" w:firstLine="87"/>
              <w:jc w:val="center"/>
              <w:rPr>
                <w:rStyle w:val="Hipervnculo"/>
                <w:w w:val="105"/>
                <w:sz w:val="20"/>
                <w:szCs w:val="20"/>
                <w:u w:color="1154CC"/>
                <w:lang w:val="es-ES_tradnl"/>
              </w:rPr>
            </w:pPr>
            <w:r w:rsidRPr="00332504">
              <w:rPr>
                <w:color w:val="1154CC"/>
                <w:w w:val="105"/>
                <w:sz w:val="20"/>
                <w:szCs w:val="20"/>
                <w:u w:val="single" w:color="1154CC"/>
                <w:lang w:val="es-ES_tradnl"/>
              </w:rPr>
              <w:instrText xml:space="preserve">user=kdyU190AAAAJ&amp;hl=es" </w:instrText>
            </w:r>
            <w:r w:rsidRPr="00332504">
              <w:rPr>
                <w:color w:val="1154CC"/>
                <w:w w:val="105"/>
                <w:sz w:val="20"/>
                <w:szCs w:val="20"/>
                <w:u w:val="single" w:color="1154CC"/>
                <w:lang w:val="es-ES_tradnl"/>
              </w:rPr>
              <w:fldChar w:fldCharType="separate"/>
            </w:r>
            <w:r w:rsidRPr="00332504">
              <w:rPr>
                <w:rStyle w:val="Hipervnculo"/>
                <w:w w:val="105"/>
                <w:sz w:val="20"/>
                <w:szCs w:val="20"/>
                <w:u w:color="1154CC"/>
                <w:lang w:val="es-ES_tradnl"/>
              </w:rPr>
              <w:t xml:space="preserve">https://scholar.google.com/citations? </w:t>
            </w:r>
          </w:p>
          <w:p w:rsidR="004B44C6" w:rsidRPr="00332504" w:rsidRDefault="002B5078" w:rsidP="002B5078">
            <w:pPr>
              <w:pStyle w:val="TableParagraph"/>
              <w:spacing w:line="254" w:lineRule="auto"/>
              <w:ind w:left="272" w:right="251" w:firstLine="87"/>
              <w:jc w:val="center"/>
              <w:rPr>
                <w:rFonts w:ascii="Times New Roman" w:eastAsia="Times New Roman" w:hAnsi="Times New Roman"/>
                <w:b/>
                <w:bCs/>
                <w:color w:val="222222"/>
                <w:sz w:val="20"/>
                <w:szCs w:val="20"/>
                <w:lang w:eastAsia="es-CO"/>
              </w:rPr>
            </w:pPr>
            <w:proofErr w:type="spellStart"/>
            <w:r w:rsidRPr="00332504">
              <w:rPr>
                <w:rStyle w:val="Hipervnculo"/>
                <w:w w:val="105"/>
                <w:sz w:val="20"/>
                <w:szCs w:val="20"/>
                <w:u w:color="1154CC"/>
                <w:lang w:val="es-ES_tradnl"/>
              </w:rPr>
              <w:t>user</w:t>
            </w:r>
            <w:proofErr w:type="spellEnd"/>
            <w:r w:rsidRPr="00332504">
              <w:rPr>
                <w:rStyle w:val="Hipervnculo"/>
                <w:w w:val="105"/>
                <w:sz w:val="20"/>
                <w:szCs w:val="20"/>
                <w:u w:color="1154CC"/>
                <w:lang w:val="es-ES_tradnl"/>
              </w:rPr>
              <w:t>=kdyU190AAAAJ&amp;hl=es</w:t>
            </w:r>
            <w:r w:rsidRPr="00332504">
              <w:rPr>
                <w:color w:val="1154CC"/>
                <w:w w:val="105"/>
                <w:sz w:val="20"/>
                <w:szCs w:val="20"/>
                <w:u w:val="single" w:color="1154CC"/>
                <w:lang w:val="es-ES_tradnl"/>
              </w:rPr>
              <w:fldChar w:fldCharType="end"/>
            </w:r>
          </w:p>
        </w:tc>
      </w:tr>
      <w:tr w:rsidR="00C635CF" w:rsidRPr="00332504" w:rsidTr="00C635CF">
        <w:trPr>
          <w:trHeight w:val="536"/>
        </w:trPr>
        <w:tc>
          <w:tcPr>
            <w:tcW w:w="11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División</w:t>
            </w:r>
          </w:p>
        </w:tc>
        <w:tc>
          <w:tcPr>
            <w:tcW w:w="113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Facultad</w:t>
            </w:r>
          </w:p>
        </w:tc>
        <w:tc>
          <w:tcPr>
            <w:tcW w:w="14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Programa</w:t>
            </w:r>
          </w:p>
        </w:tc>
        <w:tc>
          <w:tcPr>
            <w:tcW w:w="1251"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Grupo de investigación</w:t>
            </w:r>
          </w:p>
        </w:tc>
      </w:tr>
      <w:tr w:rsidR="00C635CF" w:rsidRPr="00332504" w:rsidTr="00C635CF">
        <w:trPr>
          <w:trHeight w:val="536"/>
        </w:trPr>
        <w:tc>
          <w:tcPr>
            <w:tcW w:w="11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Ciencias Sociales</w:t>
            </w:r>
          </w:p>
        </w:tc>
        <w:tc>
          <w:tcPr>
            <w:tcW w:w="113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Sociología</w:t>
            </w:r>
          </w:p>
        </w:tc>
        <w:tc>
          <w:tcPr>
            <w:tcW w:w="145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Maestría en Planeación para el Desarrollo</w:t>
            </w:r>
          </w:p>
        </w:tc>
        <w:tc>
          <w:tcPr>
            <w:tcW w:w="1251"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B44C6" w:rsidRPr="00332504" w:rsidRDefault="004B44C6" w:rsidP="004B44C6">
            <w:pPr>
              <w:spacing w:before="100" w:beforeAutospacing="1" w:after="100" w:afterAutospacing="1" w:line="276" w:lineRule="auto"/>
              <w:jc w:val="center"/>
              <w:rPr>
                <w:rFonts w:ascii="Times New Roman" w:eastAsia="Times New Roman" w:hAnsi="Times New Roman" w:cs="Times New Roman"/>
                <w:bCs/>
                <w:color w:val="222222"/>
                <w:sz w:val="20"/>
                <w:szCs w:val="20"/>
                <w:lang w:eastAsia="es-CO"/>
              </w:rPr>
            </w:pPr>
            <w:r w:rsidRPr="00332504">
              <w:rPr>
                <w:rFonts w:ascii="Times New Roman" w:eastAsia="Times New Roman" w:hAnsi="Times New Roman" w:cs="Times New Roman"/>
                <w:bCs/>
                <w:color w:val="222222"/>
                <w:sz w:val="20"/>
                <w:szCs w:val="20"/>
                <w:lang w:eastAsia="es-CO"/>
              </w:rPr>
              <w:t>Conflictos Sociales, Género y Territorios</w:t>
            </w:r>
          </w:p>
        </w:tc>
      </w:tr>
    </w:tbl>
    <w:p w:rsidR="002A18AF" w:rsidRPr="00332504" w:rsidRDefault="002A18AF" w:rsidP="005D15C7">
      <w:pPr>
        <w:spacing w:after="0" w:line="276" w:lineRule="auto"/>
        <w:rPr>
          <w:rFonts w:ascii="Times New Roman" w:eastAsia="Times New Roman" w:hAnsi="Times New Roman" w:cs="Times New Roman"/>
          <w:sz w:val="24"/>
          <w:szCs w:val="24"/>
          <w:lang w:eastAsia="es-CO"/>
        </w:rPr>
      </w:pPr>
    </w:p>
    <w:p w:rsidR="001560BF" w:rsidRPr="00332504" w:rsidRDefault="001560BF" w:rsidP="005D15C7">
      <w:pPr>
        <w:spacing w:after="0" w:line="276" w:lineRule="auto"/>
        <w:rPr>
          <w:rFonts w:ascii="Times New Roman" w:eastAsia="Times New Roman" w:hAnsi="Times New Roman" w:cs="Times New Roman"/>
          <w:sz w:val="24"/>
          <w:szCs w:val="24"/>
          <w:lang w:eastAsia="es-CO"/>
        </w:rPr>
      </w:pPr>
    </w:p>
    <w:p w:rsidR="001560BF" w:rsidRPr="00332504" w:rsidRDefault="001560BF" w:rsidP="005D15C7">
      <w:pPr>
        <w:spacing w:after="0" w:line="276" w:lineRule="auto"/>
        <w:rPr>
          <w:rFonts w:ascii="Times New Roman" w:eastAsia="Times New Roman" w:hAnsi="Times New Roman" w:cs="Times New Roman"/>
          <w:vanish/>
          <w:sz w:val="24"/>
          <w:szCs w:val="24"/>
          <w:lang w:eastAsia="es-CO"/>
        </w:rPr>
      </w:pPr>
    </w:p>
    <w:p w:rsidR="002A18AF" w:rsidRPr="00332504" w:rsidRDefault="002A18AF" w:rsidP="005D15C7">
      <w:pPr>
        <w:spacing w:after="0" w:line="276" w:lineRule="auto"/>
        <w:rPr>
          <w:rFonts w:ascii="Times New Roman" w:eastAsia="Times New Roman" w:hAnsi="Times New Roman" w:cs="Times New Roman"/>
          <w:vanish/>
          <w:sz w:val="24"/>
          <w:szCs w:val="24"/>
          <w:lang w:eastAsia="es-CO"/>
        </w:rPr>
      </w:pPr>
    </w:p>
    <w:p w:rsidR="002A18AF" w:rsidRPr="00332504" w:rsidRDefault="002A18AF" w:rsidP="005D15C7">
      <w:pPr>
        <w:spacing w:after="0" w:line="276" w:lineRule="auto"/>
        <w:rPr>
          <w:rFonts w:ascii="Times New Roman" w:eastAsia="Times New Roman" w:hAnsi="Times New Roman" w:cs="Times New Roman"/>
          <w:sz w:val="24"/>
          <w:szCs w:val="24"/>
          <w:lang w:eastAsia="es-CO"/>
        </w:rPr>
      </w:pPr>
    </w:p>
    <w:tbl>
      <w:tblPr>
        <w:tblW w:w="14734" w:type="dxa"/>
        <w:shd w:val="clear" w:color="auto" w:fill="FFFFFF"/>
        <w:tblLook w:val="04A0" w:firstRow="1" w:lastRow="0" w:firstColumn="1" w:lastColumn="0" w:noHBand="0" w:noVBand="1"/>
      </w:tblPr>
      <w:tblGrid>
        <w:gridCol w:w="11048"/>
        <w:gridCol w:w="3686"/>
      </w:tblGrid>
      <w:tr w:rsidR="002A18AF" w:rsidRPr="00332504" w:rsidTr="00FB6D36">
        <w:trPr>
          <w:trHeight w:val="340"/>
        </w:trPr>
        <w:tc>
          <w:tcPr>
            <w:tcW w:w="3749"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lastRenderedPageBreak/>
              <w:t>Resumen de la propuesta</w:t>
            </w:r>
          </w:p>
        </w:tc>
        <w:tc>
          <w:tcPr>
            <w:tcW w:w="1251"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t>Palabras clave</w:t>
            </w:r>
          </w:p>
        </w:tc>
      </w:tr>
      <w:tr w:rsidR="002A18AF" w:rsidRPr="00332504" w:rsidTr="00FB6D36">
        <w:tc>
          <w:tcPr>
            <w:tcW w:w="3749"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6008D" w:rsidRPr="00332504" w:rsidRDefault="00E86C90" w:rsidP="00E408E2">
            <w:pPr>
              <w:spacing w:after="0" w:line="276" w:lineRule="auto"/>
              <w:jc w:val="both"/>
              <w:rPr>
                <w:rFonts w:ascii="Times New Roman" w:eastAsia="Times New Roman" w:hAnsi="Times New Roman" w:cs="Times New Roman"/>
                <w:color w:val="222222"/>
                <w:sz w:val="24"/>
                <w:szCs w:val="24"/>
                <w:lang w:eastAsia="es-CO"/>
              </w:rPr>
            </w:pPr>
            <w:r>
              <w:rPr>
                <w:rFonts w:ascii="Times New Roman" w:eastAsia="Times New Roman" w:hAnsi="Times New Roman" w:cs="Times New Roman"/>
                <w:color w:val="222222"/>
                <w:sz w:val="24"/>
                <w:szCs w:val="24"/>
                <w:lang w:eastAsia="es-CO"/>
              </w:rPr>
              <w:t xml:space="preserve">A partir de los retos, las potencialidades, expectativas y límites del ejercicio de la descentralización y la participación ciudadana en los procesos de ordenamiento territorial en Colombia, y pese a los avances prospectivos de planeación territorial garantizados por la entrada en vigencia de distintos instrumentos de ordenamiento territorial en sus escalas respectivas, la armonización institucional entre los planes de desarrollo y los planes de ordenamiento territorial  aún es una tarea pendiente, e incluso, inaplazable. En momentos donde la confusión administrativa, el cambio climático y la desconfianza en las instituciones han alcanzado sus puntos más </w:t>
            </w:r>
            <w:r>
              <w:rPr>
                <w:rFonts w:ascii="Times New Roman" w:eastAsia="Times New Roman" w:hAnsi="Times New Roman" w:cs="Times New Roman"/>
                <w:color w:val="222222"/>
                <w:sz w:val="24"/>
                <w:szCs w:val="24"/>
                <w:lang w:eastAsia="es-CO"/>
              </w:rPr>
              <w:t>álgidos</w:t>
            </w:r>
            <w:r>
              <w:rPr>
                <w:rFonts w:ascii="Times New Roman" w:eastAsia="Times New Roman" w:hAnsi="Times New Roman" w:cs="Times New Roman"/>
                <w:color w:val="222222"/>
                <w:sz w:val="24"/>
                <w:szCs w:val="24"/>
                <w:lang w:eastAsia="es-CO"/>
              </w:rPr>
              <w:t xml:space="preserve">, los preceptos del </w:t>
            </w:r>
            <w:r>
              <w:rPr>
                <w:rFonts w:ascii="Times New Roman" w:eastAsia="Times New Roman" w:hAnsi="Times New Roman" w:cs="Times New Roman"/>
                <w:i/>
                <w:iCs/>
                <w:color w:val="222222"/>
                <w:sz w:val="24"/>
                <w:szCs w:val="24"/>
                <w:lang w:eastAsia="es-CO"/>
              </w:rPr>
              <w:t xml:space="preserve">desarrollo sostenible </w:t>
            </w:r>
            <w:r>
              <w:rPr>
                <w:rFonts w:ascii="Times New Roman" w:eastAsia="Times New Roman" w:hAnsi="Times New Roman" w:cs="Times New Roman"/>
                <w:color w:val="222222"/>
                <w:sz w:val="24"/>
                <w:szCs w:val="24"/>
                <w:lang w:eastAsia="es-CO"/>
              </w:rPr>
              <w:t xml:space="preserve">contenidos en la Encíclica del Laudato Sí y las instancias emergentes de participación ciudadana a escala local pueden renovar la implementación de instrumentos de planeación a escala nacional. De igual manera, los instrumentos de planeación y ordenamiento territorial están en la capacidad de mejorar el aterrizaje de metas prospectivas de la administración pública en éstos municipios, en concordancia con planes de gobernabilidad, gobernanza y trayectorias de participación ciudadana que allí se inscriben. La meta general de esta propuesta busca desarrollar rutas y caminos de incidencia institucional para mejorar la calidad de la participación ciudadana y potenciar el ejercicio de gobierno a escala local en concordancia con las sinergias entre las competencias nacionales y las autonomías municipales. Para ello, no basta únicamente las proyecciones éticas y la enunciación de buenas intenciones. Por tanto, a partir de una lectura pormenorizada del contexto político, de la normativa emergente en el campo de la planeación territorial, y del diálogo atento con actores relevantes dentro y fuera de la administración pública, el ejercicio prospectivo de la propuesta construida al final de ésta investigación puede mejorar la administración territorial y aterrizar aún </w:t>
            </w:r>
            <w:r>
              <w:rPr>
                <w:rFonts w:ascii="Times New Roman" w:eastAsia="Times New Roman" w:hAnsi="Times New Roman" w:cs="Times New Roman"/>
                <w:color w:val="222222"/>
                <w:sz w:val="24"/>
                <w:szCs w:val="24"/>
                <w:lang w:eastAsia="es-CO"/>
              </w:rPr>
              <w:t>más</w:t>
            </w:r>
            <w:r>
              <w:rPr>
                <w:rFonts w:ascii="Times New Roman" w:eastAsia="Times New Roman" w:hAnsi="Times New Roman" w:cs="Times New Roman"/>
                <w:color w:val="222222"/>
                <w:sz w:val="24"/>
                <w:szCs w:val="24"/>
                <w:lang w:eastAsia="es-CO"/>
              </w:rPr>
              <w:t xml:space="preserve"> las metas de gobierno en aras de la mejoría en la democracia participativa en los municipios que conforman el presente objeto de estudio.</w:t>
            </w:r>
          </w:p>
          <w:p w:rsidR="00C635CF" w:rsidRPr="00332504" w:rsidRDefault="00C635CF" w:rsidP="00E408E2">
            <w:pPr>
              <w:spacing w:after="0" w:line="276" w:lineRule="auto"/>
              <w:jc w:val="both"/>
              <w:rPr>
                <w:rFonts w:ascii="Times New Roman" w:eastAsia="Times New Roman" w:hAnsi="Times New Roman" w:cs="Times New Roman"/>
                <w:color w:val="222222"/>
                <w:sz w:val="24"/>
                <w:szCs w:val="24"/>
                <w:lang w:eastAsia="es-CO"/>
              </w:rPr>
            </w:pPr>
          </w:p>
        </w:tc>
        <w:tc>
          <w:tcPr>
            <w:tcW w:w="1251"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A18AF" w:rsidRPr="00332504" w:rsidRDefault="001560BF" w:rsidP="00FB6D36">
            <w:pPr>
              <w:spacing w:after="0" w:line="276" w:lineRule="auto"/>
              <w:rPr>
                <w:rFonts w:ascii="Times New Roman" w:eastAsia="Times New Roman" w:hAnsi="Times New Roman" w:cs="Times New Roman"/>
                <w:color w:val="222222"/>
                <w:sz w:val="24"/>
                <w:szCs w:val="24"/>
                <w:lang w:eastAsia="es-CO"/>
              </w:rPr>
            </w:pPr>
            <w:r w:rsidRPr="00332504">
              <w:rPr>
                <w:rFonts w:ascii="Times New Roman" w:eastAsia="Times New Roman" w:hAnsi="Times New Roman" w:cs="Times New Roman"/>
                <w:color w:val="222222"/>
                <w:sz w:val="24"/>
                <w:szCs w:val="24"/>
                <w:lang w:eastAsia="es-CO"/>
              </w:rPr>
              <w:t xml:space="preserve">Planeación </w:t>
            </w:r>
            <w:r w:rsidR="00FB6D36" w:rsidRPr="00332504">
              <w:rPr>
                <w:rFonts w:ascii="Times New Roman" w:eastAsia="Times New Roman" w:hAnsi="Times New Roman" w:cs="Times New Roman"/>
                <w:color w:val="222222"/>
                <w:sz w:val="24"/>
                <w:szCs w:val="24"/>
                <w:lang w:eastAsia="es-CO"/>
              </w:rPr>
              <w:t>multiescalar</w:t>
            </w:r>
            <w:r w:rsidRPr="00332504">
              <w:rPr>
                <w:rFonts w:ascii="Times New Roman" w:eastAsia="Times New Roman" w:hAnsi="Times New Roman" w:cs="Times New Roman"/>
                <w:color w:val="222222"/>
                <w:sz w:val="24"/>
                <w:szCs w:val="24"/>
                <w:lang w:eastAsia="es-CO"/>
              </w:rPr>
              <w:t xml:space="preserve">, ordenamiento territorial, </w:t>
            </w:r>
            <w:r w:rsidR="0075587A" w:rsidRPr="00332504">
              <w:rPr>
                <w:rFonts w:ascii="Times New Roman" w:eastAsia="Times New Roman" w:hAnsi="Times New Roman" w:cs="Times New Roman"/>
                <w:color w:val="222222"/>
                <w:sz w:val="24"/>
                <w:szCs w:val="24"/>
                <w:lang w:eastAsia="es-CO"/>
              </w:rPr>
              <w:t>planeación participativa</w:t>
            </w:r>
            <w:r w:rsidRPr="00332504">
              <w:rPr>
                <w:rFonts w:ascii="Times New Roman" w:eastAsia="Times New Roman" w:hAnsi="Times New Roman" w:cs="Times New Roman"/>
                <w:color w:val="222222"/>
                <w:sz w:val="24"/>
                <w:szCs w:val="24"/>
                <w:lang w:eastAsia="es-CO"/>
              </w:rPr>
              <w:t>, descentralización</w:t>
            </w:r>
            <w:r w:rsidR="00FB6D36" w:rsidRPr="00332504">
              <w:rPr>
                <w:rFonts w:ascii="Times New Roman" w:eastAsia="Times New Roman" w:hAnsi="Times New Roman" w:cs="Times New Roman"/>
                <w:color w:val="222222"/>
                <w:sz w:val="24"/>
                <w:szCs w:val="24"/>
                <w:lang w:eastAsia="es-CO"/>
              </w:rPr>
              <w:t xml:space="preserve"> territorial, </w:t>
            </w:r>
            <w:r w:rsidR="00FB6D36" w:rsidRPr="00332504">
              <w:rPr>
                <w:rFonts w:ascii="Times New Roman" w:eastAsia="Times New Roman" w:hAnsi="Times New Roman" w:cs="Times New Roman"/>
                <w:color w:val="222222"/>
                <w:sz w:val="24"/>
                <w:szCs w:val="24"/>
                <w:lang w:eastAsia="es-CO"/>
              </w:rPr>
              <w:t>gobernanza</w:t>
            </w:r>
            <w:r w:rsidR="00FB6D36" w:rsidRPr="00332504">
              <w:rPr>
                <w:rFonts w:ascii="Times New Roman" w:eastAsia="Times New Roman" w:hAnsi="Times New Roman" w:cs="Times New Roman"/>
                <w:color w:val="222222"/>
                <w:sz w:val="24"/>
                <w:szCs w:val="24"/>
                <w:lang w:eastAsia="es-CO"/>
              </w:rPr>
              <w:t>.</w:t>
            </w:r>
          </w:p>
        </w:tc>
      </w:tr>
    </w:tbl>
    <w:p w:rsidR="002A18AF" w:rsidRPr="00332504" w:rsidRDefault="002A18AF" w:rsidP="005D15C7">
      <w:pPr>
        <w:spacing w:after="0" w:line="276" w:lineRule="auto"/>
        <w:rPr>
          <w:rFonts w:ascii="Times New Roman" w:eastAsia="Times New Roman" w:hAnsi="Times New Roman" w:cs="Times New Roman"/>
          <w:sz w:val="24"/>
          <w:szCs w:val="24"/>
          <w:lang w:eastAsia="es-CO"/>
        </w:rPr>
      </w:pPr>
    </w:p>
    <w:tbl>
      <w:tblPr>
        <w:tblW w:w="14734" w:type="dxa"/>
        <w:shd w:val="clear" w:color="auto" w:fill="FFFFFF"/>
        <w:tblLook w:val="04A0" w:firstRow="1" w:lastRow="0" w:firstColumn="1" w:lastColumn="0" w:noHBand="0" w:noVBand="1"/>
      </w:tblPr>
      <w:tblGrid>
        <w:gridCol w:w="14734"/>
      </w:tblGrid>
      <w:tr w:rsidR="002A18AF"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332504" w:rsidRDefault="00E6008D" w:rsidP="00221E3A">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t>P</w:t>
            </w:r>
            <w:r w:rsidR="002A18AF" w:rsidRPr="00332504">
              <w:rPr>
                <w:rFonts w:ascii="Times New Roman" w:eastAsia="Times New Roman" w:hAnsi="Times New Roman" w:cs="Times New Roman"/>
                <w:b/>
                <w:bCs/>
                <w:color w:val="222222"/>
                <w:sz w:val="24"/>
                <w:szCs w:val="24"/>
                <w:lang w:eastAsia="es-CO"/>
              </w:rPr>
              <w:t>roblema de investigación</w:t>
            </w:r>
          </w:p>
        </w:tc>
      </w:tr>
      <w:tr w:rsidR="002A18AF"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221E3A" w:rsidRPr="00332504" w:rsidRDefault="003A2535" w:rsidP="00660E4E">
            <w:pPr>
              <w:pStyle w:val="Sinespaciado"/>
              <w:spacing w:line="276" w:lineRule="auto"/>
              <w:jc w:val="both"/>
              <w:rPr>
                <w:rFonts w:ascii="Times New Roman" w:hAnsi="Times New Roman"/>
                <w:sz w:val="24"/>
                <w:szCs w:val="24"/>
              </w:rPr>
            </w:pPr>
            <w:r w:rsidRPr="00332504">
              <w:rPr>
                <w:rFonts w:ascii="Times New Roman" w:hAnsi="Times New Roman"/>
                <w:sz w:val="24"/>
                <w:szCs w:val="24"/>
                <w:lang w:val="es-CO"/>
              </w:rPr>
              <w:t xml:space="preserve">Luego de casi tres décadas de la puesta en marcha de los procesos de descentralización administrativa en Colombia, se han evidenciado una serie de desencuentros institucionales, instrumentales y operativos, que dificultan la consolidación de las autonomías municipales y, </w:t>
            </w:r>
            <w:r w:rsidRPr="00332504">
              <w:rPr>
                <w:rFonts w:ascii="Times New Roman" w:hAnsi="Times New Roman"/>
                <w:sz w:val="24"/>
                <w:szCs w:val="24"/>
              </w:rPr>
              <w:t>con esto, del</w:t>
            </w:r>
            <w:r w:rsidRPr="00332504">
              <w:rPr>
                <w:rFonts w:ascii="Times New Roman" w:hAnsi="Times New Roman"/>
                <w:sz w:val="24"/>
                <w:szCs w:val="24"/>
                <w:lang w:val="es-CO"/>
              </w:rPr>
              <w:t xml:space="preserve"> desarrollo local y regional de “abajo hacia arriba”. </w:t>
            </w:r>
            <w:r w:rsidRPr="00332504">
              <w:rPr>
                <w:rFonts w:ascii="Times New Roman" w:hAnsi="Times New Roman"/>
                <w:sz w:val="24"/>
                <w:szCs w:val="24"/>
              </w:rPr>
              <w:t xml:space="preserve">En particular, durante la última década ha crecido la ola de normas que regulan el ordenamiento territorial, sin que los actores municipales cuenten con las herramientas para su apropiación y uso adecuado en función del desarrollo territorial. Se debe resaltar que en la actualidad el país cuenta, como en ningún otro momento de su historia, con las herramientas institucionales propicias para avanzar en la descentralización territorial, estancada durante años, lo que significa una ventana de oportunidad. Sin embargo, la inercia del centralismo tradicional y la superabundancia </w:t>
            </w:r>
            <w:r w:rsidRPr="00332504">
              <w:rPr>
                <w:rFonts w:ascii="Times New Roman" w:hAnsi="Times New Roman"/>
                <w:sz w:val="24"/>
                <w:szCs w:val="24"/>
              </w:rPr>
              <w:lastRenderedPageBreak/>
              <w:t>de normas, limitan el avance de la gobernanza multiescalar y la planeación participativa, piezas clave de la armonización institucional que necesita Colombia.</w:t>
            </w:r>
          </w:p>
          <w:p w:rsidR="00221E3A" w:rsidRPr="00332504" w:rsidRDefault="00221E3A" w:rsidP="00660E4E">
            <w:pPr>
              <w:pStyle w:val="Sinespaciado"/>
              <w:spacing w:line="276" w:lineRule="auto"/>
              <w:jc w:val="both"/>
              <w:rPr>
                <w:rFonts w:ascii="Times New Roman" w:hAnsi="Times New Roman"/>
                <w:sz w:val="24"/>
                <w:szCs w:val="24"/>
              </w:rPr>
            </w:pPr>
          </w:p>
          <w:p w:rsidR="00660E4E" w:rsidRPr="00332504" w:rsidRDefault="003A2535" w:rsidP="00660E4E">
            <w:pPr>
              <w:pStyle w:val="Sinespaciado"/>
              <w:spacing w:line="276" w:lineRule="auto"/>
              <w:jc w:val="both"/>
              <w:rPr>
                <w:rFonts w:ascii="Times New Roman" w:hAnsi="Times New Roman"/>
                <w:sz w:val="24"/>
                <w:szCs w:val="24"/>
                <w:lang w:val="es-CO"/>
              </w:rPr>
            </w:pPr>
            <w:r w:rsidRPr="00332504">
              <w:rPr>
                <w:rFonts w:ascii="Times New Roman" w:hAnsi="Times New Roman"/>
                <w:sz w:val="24"/>
                <w:szCs w:val="24"/>
              </w:rPr>
              <w:t>En este marco</w:t>
            </w:r>
            <w:r w:rsidRPr="00332504">
              <w:rPr>
                <w:rFonts w:ascii="Times New Roman" w:hAnsi="Times New Roman"/>
                <w:sz w:val="24"/>
                <w:szCs w:val="24"/>
                <w:lang w:val="es-CO"/>
              </w:rPr>
              <w:t xml:space="preserve">, </w:t>
            </w:r>
            <w:r w:rsidRPr="00332504">
              <w:rPr>
                <w:rFonts w:ascii="Times New Roman" w:hAnsi="Times New Roman"/>
                <w:sz w:val="24"/>
                <w:szCs w:val="24"/>
              </w:rPr>
              <w:t>l</w:t>
            </w:r>
            <w:r w:rsidR="00660E4E" w:rsidRPr="00332504">
              <w:rPr>
                <w:rFonts w:ascii="Times New Roman" w:hAnsi="Times New Roman"/>
                <w:sz w:val="24"/>
                <w:szCs w:val="24"/>
              </w:rPr>
              <w:t>a</w:t>
            </w:r>
            <w:r w:rsidRPr="00332504">
              <w:rPr>
                <w:rFonts w:ascii="Times New Roman" w:hAnsi="Times New Roman"/>
                <w:sz w:val="24"/>
                <w:szCs w:val="24"/>
              </w:rPr>
              <w:t xml:space="preserve"> presente</w:t>
            </w:r>
            <w:r w:rsidRPr="00332504">
              <w:rPr>
                <w:rFonts w:ascii="Times New Roman" w:hAnsi="Times New Roman"/>
                <w:sz w:val="24"/>
                <w:szCs w:val="24"/>
                <w:lang w:val="es-CO"/>
              </w:rPr>
              <w:t xml:space="preserve"> pro</w:t>
            </w:r>
            <w:r w:rsidR="00660E4E" w:rsidRPr="00332504">
              <w:rPr>
                <w:rFonts w:ascii="Times New Roman" w:hAnsi="Times New Roman"/>
                <w:sz w:val="24"/>
                <w:szCs w:val="24"/>
                <w:lang w:val="es-CO"/>
              </w:rPr>
              <w:t>puesta</w:t>
            </w:r>
            <w:r w:rsidRPr="00332504">
              <w:rPr>
                <w:rFonts w:ascii="Times New Roman" w:hAnsi="Times New Roman"/>
                <w:sz w:val="24"/>
                <w:szCs w:val="24"/>
                <w:lang w:val="es-CO"/>
              </w:rPr>
              <w:t xml:space="preserve"> de investigación</w:t>
            </w:r>
            <w:r w:rsidRPr="00332504">
              <w:rPr>
                <w:rFonts w:ascii="Times New Roman" w:hAnsi="Times New Roman"/>
                <w:sz w:val="24"/>
                <w:szCs w:val="24"/>
              </w:rPr>
              <w:t>,</w:t>
            </w:r>
            <w:r w:rsidRPr="00332504">
              <w:rPr>
                <w:rFonts w:ascii="Times New Roman" w:hAnsi="Times New Roman"/>
                <w:sz w:val="24"/>
                <w:szCs w:val="24"/>
                <w:lang w:val="es-CO"/>
              </w:rPr>
              <w:t xml:space="preserve"> </w:t>
            </w:r>
            <w:r w:rsidR="00660E4E" w:rsidRPr="00332504">
              <w:rPr>
                <w:rFonts w:ascii="Times New Roman" w:hAnsi="Times New Roman"/>
                <w:sz w:val="24"/>
                <w:szCs w:val="24"/>
                <w:lang w:val="es-CO"/>
              </w:rPr>
              <w:t>centra su atención, de una parte, en la debilidad institucional de los terr</w:t>
            </w:r>
            <w:r w:rsidR="0075587A" w:rsidRPr="00332504">
              <w:rPr>
                <w:rFonts w:ascii="Times New Roman" w:hAnsi="Times New Roman"/>
                <w:sz w:val="24"/>
                <w:szCs w:val="24"/>
                <w:lang w:val="es-CO"/>
              </w:rPr>
              <w:t>itorios (locales y regionales) en términos de</w:t>
            </w:r>
            <w:r w:rsidR="00660E4E" w:rsidRPr="00332504">
              <w:rPr>
                <w:rFonts w:ascii="Times New Roman" w:hAnsi="Times New Roman"/>
                <w:sz w:val="24"/>
                <w:szCs w:val="24"/>
                <w:lang w:val="es-CO"/>
              </w:rPr>
              <w:t xml:space="preserve">l distanciamiento y </w:t>
            </w:r>
            <w:r w:rsidR="00A62926" w:rsidRPr="00332504">
              <w:rPr>
                <w:rFonts w:ascii="Times New Roman" w:hAnsi="Times New Roman"/>
                <w:sz w:val="24"/>
                <w:szCs w:val="24"/>
                <w:lang w:val="es-CO"/>
              </w:rPr>
              <w:t xml:space="preserve">débil armonización </w:t>
            </w:r>
            <w:r w:rsidR="0075587A" w:rsidRPr="00332504">
              <w:rPr>
                <w:rFonts w:ascii="Times New Roman" w:hAnsi="Times New Roman"/>
                <w:sz w:val="24"/>
                <w:szCs w:val="24"/>
                <w:lang w:val="es-CO"/>
              </w:rPr>
              <w:t xml:space="preserve">que existe </w:t>
            </w:r>
            <w:r w:rsidR="00660E4E" w:rsidRPr="00332504">
              <w:rPr>
                <w:rFonts w:ascii="Times New Roman" w:hAnsi="Times New Roman"/>
                <w:sz w:val="24"/>
                <w:szCs w:val="24"/>
                <w:lang w:val="es-CO"/>
              </w:rPr>
              <w:t xml:space="preserve">entre los planes de inversión (planes de desarrollo) y los </w:t>
            </w:r>
            <w:r w:rsidR="001560BF" w:rsidRPr="00332504">
              <w:rPr>
                <w:rFonts w:ascii="Times New Roman" w:hAnsi="Times New Roman"/>
                <w:sz w:val="24"/>
                <w:szCs w:val="24"/>
                <w:lang w:val="es-CO"/>
              </w:rPr>
              <w:t>instrumentos</w:t>
            </w:r>
            <w:r w:rsidR="00660E4E" w:rsidRPr="00332504">
              <w:rPr>
                <w:rFonts w:ascii="Times New Roman" w:hAnsi="Times New Roman"/>
                <w:sz w:val="24"/>
                <w:szCs w:val="24"/>
                <w:lang w:val="es-CO"/>
              </w:rPr>
              <w:t xml:space="preserve"> de </w:t>
            </w:r>
            <w:r w:rsidR="001560BF" w:rsidRPr="00332504">
              <w:rPr>
                <w:rFonts w:ascii="Times New Roman" w:hAnsi="Times New Roman"/>
                <w:sz w:val="24"/>
                <w:szCs w:val="24"/>
                <w:lang w:val="es-CO"/>
              </w:rPr>
              <w:t>ordenamiento</w:t>
            </w:r>
            <w:r w:rsidR="00660E4E" w:rsidRPr="00332504">
              <w:rPr>
                <w:rFonts w:ascii="Times New Roman" w:hAnsi="Times New Roman"/>
                <w:sz w:val="24"/>
                <w:szCs w:val="24"/>
                <w:lang w:val="es-CO"/>
              </w:rPr>
              <w:t xml:space="preserve"> territorial (planes de ordenamiento territorial </w:t>
            </w:r>
            <w:r w:rsidR="001560BF" w:rsidRPr="00332504">
              <w:rPr>
                <w:rFonts w:ascii="Times New Roman" w:hAnsi="Times New Roman"/>
                <w:sz w:val="24"/>
                <w:szCs w:val="24"/>
                <w:lang w:val="es-CO"/>
              </w:rPr>
              <w:t>municipales</w:t>
            </w:r>
            <w:r w:rsidR="00660E4E" w:rsidRPr="00332504">
              <w:rPr>
                <w:rFonts w:ascii="Times New Roman" w:hAnsi="Times New Roman"/>
                <w:sz w:val="24"/>
                <w:szCs w:val="24"/>
                <w:lang w:val="es-CO"/>
              </w:rPr>
              <w:t>, departamentales y otras regulaciones)</w:t>
            </w:r>
            <w:r w:rsidR="0075587A" w:rsidRPr="00332504">
              <w:rPr>
                <w:rFonts w:ascii="Times New Roman" w:hAnsi="Times New Roman"/>
                <w:sz w:val="24"/>
                <w:szCs w:val="24"/>
                <w:lang w:val="es-CO"/>
              </w:rPr>
              <w:t xml:space="preserve"> (</w:t>
            </w:r>
            <w:r w:rsidR="007A3BB3" w:rsidRPr="00332504">
              <w:rPr>
                <w:rFonts w:ascii="Times New Roman" w:hAnsi="Times New Roman"/>
                <w:sz w:val="24"/>
                <w:szCs w:val="24"/>
                <w:lang w:val="es-CO"/>
              </w:rPr>
              <w:t>Penagos</w:t>
            </w:r>
            <w:r w:rsidR="0075587A" w:rsidRPr="00332504">
              <w:rPr>
                <w:rFonts w:ascii="Times New Roman" w:hAnsi="Times New Roman"/>
                <w:sz w:val="24"/>
                <w:szCs w:val="24"/>
                <w:lang w:val="es-CO"/>
              </w:rPr>
              <w:t>, 2018, p</w:t>
            </w:r>
            <w:r w:rsidR="007A3BB3" w:rsidRPr="00332504">
              <w:rPr>
                <w:rFonts w:ascii="Times New Roman" w:hAnsi="Times New Roman"/>
                <w:sz w:val="24"/>
                <w:szCs w:val="24"/>
                <w:lang w:val="es-CO"/>
              </w:rPr>
              <w:t>. 118</w:t>
            </w:r>
            <w:r w:rsidR="0075587A" w:rsidRPr="00332504">
              <w:rPr>
                <w:rFonts w:ascii="Times New Roman" w:hAnsi="Times New Roman"/>
                <w:sz w:val="24"/>
                <w:szCs w:val="24"/>
                <w:lang w:val="es-CO"/>
              </w:rPr>
              <w:t>). Asimismo,</w:t>
            </w:r>
            <w:r w:rsidR="00CB0B13" w:rsidRPr="00332504">
              <w:rPr>
                <w:rFonts w:ascii="Times New Roman" w:hAnsi="Times New Roman"/>
                <w:sz w:val="24"/>
                <w:szCs w:val="24"/>
                <w:lang w:val="es-CO"/>
              </w:rPr>
              <w:t xml:space="preserve"> reconoce en el</w:t>
            </w:r>
            <w:r w:rsidR="0075587A" w:rsidRPr="00332504">
              <w:rPr>
                <w:rFonts w:ascii="Times New Roman" w:hAnsi="Times New Roman"/>
                <w:sz w:val="24"/>
                <w:szCs w:val="24"/>
                <w:lang w:val="es-CO"/>
              </w:rPr>
              <w:t xml:space="preserve"> debilitamiento de los procesos de planeación participativa, en especial de los Consejos de Participación Territorial</w:t>
            </w:r>
            <w:r w:rsidR="00251C79" w:rsidRPr="00332504">
              <w:rPr>
                <w:rFonts w:ascii="Times New Roman" w:hAnsi="Times New Roman"/>
                <w:sz w:val="24"/>
                <w:szCs w:val="24"/>
                <w:lang w:val="es-CO"/>
              </w:rPr>
              <w:t xml:space="preserve"> (CTP),</w:t>
            </w:r>
            <w:r w:rsidR="00CB0B13" w:rsidRPr="00332504">
              <w:rPr>
                <w:rFonts w:ascii="Times New Roman" w:hAnsi="Times New Roman"/>
                <w:sz w:val="24"/>
                <w:szCs w:val="24"/>
                <w:lang w:val="es-CO"/>
              </w:rPr>
              <w:t xml:space="preserve"> la </w:t>
            </w:r>
            <w:r w:rsidR="00CB0B13" w:rsidRPr="00332504">
              <w:rPr>
                <w:rFonts w:ascii="Times New Roman" w:hAnsi="Times New Roman"/>
                <w:sz w:val="24"/>
                <w:szCs w:val="24"/>
                <w:lang w:val="es-CO"/>
              </w:rPr>
              <w:t>otra cara de la misma problemática</w:t>
            </w:r>
            <w:r w:rsidR="00CB0B13" w:rsidRPr="00332504">
              <w:rPr>
                <w:rFonts w:ascii="Times New Roman" w:hAnsi="Times New Roman"/>
                <w:sz w:val="24"/>
                <w:szCs w:val="24"/>
                <w:lang w:val="es-CO"/>
              </w:rPr>
              <w:t xml:space="preserve">. </w:t>
            </w:r>
            <w:r w:rsidR="000918C6" w:rsidRPr="00332504">
              <w:rPr>
                <w:rFonts w:ascii="Times New Roman" w:hAnsi="Times New Roman"/>
                <w:sz w:val="24"/>
                <w:szCs w:val="24"/>
                <w:lang w:val="es-CO"/>
              </w:rPr>
              <w:t xml:space="preserve">Para Hernández (2017), </w:t>
            </w:r>
            <w:r w:rsidR="0075587A" w:rsidRPr="00332504">
              <w:rPr>
                <w:rFonts w:ascii="Times New Roman" w:hAnsi="Times New Roman"/>
                <w:sz w:val="24"/>
                <w:szCs w:val="24"/>
                <w:lang w:val="es-CO"/>
              </w:rPr>
              <w:t>“</w:t>
            </w:r>
            <w:r w:rsidR="000918C6" w:rsidRPr="00332504">
              <w:rPr>
                <w:rFonts w:ascii="Times New Roman" w:hAnsi="Times New Roman"/>
                <w:sz w:val="24"/>
                <w:szCs w:val="24"/>
                <w:lang w:val="es-CO"/>
              </w:rPr>
              <w:t>[e]</w:t>
            </w:r>
            <w:r w:rsidR="0075587A" w:rsidRPr="00332504">
              <w:rPr>
                <w:rFonts w:ascii="Times New Roman" w:hAnsi="Times New Roman"/>
                <w:sz w:val="24"/>
                <w:szCs w:val="24"/>
                <w:lang w:val="es-CO"/>
              </w:rPr>
              <w:t xml:space="preserve">l manejo de restringido de la información (…) la baja influencia de las instancias de participación en la realidad de los territorios (…) la instrumentalización de la participación y la desconfianza entre los actores sociales a nivel local” (p. 75) </w:t>
            </w:r>
            <w:r w:rsidR="00CB0B13" w:rsidRPr="00332504">
              <w:rPr>
                <w:rFonts w:ascii="Times New Roman" w:hAnsi="Times New Roman"/>
                <w:sz w:val="24"/>
                <w:szCs w:val="24"/>
                <w:lang w:val="es-CO"/>
              </w:rPr>
              <w:t xml:space="preserve">son factores que, ponen en evidencia las fallas de un Sistema Nacional de Planeación que nominalmente se define participativo, pero que en la práctica dista de serlo. </w:t>
            </w:r>
          </w:p>
          <w:p w:rsidR="00221E3A" w:rsidRPr="00332504" w:rsidRDefault="00221E3A" w:rsidP="00221E3A">
            <w:pPr>
              <w:pStyle w:val="Sinespaciado"/>
              <w:spacing w:line="276" w:lineRule="auto"/>
              <w:jc w:val="both"/>
              <w:rPr>
                <w:rFonts w:ascii="Times New Roman" w:hAnsi="Times New Roman"/>
                <w:sz w:val="24"/>
                <w:szCs w:val="24"/>
              </w:rPr>
            </w:pPr>
          </w:p>
          <w:p w:rsidR="00221E3A" w:rsidRPr="00332504" w:rsidRDefault="003A2535" w:rsidP="0033777C">
            <w:pPr>
              <w:pStyle w:val="Sinespaciado"/>
              <w:spacing w:line="276" w:lineRule="auto"/>
              <w:jc w:val="both"/>
              <w:rPr>
                <w:rFonts w:ascii="Times New Roman" w:eastAsia="Times New Roman" w:hAnsi="Times New Roman"/>
                <w:color w:val="222222"/>
                <w:sz w:val="24"/>
                <w:szCs w:val="24"/>
                <w:lang w:eastAsia="es-CO"/>
              </w:rPr>
            </w:pPr>
            <w:r w:rsidRPr="00332504">
              <w:rPr>
                <w:rFonts w:ascii="Times New Roman" w:hAnsi="Times New Roman"/>
                <w:sz w:val="24"/>
                <w:szCs w:val="24"/>
              </w:rPr>
              <w:t xml:space="preserve">Bajo estos derroteros, se plantea la pregunta de investigación: </w:t>
            </w:r>
            <w:r w:rsidRPr="00332504">
              <w:rPr>
                <w:rFonts w:ascii="Times New Roman" w:hAnsi="Times New Roman"/>
                <w:i/>
                <w:iCs/>
                <w:color w:val="222222"/>
                <w:sz w:val="24"/>
                <w:szCs w:val="24"/>
                <w:shd w:val="clear" w:color="auto" w:fill="FFFFFF"/>
              </w:rPr>
              <w:t>¿De qué manera los escenarios de gestión y planeación local pueden brindar alternativas para la consolidación de la gobernanza multiescalar y la planeación participativa, como piezas clave del desarrollo sostenible y la paz territorial en Colombia?</w:t>
            </w:r>
          </w:p>
        </w:tc>
      </w:tr>
    </w:tbl>
    <w:p w:rsidR="000E1D7F" w:rsidRPr="00332504" w:rsidRDefault="000E1D7F" w:rsidP="005D15C7">
      <w:pPr>
        <w:spacing w:after="0" w:line="276" w:lineRule="auto"/>
        <w:rPr>
          <w:rFonts w:ascii="Times New Roman" w:eastAsia="Times New Roman" w:hAnsi="Times New Roman" w:cs="Times New Roman"/>
          <w:sz w:val="24"/>
          <w:szCs w:val="24"/>
          <w:lang w:eastAsia="es-CO"/>
        </w:rPr>
      </w:pPr>
    </w:p>
    <w:tbl>
      <w:tblPr>
        <w:tblW w:w="14734" w:type="dxa"/>
        <w:shd w:val="clear" w:color="auto" w:fill="FFFFFF"/>
        <w:tblLook w:val="04A0" w:firstRow="1" w:lastRow="0" w:firstColumn="1" w:lastColumn="0" w:noHBand="0" w:noVBand="1"/>
      </w:tblPr>
      <w:tblGrid>
        <w:gridCol w:w="14734"/>
      </w:tblGrid>
      <w:tr w:rsidR="002A18AF"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t>Justificación</w:t>
            </w:r>
          </w:p>
        </w:tc>
      </w:tr>
      <w:tr w:rsidR="002A18AF"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E6008D" w:rsidRPr="00332504" w:rsidRDefault="00835B4C" w:rsidP="005D15C7">
            <w:pPr>
              <w:spacing w:after="0" w:line="276" w:lineRule="auto"/>
              <w:jc w:val="both"/>
              <w:rPr>
                <w:rFonts w:ascii="Times New Roman" w:eastAsia="Times New Roman" w:hAnsi="Times New Roman" w:cs="Times New Roman"/>
                <w:color w:val="222222"/>
                <w:sz w:val="24"/>
                <w:szCs w:val="24"/>
                <w:lang w:eastAsia="es-CO"/>
              </w:rPr>
            </w:pPr>
            <w:r w:rsidRPr="00332504">
              <w:rPr>
                <w:rFonts w:ascii="Times New Roman" w:eastAsia="Times New Roman" w:hAnsi="Times New Roman" w:cs="Times New Roman"/>
                <w:color w:val="222222"/>
                <w:sz w:val="24"/>
                <w:szCs w:val="24"/>
                <w:lang w:eastAsia="es-CO"/>
              </w:rPr>
              <w:t>En 2010, las reflexiones sobre los 2</w:t>
            </w:r>
            <w:r w:rsidR="00DB702C" w:rsidRPr="00332504">
              <w:rPr>
                <w:rFonts w:ascii="Times New Roman" w:eastAsia="Times New Roman" w:hAnsi="Times New Roman" w:cs="Times New Roman"/>
                <w:color w:val="222222"/>
                <w:sz w:val="24"/>
                <w:szCs w:val="24"/>
                <w:lang w:eastAsia="es-CO"/>
              </w:rPr>
              <w:t>5</w:t>
            </w:r>
            <w:r w:rsidRPr="00332504">
              <w:rPr>
                <w:rFonts w:ascii="Times New Roman" w:eastAsia="Times New Roman" w:hAnsi="Times New Roman" w:cs="Times New Roman"/>
                <w:color w:val="222222"/>
                <w:sz w:val="24"/>
                <w:szCs w:val="24"/>
                <w:lang w:eastAsia="es-CO"/>
              </w:rPr>
              <w:t xml:space="preserve"> años de la descentralización, </w:t>
            </w:r>
            <w:r w:rsidR="00DB702C" w:rsidRPr="00332504">
              <w:rPr>
                <w:rFonts w:ascii="Times New Roman" w:eastAsia="Times New Roman" w:hAnsi="Times New Roman" w:cs="Times New Roman"/>
                <w:color w:val="222222"/>
                <w:sz w:val="24"/>
                <w:szCs w:val="24"/>
                <w:lang w:eastAsia="es-CO"/>
              </w:rPr>
              <w:t xml:space="preserve">a propósito de la elección popular de alcaldes de finales de los 80, </w:t>
            </w:r>
            <w:r w:rsidRPr="00332504">
              <w:rPr>
                <w:rFonts w:ascii="Times New Roman" w:eastAsia="Times New Roman" w:hAnsi="Times New Roman" w:cs="Times New Roman"/>
                <w:color w:val="222222"/>
                <w:sz w:val="24"/>
                <w:szCs w:val="24"/>
                <w:lang w:eastAsia="es-CO"/>
              </w:rPr>
              <w:t>reconocían logros en cuanto al aumento de coberturas de servicios p</w:t>
            </w:r>
            <w:r w:rsidR="00A80790" w:rsidRPr="00332504">
              <w:rPr>
                <w:rFonts w:ascii="Times New Roman" w:eastAsia="Times New Roman" w:hAnsi="Times New Roman" w:cs="Times New Roman"/>
                <w:color w:val="222222"/>
                <w:sz w:val="24"/>
                <w:szCs w:val="24"/>
                <w:lang w:eastAsia="es-CO"/>
              </w:rPr>
              <w:t>úblicos y en general frente a lo</w:t>
            </w:r>
            <w:r w:rsidR="000E1D7F" w:rsidRPr="00332504">
              <w:rPr>
                <w:rFonts w:ascii="Times New Roman" w:eastAsia="Times New Roman" w:hAnsi="Times New Roman" w:cs="Times New Roman"/>
                <w:color w:val="222222"/>
                <w:sz w:val="24"/>
                <w:szCs w:val="24"/>
                <w:lang w:eastAsia="es-CO"/>
              </w:rPr>
              <w:t>s asuntos de carácter</w:t>
            </w:r>
            <w:r w:rsidR="00A80790" w:rsidRPr="00332504">
              <w:rPr>
                <w:rFonts w:ascii="Times New Roman" w:eastAsia="Times New Roman" w:hAnsi="Times New Roman" w:cs="Times New Roman"/>
                <w:color w:val="222222"/>
                <w:sz w:val="24"/>
                <w:szCs w:val="24"/>
                <w:lang w:eastAsia="es-CO"/>
              </w:rPr>
              <w:t xml:space="preserve"> sectorial, </w:t>
            </w:r>
            <w:r w:rsidRPr="00332504">
              <w:rPr>
                <w:rFonts w:ascii="Times New Roman" w:eastAsia="Times New Roman" w:hAnsi="Times New Roman" w:cs="Times New Roman"/>
                <w:color w:val="222222"/>
                <w:sz w:val="24"/>
                <w:szCs w:val="24"/>
                <w:lang w:eastAsia="es-CO"/>
              </w:rPr>
              <w:t>no obstante, también coincidían en que seguían existiendo debilidades frente a la dimensión territorial de la descentralización (Barberena, 2010, p. 70)</w:t>
            </w:r>
            <w:r w:rsidR="00591F2A" w:rsidRPr="00332504">
              <w:rPr>
                <w:rFonts w:ascii="Times New Roman" w:eastAsia="Times New Roman" w:hAnsi="Times New Roman" w:cs="Times New Roman"/>
                <w:color w:val="222222"/>
                <w:sz w:val="24"/>
                <w:szCs w:val="24"/>
                <w:lang w:eastAsia="es-CO"/>
              </w:rPr>
              <w:t>.</w:t>
            </w:r>
            <w:r w:rsidRPr="00332504">
              <w:rPr>
                <w:rFonts w:ascii="Times New Roman" w:eastAsia="Times New Roman" w:hAnsi="Times New Roman" w:cs="Times New Roman"/>
                <w:color w:val="222222"/>
                <w:sz w:val="24"/>
                <w:szCs w:val="24"/>
                <w:lang w:eastAsia="es-CO"/>
              </w:rPr>
              <w:t xml:space="preserve"> </w:t>
            </w:r>
            <w:r w:rsidR="00A80790" w:rsidRPr="00332504">
              <w:rPr>
                <w:rFonts w:ascii="Times New Roman" w:eastAsia="Times New Roman" w:hAnsi="Times New Roman" w:cs="Times New Roman"/>
                <w:color w:val="222222"/>
                <w:sz w:val="24"/>
                <w:szCs w:val="24"/>
                <w:lang w:eastAsia="es-CO"/>
              </w:rPr>
              <w:t xml:space="preserve">Un año después y 21 después de la Constituyente del 91, era emitida la Ley 1421 de 2011 </w:t>
            </w:r>
            <w:r w:rsidR="000E1D7F" w:rsidRPr="00332504">
              <w:rPr>
                <w:rFonts w:ascii="Times New Roman" w:eastAsia="Times New Roman" w:hAnsi="Times New Roman" w:cs="Times New Roman"/>
                <w:color w:val="222222"/>
                <w:sz w:val="24"/>
                <w:szCs w:val="24"/>
                <w:lang w:eastAsia="es-CO"/>
              </w:rPr>
              <w:t xml:space="preserve">Ley Orgánica de Ordenamiento Territorial, a la que siguieron las actualizaciones del régimen municipal, de la ley de áreas metropolitanas, la ley de regiones y los documentos técnicos del DNP en alianza con la CEPAL sobre provincias y la Política General de Ordenamiento Territorial. </w:t>
            </w:r>
            <w:r w:rsidR="00A80790" w:rsidRPr="00332504">
              <w:rPr>
                <w:rFonts w:ascii="Times New Roman" w:eastAsia="Times New Roman" w:hAnsi="Times New Roman" w:cs="Times New Roman"/>
                <w:color w:val="222222"/>
                <w:sz w:val="24"/>
                <w:szCs w:val="24"/>
                <w:lang w:eastAsia="es-CO"/>
              </w:rPr>
              <w:t xml:space="preserve">En este marco, se puede afirmar que, al menos, en cuanto a su reglamentación, la descentralización territorial ha tenido un avance significativo. </w:t>
            </w:r>
            <w:r w:rsidR="00CF456C" w:rsidRPr="00332504">
              <w:rPr>
                <w:rFonts w:ascii="Times New Roman" w:eastAsia="Times New Roman" w:hAnsi="Times New Roman" w:cs="Times New Roman"/>
                <w:color w:val="222222"/>
                <w:sz w:val="24"/>
                <w:szCs w:val="24"/>
                <w:lang w:eastAsia="es-CO"/>
              </w:rPr>
              <w:t xml:space="preserve">Sin embargo, la superabundancia normativa sobre lo territorial </w:t>
            </w:r>
            <w:r w:rsidR="006757C0" w:rsidRPr="00332504">
              <w:rPr>
                <w:rFonts w:ascii="Times New Roman" w:eastAsia="Times New Roman" w:hAnsi="Times New Roman" w:cs="Times New Roman"/>
                <w:color w:val="222222"/>
                <w:sz w:val="24"/>
                <w:szCs w:val="24"/>
                <w:lang w:eastAsia="es-CO"/>
              </w:rPr>
              <w:t xml:space="preserve">contrasta con los conflictos territoriales que ponen en evidencia el desencuentro entre los instrumentos y la realidad. Situaciones como la avalancha en Mocoa de 2017, la catástrofe del puente de </w:t>
            </w:r>
            <w:proofErr w:type="spellStart"/>
            <w:r w:rsidR="006757C0" w:rsidRPr="00332504">
              <w:rPr>
                <w:rFonts w:ascii="Times New Roman" w:eastAsia="Times New Roman" w:hAnsi="Times New Roman" w:cs="Times New Roman"/>
                <w:color w:val="222222"/>
                <w:sz w:val="24"/>
                <w:szCs w:val="24"/>
                <w:lang w:eastAsia="es-CO"/>
              </w:rPr>
              <w:t>Chirajara</w:t>
            </w:r>
            <w:proofErr w:type="spellEnd"/>
            <w:r w:rsidR="006757C0" w:rsidRPr="00332504">
              <w:rPr>
                <w:rFonts w:ascii="Times New Roman" w:eastAsia="Times New Roman" w:hAnsi="Times New Roman" w:cs="Times New Roman"/>
                <w:color w:val="222222"/>
                <w:sz w:val="24"/>
                <w:szCs w:val="24"/>
                <w:lang w:eastAsia="es-CO"/>
              </w:rPr>
              <w:t xml:space="preserve"> (Villavicencio) en 2018, los reclamos por mayores garantías en la participación del Consejo Territorial de Planeación Distrital (CTPD) frente al Plan de Ordenamiento Territorial o, las movilizaciones en contra del Plan de Manejo del Parque </w:t>
            </w:r>
            <w:proofErr w:type="spellStart"/>
            <w:r w:rsidR="006757C0" w:rsidRPr="00332504">
              <w:rPr>
                <w:rFonts w:ascii="Times New Roman" w:eastAsia="Times New Roman" w:hAnsi="Times New Roman" w:cs="Times New Roman"/>
                <w:color w:val="222222"/>
                <w:sz w:val="24"/>
                <w:szCs w:val="24"/>
                <w:lang w:eastAsia="es-CO"/>
              </w:rPr>
              <w:t>Tayrona</w:t>
            </w:r>
            <w:proofErr w:type="spellEnd"/>
            <w:r w:rsidR="006757C0" w:rsidRPr="00332504">
              <w:rPr>
                <w:rFonts w:ascii="Times New Roman" w:eastAsia="Times New Roman" w:hAnsi="Times New Roman" w:cs="Times New Roman"/>
                <w:color w:val="222222"/>
                <w:sz w:val="24"/>
                <w:szCs w:val="24"/>
                <w:lang w:eastAsia="es-CO"/>
              </w:rPr>
              <w:t xml:space="preserve"> en Santa Martha (El Espectador, 4 de agosto de 2019), ponen en evidencia los distanciamientos entre los procesos, los instrumentos, los mecanismos y los actores de la planeación en Colombia.</w:t>
            </w:r>
          </w:p>
          <w:p w:rsidR="006757C0" w:rsidRDefault="006757C0" w:rsidP="005D15C7">
            <w:pPr>
              <w:spacing w:after="0" w:line="276" w:lineRule="auto"/>
              <w:jc w:val="both"/>
              <w:rPr>
                <w:rFonts w:ascii="Times New Roman" w:eastAsia="Times New Roman" w:hAnsi="Times New Roman" w:cs="Times New Roman"/>
                <w:color w:val="222222"/>
                <w:sz w:val="24"/>
                <w:szCs w:val="24"/>
                <w:lang w:eastAsia="es-CO"/>
              </w:rPr>
            </w:pPr>
          </w:p>
          <w:p w:rsidR="002A18AF" w:rsidRPr="00332504" w:rsidRDefault="000D6D72" w:rsidP="000D6D72">
            <w:pPr>
              <w:spacing w:after="0" w:line="276" w:lineRule="auto"/>
              <w:jc w:val="both"/>
              <w:rPr>
                <w:rFonts w:ascii="Times New Roman" w:eastAsia="Times New Roman" w:hAnsi="Times New Roman" w:cs="Times New Roman"/>
                <w:color w:val="222222"/>
                <w:sz w:val="24"/>
                <w:szCs w:val="24"/>
                <w:lang w:eastAsia="es-CO"/>
              </w:rPr>
            </w:pPr>
            <w:r>
              <w:rPr>
                <w:rFonts w:ascii="Times New Roman" w:eastAsia="Times New Roman" w:hAnsi="Times New Roman" w:cs="Times New Roman"/>
                <w:color w:val="222222"/>
                <w:sz w:val="24"/>
                <w:szCs w:val="24"/>
                <w:lang w:eastAsia="es-CO"/>
              </w:rPr>
              <w:t xml:space="preserve">En esta medida, </w:t>
            </w:r>
            <w:r w:rsidR="00591F2A" w:rsidRPr="00332504">
              <w:rPr>
                <w:rFonts w:ascii="Times New Roman" w:eastAsia="Times New Roman" w:hAnsi="Times New Roman" w:cs="Times New Roman"/>
                <w:color w:val="222222"/>
                <w:sz w:val="24"/>
                <w:szCs w:val="24"/>
                <w:lang w:eastAsia="es-CO"/>
              </w:rPr>
              <w:t>se precisa el análisis de este distanciamiento e, “iniciar un proceso de armonización normativa que dé más claridad y seguridad a los procesos de ordenamiento (…) Tal vez convendría contar con un único arreglo institucional multinivel que facilite la integración.” (Penagos, 2010, 119).</w:t>
            </w:r>
            <w:r>
              <w:rPr>
                <w:rFonts w:ascii="Times New Roman" w:eastAsia="Times New Roman" w:hAnsi="Times New Roman" w:cs="Times New Roman"/>
                <w:color w:val="222222"/>
                <w:sz w:val="24"/>
                <w:szCs w:val="24"/>
                <w:lang w:eastAsia="es-CO"/>
              </w:rPr>
              <w:t xml:space="preserve"> Marco en el que se inscribe la propuesta de investigación.</w:t>
            </w:r>
            <w:r w:rsidR="00591F2A" w:rsidRPr="00332504">
              <w:rPr>
                <w:rFonts w:ascii="Times New Roman" w:eastAsia="Times New Roman" w:hAnsi="Times New Roman" w:cs="Times New Roman"/>
                <w:color w:val="222222"/>
                <w:sz w:val="24"/>
                <w:szCs w:val="24"/>
                <w:lang w:eastAsia="es-CO"/>
              </w:rPr>
              <w:t xml:space="preserve"> </w:t>
            </w:r>
          </w:p>
        </w:tc>
      </w:tr>
    </w:tbl>
    <w:p w:rsidR="002A18AF" w:rsidRPr="00332504" w:rsidRDefault="002A18AF" w:rsidP="005D15C7">
      <w:pPr>
        <w:spacing w:after="0" w:line="276" w:lineRule="auto"/>
        <w:rPr>
          <w:rFonts w:ascii="Times New Roman" w:eastAsia="Times New Roman" w:hAnsi="Times New Roman" w:cs="Times New Roman"/>
          <w:sz w:val="24"/>
          <w:szCs w:val="24"/>
          <w:lang w:eastAsia="es-CO"/>
        </w:rPr>
      </w:pPr>
    </w:p>
    <w:tbl>
      <w:tblPr>
        <w:tblW w:w="14734" w:type="dxa"/>
        <w:shd w:val="clear" w:color="auto" w:fill="FFFFFF"/>
        <w:tblLook w:val="04A0" w:firstRow="1" w:lastRow="0" w:firstColumn="1" w:lastColumn="0" w:noHBand="0" w:noVBand="1"/>
      </w:tblPr>
      <w:tblGrid>
        <w:gridCol w:w="14734"/>
      </w:tblGrid>
      <w:tr w:rsidR="002A18AF"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t>Objetivo general</w:t>
            </w:r>
          </w:p>
        </w:tc>
      </w:tr>
      <w:tr w:rsidR="002A18AF"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E6008D" w:rsidRPr="00332504" w:rsidRDefault="005D15C7" w:rsidP="005D15C7">
            <w:pPr>
              <w:pStyle w:val="Sinespaciado"/>
              <w:shd w:val="clear" w:color="auto" w:fill="FFFFFF" w:themeFill="background1"/>
              <w:spacing w:line="276" w:lineRule="auto"/>
              <w:jc w:val="both"/>
              <w:rPr>
                <w:rFonts w:ascii="Times New Roman" w:eastAsia="Times New Roman" w:hAnsi="Times New Roman"/>
                <w:color w:val="222222"/>
                <w:sz w:val="24"/>
                <w:szCs w:val="24"/>
                <w:lang w:eastAsia="es-CO"/>
              </w:rPr>
            </w:pPr>
            <w:r w:rsidRPr="00332504">
              <w:rPr>
                <w:rFonts w:ascii="Times New Roman" w:hAnsi="Times New Roman"/>
                <w:sz w:val="24"/>
                <w:szCs w:val="24"/>
              </w:rPr>
              <w:t>Construir estrategias para la armonización de los instrumentos de planeación del desarrollo y ordenamiento territorial, con base en criterios de gobernanza multiescalar y planeación participativa que promuevan agendas de desarrollo y paz sostenible.</w:t>
            </w:r>
          </w:p>
        </w:tc>
      </w:tr>
    </w:tbl>
    <w:p w:rsidR="002A18AF" w:rsidRPr="00332504" w:rsidRDefault="002A18AF" w:rsidP="005D15C7">
      <w:pPr>
        <w:spacing w:after="0" w:line="276" w:lineRule="auto"/>
        <w:rPr>
          <w:rFonts w:ascii="Times New Roman" w:eastAsia="Times New Roman" w:hAnsi="Times New Roman" w:cs="Times New Roman"/>
          <w:sz w:val="24"/>
          <w:szCs w:val="24"/>
          <w:lang w:eastAsia="es-CO"/>
        </w:rPr>
      </w:pPr>
    </w:p>
    <w:tbl>
      <w:tblPr>
        <w:tblW w:w="14734" w:type="dxa"/>
        <w:shd w:val="clear" w:color="auto" w:fill="FFFFFF"/>
        <w:tblLook w:val="04A0" w:firstRow="1" w:lastRow="0" w:firstColumn="1" w:lastColumn="0" w:noHBand="0" w:noVBand="1"/>
      </w:tblPr>
      <w:tblGrid>
        <w:gridCol w:w="14734"/>
      </w:tblGrid>
      <w:tr w:rsidR="002A18AF"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t>Objetivos específicos</w:t>
            </w:r>
          </w:p>
        </w:tc>
      </w:tr>
      <w:tr w:rsidR="002A18AF"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5D15C7" w:rsidRPr="00332504" w:rsidRDefault="005D15C7" w:rsidP="005D15C7">
            <w:pPr>
              <w:pStyle w:val="Sinespaciado"/>
              <w:numPr>
                <w:ilvl w:val="0"/>
                <w:numId w:val="3"/>
              </w:numPr>
              <w:shd w:val="clear" w:color="auto" w:fill="FFFFFF" w:themeFill="background1"/>
              <w:spacing w:line="276" w:lineRule="auto"/>
              <w:jc w:val="both"/>
              <w:rPr>
                <w:rFonts w:ascii="Times New Roman" w:hAnsi="Times New Roman"/>
                <w:sz w:val="24"/>
                <w:szCs w:val="24"/>
              </w:rPr>
            </w:pPr>
            <w:r w:rsidRPr="00332504">
              <w:rPr>
                <w:rFonts w:ascii="Times New Roman" w:hAnsi="Times New Roman"/>
                <w:sz w:val="24"/>
                <w:szCs w:val="24"/>
              </w:rPr>
              <w:t xml:space="preserve">Analizar los instrumentos para la planeación del desarrollo y el ordenamiento territorial en Colombia que inciden en la escala regional y local. </w:t>
            </w:r>
          </w:p>
          <w:p w:rsidR="005D15C7" w:rsidRPr="00332504" w:rsidRDefault="005D15C7" w:rsidP="005D15C7">
            <w:pPr>
              <w:pStyle w:val="Sinespaciado"/>
              <w:numPr>
                <w:ilvl w:val="0"/>
                <w:numId w:val="3"/>
              </w:numPr>
              <w:shd w:val="clear" w:color="auto" w:fill="FFFFFF" w:themeFill="background1"/>
              <w:spacing w:line="276" w:lineRule="auto"/>
              <w:jc w:val="both"/>
              <w:rPr>
                <w:rFonts w:ascii="Times New Roman" w:hAnsi="Times New Roman"/>
                <w:sz w:val="24"/>
                <w:szCs w:val="24"/>
              </w:rPr>
            </w:pPr>
            <w:r w:rsidRPr="00332504">
              <w:rPr>
                <w:rFonts w:ascii="Times New Roman" w:hAnsi="Times New Roman"/>
                <w:sz w:val="24"/>
                <w:szCs w:val="24"/>
              </w:rPr>
              <w:t>Describir las características, componentes, actores y esquemas de la gestión territorial para la armonización de los instrumentos de planeación y ordenamiento territorial, de los municipios caso, en el marco de sus Planes de Desarrollo (2020-2024); desde criterios de gobernanza multiescalar y planeación participativa.</w:t>
            </w:r>
          </w:p>
          <w:p w:rsidR="00E6008D" w:rsidRPr="00332504" w:rsidRDefault="005D15C7" w:rsidP="005D15C7">
            <w:pPr>
              <w:pStyle w:val="Sinespaciado"/>
              <w:numPr>
                <w:ilvl w:val="0"/>
                <w:numId w:val="3"/>
              </w:numPr>
              <w:shd w:val="clear" w:color="auto" w:fill="FFFFFF" w:themeFill="background1"/>
              <w:spacing w:line="276" w:lineRule="auto"/>
              <w:jc w:val="both"/>
              <w:rPr>
                <w:rFonts w:ascii="Times New Roman" w:eastAsia="Times New Roman" w:hAnsi="Times New Roman"/>
                <w:color w:val="222222"/>
                <w:sz w:val="24"/>
                <w:szCs w:val="24"/>
                <w:lang w:eastAsia="es-CO"/>
              </w:rPr>
            </w:pPr>
            <w:r w:rsidRPr="00332504">
              <w:rPr>
                <w:rFonts w:ascii="Times New Roman" w:hAnsi="Times New Roman"/>
                <w:sz w:val="24"/>
                <w:szCs w:val="24"/>
              </w:rPr>
              <w:t xml:space="preserve">Identificar esquemas de planeación participativa y gestión asociada para el desarrollo sostenible y la paz, con las organizaciones aliadas en Soacha, Gachantivá y la Provincia de Occidente de Boyacá, con base en las propuestas de armonización de instrumentos de planeación a escala regional y local. </w:t>
            </w:r>
          </w:p>
        </w:tc>
      </w:tr>
    </w:tbl>
    <w:p w:rsidR="002F1AD3" w:rsidRPr="00332504" w:rsidRDefault="002F1AD3" w:rsidP="005D15C7">
      <w:pPr>
        <w:spacing w:after="0" w:line="276" w:lineRule="auto"/>
        <w:rPr>
          <w:rFonts w:ascii="Times New Roman" w:eastAsia="Times New Roman" w:hAnsi="Times New Roman" w:cs="Times New Roman"/>
          <w:sz w:val="24"/>
          <w:szCs w:val="24"/>
          <w:lang w:eastAsia="es-CO"/>
        </w:rPr>
      </w:pPr>
    </w:p>
    <w:tbl>
      <w:tblPr>
        <w:tblW w:w="14734" w:type="dxa"/>
        <w:shd w:val="clear" w:color="auto" w:fill="FFFFFF"/>
        <w:tblLook w:val="04A0" w:firstRow="1" w:lastRow="0" w:firstColumn="1" w:lastColumn="0" w:noHBand="0" w:noVBand="1"/>
      </w:tblPr>
      <w:tblGrid>
        <w:gridCol w:w="14734"/>
      </w:tblGrid>
      <w:tr w:rsidR="002A18AF"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332504" w:rsidRDefault="00E6008D" w:rsidP="005D15C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t>Estado del arte y marco conceptual</w:t>
            </w:r>
          </w:p>
        </w:tc>
      </w:tr>
      <w:tr w:rsidR="002A18AF"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2F1AD3" w:rsidRPr="00332504" w:rsidRDefault="002F1AD3" w:rsidP="002F1AD3">
            <w:pPr>
              <w:pStyle w:val="Sinespaciado"/>
              <w:spacing w:after="240" w:line="276" w:lineRule="auto"/>
              <w:jc w:val="both"/>
              <w:rPr>
                <w:rFonts w:ascii="Times New Roman" w:hAnsi="Times New Roman"/>
                <w:sz w:val="24"/>
              </w:rPr>
            </w:pPr>
            <w:r w:rsidRPr="00332504">
              <w:rPr>
                <w:rFonts w:ascii="Times New Roman" w:hAnsi="Times New Roman"/>
                <w:sz w:val="24"/>
              </w:rPr>
              <w:t xml:space="preserve">La </w:t>
            </w:r>
            <w:r w:rsidRPr="00332504">
              <w:rPr>
                <w:rFonts w:ascii="Times New Roman" w:hAnsi="Times New Roman"/>
                <w:b/>
                <w:bCs/>
                <w:sz w:val="24"/>
              </w:rPr>
              <w:t>descentralización</w:t>
            </w:r>
            <w:r w:rsidRPr="00332504">
              <w:rPr>
                <w:rFonts w:ascii="Times New Roman" w:hAnsi="Times New Roman"/>
                <w:sz w:val="24"/>
              </w:rPr>
              <w:t xml:space="preserve"> en Colombia, así como en América Latina, cobró vital importancia académica a partir de la década del 80 del siglo XX. Las denominadas presiones desde arriba y desde abajo, llevaron a procesos profundos de reformas que terminarían por configurar un “nuevo constitucionalismo” (Couffignal, 2015, p. 39; Molano-Rojas </w:t>
            </w:r>
            <w:r w:rsidRPr="00332504">
              <w:rPr>
                <w:rFonts w:ascii="Times New Roman" w:hAnsi="Times New Roman"/>
                <w:i/>
                <w:sz w:val="24"/>
              </w:rPr>
              <w:t>et al.</w:t>
            </w:r>
            <w:r w:rsidRPr="00332504">
              <w:rPr>
                <w:rFonts w:ascii="Times New Roman" w:hAnsi="Times New Roman"/>
                <w:sz w:val="24"/>
              </w:rPr>
              <w:t xml:space="preserve">, 2018, p. 16). Las demandas de apertura económica inscritas en las tendencias globalizadoras desde una perspectiva neoliberal o </w:t>
            </w:r>
            <w:r w:rsidRPr="00332504">
              <w:rPr>
                <w:rFonts w:ascii="Times New Roman" w:hAnsi="Times New Roman"/>
                <w:i/>
                <w:sz w:val="24"/>
              </w:rPr>
              <w:t>presiones desde arriba</w:t>
            </w:r>
            <w:r w:rsidRPr="00332504">
              <w:rPr>
                <w:rFonts w:ascii="Times New Roman" w:hAnsi="Times New Roman"/>
                <w:sz w:val="24"/>
              </w:rPr>
              <w:t xml:space="preserve"> coincidían con los procesos de movilización social y popular que reclamaban una apertura de tipo político desde perspectivas democráticas; mayor autonomía, poder local y desarrollo para los territorios eran insignias del momento. (Martínez, 2015). </w:t>
            </w:r>
          </w:p>
          <w:p w:rsidR="002F1AD3" w:rsidRPr="00332504" w:rsidRDefault="002F1AD3" w:rsidP="002F1AD3">
            <w:pPr>
              <w:pStyle w:val="Sinespaciado"/>
              <w:spacing w:after="240" w:line="276" w:lineRule="auto"/>
              <w:jc w:val="both"/>
              <w:rPr>
                <w:rFonts w:ascii="Times New Roman" w:hAnsi="Times New Roman"/>
                <w:sz w:val="24"/>
              </w:rPr>
            </w:pPr>
            <w:r w:rsidRPr="00332504">
              <w:rPr>
                <w:rFonts w:ascii="Times New Roman" w:hAnsi="Times New Roman"/>
                <w:sz w:val="24"/>
              </w:rPr>
              <w:t xml:space="preserve">En este marco, los interrogantes sobre la espacialidad de la política retomarían un lugar protagónico. El giro espacial en las ciencias sociales (Colom &amp; Rivero, 2015) abriría un campo de investigación y producción prolífico, a partir del cual, el pensamiento contextual, situado y territorializado (Bautista </w:t>
            </w:r>
            <w:proofErr w:type="spellStart"/>
            <w:r w:rsidRPr="00332504">
              <w:rPr>
                <w:rFonts w:ascii="Times New Roman" w:hAnsi="Times New Roman"/>
                <w:sz w:val="24"/>
              </w:rPr>
              <w:t>Segalés</w:t>
            </w:r>
            <w:proofErr w:type="spellEnd"/>
            <w:r w:rsidRPr="00332504">
              <w:rPr>
                <w:rFonts w:ascii="Times New Roman" w:hAnsi="Times New Roman"/>
                <w:sz w:val="24"/>
              </w:rPr>
              <w:t xml:space="preserve">. 2014; Santos 1990, 1996, 2000; Sandoval Forero, </w:t>
            </w:r>
            <w:proofErr w:type="spellStart"/>
            <w:r w:rsidRPr="00332504">
              <w:rPr>
                <w:rFonts w:ascii="Times New Roman" w:hAnsi="Times New Roman"/>
                <w:sz w:val="24"/>
              </w:rPr>
              <w:t>Proto</w:t>
            </w:r>
            <w:proofErr w:type="spellEnd"/>
            <w:r w:rsidRPr="00332504">
              <w:rPr>
                <w:rFonts w:ascii="Times New Roman" w:hAnsi="Times New Roman"/>
                <w:sz w:val="24"/>
              </w:rPr>
              <w:t xml:space="preserve"> </w:t>
            </w:r>
            <w:proofErr w:type="spellStart"/>
            <w:r w:rsidRPr="00332504">
              <w:rPr>
                <w:rFonts w:ascii="Times New Roman" w:hAnsi="Times New Roman"/>
                <w:sz w:val="24"/>
              </w:rPr>
              <w:t>Gutiérez</w:t>
            </w:r>
            <w:proofErr w:type="spellEnd"/>
            <w:r w:rsidRPr="00332504">
              <w:rPr>
                <w:rFonts w:ascii="Times New Roman" w:hAnsi="Times New Roman"/>
                <w:sz w:val="24"/>
              </w:rPr>
              <w:t xml:space="preserve"> y </w:t>
            </w:r>
            <w:proofErr w:type="spellStart"/>
            <w:r w:rsidRPr="00332504">
              <w:rPr>
                <w:rFonts w:ascii="Times New Roman" w:hAnsi="Times New Roman"/>
                <w:sz w:val="24"/>
              </w:rPr>
              <w:t>Capera</w:t>
            </w:r>
            <w:proofErr w:type="spellEnd"/>
            <w:r w:rsidRPr="00332504">
              <w:rPr>
                <w:rFonts w:ascii="Times New Roman" w:hAnsi="Times New Roman"/>
                <w:sz w:val="24"/>
              </w:rPr>
              <w:t xml:space="preserve"> Figueroa 2019, Santos </w:t>
            </w:r>
            <w:proofErr w:type="spellStart"/>
            <w:r w:rsidRPr="00332504">
              <w:rPr>
                <w:rFonts w:ascii="Times New Roman" w:hAnsi="Times New Roman"/>
                <w:sz w:val="24"/>
              </w:rPr>
              <w:t>Herceg</w:t>
            </w:r>
            <w:proofErr w:type="spellEnd"/>
            <w:r w:rsidRPr="00332504">
              <w:rPr>
                <w:rFonts w:ascii="Times New Roman" w:hAnsi="Times New Roman"/>
                <w:sz w:val="24"/>
              </w:rPr>
              <w:t xml:space="preserve"> 2010, </w:t>
            </w:r>
            <w:proofErr w:type="spellStart"/>
            <w:r w:rsidRPr="00332504">
              <w:rPr>
                <w:rFonts w:ascii="Times New Roman" w:hAnsi="Times New Roman"/>
                <w:sz w:val="24"/>
              </w:rPr>
              <w:t>Segato</w:t>
            </w:r>
            <w:proofErr w:type="spellEnd"/>
            <w:r w:rsidRPr="00332504">
              <w:rPr>
                <w:rFonts w:ascii="Times New Roman" w:hAnsi="Times New Roman"/>
                <w:sz w:val="24"/>
              </w:rPr>
              <w:t xml:space="preserve"> 2013) se ubicaría como condición indispensable para el ajuste epistemológico, desde el cual, se legitiman perspectivas de enunciación “localizadas”, “de abajo hacia arriba”, “endógenas”, o del “sur global” (</w:t>
            </w:r>
            <w:proofErr w:type="spellStart"/>
            <w:r w:rsidRPr="00332504">
              <w:rPr>
                <w:rFonts w:ascii="Times New Roman" w:hAnsi="Times New Roman"/>
                <w:sz w:val="24"/>
              </w:rPr>
              <w:t>Prashad</w:t>
            </w:r>
            <w:proofErr w:type="spellEnd"/>
            <w:r w:rsidRPr="00332504">
              <w:rPr>
                <w:rFonts w:ascii="Times New Roman" w:hAnsi="Times New Roman"/>
                <w:sz w:val="24"/>
              </w:rPr>
              <w:t xml:space="preserve"> 2007, 2012). Bajo estas premisas, los estudios institucionales han integrado perspectivas multidimensionales y multiescalares (</w:t>
            </w:r>
            <w:proofErr w:type="spellStart"/>
            <w:r w:rsidRPr="00332504">
              <w:rPr>
                <w:rFonts w:ascii="Times New Roman" w:hAnsi="Times New Roman"/>
                <w:sz w:val="24"/>
              </w:rPr>
              <w:t>Coq</w:t>
            </w:r>
            <w:proofErr w:type="spellEnd"/>
            <w:r w:rsidRPr="00332504">
              <w:rPr>
                <w:rFonts w:ascii="Times New Roman" w:hAnsi="Times New Roman"/>
                <w:sz w:val="24"/>
              </w:rPr>
              <w:t xml:space="preserve">, 2002, 242), e incluso, herramientas para una mejor comprensión de los problemas atados al campo de estudio. </w:t>
            </w:r>
          </w:p>
          <w:p w:rsidR="002F1AD3" w:rsidRPr="00332504" w:rsidRDefault="002F1AD3" w:rsidP="002F1AD3">
            <w:pPr>
              <w:pStyle w:val="Sinespaciado"/>
              <w:spacing w:after="240" w:line="276" w:lineRule="auto"/>
              <w:jc w:val="both"/>
              <w:rPr>
                <w:rFonts w:ascii="Times New Roman" w:hAnsi="Times New Roman"/>
                <w:sz w:val="24"/>
              </w:rPr>
            </w:pPr>
            <w:r w:rsidRPr="00332504">
              <w:rPr>
                <w:rFonts w:ascii="Times New Roman" w:hAnsi="Times New Roman"/>
                <w:sz w:val="24"/>
              </w:rPr>
              <w:t xml:space="preserve">Tanto para enfoques </w:t>
            </w:r>
            <w:proofErr w:type="spellStart"/>
            <w:r w:rsidRPr="00332504">
              <w:rPr>
                <w:rFonts w:ascii="Times New Roman" w:hAnsi="Times New Roman"/>
                <w:sz w:val="24"/>
              </w:rPr>
              <w:t>neoinstitucionales</w:t>
            </w:r>
            <w:proofErr w:type="spellEnd"/>
            <w:r w:rsidRPr="00332504">
              <w:rPr>
                <w:rFonts w:ascii="Times New Roman" w:hAnsi="Times New Roman"/>
                <w:sz w:val="24"/>
              </w:rPr>
              <w:t xml:space="preserve"> (</w:t>
            </w:r>
            <w:proofErr w:type="spellStart"/>
            <w:r w:rsidRPr="00332504">
              <w:rPr>
                <w:rFonts w:ascii="Times New Roman" w:hAnsi="Times New Roman"/>
                <w:sz w:val="24"/>
              </w:rPr>
              <w:t>Coase</w:t>
            </w:r>
            <w:proofErr w:type="spellEnd"/>
            <w:r w:rsidRPr="00332504">
              <w:rPr>
                <w:rFonts w:ascii="Times New Roman" w:hAnsi="Times New Roman"/>
                <w:sz w:val="24"/>
              </w:rPr>
              <w:t xml:space="preserve">, 1937, </w:t>
            </w:r>
            <w:proofErr w:type="spellStart"/>
            <w:r w:rsidRPr="00332504">
              <w:rPr>
                <w:rFonts w:ascii="Times New Roman" w:hAnsi="Times New Roman"/>
                <w:sz w:val="24"/>
              </w:rPr>
              <w:t>Williamson</w:t>
            </w:r>
            <w:proofErr w:type="spellEnd"/>
            <w:r w:rsidRPr="00332504">
              <w:rPr>
                <w:rFonts w:ascii="Times New Roman" w:hAnsi="Times New Roman"/>
                <w:sz w:val="24"/>
              </w:rPr>
              <w:t xml:space="preserve"> 1979, 2000, </w:t>
            </w:r>
            <w:proofErr w:type="spellStart"/>
            <w:r w:rsidRPr="00332504">
              <w:rPr>
                <w:rFonts w:ascii="Times New Roman" w:hAnsi="Times New Roman"/>
                <w:sz w:val="24"/>
              </w:rPr>
              <w:t>Demsetz</w:t>
            </w:r>
            <w:proofErr w:type="spellEnd"/>
            <w:r w:rsidRPr="00332504">
              <w:rPr>
                <w:rFonts w:ascii="Times New Roman" w:hAnsi="Times New Roman"/>
                <w:sz w:val="24"/>
              </w:rPr>
              <w:t xml:space="preserve"> 1967, </w:t>
            </w:r>
            <w:proofErr w:type="spellStart"/>
            <w:r w:rsidRPr="00332504">
              <w:rPr>
                <w:rFonts w:ascii="Times New Roman" w:hAnsi="Times New Roman"/>
                <w:sz w:val="24"/>
              </w:rPr>
              <w:t>Vromen</w:t>
            </w:r>
            <w:proofErr w:type="spellEnd"/>
            <w:r w:rsidRPr="00332504">
              <w:rPr>
                <w:rFonts w:ascii="Times New Roman" w:hAnsi="Times New Roman"/>
                <w:sz w:val="24"/>
              </w:rPr>
              <w:t xml:space="preserve">, 2004) como en el caso de los enfoques críticos (Boyer 1992, </w:t>
            </w:r>
            <w:proofErr w:type="spellStart"/>
            <w:r w:rsidRPr="00332504">
              <w:rPr>
                <w:rFonts w:ascii="Times New Roman" w:hAnsi="Times New Roman"/>
                <w:sz w:val="24"/>
              </w:rPr>
              <w:t>Polanyi</w:t>
            </w:r>
            <w:proofErr w:type="spellEnd"/>
            <w:r w:rsidRPr="00332504">
              <w:rPr>
                <w:rFonts w:ascii="Times New Roman" w:hAnsi="Times New Roman"/>
                <w:sz w:val="24"/>
              </w:rPr>
              <w:t xml:space="preserve"> 2003, Block y </w:t>
            </w:r>
            <w:proofErr w:type="spellStart"/>
            <w:r w:rsidRPr="00332504">
              <w:rPr>
                <w:rFonts w:ascii="Times New Roman" w:hAnsi="Times New Roman"/>
                <w:sz w:val="24"/>
              </w:rPr>
              <w:t>Somers</w:t>
            </w:r>
            <w:proofErr w:type="spellEnd"/>
            <w:r w:rsidRPr="00332504">
              <w:rPr>
                <w:rFonts w:ascii="Times New Roman" w:hAnsi="Times New Roman"/>
                <w:sz w:val="24"/>
              </w:rPr>
              <w:t xml:space="preserve">, 2014) del institucionalismo, la dimensión territorial debe ser incorporada para la identificación de factores </w:t>
            </w:r>
            <w:r w:rsidRPr="00332504">
              <w:rPr>
                <w:rFonts w:ascii="Times New Roman" w:hAnsi="Times New Roman"/>
                <w:sz w:val="24"/>
              </w:rPr>
              <w:lastRenderedPageBreak/>
              <w:t xml:space="preserve">que pervierten el correcto funcionamiento de los mercados, de los ensamblajes y de los arreglos institucionales. En el caso de Colombia, sobresalen los trabajos de Salomón Kalmanovitz (1999) y de Marco Palacios (2002), quienes, desde diferentes disciplinas, han aportado a la comprensión histórica de las instituciones, dilucidando rasgos culturales, sociales y políticos que configuran la trayectoria de dependencia </w:t>
            </w:r>
            <w:proofErr w:type="spellStart"/>
            <w:r w:rsidRPr="00332504">
              <w:rPr>
                <w:rFonts w:ascii="Times New Roman" w:hAnsi="Times New Roman"/>
                <w:i/>
                <w:sz w:val="24"/>
              </w:rPr>
              <w:t>path</w:t>
            </w:r>
            <w:proofErr w:type="spellEnd"/>
            <w:r w:rsidRPr="00332504">
              <w:rPr>
                <w:rFonts w:ascii="Times New Roman" w:hAnsi="Times New Roman"/>
                <w:i/>
                <w:sz w:val="24"/>
              </w:rPr>
              <w:t xml:space="preserve"> </w:t>
            </w:r>
            <w:proofErr w:type="spellStart"/>
            <w:r w:rsidRPr="00332504">
              <w:rPr>
                <w:rFonts w:ascii="Times New Roman" w:hAnsi="Times New Roman"/>
                <w:i/>
                <w:sz w:val="24"/>
              </w:rPr>
              <w:t>dependence</w:t>
            </w:r>
            <w:proofErr w:type="spellEnd"/>
            <w:r w:rsidRPr="00332504">
              <w:rPr>
                <w:rFonts w:ascii="Times New Roman" w:hAnsi="Times New Roman"/>
                <w:i/>
                <w:sz w:val="24"/>
              </w:rPr>
              <w:t xml:space="preserve"> </w:t>
            </w:r>
            <w:r w:rsidRPr="00332504">
              <w:rPr>
                <w:rFonts w:ascii="Times New Roman" w:hAnsi="Times New Roman"/>
                <w:sz w:val="24"/>
              </w:rPr>
              <w:t xml:space="preserve">(Kalmanovitz, 1999 &amp; Palier, 2009) de la complejidad actual colombiana. Esta trayectoria incluye, entre otras, la encrucijada de la ética pública entre la caridad y la responsabilidad, y la desconfianza en las instituciones factor de debilitamiento de las dinámicas organizativas (Kalmanovitz, 1999). </w:t>
            </w:r>
          </w:p>
          <w:p w:rsidR="002F1AD3" w:rsidRPr="00332504" w:rsidRDefault="002F1AD3" w:rsidP="002F1AD3">
            <w:pPr>
              <w:pStyle w:val="Sinespaciado"/>
              <w:spacing w:after="240" w:line="276" w:lineRule="auto"/>
              <w:jc w:val="both"/>
              <w:rPr>
                <w:rFonts w:ascii="Times New Roman" w:hAnsi="Times New Roman"/>
                <w:sz w:val="24"/>
              </w:rPr>
            </w:pPr>
            <w:r w:rsidRPr="00332504">
              <w:rPr>
                <w:rFonts w:ascii="Times New Roman" w:hAnsi="Times New Roman"/>
                <w:sz w:val="24"/>
              </w:rPr>
              <w:t xml:space="preserve">Asimismo, el escenario de los Acuerdos de Paz marcó una particular impronta alrededor de las reflexiones sociales, políticas y académicas sobre el estado de la descentralización (Barberena &amp; Restrepo, 2017; Fajardo, 2014), la situación de la institucionalidad local y el desarrollo con enfoque territorial (García-Villegas &amp; Revello, 2017, p. 69; Trujillo, 2014; García-Villegas, </w:t>
            </w:r>
            <w:r w:rsidRPr="00332504">
              <w:rPr>
                <w:rFonts w:ascii="Times New Roman" w:hAnsi="Times New Roman"/>
                <w:i/>
                <w:sz w:val="24"/>
              </w:rPr>
              <w:t xml:space="preserve">et al., </w:t>
            </w:r>
            <w:r w:rsidRPr="00332504">
              <w:rPr>
                <w:rFonts w:ascii="Times New Roman" w:hAnsi="Times New Roman"/>
                <w:sz w:val="24"/>
              </w:rPr>
              <w:t xml:space="preserve">2016), la arquitectura institucional para la paz (Pizarro, 2017) y la necesaria actualización y fortalecimiento de las instancias de planeación participativa. De manera simultánea, los debates sobre la territorialización de los procesos de planeación y la emergencia de una regulación cada vez más robusta sobre los asuntos de la descentralización territorial del país alimentarían, durante la última década, un debate que hoy en día se encuentra abierto y vigente, particularmente, en torno a las configuraciones de los contenedores espaciales (Fals, 2000, p. 10) y su relación con el desarrollo local y la paz.  </w:t>
            </w:r>
          </w:p>
          <w:p w:rsidR="002F1AD3" w:rsidRPr="00332504" w:rsidRDefault="002F1AD3" w:rsidP="002F1AD3">
            <w:pPr>
              <w:spacing w:after="240" w:line="276" w:lineRule="auto"/>
              <w:jc w:val="both"/>
              <w:rPr>
                <w:rFonts w:ascii="Times New Roman" w:hAnsi="Times New Roman" w:cs="Times New Roman"/>
                <w:sz w:val="24"/>
              </w:rPr>
            </w:pPr>
            <w:r w:rsidRPr="00332504">
              <w:rPr>
                <w:rFonts w:ascii="Times New Roman" w:hAnsi="Times New Roman"/>
                <w:sz w:val="24"/>
              </w:rPr>
              <w:t>Estas reflexiones de carácter institucional permiten, a su vez, avanzar en la senda de estudios sobre el Estado colombiano inscrita en el resurgimiento del tema del Estado como objeto académico, incentivando “algo que hace dos décadas era impensable” en el campo académico (Gutiérrez-Sanín, 2016, p. 54). Más allá del marco de analítico de la violencia o de la “teoría belicista del Estado”, sin desconocer el conflicto como factor explicativo, Gutiérrez-Sanín (2016) plantea la necesidad de indagar en conocimientos mínimos, entre los que se destacan: “(a) Descripciones generales del aparato de Estado y de su evolución (…); (b) Descripciones del proceso de construcción estatal en territorios específicos; (…) y (e) Análisis de políticas públicas fracasadas y (relativamente) exitosas.” (Gutiérrez-Sanín, 2016, p. 109)</w:t>
            </w:r>
          </w:p>
          <w:p w:rsidR="002F1AD3" w:rsidRPr="00332504" w:rsidRDefault="002F1AD3" w:rsidP="002F1AD3">
            <w:pPr>
              <w:spacing w:line="276" w:lineRule="auto"/>
              <w:jc w:val="both"/>
              <w:rPr>
                <w:rFonts w:ascii="Times New Roman" w:hAnsi="Times New Roman" w:cs="Times New Roman"/>
                <w:sz w:val="24"/>
              </w:rPr>
            </w:pPr>
            <w:r w:rsidRPr="00332504">
              <w:rPr>
                <w:rFonts w:ascii="Times New Roman" w:hAnsi="Times New Roman" w:cs="Times New Roman"/>
                <w:sz w:val="24"/>
              </w:rPr>
              <w:t xml:space="preserve">Para </w:t>
            </w:r>
            <w:bookmarkStart w:id="0" w:name="_Hlk497911774"/>
            <w:r w:rsidRPr="00332504">
              <w:rPr>
                <w:rFonts w:ascii="Times New Roman" w:hAnsi="Times New Roman" w:cs="Times New Roman"/>
                <w:sz w:val="24"/>
              </w:rPr>
              <w:t xml:space="preserve">Martin (2005), </w:t>
            </w:r>
            <w:bookmarkEnd w:id="0"/>
            <w:r w:rsidRPr="00332504">
              <w:rPr>
                <w:rFonts w:ascii="Times New Roman" w:hAnsi="Times New Roman" w:cs="Times New Roman"/>
                <w:b/>
                <w:bCs/>
                <w:sz w:val="24"/>
              </w:rPr>
              <w:t>la planificación</w:t>
            </w:r>
            <w:r w:rsidRPr="00332504">
              <w:rPr>
                <w:rFonts w:ascii="Times New Roman" w:hAnsi="Times New Roman" w:cs="Times New Roman"/>
                <w:sz w:val="24"/>
              </w:rPr>
              <w:t xml:space="preserve"> es un instrumento de la gestión pública que permite realizar un cálculo que precede la acción pública durante la ejecución de aquellas políticas públicas previamente formuladas. Bajo el paradigma moderno, este autor destaca tres funciones principales de la planificación: la </w:t>
            </w:r>
            <w:r w:rsidRPr="00332504">
              <w:rPr>
                <w:rFonts w:ascii="Times New Roman" w:hAnsi="Times New Roman" w:cs="Times New Roman"/>
                <w:i/>
                <w:iCs/>
                <w:sz w:val="24"/>
              </w:rPr>
              <w:t>prospectiva</w:t>
            </w:r>
            <w:r w:rsidRPr="00332504">
              <w:rPr>
                <w:rFonts w:ascii="Times New Roman" w:hAnsi="Times New Roman" w:cs="Times New Roman"/>
                <w:sz w:val="24"/>
              </w:rPr>
              <w:t xml:space="preserve">, la </w:t>
            </w:r>
            <w:r w:rsidRPr="00332504">
              <w:rPr>
                <w:rFonts w:ascii="Times New Roman" w:hAnsi="Times New Roman" w:cs="Times New Roman"/>
                <w:i/>
                <w:iCs/>
                <w:sz w:val="24"/>
              </w:rPr>
              <w:t>coordinación</w:t>
            </w:r>
            <w:r w:rsidRPr="00332504">
              <w:rPr>
                <w:rFonts w:ascii="Times New Roman" w:hAnsi="Times New Roman" w:cs="Times New Roman"/>
                <w:sz w:val="24"/>
              </w:rPr>
              <w:t xml:space="preserve"> y la </w:t>
            </w:r>
            <w:r w:rsidRPr="00332504">
              <w:rPr>
                <w:rFonts w:ascii="Times New Roman" w:hAnsi="Times New Roman" w:cs="Times New Roman"/>
                <w:i/>
                <w:iCs/>
                <w:sz w:val="24"/>
              </w:rPr>
              <w:t>evaluación</w:t>
            </w:r>
            <w:r w:rsidRPr="00332504">
              <w:rPr>
                <w:rFonts w:ascii="Times New Roman" w:hAnsi="Times New Roman" w:cs="Times New Roman"/>
                <w:sz w:val="24"/>
              </w:rPr>
              <w:t>.</w:t>
            </w:r>
          </w:p>
          <w:p w:rsidR="00DB7A36" w:rsidRDefault="002F1AD3" w:rsidP="002F1AD3">
            <w:pPr>
              <w:spacing w:line="276" w:lineRule="auto"/>
              <w:jc w:val="both"/>
              <w:rPr>
                <w:rFonts w:ascii="Times New Roman" w:hAnsi="Times New Roman" w:cs="Times New Roman"/>
                <w:sz w:val="24"/>
              </w:rPr>
            </w:pPr>
            <w:r w:rsidRPr="00332504">
              <w:rPr>
                <w:rFonts w:ascii="Times New Roman" w:hAnsi="Times New Roman" w:cs="Times New Roman"/>
                <w:sz w:val="24"/>
              </w:rPr>
              <w:t xml:space="preserve">En lo relativo a la segunda dimensión, ésta se refiere a la </w:t>
            </w:r>
            <w:r w:rsidRPr="00332504">
              <w:rPr>
                <w:rFonts w:ascii="Times New Roman" w:hAnsi="Times New Roman" w:cs="Times New Roman"/>
                <w:i/>
                <w:sz w:val="24"/>
              </w:rPr>
              <w:t>coordinación</w:t>
            </w:r>
            <w:r w:rsidRPr="00332504">
              <w:rPr>
                <w:rFonts w:ascii="Times New Roman" w:hAnsi="Times New Roman" w:cs="Times New Roman"/>
                <w:sz w:val="24"/>
              </w:rPr>
              <w:t xml:space="preserve"> entre las políticas públicas, ya sea en términos de la interacción del gobierno con las restantes fuerzas políticas, económicas y sociales y la coordinación que debe realizarse al interior del gobierno para alcanzar en tiempo y forma los objetivos trazados. Finalmente, Martín afirma que la planificación promueve la </w:t>
            </w:r>
            <w:r w:rsidRPr="00332504">
              <w:rPr>
                <w:rFonts w:ascii="Times New Roman" w:hAnsi="Times New Roman" w:cs="Times New Roman"/>
                <w:i/>
                <w:sz w:val="24"/>
              </w:rPr>
              <w:t>evaluación</w:t>
            </w:r>
            <w:r w:rsidRPr="00332504">
              <w:rPr>
                <w:rFonts w:ascii="Times New Roman" w:hAnsi="Times New Roman" w:cs="Times New Roman"/>
                <w:sz w:val="24"/>
              </w:rPr>
              <w:t xml:space="preserve">, en la cual se valora el aparato gubernamental y su relación con el parlamento y con la ciudadanía (Martín 2005). </w:t>
            </w:r>
            <w:bookmarkStart w:id="1" w:name="_Hlk497911794"/>
          </w:p>
          <w:p w:rsidR="002F1AD3" w:rsidRPr="00332504" w:rsidRDefault="002F1AD3" w:rsidP="002F1AD3">
            <w:pPr>
              <w:spacing w:line="276" w:lineRule="auto"/>
              <w:jc w:val="both"/>
              <w:rPr>
                <w:rFonts w:ascii="Times New Roman" w:hAnsi="Times New Roman" w:cs="Times New Roman"/>
                <w:sz w:val="24"/>
              </w:rPr>
            </w:pPr>
            <w:r w:rsidRPr="00332504">
              <w:rPr>
                <w:rFonts w:ascii="Times New Roman" w:hAnsi="Times New Roman" w:cs="Times New Roman"/>
                <w:iCs/>
                <w:sz w:val="24"/>
              </w:rPr>
              <w:t xml:space="preserve">Bajo esta óptica, </w:t>
            </w:r>
            <w:r w:rsidRPr="00332504">
              <w:rPr>
                <w:rFonts w:ascii="Times New Roman" w:hAnsi="Times New Roman" w:cs="Times New Roman"/>
                <w:sz w:val="24"/>
              </w:rPr>
              <w:t xml:space="preserve">Sandoval, Sanhueza y </w:t>
            </w:r>
            <w:proofErr w:type="spellStart"/>
            <w:r w:rsidRPr="00332504">
              <w:rPr>
                <w:rFonts w:ascii="Times New Roman" w:hAnsi="Times New Roman" w:cs="Times New Roman"/>
                <w:sz w:val="24"/>
              </w:rPr>
              <w:t>Willine</w:t>
            </w:r>
            <w:proofErr w:type="spellEnd"/>
            <w:r w:rsidRPr="00332504">
              <w:rPr>
                <w:rFonts w:ascii="Times New Roman" w:hAnsi="Times New Roman" w:cs="Times New Roman"/>
                <w:sz w:val="24"/>
              </w:rPr>
              <w:t xml:space="preserve"> (2015) </w:t>
            </w:r>
            <w:bookmarkEnd w:id="1"/>
            <w:r w:rsidRPr="00332504">
              <w:rPr>
                <w:rFonts w:ascii="Times New Roman" w:hAnsi="Times New Roman" w:cs="Times New Roman"/>
                <w:sz w:val="24"/>
              </w:rPr>
              <w:t>entienden la planificación como un ejercicio multiescalar que apela a “la expresión de objetivos, estrategias y/o prioridades que se desarrollan entre niveles del Estado, bajo la lógica de una coordinación y articulación coherente, alineada e integral” (Sandoval et al. 2015, Pág. 13). Si bien la división territorial político – administrativa es la más frecuente, existen múltiples divisiones definidas por condiciones geográficas, culturales e históricas, entre otras; lo cual exige a la planificación una coherencia con las escalas territoriales. Por esta razón la participación y colaboración son fundamentales, así como la labor de la gestión pública al momento de articular dichos ámbitos institucionales.</w:t>
            </w:r>
          </w:p>
          <w:p w:rsidR="002F1AD3" w:rsidRPr="00332504" w:rsidRDefault="002F1AD3" w:rsidP="002F1AD3">
            <w:pPr>
              <w:spacing w:line="276" w:lineRule="auto"/>
              <w:jc w:val="both"/>
              <w:rPr>
                <w:rFonts w:ascii="Times New Roman" w:hAnsi="Times New Roman" w:cs="Times New Roman"/>
                <w:sz w:val="24"/>
              </w:rPr>
            </w:pPr>
            <w:r w:rsidRPr="00332504">
              <w:rPr>
                <w:rFonts w:ascii="Times New Roman" w:hAnsi="Times New Roman" w:cs="Times New Roman"/>
                <w:sz w:val="24"/>
              </w:rPr>
              <w:t>La planificación prospectiva considera a l</w:t>
            </w:r>
            <w:r w:rsidRPr="00332504">
              <w:rPr>
                <w:rFonts w:ascii="Times New Roman" w:hAnsi="Times New Roman" w:cs="Times New Roman"/>
                <w:i/>
                <w:sz w:val="24"/>
              </w:rPr>
              <w:t xml:space="preserve">a gobernanza multiescalar, intersectorial y </w:t>
            </w:r>
            <w:proofErr w:type="spellStart"/>
            <w:r w:rsidRPr="00332504">
              <w:rPr>
                <w:rFonts w:ascii="Times New Roman" w:hAnsi="Times New Roman" w:cs="Times New Roman"/>
                <w:i/>
                <w:sz w:val="24"/>
              </w:rPr>
              <w:t>pluritemporal</w:t>
            </w:r>
            <w:proofErr w:type="spellEnd"/>
            <w:r w:rsidRPr="00332504">
              <w:rPr>
                <w:rFonts w:ascii="Times New Roman" w:hAnsi="Times New Roman" w:cs="Times New Roman"/>
                <w:i/>
                <w:sz w:val="24"/>
              </w:rPr>
              <w:t xml:space="preserve"> del desarrollo</w:t>
            </w:r>
            <w:r w:rsidRPr="00332504">
              <w:rPr>
                <w:rFonts w:ascii="Times New Roman" w:hAnsi="Times New Roman" w:cs="Times New Roman"/>
                <w:sz w:val="24"/>
              </w:rPr>
              <w:t xml:space="preserve"> como una disciplina que</w:t>
            </w:r>
            <w:r w:rsidRPr="00332504">
              <w:rPr>
                <w:rFonts w:ascii="Times New Roman" w:hAnsi="Times New Roman" w:cs="Times New Roman"/>
                <w:i/>
                <w:sz w:val="24"/>
              </w:rPr>
              <w:t xml:space="preserve"> </w:t>
            </w:r>
            <w:r w:rsidRPr="00332504">
              <w:rPr>
                <w:rFonts w:ascii="Times New Roman" w:hAnsi="Times New Roman" w:cs="Times New Roman"/>
                <w:sz w:val="24"/>
              </w:rPr>
              <w:t>cumple la función de dar respuestas a los desafíos de gobernabilidad y gobernanza, impulsando a su vez, la búsqueda de soluciones basadas en la articulación, el perfeccionamiento e innovación permanente de las herramientas de administración pública. A su vez, estas herramientas han representado un ciclo de retroalimentación entre planificación, gestión, coordinación evaluación y monitoreo. (</w:t>
            </w:r>
            <w:proofErr w:type="spellStart"/>
            <w:r w:rsidRPr="00332504">
              <w:rPr>
                <w:rFonts w:ascii="Times New Roman" w:hAnsi="Times New Roman" w:cs="Times New Roman"/>
                <w:sz w:val="24"/>
              </w:rPr>
              <w:t>Mattar</w:t>
            </w:r>
            <w:proofErr w:type="spellEnd"/>
            <w:r w:rsidRPr="00332504">
              <w:rPr>
                <w:rFonts w:ascii="Times New Roman" w:hAnsi="Times New Roman" w:cs="Times New Roman"/>
                <w:sz w:val="24"/>
              </w:rPr>
              <w:t xml:space="preserve"> y Cuervo, 2017). </w:t>
            </w:r>
          </w:p>
          <w:p w:rsidR="002F1AD3" w:rsidRPr="00332504" w:rsidRDefault="002F1AD3" w:rsidP="002F1AD3">
            <w:pPr>
              <w:spacing w:line="276" w:lineRule="auto"/>
              <w:jc w:val="both"/>
              <w:rPr>
                <w:rFonts w:ascii="Times New Roman" w:hAnsi="Times New Roman" w:cs="Times New Roman"/>
                <w:sz w:val="24"/>
              </w:rPr>
            </w:pPr>
            <w:r w:rsidRPr="00332504">
              <w:rPr>
                <w:rFonts w:ascii="Times New Roman" w:hAnsi="Times New Roman" w:cs="Times New Roman"/>
                <w:sz w:val="24"/>
              </w:rPr>
              <w:t xml:space="preserve">De esta manera, la planificación contemporánea, en el marco de la gestión pública, tiene cinco grandes retos que sirven como punto de referencia para su análisis. Son los siguientes: </w:t>
            </w:r>
          </w:p>
          <w:p w:rsidR="002F1AD3" w:rsidRPr="00332504" w:rsidRDefault="002F1AD3" w:rsidP="002F1AD3">
            <w:pPr>
              <w:pStyle w:val="Prrafodelista"/>
              <w:numPr>
                <w:ilvl w:val="0"/>
                <w:numId w:val="6"/>
              </w:numPr>
              <w:spacing w:after="120" w:line="276" w:lineRule="auto"/>
              <w:jc w:val="both"/>
              <w:rPr>
                <w:rFonts w:ascii="Times New Roman" w:hAnsi="Times New Roman" w:cs="Times New Roman"/>
                <w:sz w:val="24"/>
              </w:rPr>
            </w:pPr>
            <w:r w:rsidRPr="00332504">
              <w:rPr>
                <w:rFonts w:ascii="Times New Roman" w:hAnsi="Times New Roman" w:cs="Times New Roman"/>
                <w:i/>
                <w:sz w:val="24"/>
              </w:rPr>
              <w:t xml:space="preserve">La </w:t>
            </w:r>
            <w:proofErr w:type="spellStart"/>
            <w:r w:rsidRPr="00332504">
              <w:rPr>
                <w:rFonts w:ascii="Times New Roman" w:hAnsi="Times New Roman" w:cs="Times New Roman"/>
                <w:i/>
                <w:sz w:val="24"/>
              </w:rPr>
              <w:t>pluritemporalidad</w:t>
            </w:r>
            <w:proofErr w:type="spellEnd"/>
            <w:r w:rsidRPr="00332504">
              <w:rPr>
                <w:rFonts w:ascii="Times New Roman" w:hAnsi="Times New Roman" w:cs="Times New Roman"/>
                <w:sz w:val="24"/>
              </w:rPr>
              <w:t xml:space="preserve">, que se refiere a lograr la correcta conjugación de los diferentes plazos (largo, mediano, corto y coyuntural) para dar respuesta, dentro de la gestión pública, tanto a </w:t>
            </w:r>
            <w:r w:rsidRPr="00332504">
              <w:rPr>
                <w:rFonts w:ascii="Times New Roman" w:hAnsi="Times New Roman" w:cs="Times New Roman"/>
                <w:i/>
                <w:iCs/>
                <w:sz w:val="24"/>
              </w:rPr>
              <w:t>lo urgente</w:t>
            </w:r>
            <w:r w:rsidRPr="00332504">
              <w:rPr>
                <w:rFonts w:ascii="Times New Roman" w:hAnsi="Times New Roman" w:cs="Times New Roman"/>
                <w:sz w:val="24"/>
              </w:rPr>
              <w:t xml:space="preserve"> como a </w:t>
            </w:r>
            <w:r w:rsidRPr="00332504">
              <w:rPr>
                <w:rFonts w:ascii="Times New Roman" w:hAnsi="Times New Roman" w:cs="Times New Roman"/>
                <w:i/>
                <w:iCs/>
                <w:sz w:val="24"/>
              </w:rPr>
              <w:t>lo importante, lo coyuntural y lo estructural</w:t>
            </w:r>
            <w:r w:rsidRPr="00332504">
              <w:rPr>
                <w:rFonts w:ascii="Times New Roman" w:hAnsi="Times New Roman" w:cs="Times New Roman"/>
                <w:sz w:val="24"/>
              </w:rPr>
              <w:t xml:space="preserve"> en el quehacer del gobierno y las políticas de Estado.</w:t>
            </w:r>
          </w:p>
          <w:p w:rsidR="002F1AD3" w:rsidRPr="00332504" w:rsidRDefault="002F1AD3" w:rsidP="002F1AD3">
            <w:pPr>
              <w:pStyle w:val="Prrafodelista"/>
              <w:numPr>
                <w:ilvl w:val="0"/>
                <w:numId w:val="6"/>
              </w:numPr>
              <w:spacing w:after="120" w:line="276" w:lineRule="auto"/>
              <w:jc w:val="both"/>
              <w:rPr>
                <w:rFonts w:ascii="Times New Roman" w:hAnsi="Times New Roman" w:cs="Times New Roman"/>
                <w:sz w:val="24"/>
              </w:rPr>
            </w:pPr>
            <w:r w:rsidRPr="00332504">
              <w:rPr>
                <w:rFonts w:ascii="Times New Roman" w:hAnsi="Times New Roman" w:cs="Times New Roman"/>
                <w:i/>
                <w:sz w:val="24"/>
              </w:rPr>
              <w:t xml:space="preserve">La </w:t>
            </w:r>
            <w:proofErr w:type="spellStart"/>
            <w:r w:rsidRPr="00332504">
              <w:rPr>
                <w:rFonts w:ascii="Times New Roman" w:hAnsi="Times New Roman" w:cs="Times New Roman"/>
                <w:i/>
                <w:sz w:val="24"/>
              </w:rPr>
              <w:t>multiescalaridad</w:t>
            </w:r>
            <w:proofErr w:type="spellEnd"/>
            <w:r w:rsidRPr="00332504">
              <w:rPr>
                <w:rFonts w:ascii="Times New Roman" w:hAnsi="Times New Roman" w:cs="Times New Roman"/>
                <w:i/>
                <w:sz w:val="24"/>
              </w:rPr>
              <w:t xml:space="preserve"> y la planificación entre niveles de gobierno</w:t>
            </w:r>
            <w:r w:rsidRPr="00332504">
              <w:rPr>
                <w:rFonts w:ascii="Times New Roman" w:hAnsi="Times New Roman" w:cs="Times New Roman"/>
                <w:sz w:val="24"/>
              </w:rPr>
              <w:t xml:space="preserve">, </w:t>
            </w:r>
          </w:p>
          <w:p w:rsidR="00B20929" w:rsidRDefault="002F1AD3" w:rsidP="00172B16">
            <w:pPr>
              <w:pStyle w:val="Prrafodelista"/>
              <w:numPr>
                <w:ilvl w:val="0"/>
                <w:numId w:val="6"/>
              </w:numPr>
              <w:spacing w:after="120" w:line="276" w:lineRule="auto"/>
              <w:jc w:val="both"/>
              <w:rPr>
                <w:rFonts w:ascii="Times New Roman" w:hAnsi="Times New Roman" w:cs="Times New Roman"/>
                <w:sz w:val="24"/>
              </w:rPr>
            </w:pPr>
            <w:r w:rsidRPr="00B20929">
              <w:rPr>
                <w:rFonts w:ascii="Times New Roman" w:hAnsi="Times New Roman" w:cs="Times New Roman"/>
                <w:i/>
                <w:sz w:val="24"/>
              </w:rPr>
              <w:t xml:space="preserve">La </w:t>
            </w:r>
            <w:proofErr w:type="spellStart"/>
            <w:r w:rsidRPr="00B20929">
              <w:rPr>
                <w:rFonts w:ascii="Times New Roman" w:hAnsi="Times New Roman" w:cs="Times New Roman"/>
                <w:i/>
                <w:sz w:val="24"/>
              </w:rPr>
              <w:t>intersectorialidad</w:t>
            </w:r>
            <w:proofErr w:type="spellEnd"/>
            <w:r w:rsidRPr="00B20929">
              <w:rPr>
                <w:rFonts w:ascii="Times New Roman" w:hAnsi="Times New Roman" w:cs="Times New Roman"/>
                <w:sz w:val="24"/>
              </w:rPr>
              <w:t xml:space="preserve">, se refiere a la capacidad de articular las perspectivas sectoriales, institucionales e integrales, teniendo presenta una visión nacional. </w:t>
            </w:r>
          </w:p>
          <w:p w:rsidR="002F1AD3" w:rsidRPr="00B20929" w:rsidRDefault="002F1AD3" w:rsidP="00172B16">
            <w:pPr>
              <w:pStyle w:val="Prrafodelista"/>
              <w:numPr>
                <w:ilvl w:val="0"/>
                <w:numId w:val="6"/>
              </w:numPr>
              <w:spacing w:after="120" w:line="276" w:lineRule="auto"/>
              <w:jc w:val="both"/>
              <w:rPr>
                <w:rFonts w:ascii="Times New Roman" w:hAnsi="Times New Roman" w:cs="Times New Roman"/>
                <w:sz w:val="24"/>
              </w:rPr>
            </w:pPr>
            <w:r w:rsidRPr="00B20929">
              <w:rPr>
                <w:rFonts w:ascii="Times New Roman" w:hAnsi="Times New Roman" w:cs="Times New Roman"/>
                <w:i/>
                <w:sz w:val="24"/>
              </w:rPr>
              <w:t xml:space="preserve">La Integración de los diversos actores y agentes sociales (Estado, sociedad, mercado), </w:t>
            </w:r>
            <w:r w:rsidRPr="00B20929">
              <w:rPr>
                <w:rFonts w:ascii="Times New Roman" w:hAnsi="Times New Roman" w:cs="Times New Roman"/>
                <w:sz w:val="24"/>
              </w:rPr>
              <w:t>que en sí reconoce la diversidad de valores e intereses de los actores que participan en los procesos de planificación y de gestión pública. De esta manera se pretende conocer las formas de participar en los diferentes procesos de planificación y en sus diversas fases.</w:t>
            </w:r>
          </w:p>
          <w:p w:rsidR="002F1AD3" w:rsidRPr="00332504" w:rsidRDefault="002F1AD3" w:rsidP="002F1AD3">
            <w:pPr>
              <w:pStyle w:val="Prrafodelista"/>
              <w:numPr>
                <w:ilvl w:val="0"/>
                <w:numId w:val="6"/>
              </w:numPr>
              <w:spacing w:after="120" w:line="276" w:lineRule="auto"/>
              <w:jc w:val="both"/>
              <w:rPr>
                <w:rFonts w:ascii="Times New Roman" w:hAnsi="Times New Roman" w:cs="Times New Roman"/>
                <w:sz w:val="24"/>
              </w:rPr>
            </w:pPr>
            <w:r w:rsidRPr="00332504">
              <w:rPr>
                <w:rFonts w:ascii="Times New Roman" w:hAnsi="Times New Roman" w:cs="Times New Roman"/>
                <w:i/>
                <w:sz w:val="24"/>
              </w:rPr>
              <w:t>La evaluación y el seguimiento, el aprendizaje y la articulación entre planificación e implementación</w:t>
            </w:r>
            <w:r w:rsidRPr="00332504">
              <w:rPr>
                <w:rFonts w:ascii="Times New Roman" w:hAnsi="Times New Roman" w:cs="Times New Roman"/>
                <w:sz w:val="24"/>
              </w:rPr>
              <w:t>, se busca establecer un mecanismo de diálogo y retroalimentación entre la pla</w:t>
            </w:r>
            <w:bookmarkStart w:id="2" w:name="_GoBack"/>
            <w:bookmarkEnd w:id="2"/>
            <w:r w:rsidRPr="00332504">
              <w:rPr>
                <w:rFonts w:ascii="Times New Roman" w:hAnsi="Times New Roman" w:cs="Times New Roman"/>
                <w:sz w:val="24"/>
              </w:rPr>
              <w:t xml:space="preserve">nificación y la ejecución de las políticas, programas y proyectos; procurando determinar las formas en que se </w:t>
            </w:r>
            <w:r w:rsidRPr="00332504">
              <w:rPr>
                <w:rFonts w:ascii="Times New Roman" w:hAnsi="Times New Roman" w:cs="Times New Roman"/>
                <w:sz w:val="24"/>
              </w:rPr>
              <w:lastRenderedPageBreak/>
              <w:t>conjugan estas dos fases del ciclo de la acción pública, así como el registro de las experiencias y aprendizajes a tener en cuenta en el futuro. (</w:t>
            </w:r>
            <w:proofErr w:type="spellStart"/>
            <w:r w:rsidRPr="00332504">
              <w:rPr>
                <w:rFonts w:ascii="Times New Roman" w:hAnsi="Times New Roman" w:cs="Times New Roman"/>
                <w:sz w:val="24"/>
              </w:rPr>
              <w:t>Mattar</w:t>
            </w:r>
            <w:proofErr w:type="spellEnd"/>
            <w:r w:rsidRPr="00332504">
              <w:rPr>
                <w:rFonts w:ascii="Times New Roman" w:hAnsi="Times New Roman" w:cs="Times New Roman"/>
                <w:sz w:val="24"/>
              </w:rPr>
              <w:t xml:space="preserve"> y Cuervo, 2017).</w:t>
            </w:r>
          </w:p>
          <w:p w:rsidR="002F1AD3" w:rsidRPr="00332504" w:rsidRDefault="002F1AD3" w:rsidP="002F1AD3">
            <w:pPr>
              <w:spacing w:after="120" w:line="276" w:lineRule="auto"/>
              <w:jc w:val="both"/>
              <w:rPr>
                <w:rFonts w:ascii="Times New Roman" w:hAnsi="Times New Roman" w:cs="Times New Roman"/>
                <w:sz w:val="24"/>
              </w:rPr>
            </w:pPr>
            <w:r w:rsidRPr="00332504">
              <w:rPr>
                <w:rFonts w:ascii="Times New Roman" w:hAnsi="Times New Roman" w:cs="Times New Roman"/>
                <w:sz w:val="24"/>
              </w:rPr>
              <w:t xml:space="preserve">Por medio de esta aproximación teórica, se observa que la planificación es el ejercicio de planear unas metas basadas en una idea de bien común y en una visión conjunta de futuro; la cual ser realiza por medio de la organización, coordinación, articulación y alineación integral de recursos financieros y humanos puestos en marcha para la consecución de unas metas definidas por unas condiciones </w:t>
            </w:r>
            <w:proofErr w:type="spellStart"/>
            <w:r w:rsidRPr="00332504">
              <w:rPr>
                <w:rFonts w:ascii="Times New Roman" w:hAnsi="Times New Roman" w:cs="Times New Roman"/>
                <w:sz w:val="24"/>
              </w:rPr>
              <w:t>multiescalares</w:t>
            </w:r>
            <w:proofErr w:type="spellEnd"/>
            <w:r w:rsidRPr="00332504">
              <w:rPr>
                <w:rFonts w:ascii="Times New Roman" w:hAnsi="Times New Roman" w:cs="Times New Roman"/>
                <w:sz w:val="24"/>
              </w:rPr>
              <w:t xml:space="preserve">, </w:t>
            </w:r>
            <w:proofErr w:type="spellStart"/>
            <w:r w:rsidRPr="00332504">
              <w:rPr>
                <w:rFonts w:ascii="Times New Roman" w:hAnsi="Times New Roman" w:cs="Times New Roman"/>
                <w:sz w:val="24"/>
              </w:rPr>
              <w:t>pluritemporales</w:t>
            </w:r>
            <w:proofErr w:type="spellEnd"/>
            <w:r w:rsidRPr="00332504">
              <w:rPr>
                <w:rFonts w:ascii="Times New Roman" w:hAnsi="Times New Roman" w:cs="Times New Roman"/>
                <w:sz w:val="24"/>
              </w:rPr>
              <w:t xml:space="preserve">, intersectoriales y pluriculturales. </w:t>
            </w:r>
          </w:p>
          <w:p w:rsidR="002F1AD3" w:rsidRPr="00332504" w:rsidRDefault="002F1AD3" w:rsidP="002F1AD3">
            <w:pPr>
              <w:spacing w:after="120" w:line="276" w:lineRule="auto"/>
              <w:jc w:val="both"/>
              <w:rPr>
                <w:rFonts w:ascii="Times New Roman" w:hAnsi="Times New Roman" w:cs="Times New Roman"/>
                <w:sz w:val="24"/>
              </w:rPr>
            </w:pPr>
            <w:r w:rsidRPr="00332504">
              <w:rPr>
                <w:rFonts w:ascii="Times New Roman" w:hAnsi="Times New Roman" w:cs="Times New Roman"/>
                <w:sz w:val="24"/>
              </w:rPr>
              <w:t xml:space="preserve">El ordenamiento territorial es un instrumento de la planificación, basado en “procedimientos técnicos de </w:t>
            </w:r>
            <w:proofErr w:type="spellStart"/>
            <w:r w:rsidRPr="00332504">
              <w:rPr>
                <w:rFonts w:ascii="Times New Roman" w:hAnsi="Times New Roman" w:cs="Times New Roman"/>
                <w:sz w:val="24"/>
              </w:rPr>
              <w:t>prediagnóstico</w:t>
            </w:r>
            <w:proofErr w:type="spellEnd"/>
            <w:r w:rsidRPr="00332504">
              <w:rPr>
                <w:rFonts w:ascii="Times New Roman" w:hAnsi="Times New Roman" w:cs="Times New Roman"/>
                <w:sz w:val="24"/>
              </w:rPr>
              <w:t>, diagnóstico territorial, formulación de objetivos y escenarios a alcanzar de tiempo, para elaborar lineamientos estratégicos y determinación de las acciones a realizar” (</w:t>
            </w:r>
            <w:proofErr w:type="spellStart"/>
            <w:r w:rsidRPr="00332504">
              <w:rPr>
                <w:rFonts w:ascii="Times New Roman" w:hAnsi="Times New Roman" w:cs="Times New Roman"/>
                <w:sz w:val="24"/>
              </w:rPr>
              <w:t>Massiris</w:t>
            </w:r>
            <w:proofErr w:type="spellEnd"/>
            <w:r w:rsidRPr="00332504">
              <w:rPr>
                <w:rFonts w:ascii="Times New Roman" w:hAnsi="Times New Roman" w:cs="Times New Roman"/>
                <w:sz w:val="24"/>
              </w:rPr>
              <w:t xml:space="preserve">, 2004, pág. 56). Es necesario tener en cuenta que el concepto de ordenamiento territorial pasó por un amplio ejercicio de definición desde 1983 hasta la actualidad. Sin embargo, </w:t>
            </w:r>
            <w:proofErr w:type="spellStart"/>
            <w:r w:rsidRPr="00332504">
              <w:rPr>
                <w:rFonts w:ascii="Times New Roman" w:hAnsi="Times New Roman" w:cs="Times New Roman"/>
                <w:sz w:val="24"/>
              </w:rPr>
              <w:t>Massiris</w:t>
            </w:r>
            <w:proofErr w:type="spellEnd"/>
            <w:r w:rsidRPr="00332504">
              <w:rPr>
                <w:rFonts w:ascii="Times New Roman" w:hAnsi="Times New Roman" w:cs="Times New Roman"/>
                <w:sz w:val="24"/>
              </w:rPr>
              <w:t xml:space="preserve"> (2004) afirma que aún existen confusiones relativas a su naturaleza, por un lado, de carácter político – administrativas alusivas a los procesos de descentralización y, por otro lado, aquellas concernientes a los instrumentos de planificación espacial, muchas veces asociadas únicamente a las dimensiones y problemáticas urbanas. </w:t>
            </w:r>
          </w:p>
          <w:p w:rsidR="002F1AD3" w:rsidRPr="00332504" w:rsidRDefault="002F1AD3" w:rsidP="002F1AD3">
            <w:pPr>
              <w:spacing w:after="120" w:line="276" w:lineRule="auto"/>
              <w:jc w:val="both"/>
              <w:rPr>
                <w:rFonts w:ascii="Times New Roman" w:hAnsi="Times New Roman" w:cs="Times New Roman"/>
                <w:sz w:val="24"/>
              </w:rPr>
            </w:pPr>
            <w:r w:rsidRPr="00332504">
              <w:rPr>
                <w:rFonts w:ascii="Times New Roman" w:hAnsi="Times New Roman" w:cs="Times New Roman"/>
                <w:sz w:val="24"/>
              </w:rPr>
              <w:t>Franco y Mayorga (2019) también identifican un conflicto en el ejercicio de la planificación estratégica cuándo se estipula una mayor importancia al carácter normativo, puesto que puede presentarse una disyuntiva casi inevitable entre el cumplimiento de las metas planeadas en el plan estratégico como ejercicio de planificación; y por otra parte, el logro del propósito de fondo por el cual surge la necesidad de formular ese plan de acción, ya que muchas veces la administración pública llega hasta el mero cumplimiento de las metas, más no a brindar solución a la problemática de fondo planteada con anterioridad. A partir de lo anterior, la armonización de los instrumentos dispuestos en la planificación y su efectividad para gestión pública territorial juegan un papel fundamental en la capacidad para articular las metas con uno y/o varios objetivos comunes a cumplir en los períodos establecidos por la administración pública. (</w:t>
            </w:r>
            <w:proofErr w:type="spellStart"/>
            <w:r w:rsidRPr="00332504">
              <w:rPr>
                <w:rFonts w:ascii="Times New Roman" w:hAnsi="Times New Roman" w:cs="Times New Roman"/>
                <w:sz w:val="24"/>
              </w:rPr>
              <w:t>Sili</w:t>
            </w:r>
            <w:proofErr w:type="spellEnd"/>
            <w:r w:rsidRPr="00332504">
              <w:rPr>
                <w:rFonts w:ascii="Times New Roman" w:hAnsi="Times New Roman" w:cs="Times New Roman"/>
                <w:sz w:val="24"/>
              </w:rPr>
              <w:t>, 2019).</w:t>
            </w:r>
          </w:p>
          <w:p w:rsidR="002F1AD3" w:rsidRPr="00332504" w:rsidRDefault="002F1AD3" w:rsidP="002F1AD3">
            <w:pPr>
              <w:spacing w:line="276" w:lineRule="auto"/>
              <w:jc w:val="both"/>
              <w:rPr>
                <w:rFonts w:ascii="Times New Roman" w:hAnsi="Times New Roman" w:cs="Times New Roman"/>
                <w:sz w:val="24"/>
              </w:rPr>
            </w:pPr>
            <w:r w:rsidRPr="00332504">
              <w:rPr>
                <w:rFonts w:ascii="Times New Roman" w:hAnsi="Times New Roman" w:cs="Times New Roman"/>
                <w:sz w:val="24"/>
              </w:rPr>
              <w:t xml:space="preserve">De acuerdo con </w:t>
            </w:r>
            <w:bookmarkStart w:id="3" w:name="_Hlk497911805"/>
            <w:proofErr w:type="spellStart"/>
            <w:r w:rsidRPr="00332504">
              <w:rPr>
                <w:rFonts w:ascii="Times New Roman" w:hAnsi="Times New Roman" w:cs="Times New Roman"/>
                <w:sz w:val="24"/>
              </w:rPr>
              <w:t>Rhodes</w:t>
            </w:r>
            <w:proofErr w:type="spellEnd"/>
            <w:r w:rsidRPr="00332504">
              <w:rPr>
                <w:rFonts w:ascii="Times New Roman" w:hAnsi="Times New Roman" w:cs="Times New Roman"/>
                <w:sz w:val="24"/>
              </w:rPr>
              <w:t xml:space="preserve"> (1996), </w:t>
            </w:r>
            <w:bookmarkEnd w:id="3"/>
            <w:r w:rsidRPr="00332504">
              <w:rPr>
                <w:rFonts w:ascii="Times New Roman" w:hAnsi="Times New Roman" w:cs="Times New Roman"/>
                <w:b/>
                <w:bCs/>
                <w:sz w:val="24"/>
              </w:rPr>
              <w:t>la gobernanza</w:t>
            </w:r>
            <w:r w:rsidRPr="00332504">
              <w:rPr>
                <w:rFonts w:ascii="Times New Roman" w:hAnsi="Times New Roman" w:cs="Times New Roman"/>
                <w:sz w:val="24"/>
              </w:rPr>
              <w:t xml:space="preserve"> se refiere a toda forma de gestión pública en dónde Organizaciones No Gubernamentales -ONG-, entidades del sector privado y otros actores externos al Estado participan en las decisiones públicas, la elaboración de políticas y la planeación pública. Sandoval </w:t>
            </w:r>
            <w:r w:rsidRPr="00332504">
              <w:rPr>
                <w:rFonts w:ascii="Times New Roman" w:hAnsi="Times New Roman" w:cs="Times New Roman"/>
                <w:i/>
                <w:sz w:val="24"/>
              </w:rPr>
              <w:t>et al</w:t>
            </w:r>
            <w:r w:rsidRPr="00332504">
              <w:rPr>
                <w:rFonts w:ascii="Times New Roman" w:hAnsi="Times New Roman" w:cs="Times New Roman"/>
                <w:sz w:val="24"/>
              </w:rPr>
              <w:t xml:space="preserve"> (2015) encuentra que la gobernanza se convierte en un elemento central de la </w:t>
            </w:r>
            <w:r w:rsidRPr="00332504">
              <w:rPr>
                <w:rFonts w:ascii="Times New Roman" w:hAnsi="Times New Roman" w:cs="Times New Roman"/>
                <w:b/>
                <w:bCs/>
                <w:sz w:val="24"/>
              </w:rPr>
              <w:t>planificación multiescalar</w:t>
            </w:r>
            <w:r w:rsidRPr="00332504">
              <w:rPr>
                <w:rFonts w:ascii="Times New Roman" w:hAnsi="Times New Roman" w:cs="Times New Roman"/>
                <w:sz w:val="24"/>
              </w:rPr>
              <w:t>, ya que propicia el diálogo, y con él, la articulación y acuerdos entre diversos tipos de agentes, que generan prácticas democráticas y posibilitan la armonización de múltiples visiones en relación a un modelo de sociedad que se quiere consolidar.</w:t>
            </w:r>
          </w:p>
          <w:p w:rsidR="002F1AD3" w:rsidRPr="00332504" w:rsidRDefault="002F1AD3" w:rsidP="002F1AD3">
            <w:pPr>
              <w:spacing w:line="276" w:lineRule="auto"/>
              <w:jc w:val="both"/>
              <w:rPr>
                <w:rFonts w:ascii="Times New Roman" w:hAnsi="Times New Roman" w:cs="Times New Roman"/>
                <w:sz w:val="24"/>
              </w:rPr>
            </w:pPr>
            <w:r w:rsidRPr="00332504">
              <w:rPr>
                <w:rFonts w:ascii="Times New Roman" w:hAnsi="Times New Roman" w:cs="Times New Roman"/>
                <w:sz w:val="24"/>
              </w:rPr>
              <w:t xml:space="preserve">Según el Centro de Investigación Económica y Social (2019), como estrategia del ordenamiento territorial, la </w:t>
            </w:r>
            <w:r w:rsidRPr="00332504">
              <w:rPr>
                <w:rFonts w:ascii="Times New Roman" w:hAnsi="Times New Roman" w:cs="Times New Roman"/>
                <w:b/>
                <w:bCs/>
                <w:sz w:val="24"/>
              </w:rPr>
              <w:t>gobernanza multinivel</w:t>
            </w:r>
            <w:r w:rsidRPr="00332504">
              <w:rPr>
                <w:rFonts w:ascii="Times New Roman" w:hAnsi="Times New Roman" w:cs="Times New Roman"/>
                <w:sz w:val="24"/>
              </w:rPr>
              <w:t xml:space="preserve"> hace parte de la coordinación de la planeación del ordenamiento territorial. Dentro del ejercicio de coordinación, se debe definir las prioridades del desarrollo a nivel nacional y de los programas de la acción gubernamental, de forma tal que el plan de gobierno haga las veces de hilo conductor y de guía para la formulación de las políticas públicas. Por medio de estas definiciones, se observa que la diferencia entre la gobernanza multiescalar y la gobernanza multinivel se centra en dos lógicas distintas. Mientras la G. Multiescalar se centra en integrar a toda la diversidad sectorial y cultural, en términos de actores y la gestión y toma de decisiones públicas; la G. Multinivel se concentra en estructurar y coordinar las funciones, tareas y responsabilidades dentro de los niveles de gobierno.</w:t>
            </w:r>
          </w:p>
          <w:p w:rsidR="00E6008D" w:rsidRPr="00332504" w:rsidRDefault="002F1AD3" w:rsidP="002F1AD3">
            <w:pPr>
              <w:spacing w:line="276" w:lineRule="auto"/>
              <w:jc w:val="both"/>
              <w:rPr>
                <w:rFonts w:ascii="Times New Roman" w:eastAsia="Times New Roman" w:hAnsi="Times New Roman" w:cs="Times New Roman"/>
                <w:color w:val="222222"/>
                <w:sz w:val="24"/>
                <w:szCs w:val="24"/>
                <w:lang w:eastAsia="es-CO"/>
              </w:rPr>
            </w:pPr>
            <w:r w:rsidRPr="00332504">
              <w:rPr>
                <w:rFonts w:ascii="Times New Roman" w:hAnsi="Times New Roman" w:cs="Times New Roman"/>
                <w:b/>
                <w:bCs/>
                <w:sz w:val="24"/>
              </w:rPr>
              <w:t>La planeación participativa</w:t>
            </w:r>
            <w:r w:rsidRPr="00332504">
              <w:rPr>
                <w:rFonts w:ascii="Times New Roman" w:hAnsi="Times New Roman" w:cs="Times New Roman"/>
                <w:sz w:val="24"/>
              </w:rPr>
              <w:t xml:space="preserve"> pretende dar respuesta no sólo a las necesidades básicas, o la inmersión de actores económicos al mercado global, sino que, además, apunta al fortalecimiento de los procesos locales que permitan escalar las expresiones de voluntad de los ciudadanos en las etapas de diagnóstico, formulación, diseño, planificación, ejecución y evaluación de los programas, las políticas públicas y de la acción pública en general. Según Gómez et al. </w:t>
            </w:r>
            <w:r w:rsidRPr="00332504">
              <w:rPr>
                <w:rFonts w:ascii="Times New Roman" w:hAnsi="Times New Roman" w:cs="Times New Roman"/>
                <w:sz w:val="24"/>
                <w:szCs w:val="24"/>
              </w:rPr>
              <w:t xml:space="preserve">(2012), </w:t>
            </w:r>
            <w:r w:rsidRPr="00332504">
              <w:rPr>
                <w:rFonts w:ascii="Times New Roman" w:hAnsi="Times New Roman" w:cs="Times New Roman"/>
                <w:sz w:val="24"/>
              </w:rPr>
              <w:t>el Plan – Libro, surge como iniciativa de expertos de la CEPAL para consolidar un enfoque para la planificación de largo plazo,</w:t>
            </w:r>
            <w:r w:rsidRPr="00332504">
              <w:t xml:space="preserve"> </w:t>
            </w:r>
            <w:r w:rsidRPr="00332504">
              <w:rPr>
                <w:rFonts w:ascii="Times New Roman" w:hAnsi="Times New Roman" w:cs="Times New Roman"/>
                <w:sz w:val="24"/>
              </w:rPr>
              <w:t xml:space="preserve">de tipo normativo o tradicional, enfatizando «en las normas requeridas para lograr sus objetivos, y que se basa en la noción de racionalidad técnica (…) como el elemento más importante en el éxito del plan» (Gómez et al. 2012, pág. 17), en vez de concebir dicho ejercicio desde las relaciones de poder en la interacción política. En contraste, Gómez sugiere que deben generarse </w:t>
            </w:r>
            <w:r w:rsidRPr="00332504">
              <w:rPr>
                <w:rFonts w:ascii="Times New Roman" w:hAnsi="Times New Roman" w:cs="Times New Roman"/>
                <w:sz w:val="24"/>
                <w:szCs w:val="24"/>
              </w:rPr>
              <w:t xml:space="preserve">instrumentos que comprenden la planeación como un proceso que integra las voluntades de la ciudadanía, los acuerdos sociales del Estado y los conocimientos técnicos y científicos en el desarrollo económico, social y ambiental del territorio. (Gómez 2012). </w:t>
            </w:r>
          </w:p>
        </w:tc>
      </w:tr>
    </w:tbl>
    <w:p w:rsidR="002A18AF" w:rsidRPr="00332504" w:rsidRDefault="002A18AF" w:rsidP="005D15C7">
      <w:pPr>
        <w:spacing w:after="0" w:line="276" w:lineRule="auto"/>
        <w:rPr>
          <w:rFonts w:ascii="Times New Roman" w:eastAsia="Times New Roman" w:hAnsi="Times New Roman" w:cs="Times New Roman"/>
          <w:sz w:val="24"/>
          <w:szCs w:val="24"/>
          <w:lang w:eastAsia="es-CO"/>
        </w:rPr>
      </w:pPr>
    </w:p>
    <w:tbl>
      <w:tblPr>
        <w:tblW w:w="14734" w:type="dxa"/>
        <w:shd w:val="clear" w:color="auto" w:fill="FFFFFF"/>
        <w:tblLook w:val="04A0" w:firstRow="1" w:lastRow="0" w:firstColumn="1" w:lastColumn="0" w:noHBand="0" w:noVBand="1"/>
      </w:tblPr>
      <w:tblGrid>
        <w:gridCol w:w="14734"/>
      </w:tblGrid>
      <w:tr w:rsidR="002A18AF"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332504" w:rsidRDefault="002A18AF" w:rsidP="005D15C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t>Metodología</w:t>
            </w:r>
          </w:p>
        </w:tc>
      </w:tr>
      <w:tr w:rsidR="002A18AF"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C64DE8" w:rsidRPr="00332504" w:rsidRDefault="00C64DE8" w:rsidP="00C64DE8">
            <w:pPr>
              <w:spacing w:line="276" w:lineRule="auto"/>
              <w:jc w:val="both"/>
              <w:rPr>
                <w:rFonts w:ascii="Times New Roman" w:hAnsi="Times New Roman" w:cs="Times New Roman"/>
                <w:sz w:val="24"/>
                <w:szCs w:val="24"/>
              </w:rPr>
            </w:pPr>
            <w:r w:rsidRPr="00332504">
              <w:rPr>
                <w:rFonts w:ascii="Times New Roman" w:hAnsi="Times New Roman" w:cs="Times New Roman"/>
                <w:sz w:val="24"/>
                <w:szCs w:val="24"/>
              </w:rPr>
              <w:t>Para la construcción de rutas de intervención institucional enmarcadas en las tres dimensiones normativas previamente enunciadas (es decir, la participación ciudadana, el desarrollo sostenible y la paz territorial), es preciso aplicar ciertos parámetros de investigación que permita</w:t>
            </w:r>
            <w:r w:rsidR="007E21C1" w:rsidRPr="00332504">
              <w:rPr>
                <w:rFonts w:ascii="Times New Roman" w:hAnsi="Times New Roman" w:cs="Times New Roman"/>
                <w:sz w:val="24"/>
                <w:szCs w:val="24"/>
              </w:rPr>
              <w:t>n</w:t>
            </w:r>
            <w:r w:rsidRPr="00332504">
              <w:rPr>
                <w:rFonts w:ascii="Times New Roman" w:hAnsi="Times New Roman" w:cs="Times New Roman"/>
                <w:sz w:val="24"/>
                <w:szCs w:val="24"/>
              </w:rPr>
              <w:t xml:space="preserve"> entrever dos instancias que sustentan, y en parte, reflejan la formación histórica del territorio. En esta investigación, dichas instancias se refieren a:  1) los procesos sociales aparentemente ocultos tras el ejercicio de formulación y ejecución de los instrumentos de planeación y ordenamiento territorial en los municipios que conforman el objeto de estudio; y 2) parafraseando a Robert Boyer (1992), a las trayectorias de las formas institucionales sujetas a ser investigadas, es decir, aquellas codificaciones de una o varias relaciones sociales fundamentales a través del tiempo (Boyer, 1992, pp.54). En palabras de Orén Pérez </w:t>
            </w:r>
            <w:r w:rsidRPr="00332504">
              <w:rPr>
                <w:rFonts w:ascii="Times New Roman" w:hAnsi="Times New Roman" w:cs="Times New Roman"/>
                <w:sz w:val="24"/>
                <w:szCs w:val="24"/>
              </w:rPr>
              <w:lastRenderedPageBreak/>
              <w:t xml:space="preserve">(2006), los acuerdos de ley no disponen de un meta-principio que pueda ser invocado para resolver cualquier posible dilema social que apunte a satisfacer las exigencias de coherencia jurídica y sensibilidad pluralista al mismo tiempo, lo que explica </w:t>
            </w:r>
            <w:r w:rsidRPr="00332504">
              <w:rPr>
                <w:rFonts w:ascii="Times New Roman" w:hAnsi="Times New Roman" w:cs="Times New Roman"/>
                <w:sz w:val="24"/>
                <w:szCs w:val="24"/>
              </w:rPr>
              <w:t>por qué</w:t>
            </w:r>
            <w:r w:rsidRPr="00332504">
              <w:rPr>
                <w:rFonts w:ascii="Times New Roman" w:hAnsi="Times New Roman" w:cs="Times New Roman"/>
                <w:sz w:val="24"/>
                <w:szCs w:val="24"/>
              </w:rPr>
              <w:t xml:space="preserve"> es necesario ejercer controles de evaluación de la ley más allá de la ley misma, en nuestro caso, más allá de los instrumentos de planeación y ordenamiento territorial relevantes en esta investigación. (Pérez, 2006, pp.121). </w:t>
            </w:r>
          </w:p>
          <w:p w:rsidR="00C64DE8" w:rsidRPr="00332504" w:rsidRDefault="00C64DE8" w:rsidP="00C64DE8">
            <w:pPr>
              <w:spacing w:line="276" w:lineRule="auto"/>
              <w:jc w:val="both"/>
              <w:rPr>
                <w:rFonts w:ascii="Times New Roman" w:hAnsi="Times New Roman" w:cs="Times New Roman"/>
                <w:sz w:val="24"/>
                <w:szCs w:val="24"/>
              </w:rPr>
            </w:pPr>
            <w:r w:rsidRPr="00332504">
              <w:rPr>
                <w:rFonts w:ascii="Times New Roman" w:hAnsi="Times New Roman" w:cs="Times New Roman"/>
                <w:sz w:val="24"/>
                <w:szCs w:val="24"/>
              </w:rPr>
              <w:t xml:space="preserve">¿Cómo se podría avanzar en el aterrizaje de aquellas instancias metodológicas previamente mencionadas? Abordando directamente la historicidad de los instrumentos de planeación, sus momentos de ejecución y las relaciones sociales que reevalúan, intervienen y modifican sus capacidades para cristalizar pactos de interés y ordenar el territorio.  Según Jan Bazant (2014), los instrumentos de planeación reflejan las negociaciones entre el Gobierno y los gobernados sobre los espacios a los que concurren sus habitantes, por tanto, resulta indispensable develar, tal y como sugiere Neil Brenner (2009) el carácter político de los espacios y lugares, abiertos a la disputa social en el presente y a la </w:t>
            </w:r>
            <w:r w:rsidRPr="00332504">
              <w:rPr>
                <w:rFonts w:ascii="Times New Roman" w:hAnsi="Times New Roman" w:cs="Times New Roman"/>
                <w:sz w:val="24"/>
                <w:szCs w:val="24"/>
              </w:rPr>
              <w:t>consolidación</w:t>
            </w:r>
            <w:r w:rsidRPr="00332504">
              <w:rPr>
                <w:rFonts w:ascii="Times New Roman" w:hAnsi="Times New Roman" w:cs="Times New Roman"/>
                <w:sz w:val="24"/>
                <w:szCs w:val="24"/>
              </w:rPr>
              <w:t xml:space="preserve"> de relaciones sociales de poder históricamente específicas (Brenner, 2009, pp. 10, Bazant, 2014, pp. 18). Finalmente, para el geógrafo inglés Tim Hall (2006), si los sistemas de planeación se conciben como marcos regulatorios e instrumentos que guían el desarrollo del lugar o de lugares específicos, cualquier evaluación crítica de dichos arreglos espacio-temporales debe identificar a) qué tipo de problemas merecen ser resueltos en sus disposiciones normativas; b) cuáles son sus causas según la posición de las entidades competentes; c) cuál es el origen institucional de dichos arreglos; d) cuál es el conducto regular de intervención explicitado por estos arreglos; y e) cuáles son los resultados esperados de éstos arreglos, entre otras preguntas (Hall, 2006, pp. 57 – 59). </w:t>
            </w:r>
          </w:p>
          <w:p w:rsidR="00F87552" w:rsidRPr="00332504" w:rsidRDefault="00F87552" w:rsidP="00C64DE8">
            <w:pPr>
              <w:spacing w:line="276" w:lineRule="auto"/>
              <w:jc w:val="both"/>
              <w:rPr>
                <w:rFonts w:ascii="Times New Roman" w:hAnsi="Times New Roman" w:cs="Times New Roman"/>
                <w:sz w:val="24"/>
                <w:szCs w:val="24"/>
              </w:rPr>
            </w:pPr>
            <w:r w:rsidRPr="00332504">
              <w:rPr>
                <w:rFonts w:ascii="Times New Roman" w:hAnsi="Times New Roman" w:cs="Times New Roman"/>
                <w:sz w:val="24"/>
                <w:szCs w:val="24"/>
              </w:rPr>
              <w:t>Con base en el enfoque descrito</w:t>
            </w:r>
            <w:r w:rsidR="00C64DE8" w:rsidRPr="00332504">
              <w:rPr>
                <w:rFonts w:ascii="Times New Roman" w:hAnsi="Times New Roman" w:cs="Times New Roman"/>
                <w:sz w:val="24"/>
                <w:szCs w:val="24"/>
              </w:rPr>
              <w:t xml:space="preserve">, para evaluar los alcances y límites de los instrumentos de planeación y ordenamiento territorial en los municipios previamente identificados, y al mismo tiempo, para desenredar las trayectorias políticas que intervienen en su posterior ejecución, </w:t>
            </w:r>
            <w:r w:rsidRPr="00332504">
              <w:rPr>
                <w:rFonts w:ascii="Times New Roman" w:hAnsi="Times New Roman" w:cs="Times New Roman"/>
                <w:sz w:val="24"/>
                <w:szCs w:val="24"/>
              </w:rPr>
              <w:t xml:space="preserve">la investigación contempla un diseño metodológico de carácter cualitativo, de alcance analítico prospectivo. Cada uno de los objetivos define una fase de investigación en las que serán utilizadas las siguientes estrategias y técnicas: </w:t>
            </w:r>
          </w:p>
          <w:tbl>
            <w:tblPr>
              <w:tblStyle w:val="Tablaconcuadrcula"/>
              <w:tblW w:w="0" w:type="auto"/>
              <w:tblLook w:val="04A0" w:firstRow="1" w:lastRow="0" w:firstColumn="1" w:lastColumn="0" w:noHBand="0" w:noVBand="1"/>
            </w:tblPr>
            <w:tblGrid>
              <w:gridCol w:w="1522"/>
              <w:gridCol w:w="1704"/>
              <w:gridCol w:w="11468"/>
            </w:tblGrid>
            <w:tr w:rsidR="007E21C1" w:rsidRPr="00332504" w:rsidTr="00194459">
              <w:tc>
                <w:tcPr>
                  <w:tcW w:w="1522" w:type="dxa"/>
                </w:tcPr>
                <w:p w:rsidR="007E21C1" w:rsidRPr="00332504" w:rsidRDefault="0033777C" w:rsidP="0033777C">
                  <w:pPr>
                    <w:spacing w:line="276" w:lineRule="auto"/>
                    <w:rPr>
                      <w:rFonts w:ascii="Times New Roman" w:hAnsi="Times New Roman" w:cs="Times New Roman"/>
                      <w:b/>
                      <w:sz w:val="20"/>
                      <w:szCs w:val="24"/>
                    </w:rPr>
                  </w:pPr>
                  <w:r w:rsidRPr="00332504">
                    <w:rPr>
                      <w:rFonts w:ascii="Times New Roman" w:hAnsi="Times New Roman" w:cs="Times New Roman"/>
                      <w:b/>
                      <w:sz w:val="20"/>
                      <w:szCs w:val="24"/>
                    </w:rPr>
                    <w:t>Fases (Objetivos)</w:t>
                  </w:r>
                </w:p>
              </w:tc>
              <w:tc>
                <w:tcPr>
                  <w:tcW w:w="1704" w:type="dxa"/>
                  <w:vAlign w:val="center"/>
                </w:tcPr>
                <w:p w:rsidR="007E21C1" w:rsidRPr="00332504" w:rsidRDefault="00EA54E1" w:rsidP="00EA54E1">
                  <w:pPr>
                    <w:spacing w:line="276" w:lineRule="auto"/>
                    <w:jc w:val="center"/>
                    <w:rPr>
                      <w:rFonts w:ascii="Times New Roman" w:hAnsi="Times New Roman" w:cs="Times New Roman"/>
                      <w:b/>
                      <w:sz w:val="20"/>
                      <w:szCs w:val="24"/>
                    </w:rPr>
                  </w:pPr>
                  <w:r w:rsidRPr="00332504">
                    <w:rPr>
                      <w:rFonts w:ascii="Times New Roman" w:hAnsi="Times New Roman" w:cs="Times New Roman"/>
                      <w:b/>
                      <w:sz w:val="20"/>
                      <w:szCs w:val="24"/>
                    </w:rPr>
                    <w:t>Técnicas</w:t>
                  </w:r>
                </w:p>
              </w:tc>
              <w:tc>
                <w:tcPr>
                  <w:tcW w:w="11468" w:type="dxa"/>
                  <w:vAlign w:val="center"/>
                </w:tcPr>
                <w:p w:rsidR="007E21C1" w:rsidRPr="00332504" w:rsidRDefault="00EA54E1" w:rsidP="00EA54E1">
                  <w:pPr>
                    <w:spacing w:line="276" w:lineRule="auto"/>
                    <w:rPr>
                      <w:rFonts w:ascii="Times New Roman" w:hAnsi="Times New Roman" w:cs="Times New Roman"/>
                      <w:b/>
                      <w:sz w:val="20"/>
                      <w:szCs w:val="24"/>
                    </w:rPr>
                  </w:pPr>
                  <w:r w:rsidRPr="00332504">
                    <w:rPr>
                      <w:rFonts w:ascii="Times New Roman" w:hAnsi="Times New Roman" w:cs="Times New Roman"/>
                      <w:b/>
                      <w:sz w:val="20"/>
                      <w:szCs w:val="24"/>
                    </w:rPr>
                    <w:t>Técnicas auxiliares/actividades</w:t>
                  </w:r>
                </w:p>
              </w:tc>
            </w:tr>
            <w:tr w:rsidR="0033777C" w:rsidRPr="00332504" w:rsidTr="00194459">
              <w:tc>
                <w:tcPr>
                  <w:tcW w:w="1522" w:type="dxa"/>
                  <w:vMerge w:val="restart"/>
                  <w:vAlign w:val="center"/>
                </w:tcPr>
                <w:p w:rsidR="0033777C" w:rsidRPr="00332504" w:rsidRDefault="0033777C" w:rsidP="00EA54E1">
                  <w:pPr>
                    <w:spacing w:line="276" w:lineRule="auto"/>
                    <w:jc w:val="center"/>
                    <w:rPr>
                      <w:rFonts w:ascii="Times New Roman" w:hAnsi="Times New Roman" w:cs="Times New Roman"/>
                      <w:sz w:val="20"/>
                      <w:szCs w:val="24"/>
                    </w:rPr>
                  </w:pPr>
                  <w:r w:rsidRPr="00332504">
                    <w:rPr>
                      <w:rFonts w:ascii="Times New Roman" w:hAnsi="Times New Roman" w:cs="Times New Roman"/>
                      <w:sz w:val="20"/>
                      <w:szCs w:val="24"/>
                    </w:rPr>
                    <w:t>1 y 2</w:t>
                  </w:r>
                </w:p>
              </w:tc>
              <w:tc>
                <w:tcPr>
                  <w:tcW w:w="1704" w:type="dxa"/>
                  <w:vMerge w:val="restart"/>
                  <w:vAlign w:val="center"/>
                </w:tcPr>
                <w:p w:rsidR="0033777C" w:rsidRPr="00332504" w:rsidRDefault="0033777C" w:rsidP="0033777C">
                  <w:pPr>
                    <w:spacing w:line="276" w:lineRule="auto"/>
                    <w:rPr>
                      <w:rFonts w:ascii="Times New Roman" w:hAnsi="Times New Roman" w:cs="Times New Roman"/>
                      <w:sz w:val="20"/>
                      <w:szCs w:val="24"/>
                    </w:rPr>
                  </w:pPr>
                  <w:r w:rsidRPr="00332504">
                    <w:rPr>
                      <w:rFonts w:ascii="Times New Roman" w:hAnsi="Times New Roman" w:cs="Times New Roman"/>
                      <w:sz w:val="20"/>
                      <w:szCs w:val="24"/>
                    </w:rPr>
                    <w:t>Análisis documental</w:t>
                  </w:r>
                </w:p>
              </w:tc>
              <w:tc>
                <w:tcPr>
                  <w:tcW w:w="11468" w:type="dxa"/>
                </w:tcPr>
                <w:p w:rsidR="0033777C" w:rsidRPr="00332504" w:rsidRDefault="0033777C" w:rsidP="0033777C">
                  <w:pPr>
                    <w:spacing w:line="276" w:lineRule="auto"/>
                    <w:rPr>
                      <w:rFonts w:ascii="Times New Roman" w:hAnsi="Times New Roman" w:cs="Times New Roman"/>
                      <w:sz w:val="20"/>
                      <w:szCs w:val="24"/>
                    </w:rPr>
                  </w:pPr>
                  <w:r w:rsidRPr="00332504">
                    <w:rPr>
                      <w:rFonts w:ascii="Times New Roman" w:hAnsi="Times New Roman" w:cs="Times New Roman"/>
                      <w:sz w:val="20"/>
                      <w:szCs w:val="24"/>
                    </w:rPr>
                    <w:t>R</w:t>
                  </w:r>
                  <w:r w:rsidRPr="00332504">
                    <w:rPr>
                      <w:rFonts w:ascii="Times New Roman" w:hAnsi="Times New Roman" w:cs="Times New Roman"/>
                      <w:sz w:val="20"/>
                      <w:szCs w:val="24"/>
                    </w:rPr>
                    <w:t>evisión de la normativa emergente que tenga algún grado de relación con las pautas de gestión territorial (vigencia y revisión del POT municipal, documentos de soporte y resumen del POT, Acuerdos de adopción del Plan y, por último, componentes generales, rurales y urbanos del POT), entre otros</w:t>
                  </w:r>
                  <w:r w:rsidRPr="00332504">
                    <w:rPr>
                      <w:rFonts w:ascii="Times New Roman" w:hAnsi="Times New Roman" w:cs="Times New Roman"/>
                      <w:sz w:val="20"/>
                      <w:szCs w:val="24"/>
                    </w:rPr>
                    <w:t>.</w:t>
                  </w:r>
                </w:p>
              </w:tc>
            </w:tr>
            <w:tr w:rsidR="0033777C" w:rsidRPr="00332504" w:rsidTr="00194459">
              <w:tc>
                <w:tcPr>
                  <w:tcW w:w="1522" w:type="dxa"/>
                  <w:vMerge/>
                  <w:vAlign w:val="center"/>
                </w:tcPr>
                <w:p w:rsidR="0033777C" w:rsidRPr="00332504" w:rsidRDefault="0033777C" w:rsidP="00EA54E1">
                  <w:pPr>
                    <w:spacing w:line="276" w:lineRule="auto"/>
                    <w:jc w:val="center"/>
                    <w:rPr>
                      <w:rFonts w:ascii="Times New Roman" w:hAnsi="Times New Roman" w:cs="Times New Roman"/>
                      <w:sz w:val="20"/>
                      <w:szCs w:val="24"/>
                    </w:rPr>
                  </w:pPr>
                </w:p>
              </w:tc>
              <w:tc>
                <w:tcPr>
                  <w:tcW w:w="1704" w:type="dxa"/>
                  <w:vMerge/>
                  <w:vAlign w:val="center"/>
                </w:tcPr>
                <w:p w:rsidR="0033777C" w:rsidRPr="00332504" w:rsidRDefault="0033777C" w:rsidP="0033777C">
                  <w:pPr>
                    <w:spacing w:line="276" w:lineRule="auto"/>
                    <w:rPr>
                      <w:rFonts w:ascii="Times New Roman" w:hAnsi="Times New Roman" w:cs="Times New Roman"/>
                      <w:sz w:val="20"/>
                      <w:szCs w:val="24"/>
                    </w:rPr>
                  </w:pPr>
                </w:p>
              </w:tc>
              <w:tc>
                <w:tcPr>
                  <w:tcW w:w="11468" w:type="dxa"/>
                </w:tcPr>
                <w:p w:rsidR="0033777C" w:rsidRPr="00332504" w:rsidRDefault="0033777C" w:rsidP="0033777C">
                  <w:pPr>
                    <w:spacing w:line="276" w:lineRule="auto"/>
                    <w:rPr>
                      <w:rFonts w:ascii="Times New Roman" w:hAnsi="Times New Roman" w:cs="Times New Roman"/>
                      <w:sz w:val="20"/>
                      <w:szCs w:val="24"/>
                    </w:rPr>
                  </w:pPr>
                  <w:r w:rsidRPr="00332504">
                    <w:rPr>
                      <w:rFonts w:ascii="Times New Roman" w:hAnsi="Times New Roman" w:cs="Times New Roman"/>
                      <w:sz w:val="20"/>
                      <w:szCs w:val="24"/>
                    </w:rPr>
                    <w:t>A</w:t>
                  </w:r>
                  <w:r w:rsidRPr="00332504">
                    <w:rPr>
                      <w:rFonts w:ascii="Times New Roman" w:hAnsi="Times New Roman" w:cs="Times New Roman"/>
                      <w:sz w:val="20"/>
                      <w:szCs w:val="24"/>
                    </w:rPr>
                    <w:t>bordar un análisis de perspectiva comparada que contraste las disposiciones normativas de los Planes de Desarrollo de los municipios en cuestión expedidos en 2020 con la revisión pormenorizada de los instrumentos de planeación y ordenamiento previamente identificada</w:t>
                  </w:r>
                </w:p>
              </w:tc>
            </w:tr>
            <w:tr w:rsidR="0033777C" w:rsidRPr="00332504" w:rsidTr="00194459">
              <w:tc>
                <w:tcPr>
                  <w:tcW w:w="1522" w:type="dxa"/>
                  <w:vMerge/>
                  <w:vAlign w:val="center"/>
                </w:tcPr>
                <w:p w:rsidR="0033777C" w:rsidRPr="00332504" w:rsidRDefault="0033777C" w:rsidP="00EA54E1">
                  <w:pPr>
                    <w:spacing w:line="276" w:lineRule="auto"/>
                    <w:jc w:val="center"/>
                    <w:rPr>
                      <w:rFonts w:ascii="Times New Roman" w:hAnsi="Times New Roman" w:cs="Times New Roman"/>
                      <w:sz w:val="20"/>
                      <w:szCs w:val="24"/>
                    </w:rPr>
                  </w:pPr>
                </w:p>
              </w:tc>
              <w:tc>
                <w:tcPr>
                  <w:tcW w:w="1704" w:type="dxa"/>
                  <w:vMerge/>
                  <w:vAlign w:val="center"/>
                </w:tcPr>
                <w:p w:rsidR="0033777C" w:rsidRPr="00332504" w:rsidRDefault="0033777C" w:rsidP="0033777C">
                  <w:pPr>
                    <w:spacing w:line="276" w:lineRule="auto"/>
                    <w:rPr>
                      <w:rFonts w:ascii="Times New Roman" w:hAnsi="Times New Roman" w:cs="Times New Roman"/>
                      <w:sz w:val="20"/>
                      <w:szCs w:val="24"/>
                    </w:rPr>
                  </w:pPr>
                </w:p>
              </w:tc>
              <w:tc>
                <w:tcPr>
                  <w:tcW w:w="11468" w:type="dxa"/>
                </w:tcPr>
                <w:p w:rsidR="0033777C" w:rsidRPr="00332504" w:rsidRDefault="0033777C" w:rsidP="0033777C">
                  <w:pPr>
                    <w:spacing w:line="276" w:lineRule="auto"/>
                    <w:rPr>
                      <w:rFonts w:ascii="Times New Roman" w:hAnsi="Times New Roman" w:cs="Times New Roman"/>
                      <w:sz w:val="20"/>
                      <w:szCs w:val="24"/>
                    </w:rPr>
                  </w:pPr>
                  <w:r w:rsidRPr="00332504">
                    <w:rPr>
                      <w:rFonts w:ascii="Times New Roman" w:hAnsi="Times New Roman" w:cs="Times New Roman"/>
                      <w:sz w:val="20"/>
                      <w:szCs w:val="24"/>
                    </w:rPr>
                    <w:t>A</w:t>
                  </w:r>
                  <w:r w:rsidRPr="00332504">
                    <w:rPr>
                      <w:rFonts w:ascii="Times New Roman" w:hAnsi="Times New Roman" w:cs="Times New Roman"/>
                      <w:sz w:val="20"/>
                      <w:szCs w:val="24"/>
                    </w:rPr>
                    <w:t>cordar entrevistas semiestructuradas con funcionarios clave en las Alcaldías Locales, las Juntas Administradoras Locales y las entidades departamentales competentes</w:t>
                  </w:r>
                </w:p>
              </w:tc>
            </w:tr>
            <w:tr w:rsidR="00EA54E1" w:rsidRPr="00332504" w:rsidTr="00194459">
              <w:tc>
                <w:tcPr>
                  <w:tcW w:w="1522" w:type="dxa"/>
                  <w:vMerge w:val="restart"/>
                  <w:vAlign w:val="center"/>
                </w:tcPr>
                <w:p w:rsidR="00EA54E1" w:rsidRPr="00332504" w:rsidRDefault="00EA54E1" w:rsidP="00EA54E1">
                  <w:pPr>
                    <w:spacing w:line="276" w:lineRule="auto"/>
                    <w:jc w:val="center"/>
                    <w:rPr>
                      <w:rFonts w:ascii="Times New Roman" w:hAnsi="Times New Roman" w:cs="Times New Roman"/>
                      <w:sz w:val="20"/>
                      <w:szCs w:val="24"/>
                    </w:rPr>
                  </w:pPr>
                  <w:r w:rsidRPr="00332504">
                    <w:rPr>
                      <w:rFonts w:ascii="Times New Roman" w:hAnsi="Times New Roman" w:cs="Times New Roman"/>
                      <w:sz w:val="20"/>
                      <w:szCs w:val="24"/>
                    </w:rPr>
                    <w:t>3</w:t>
                  </w:r>
                </w:p>
              </w:tc>
              <w:tc>
                <w:tcPr>
                  <w:tcW w:w="1704" w:type="dxa"/>
                  <w:vMerge w:val="restart"/>
                  <w:vAlign w:val="center"/>
                </w:tcPr>
                <w:p w:rsidR="00EA54E1" w:rsidRPr="00332504" w:rsidRDefault="00EA54E1" w:rsidP="00EA54E1">
                  <w:pPr>
                    <w:spacing w:line="276" w:lineRule="auto"/>
                    <w:rPr>
                      <w:rFonts w:ascii="Times New Roman" w:hAnsi="Times New Roman" w:cs="Times New Roman"/>
                      <w:sz w:val="20"/>
                      <w:szCs w:val="24"/>
                    </w:rPr>
                  </w:pPr>
                  <w:r w:rsidRPr="00332504">
                    <w:rPr>
                      <w:rFonts w:ascii="Times New Roman" w:hAnsi="Times New Roman" w:cs="Times New Roman"/>
                      <w:sz w:val="20"/>
                      <w:szCs w:val="24"/>
                    </w:rPr>
                    <w:t>Técnicas de Planificación Participativa y Gestión Asociada</w:t>
                  </w:r>
                </w:p>
              </w:tc>
              <w:tc>
                <w:tcPr>
                  <w:tcW w:w="11468" w:type="dxa"/>
                  <w:vAlign w:val="center"/>
                </w:tcPr>
                <w:p w:rsidR="00EA54E1" w:rsidRPr="00332504" w:rsidRDefault="00EA54E1" w:rsidP="00EA54E1">
                  <w:pPr>
                    <w:spacing w:line="276" w:lineRule="auto"/>
                    <w:rPr>
                      <w:rFonts w:ascii="Times New Roman" w:hAnsi="Times New Roman" w:cs="Times New Roman"/>
                      <w:sz w:val="20"/>
                      <w:szCs w:val="24"/>
                    </w:rPr>
                  </w:pPr>
                  <w:r w:rsidRPr="00332504">
                    <w:rPr>
                      <w:rFonts w:ascii="Times New Roman" w:hAnsi="Times New Roman" w:cs="Times New Roman"/>
                      <w:sz w:val="20"/>
                      <w:szCs w:val="24"/>
                    </w:rPr>
                    <w:t>Mapeo de actores</w:t>
                  </w:r>
                </w:p>
              </w:tc>
            </w:tr>
            <w:tr w:rsidR="00EA54E1" w:rsidRPr="00332504" w:rsidTr="00194459">
              <w:tc>
                <w:tcPr>
                  <w:tcW w:w="1522" w:type="dxa"/>
                  <w:vMerge/>
                  <w:vAlign w:val="center"/>
                </w:tcPr>
                <w:p w:rsidR="00EA54E1" w:rsidRPr="00332504" w:rsidRDefault="00EA54E1" w:rsidP="00EA54E1">
                  <w:pPr>
                    <w:spacing w:line="276" w:lineRule="auto"/>
                    <w:jc w:val="center"/>
                    <w:rPr>
                      <w:rFonts w:ascii="Times New Roman" w:hAnsi="Times New Roman" w:cs="Times New Roman"/>
                      <w:sz w:val="20"/>
                      <w:szCs w:val="24"/>
                    </w:rPr>
                  </w:pPr>
                </w:p>
              </w:tc>
              <w:tc>
                <w:tcPr>
                  <w:tcW w:w="1704" w:type="dxa"/>
                  <w:vMerge/>
                  <w:vAlign w:val="center"/>
                </w:tcPr>
                <w:p w:rsidR="00EA54E1" w:rsidRPr="00332504" w:rsidRDefault="00EA54E1" w:rsidP="00EA54E1">
                  <w:pPr>
                    <w:spacing w:line="276" w:lineRule="auto"/>
                    <w:rPr>
                      <w:rFonts w:ascii="Times New Roman" w:hAnsi="Times New Roman" w:cs="Times New Roman"/>
                      <w:sz w:val="20"/>
                      <w:szCs w:val="24"/>
                    </w:rPr>
                  </w:pPr>
                </w:p>
              </w:tc>
              <w:tc>
                <w:tcPr>
                  <w:tcW w:w="11468" w:type="dxa"/>
                  <w:vAlign w:val="center"/>
                </w:tcPr>
                <w:p w:rsidR="00EA54E1" w:rsidRPr="00332504" w:rsidRDefault="00EA54E1" w:rsidP="00EA54E1">
                  <w:pPr>
                    <w:spacing w:line="276" w:lineRule="auto"/>
                    <w:rPr>
                      <w:rFonts w:ascii="Times New Roman" w:hAnsi="Times New Roman" w:cs="Times New Roman"/>
                      <w:sz w:val="20"/>
                      <w:szCs w:val="24"/>
                    </w:rPr>
                  </w:pPr>
                  <w:r w:rsidRPr="00332504">
                    <w:rPr>
                      <w:rFonts w:ascii="Times New Roman" w:hAnsi="Times New Roman" w:cs="Times New Roman"/>
                      <w:sz w:val="20"/>
                      <w:szCs w:val="24"/>
                    </w:rPr>
                    <w:t xml:space="preserve">Talleres participativos con actores estratégicos: grupos focales, cafés del mundo </w:t>
                  </w:r>
                </w:p>
              </w:tc>
            </w:tr>
            <w:tr w:rsidR="00EA54E1" w:rsidRPr="00332504" w:rsidTr="00194459">
              <w:tc>
                <w:tcPr>
                  <w:tcW w:w="1522" w:type="dxa"/>
                  <w:vMerge/>
                  <w:vAlign w:val="center"/>
                </w:tcPr>
                <w:p w:rsidR="00EA54E1" w:rsidRPr="00332504" w:rsidRDefault="00EA54E1" w:rsidP="00EA54E1">
                  <w:pPr>
                    <w:spacing w:line="276" w:lineRule="auto"/>
                    <w:rPr>
                      <w:rFonts w:ascii="Times New Roman" w:hAnsi="Times New Roman" w:cs="Times New Roman"/>
                      <w:sz w:val="20"/>
                      <w:szCs w:val="24"/>
                    </w:rPr>
                  </w:pPr>
                </w:p>
              </w:tc>
              <w:tc>
                <w:tcPr>
                  <w:tcW w:w="1704" w:type="dxa"/>
                  <w:vMerge/>
                  <w:vAlign w:val="center"/>
                </w:tcPr>
                <w:p w:rsidR="00EA54E1" w:rsidRPr="00332504" w:rsidRDefault="00EA54E1" w:rsidP="00EA54E1">
                  <w:pPr>
                    <w:spacing w:line="276" w:lineRule="auto"/>
                    <w:rPr>
                      <w:rFonts w:ascii="Times New Roman" w:hAnsi="Times New Roman" w:cs="Times New Roman"/>
                      <w:sz w:val="20"/>
                      <w:szCs w:val="24"/>
                    </w:rPr>
                  </w:pPr>
                </w:p>
              </w:tc>
              <w:tc>
                <w:tcPr>
                  <w:tcW w:w="11468" w:type="dxa"/>
                  <w:vAlign w:val="center"/>
                </w:tcPr>
                <w:p w:rsidR="00EA54E1" w:rsidRPr="00332504" w:rsidRDefault="00EA54E1" w:rsidP="00EA54E1">
                  <w:pPr>
                    <w:spacing w:line="276" w:lineRule="auto"/>
                    <w:rPr>
                      <w:rFonts w:ascii="Times New Roman" w:hAnsi="Times New Roman" w:cs="Times New Roman"/>
                      <w:sz w:val="20"/>
                      <w:szCs w:val="24"/>
                    </w:rPr>
                  </w:pPr>
                  <w:r w:rsidRPr="00332504">
                    <w:rPr>
                      <w:rFonts w:ascii="Times New Roman" w:hAnsi="Times New Roman" w:cs="Times New Roman"/>
                      <w:sz w:val="20"/>
                      <w:szCs w:val="24"/>
                    </w:rPr>
                    <w:t>Sistematización del proceso de intercambio y diálogo entre actores, a partir del análisis y armonización de instrumentos,</w:t>
                  </w:r>
                </w:p>
              </w:tc>
            </w:tr>
            <w:tr w:rsidR="00EA54E1" w:rsidRPr="00332504" w:rsidTr="00194459">
              <w:tc>
                <w:tcPr>
                  <w:tcW w:w="1522" w:type="dxa"/>
                  <w:vMerge/>
                  <w:vAlign w:val="center"/>
                </w:tcPr>
                <w:p w:rsidR="00EA54E1" w:rsidRPr="00332504" w:rsidRDefault="00EA54E1" w:rsidP="00EA54E1">
                  <w:pPr>
                    <w:spacing w:line="276" w:lineRule="auto"/>
                    <w:rPr>
                      <w:rFonts w:ascii="Times New Roman" w:hAnsi="Times New Roman" w:cs="Times New Roman"/>
                      <w:sz w:val="20"/>
                      <w:szCs w:val="24"/>
                    </w:rPr>
                  </w:pPr>
                </w:p>
              </w:tc>
              <w:tc>
                <w:tcPr>
                  <w:tcW w:w="1704" w:type="dxa"/>
                  <w:vMerge/>
                  <w:vAlign w:val="center"/>
                </w:tcPr>
                <w:p w:rsidR="00EA54E1" w:rsidRPr="00332504" w:rsidRDefault="00EA54E1" w:rsidP="00EA54E1">
                  <w:pPr>
                    <w:spacing w:line="276" w:lineRule="auto"/>
                    <w:rPr>
                      <w:rFonts w:ascii="Times New Roman" w:hAnsi="Times New Roman" w:cs="Times New Roman"/>
                      <w:sz w:val="20"/>
                      <w:szCs w:val="24"/>
                    </w:rPr>
                  </w:pPr>
                </w:p>
              </w:tc>
              <w:tc>
                <w:tcPr>
                  <w:tcW w:w="11468" w:type="dxa"/>
                  <w:vAlign w:val="center"/>
                </w:tcPr>
                <w:p w:rsidR="00EA54E1" w:rsidRPr="00332504" w:rsidRDefault="00EA54E1" w:rsidP="00EA54E1">
                  <w:pPr>
                    <w:spacing w:line="276" w:lineRule="auto"/>
                    <w:rPr>
                      <w:rFonts w:ascii="Times New Roman" w:hAnsi="Times New Roman" w:cs="Times New Roman"/>
                      <w:sz w:val="20"/>
                      <w:szCs w:val="24"/>
                    </w:rPr>
                  </w:pPr>
                  <w:proofErr w:type="spellStart"/>
                  <w:r w:rsidRPr="00332504">
                    <w:rPr>
                      <w:rFonts w:ascii="Times New Roman" w:hAnsi="Times New Roman" w:cs="Times New Roman"/>
                      <w:sz w:val="20"/>
                      <w:szCs w:val="24"/>
                    </w:rPr>
                    <w:t>Operacionalización</w:t>
                  </w:r>
                  <w:proofErr w:type="spellEnd"/>
                  <w:r w:rsidRPr="00332504">
                    <w:rPr>
                      <w:rFonts w:ascii="Times New Roman" w:hAnsi="Times New Roman" w:cs="Times New Roman"/>
                      <w:sz w:val="20"/>
                      <w:szCs w:val="24"/>
                    </w:rPr>
                    <w:t>: modelo integrado de procesamiento problémico. (</w:t>
                  </w:r>
                  <w:proofErr w:type="spellStart"/>
                  <w:r w:rsidRPr="00332504">
                    <w:rPr>
                      <w:rFonts w:ascii="Times New Roman" w:hAnsi="Times New Roman" w:cs="Times New Roman"/>
                      <w:sz w:val="20"/>
                      <w:szCs w:val="24"/>
                    </w:rPr>
                    <w:t>Poggiese</w:t>
                  </w:r>
                  <w:proofErr w:type="spellEnd"/>
                  <w:r w:rsidRPr="00332504">
                    <w:rPr>
                      <w:rFonts w:ascii="Times New Roman" w:hAnsi="Times New Roman" w:cs="Times New Roman"/>
                      <w:sz w:val="20"/>
                      <w:szCs w:val="24"/>
                    </w:rPr>
                    <w:t>, 2011, p. 33)</w:t>
                  </w:r>
                </w:p>
              </w:tc>
            </w:tr>
          </w:tbl>
          <w:p w:rsidR="004B6B2E" w:rsidRPr="00332504" w:rsidRDefault="004B6B2E" w:rsidP="00EA54E1">
            <w:pPr>
              <w:spacing w:line="276" w:lineRule="auto"/>
              <w:jc w:val="both"/>
              <w:rPr>
                <w:rFonts w:ascii="Times New Roman" w:hAnsi="Times New Roman" w:cs="Times New Roman"/>
                <w:sz w:val="24"/>
                <w:szCs w:val="24"/>
              </w:rPr>
            </w:pPr>
          </w:p>
          <w:p w:rsidR="001E5EBA" w:rsidRPr="00332504" w:rsidRDefault="007E21C1" w:rsidP="00EA54E1">
            <w:pPr>
              <w:spacing w:line="276" w:lineRule="auto"/>
              <w:jc w:val="both"/>
              <w:rPr>
                <w:rFonts w:ascii="Times New Roman" w:eastAsia="Times New Roman" w:hAnsi="Times New Roman" w:cs="Times New Roman"/>
                <w:color w:val="222222"/>
                <w:sz w:val="24"/>
                <w:szCs w:val="24"/>
                <w:lang w:eastAsia="es-CO"/>
              </w:rPr>
            </w:pPr>
            <w:r w:rsidRPr="00332504">
              <w:rPr>
                <w:rFonts w:ascii="Times New Roman" w:hAnsi="Times New Roman" w:cs="Times New Roman"/>
                <w:sz w:val="24"/>
                <w:szCs w:val="24"/>
              </w:rPr>
              <w:t xml:space="preserve">La tercera fase, estará centrada en el relacionamiento con los Consejos Territoriales de Planeación y las organizaciones aliadas. Por tanto, la fase será abordada desde un enfoque participativo incorporando herramientas de la “familia de herramientas de Planificación Participativa y Gestión Asociada (PPGA)” recopiladas </w:t>
            </w:r>
            <w:r w:rsidR="0033777C" w:rsidRPr="00332504">
              <w:rPr>
                <w:rFonts w:ascii="Times New Roman" w:hAnsi="Times New Roman" w:cs="Times New Roman"/>
                <w:sz w:val="24"/>
                <w:szCs w:val="24"/>
              </w:rPr>
              <w:t xml:space="preserve">y definidas </w:t>
            </w:r>
            <w:r w:rsidRPr="00332504">
              <w:rPr>
                <w:rFonts w:ascii="Times New Roman" w:hAnsi="Times New Roman" w:cs="Times New Roman"/>
                <w:sz w:val="24"/>
                <w:szCs w:val="24"/>
              </w:rPr>
              <w:t xml:space="preserve">por </w:t>
            </w:r>
            <w:proofErr w:type="spellStart"/>
            <w:r w:rsidRPr="00332504">
              <w:rPr>
                <w:rFonts w:ascii="Times New Roman" w:hAnsi="Times New Roman" w:cs="Times New Roman"/>
                <w:sz w:val="24"/>
                <w:szCs w:val="24"/>
              </w:rPr>
              <w:t>Poggiese</w:t>
            </w:r>
            <w:proofErr w:type="spellEnd"/>
            <w:r w:rsidR="0033777C" w:rsidRPr="00332504">
              <w:rPr>
                <w:rFonts w:ascii="Times New Roman" w:hAnsi="Times New Roman" w:cs="Times New Roman"/>
                <w:sz w:val="24"/>
                <w:szCs w:val="24"/>
              </w:rPr>
              <w:t xml:space="preserve"> (</w:t>
            </w:r>
            <w:r w:rsidRPr="00332504">
              <w:rPr>
                <w:rFonts w:ascii="Times New Roman" w:hAnsi="Times New Roman" w:cs="Times New Roman"/>
                <w:sz w:val="24"/>
                <w:szCs w:val="24"/>
              </w:rPr>
              <w:t>2011</w:t>
            </w:r>
            <w:r w:rsidR="0033777C" w:rsidRPr="00332504">
              <w:rPr>
                <w:rFonts w:ascii="Times New Roman" w:hAnsi="Times New Roman" w:cs="Times New Roman"/>
                <w:sz w:val="24"/>
                <w:szCs w:val="24"/>
              </w:rPr>
              <w:t>) como, “(…) un modo de interpretar los procesos de formulación de políticas públicas</w:t>
            </w:r>
            <w:r w:rsidR="00EA54E1" w:rsidRPr="00332504">
              <w:rPr>
                <w:rFonts w:ascii="Times New Roman" w:hAnsi="Times New Roman" w:cs="Times New Roman"/>
                <w:sz w:val="24"/>
                <w:szCs w:val="24"/>
              </w:rPr>
              <w:t>; una herramienta para la verificación o reformulación de otras políticas; y también para facilitar la construcción de nuevas voluntades políticas y nuevos actores sociales colectivos.</w:t>
            </w:r>
          </w:p>
        </w:tc>
      </w:tr>
      <w:tr w:rsidR="001D6087"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1D6087" w:rsidRPr="00332504" w:rsidRDefault="001D6087" w:rsidP="005D15C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332504">
              <w:rPr>
                <w:rFonts w:ascii="Times New Roman" w:eastAsia="Times New Roman" w:hAnsi="Times New Roman" w:cs="Times New Roman"/>
                <w:b/>
                <w:bCs/>
                <w:color w:val="222222"/>
                <w:sz w:val="24"/>
                <w:szCs w:val="24"/>
                <w:lang w:eastAsia="es-CO"/>
              </w:rPr>
              <w:lastRenderedPageBreak/>
              <w:t>Resultados esperados</w:t>
            </w:r>
          </w:p>
        </w:tc>
      </w:tr>
      <w:tr w:rsidR="001D6087" w:rsidRPr="00332504" w:rsidTr="00662970">
        <w:tc>
          <w:tcPr>
            <w:tcW w:w="1473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3A2535" w:rsidRPr="00332504" w:rsidRDefault="003A2535" w:rsidP="003A2535">
            <w:pPr>
              <w:spacing w:after="0" w:line="276" w:lineRule="auto"/>
              <w:jc w:val="both"/>
              <w:rPr>
                <w:rFonts w:ascii="Times New Roman" w:eastAsia="Times New Roman" w:hAnsi="Times New Roman" w:cs="Times New Roman"/>
                <w:color w:val="222222"/>
                <w:sz w:val="24"/>
                <w:szCs w:val="24"/>
                <w:lang w:eastAsia="es-CO"/>
              </w:rPr>
            </w:pPr>
            <w:r w:rsidRPr="00332504">
              <w:rPr>
                <w:rFonts w:ascii="Times New Roman" w:eastAsia="Times New Roman" w:hAnsi="Times New Roman" w:cs="Times New Roman"/>
                <w:color w:val="222222"/>
                <w:sz w:val="24"/>
                <w:szCs w:val="24"/>
                <w:lang w:eastAsia="es-CO"/>
              </w:rPr>
              <w:t xml:space="preserve">La presente </w:t>
            </w:r>
            <w:r w:rsidR="00FB6D36" w:rsidRPr="00332504">
              <w:rPr>
                <w:rFonts w:ascii="Times New Roman" w:eastAsia="Times New Roman" w:hAnsi="Times New Roman" w:cs="Times New Roman"/>
                <w:color w:val="222222"/>
                <w:sz w:val="24"/>
                <w:szCs w:val="24"/>
                <w:lang w:eastAsia="es-CO"/>
              </w:rPr>
              <w:t xml:space="preserve">propuesta busca brindar elementos de análisis y de acción que transformen la situación que Gutiérrez Sanín, 2016 diagnosticaba como </w:t>
            </w:r>
            <w:r w:rsidR="00FB6D36" w:rsidRPr="00332504">
              <w:rPr>
                <w:rFonts w:ascii="Times New Roman" w:eastAsia="Times New Roman" w:hAnsi="Times New Roman" w:cs="Times New Roman"/>
                <w:color w:val="222222"/>
                <w:sz w:val="24"/>
                <w:szCs w:val="24"/>
                <w:lang w:eastAsia="es-CO"/>
              </w:rPr>
              <w:t xml:space="preserve">“(…) severos vacíos de conocimiento con respecto del Estado, </w:t>
            </w:r>
            <w:r w:rsidR="00FB6D36" w:rsidRPr="00332504">
              <w:rPr>
                <w:rFonts w:ascii="Times New Roman" w:eastAsia="Times New Roman" w:hAnsi="Times New Roman" w:cs="Times New Roman"/>
                <w:color w:val="222222"/>
                <w:sz w:val="24"/>
                <w:szCs w:val="24"/>
                <w:lang w:eastAsia="es-CO"/>
              </w:rPr>
              <w:t>[que pesan]</w:t>
            </w:r>
            <w:r w:rsidR="00FB6D36" w:rsidRPr="00332504">
              <w:rPr>
                <w:rFonts w:ascii="Times New Roman" w:eastAsia="Times New Roman" w:hAnsi="Times New Roman" w:cs="Times New Roman"/>
                <w:color w:val="222222"/>
                <w:sz w:val="24"/>
                <w:szCs w:val="24"/>
                <w:lang w:eastAsia="es-CO"/>
              </w:rPr>
              <w:t xml:space="preserve"> sobre la capacidad de proponer alternativas de construcción.” (p. 109)</w:t>
            </w:r>
            <w:r w:rsidR="00FB6D36" w:rsidRPr="00332504">
              <w:rPr>
                <w:rFonts w:ascii="Times New Roman" w:eastAsia="Times New Roman" w:hAnsi="Times New Roman" w:cs="Times New Roman"/>
                <w:color w:val="222222"/>
                <w:sz w:val="24"/>
                <w:szCs w:val="24"/>
                <w:lang w:eastAsia="es-CO"/>
              </w:rPr>
              <w:t xml:space="preserve">. De igual manera, </w:t>
            </w:r>
            <w:r w:rsidRPr="00332504">
              <w:rPr>
                <w:rFonts w:ascii="Times New Roman" w:eastAsia="Times New Roman" w:hAnsi="Times New Roman" w:cs="Times New Roman"/>
                <w:color w:val="222222"/>
                <w:sz w:val="24"/>
                <w:szCs w:val="24"/>
                <w:lang w:eastAsia="es-CO"/>
              </w:rPr>
              <w:t>busca aportar a la construcción de herramientas que permitan la articulación de los instrumentos de planeación y ordenamiento territorial existentes, para facilitar el desarrollo de planes y proyectos guiados al desarrollo local. En este sentido, este es un ejercicio que reduce el vacío teórico-práctico relacionado con los procesos de gobernanza territorial, por medio de la puesta en marcha de escenarios de participación ciudadana efectiva.</w:t>
            </w:r>
            <w:r w:rsidR="002A684A" w:rsidRPr="00332504">
              <w:rPr>
                <w:rFonts w:ascii="Times New Roman" w:eastAsia="Times New Roman" w:hAnsi="Times New Roman" w:cs="Times New Roman"/>
                <w:color w:val="222222"/>
                <w:sz w:val="24"/>
                <w:szCs w:val="24"/>
                <w:lang w:eastAsia="es-CO"/>
              </w:rPr>
              <w:t xml:space="preserve"> </w:t>
            </w:r>
            <w:r w:rsidRPr="00332504">
              <w:rPr>
                <w:rFonts w:ascii="Times New Roman" w:eastAsia="Times New Roman" w:hAnsi="Times New Roman" w:cs="Times New Roman"/>
                <w:color w:val="222222"/>
                <w:sz w:val="24"/>
                <w:szCs w:val="24"/>
                <w:lang w:eastAsia="es-CO"/>
              </w:rPr>
              <w:t>Así, la consecución de esta investigación supone un impacto social relacionado con el aumento de las condiciones de democratización del ejercicio de la gestión pública, en cuanto cualifica los procesos de dialogo entre la ciudadanía y las instituciones, e inscribe los mismos en los enfoques de sostenibilidad y paz territorial en contextos específicos, con potencialidad de ser replicados posteriormente.</w:t>
            </w:r>
          </w:p>
          <w:p w:rsidR="00FB6D36" w:rsidRPr="00332504" w:rsidRDefault="00FB6D36" w:rsidP="00C64DE8">
            <w:pPr>
              <w:spacing w:after="0" w:line="276" w:lineRule="auto"/>
              <w:jc w:val="both"/>
              <w:rPr>
                <w:rFonts w:ascii="Times New Roman" w:eastAsia="Times New Roman" w:hAnsi="Times New Roman" w:cs="Times New Roman"/>
                <w:color w:val="222222"/>
                <w:sz w:val="24"/>
                <w:szCs w:val="24"/>
                <w:lang w:eastAsia="es-CO"/>
              </w:rPr>
            </w:pPr>
          </w:p>
          <w:p w:rsidR="002A684A" w:rsidRPr="00332504" w:rsidRDefault="003A2535" w:rsidP="00C64DE8">
            <w:pPr>
              <w:spacing w:after="0" w:line="276" w:lineRule="auto"/>
              <w:jc w:val="both"/>
              <w:rPr>
                <w:rFonts w:ascii="Times New Roman" w:eastAsia="Times New Roman" w:hAnsi="Times New Roman" w:cs="Times New Roman"/>
                <w:color w:val="222222"/>
                <w:sz w:val="24"/>
                <w:szCs w:val="24"/>
                <w:lang w:eastAsia="es-CO"/>
              </w:rPr>
            </w:pPr>
            <w:r w:rsidRPr="00332504">
              <w:rPr>
                <w:rFonts w:ascii="Times New Roman" w:eastAsia="Times New Roman" w:hAnsi="Times New Roman" w:cs="Times New Roman"/>
                <w:color w:val="222222"/>
                <w:sz w:val="24"/>
                <w:szCs w:val="24"/>
                <w:lang w:eastAsia="es-CO"/>
              </w:rPr>
              <w:t xml:space="preserve">Por lo tanto, con la culminación del proceso investigativo se estará construyendo </w:t>
            </w:r>
            <w:r w:rsidRPr="00332504">
              <w:rPr>
                <w:rFonts w:ascii="Times New Roman" w:eastAsia="Times New Roman" w:hAnsi="Times New Roman" w:cs="Times New Roman"/>
                <w:i/>
                <w:color w:val="222222"/>
                <w:sz w:val="24"/>
                <w:szCs w:val="24"/>
                <w:lang w:eastAsia="es-CO"/>
              </w:rPr>
              <w:t>nuevo conocimiento</w:t>
            </w:r>
            <w:r w:rsidRPr="00332504">
              <w:rPr>
                <w:rFonts w:ascii="Times New Roman" w:eastAsia="Times New Roman" w:hAnsi="Times New Roman" w:cs="Times New Roman"/>
                <w:color w:val="222222"/>
                <w:sz w:val="24"/>
                <w:szCs w:val="24"/>
                <w:lang w:eastAsia="es-CO"/>
              </w:rPr>
              <w:t xml:space="preserve"> en tanto se realizará un proceso de divulgación de la experiencia creativa frente a las estrategias de armonización instrumental, por medio de la realización de un artículo científico; al tiempo que se avanza en un </w:t>
            </w:r>
            <w:r w:rsidRPr="00332504">
              <w:rPr>
                <w:rFonts w:ascii="Times New Roman" w:eastAsia="Times New Roman" w:hAnsi="Times New Roman" w:cs="Times New Roman"/>
                <w:b/>
                <w:i/>
                <w:color w:val="222222"/>
                <w:sz w:val="24"/>
                <w:szCs w:val="24"/>
                <w:lang w:eastAsia="es-CO"/>
              </w:rPr>
              <w:t>desarrollo de innovación</w:t>
            </w:r>
            <w:r w:rsidRPr="00332504">
              <w:rPr>
                <w:rFonts w:ascii="Times New Roman" w:eastAsia="Times New Roman" w:hAnsi="Times New Roman" w:cs="Times New Roman"/>
                <w:color w:val="222222"/>
                <w:sz w:val="24"/>
                <w:szCs w:val="24"/>
                <w:lang w:eastAsia="es-CO"/>
              </w:rPr>
              <w:t xml:space="preserve">, al realizar un mapeo, actualmente inexistente, de la instrumentación de la planeación en Colombia dentro del marco de interpretación multiescalar. Además, por la naturaleza misma del proyecto, promueve la generación de escenarios de participación ciudadana, lo que hace que este ejercicio conlleve a la </w:t>
            </w:r>
            <w:r w:rsidRPr="00332504">
              <w:rPr>
                <w:rFonts w:ascii="Times New Roman" w:eastAsia="Times New Roman" w:hAnsi="Times New Roman" w:cs="Times New Roman"/>
                <w:b/>
                <w:i/>
                <w:color w:val="222222"/>
                <w:sz w:val="24"/>
                <w:szCs w:val="24"/>
                <w:lang w:eastAsia="es-CO"/>
              </w:rPr>
              <w:t>apropiación social del conocimiento.</w:t>
            </w:r>
            <w:r w:rsidRPr="00332504">
              <w:rPr>
                <w:rFonts w:ascii="Times New Roman" w:eastAsia="Times New Roman" w:hAnsi="Times New Roman" w:cs="Times New Roman"/>
                <w:b/>
                <w:color w:val="222222"/>
                <w:sz w:val="24"/>
                <w:szCs w:val="24"/>
                <w:lang w:eastAsia="es-CO"/>
              </w:rPr>
              <w:t xml:space="preserve">  </w:t>
            </w:r>
            <w:r w:rsidR="00C64DE8" w:rsidRPr="00332504">
              <w:rPr>
                <w:rFonts w:ascii="Times New Roman" w:eastAsia="Times New Roman" w:hAnsi="Times New Roman" w:cs="Times New Roman"/>
                <w:color w:val="222222"/>
                <w:sz w:val="24"/>
                <w:szCs w:val="24"/>
                <w:lang w:eastAsia="es-CO"/>
              </w:rPr>
              <w:t xml:space="preserve">Finalmente, se avanzará en la </w:t>
            </w:r>
            <w:r w:rsidR="00C64DE8" w:rsidRPr="00332504">
              <w:rPr>
                <w:rFonts w:ascii="Times New Roman" w:eastAsia="Times New Roman" w:hAnsi="Times New Roman" w:cs="Times New Roman"/>
                <w:b/>
                <w:i/>
                <w:color w:val="222222"/>
                <w:sz w:val="24"/>
                <w:szCs w:val="24"/>
                <w:lang w:eastAsia="es-CO"/>
              </w:rPr>
              <w:t>f</w:t>
            </w:r>
            <w:r w:rsidR="002A684A" w:rsidRPr="00332504">
              <w:rPr>
                <w:rFonts w:ascii="Times New Roman" w:eastAsia="Times New Roman" w:hAnsi="Times New Roman" w:cs="Times New Roman"/>
                <w:b/>
                <w:i/>
                <w:color w:val="222222"/>
                <w:sz w:val="24"/>
                <w:szCs w:val="24"/>
                <w:lang w:eastAsia="es-CO"/>
              </w:rPr>
              <w:t>ormación de recurso humano</w:t>
            </w:r>
            <w:r w:rsidR="00C64DE8" w:rsidRPr="00332504">
              <w:rPr>
                <w:rFonts w:ascii="Times New Roman" w:eastAsia="Times New Roman" w:hAnsi="Times New Roman" w:cs="Times New Roman"/>
                <w:b/>
                <w:color w:val="222222"/>
                <w:sz w:val="24"/>
                <w:szCs w:val="24"/>
                <w:lang w:eastAsia="es-CO"/>
              </w:rPr>
              <w:t xml:space="preserve">, </w:t>
            </w:r>
            <w:r w:rsidR="00C64DE8" w:rsidRPr="00332504">
              <w:rPr>
                <w:rFonts w:ascii="Times New Roman" w:eastAsia="Times New Roman" w:hAnsi="Times New Roman" w:cs="Times New Roman"/>
                <w:color w:val="222222"/>
                <w:sz w:val="24"/>
                <w:szCs w:val="24"/>
                <w:lang w:eastAsia="es-CO"/>
              </w:rPr>
              <w:t>a través de dos tesos de maestría:</w:t>
            </w:r>
          </w:p>
          <w:p w:rsidR="00194459" w:rsidRPr="00332504" w:rsidRDefault="00194459" w:rsidP="00C64DE8">
            <w:pPr>
              <w:spacing w:after="0" w:line="276" w:lineRule="auto"/>
              <w:jc w:val="both"/>
              <w:rPr>
                <w:rFonts w:ascii="Times New Roman" w:eastAsia="Times New Roman" w:hAnsi="Times New Roman" w:cs="Times New Roman"/>
                <w:color w:val="222222"/>
                <w:sz w:val="24"/>
                <w:szCs w:val="24"/>
                <w:lang w:eastAsia="es-CO"/>
              </w:rPr>
            </w:pPr>
          </w:p>
          <w:tbl>
            <w:tblPr>
              <w:tblStyle w:val="Tablaconcuadrcula"/>
              <w:tblW w:w="0" w:type="auto"/>
              <w:tblLook w:val="04A0" w:firstRow="1" w:lastRow="0" w:firstColumn="1" w:lastColumn="0" w:noHBand="0" w:noVBand="1"/>
            </w:tblPr>
            <w:tblGrid>
              <w:gridCol w:w="3509"/>
              <w:gridCol w:w="7513"/>
              <w:gridCol w:w="1276"/>
              <w:gridCol w:w="2268"/>
            </w:tblGrid>
            <w:tr w:rsidR="00194459" w:rsidRPr="00332504" w:rsidTr="00194459">
              <w:tc>
                <w:tcPr>
                  <w:tcW w:w="3509" w:type="dxa"/>
                  <w:vAlign w:val="center"/>
                </w:tcPr>
                <w:p w:rsidR="00194459" w:rsidRPr="00332504" w:rsidRDefault="00194459" w:rsidP="00194459">
                  <w:pPr>
                    <w:spacing w:line="276" w:lineRule="auto"/>
                    <w:jc w:val="center"/>
                    <w:rPr>
                      <w:rFonts w:ascii="Times New Roman" w:eastAsia="Times New Roman" w:hAnsi="Times New Roman" w:cs="Times New Roman"/>
                      <w:b/>
                      <w:color w:val="222222"/>
                      <w:szCs w:val="24"/>
                      <w:lang w:eastAsia="es-CO"/>
                    </w:rPr>
                  </w:pPr>
                  <w:r w:rsidRPr="00332504">
                    <w:rPr>
                      <w:rFonts w:ascii="Times New Roman" w:eastAsia="Times New Roman" w:hAnsi="Times New Roman" w:cs="Times New Roman"/>
                      <w:b/>
                      <w:color w:val="222222"/>
                      <w:szCs w:val="24"/>
                      <w:lang w:eastAsia="es-CO"/>
                    </w:rPr>
                    <w:t>Estudiantes Maestría en Planeación para el Desarrollo</w:t>
                  </w:r>
                </w:p>
              </w:tc>
              <w:tc>
                <w:tcPr>
                  <w:tcW w:w="7513" w:type="dxa"/>
                  <w:vAlign w:val="center"/>
                </w:tcPr>
                <w:p w:rsidR="00194459" w:rsidRPr="00332504" w:rsidRDefault="00194459" w:rsidP="00194459">
                  <w:pPr>
                    <w:spacing w:line="276" w:lineRule="auto"/>
                    <w:jc w:val="center"/>
                    <w:rPr>
                      <w:rFonts w:ascii="Times New Roman" w:eastAsia="Times New Roman" w:hAnsi="Times New Roman" w:cs="Times New Roman"/>
                      <w:b/>
                      <w:color w:val="222222"/>
                      <w:szCs w:val="24"/>
                      <w:lang w:eastAsia="es-CO"/>
                    </w:rPr>
                  </w:pPr>
                  <w:r w:rsidRPr="00332504">
                    <w:rPr>
                      <w:rFonts w:ascii="Times New Roman" w:eastAsia="Times New Roman" w:hAnsi="Times New Roman" w:cs="Times New Roman"/>
                      <w:b/>
                      <w:color w:val="222222"/>
                      <w:szCs w:val="24"/>
                      <w:lang w:eastAsia="es-CO"/>
                    </w:rPr>
                    <w:t>Título del trabajo de grado (en curso)</w:t>
                  </w:r>
                </w:p>
              </w:tc>
              <w:tc>
                <w:tcPr>
                  <w:tcW w:w="1276" w:type="dxa"/>
                  <w:vAlign w:val="center"/>
                </w:tcPr>
                <w:p w:rsidR="00194459" w:rsidRPr="00332504" w:rsidRDefault="00194459" w:rsidP="00194459">
                  <w:pPr>
                    <w:spacing w:line="276" w:lineRule="auto"/>
                    <w:jc w:val="center"/>
                    <w:rPr>
                      <w:rFonts w:ascii="Times New Roman" w:eastAsia="Times New Roman" w:hAnsi="Times New Roman" w:cs="Times New Roman"/>
                      <w:b/>
                      <w:color w:val="222222"/>
                      <w:szCs w:val="24"/>
                      <w:lang w:eastAsia="es-CO"/>
                    </w:rPr>
                  </w:pPr>
                  <w:r w:rsidRPr="00332504">
                    <w:rPr>
                      <w:rFonts w:ascii="Times New Roman" w:eastAsia="Times New Roman" w:hAnsi="Times New Roman" w:cs="Times New Roman"/>
                      <w:b/>
                      <w:color w:val="222222"/>
                      <w:szCs w:val="24"/>
                      <w:lang w:eastAsia="es-CO"/>
                    </w:rPr>
                    <w:t>Código</w:t>
                  </w:r>
                </w:p>
              </w:tc>
              <w:tc>
                <w:tcPr>
                  <w:tcW w:w="2268" w:type="dxa"/>
                  <w:vAlign w:val="center"/>
                </w:tcPr>
                <w:p w:rsidR="00194459" w:rsidRPr="00332504" w:rsidRDefault="00194459" w:rsidP="00194459">
                  <w:pPr>
                    <w:spacing w:line="276" w:lineRule="auto"/>
                    <w:jc w:val="center"/>
                    <w:rPr>
                      <w:rFonts w:ascii="Times New Roman" w:eastAsia="Times New Roman" w:hAnsi="Times New Roman" w:cs="Times New Roman"/>
                      <w:b/>
                      <w:color w:val="222222"/>
                      <w:szCs w:val="24"/>
                      <w:lang w:eastAsia="es-CO"/>
                    </w:rPr>
                  </w:pPr>
                  <w:r w:rsidRPr="00332504">
                    <w:rPr>
                      <w:rFonts w:ascii="Times New Roman" w:eastAsia="Times New Roman" w:hAnsi="Times New Roman" w:cs="Times New Roman"/>
                      <w:b/>
                      <w:color w:val="222222"/>
                      <w:szCs w:val="24"/>
                      <w:lang w:eastAsia="es-CO"/>
                    </w:rPr>
                    <w:t>Tutor(a)</w:t>
                  </w:r>
                </w:p>
              </w:tc>
            </w:tr>
            <w:tr w:rsidR="00194459" w:rsidRPr="00332504" w:rsidTr="00194459">
              <w:tc>
                <w:tcPr>
                  <w:tcW w:w="3509" w:type="dxa"/>
                  <w:vAlign w:val="center"/>
                </w:tcPr>
                <w:p w:rsidR="00194459" w:rsidRPr="00332504" w:rsidRDefault="00194459" w:rsidP="00194459">
                  <w:pPr>
                    <w:spacing w:line="276" w:lineRule="auto"/>
                    <w:rPr>
                      <w:rFonts w:ascii="Times New Roman" w:eastAsia="Times New Roman" w:hAnsi="Times New Roman" w:cs="Times New Roman"/>
                      <w:color w:val="222222"/>
                      <w:szCs w:val="24"/>
                      <w:lang w:eastAsia="es-CO"/>
                    </w:rPr>
                  </w:pPr>
                  <w:r w:rsidRPr="00332504">
                    <w:rPr>
                      <w:rFonts w:ascii="Times New Roman" w:eastAsia="Times New Roman" w:hAnsi="Times New Roman" w:cs="Times New Roman"/>
                      <w:color w:val="222222"/>
                      <w:szCs w:val="24"/>
                      <w:lang w:eastAsia="es-CO"/>
                    </w:rPr>
                    <w:t xml:space="preserve">Claudia </w:t>
                  </w:r>
                  <w:r w:rsidR="00FB6D36" w:rsidRPr="00332504">
                    <w:rPr>
                      <w:rFonts w:ascii="Times New Roman" w:eastAsia="Times New Roman" w:hAnsi="Times New Roman" w:cs="Times New Roman"/>
                      <w:color w:val="222222"/>
                      <w:szCs w:val="24"/>
                      <w:lang w:eastAsia="es-CO"/>
                    </w:rPr>
                    <w:t>Sepúlveda</w:t>
                  </w:r>
                  <w:r w:rsidRPr="00332504">
                    <w:rPr>
                      <w:rFonts w:ascii="Times New Roman" w:eastAsia="Times New Roman" w:hAnsi="Times New Roman" w:cs="Times New Roman"/>
                      <w:color w:val="222222"/>
                      <w:szCs w:val="24"/>
                      <w:lang w:eastAsia="es-CO"/>
                    </w:rPr>
                    <w:t xml:space="preserve"> Fajardo</w:t>
                  </w:r>
                </w:p>
              </w:tc>
              <w:tc>
                <w:tcPr>
                  <w:tcW w:w="7513" w:type="dxa"/>
                  <w:vMerge w:val="restart"/>
                </w:tcPr>
                <w:p w:rsidR="00194459" w:rsidRPr="00332504" w:rsidRDefault="00194459" w:rsidP="00194459">
                  <w:pPr>
                    <w:spacing w:line="276" w:lineRule="auto"/>
                    <w:jc w:val="both"/>
                    <w:rPr>
                      <w:rFonts w:ascii="Times New Roman" w:eastAsia="Times New Roman" w:hAnsi="Times New Roman" w:cs="Times New Roman"/>
                      <w:i/>
                      <w:color w:val="222222"/>
                      <w:szCs w:val="24"/>
                      <w:lang w:eastAsia="es-CO"/>
                    </w:rPr>
                  </w:pPr>
                  <w:r w:rsidRPr="00332504">
                    <w:rPr>
                      <w:rFonts w:ascii="Times New Roman" w:eastAsia="Times New Roman" w:hAnsi="Times New Roman" w:cs="Times New Roman"/>
                      <w:i/>
                      <w:color w:val="222222"/>
                      <w:szCs w:val="24"/>
                      <w:lang w:eastAsia="es-CO"/>
                    </w:rPr>
                    <w:t>Análisis de los procesos de ordenamiento territorial en Barrancabermeja. Aproximación desde los sistemas de información Geoespacial – SIG</w:t>
                  </w:r>
                </w:p>
              </w:tc>
              <w:tc>
                <w:tcPr>
                  <w:tcW w:w="1276" w:type="dxa"/>
                  <w:vAlign w:val="center"/>
                </w:tcPr>
                <w:p w:rsidR="00194459" w:rsidRPr="00332504" w:rsidRDefault="00FB6D36" w:rsidP="00194459">
                  <w:pPr>
                    <w:spacing w:line="276" w:lineRule="auto"/>
                    <w:jc w:val="center"/>
                    <w:rPr>
                      <w:rFonts w:ascii="Times New Roman" w:eastAsia="Times New Roman" w:hAnsi="Times New Roman" w:cs="Times New Roman"/>
                      <w:color w:val="222222"/>
                      <w:szCs w:val="24"/>
                      <w:lang w:eastAsia="es-CO"/>
                    </w:rPr>
                  </w:pPr>
                  <w:r w:rsidRPr="00332504">
                    <w:rPr>
                      <w:rFonts w:ascii="Times New Roman" w:eastAsia="Times New Roman" w:hAnsi="Times New Roman" w:cs="Times New Roman"/>
                      <w:color w:val="222222"/>
                      <w:szCs w:val="24"/>
                      <w:lang w:eastAsia="es-CO"/>
                    </w:rPr>
                    <w:t>2259869</w:t>
                  </w:r>
                </w:p>
              </w:tc>
              <w:tc>
                <w:tcPr>
                  <w:tcW w:w="2268" w:type="dxa"/>
                  <w:vMerge w:val="restart"/>
                  <w:vAlign w:val="center"/>
                </w:tcPr>
                <w:p w:rsidR="00194459" w:rsidRPr="00332504" w:rsidRDefault="00FB6D36" w:rsidP="00194459">
                  <w:pPr>
                    <w:spacing w:line="276" w:lineRule="auto"/>
                    <w:rPr>
                      <w:rFonts w:ascii="Times New Roman" w:eastAsia="Times New Roman" w:hAnsi="Times New Roman" w:cs="Times New Roman"/>
                      <w:color w:val="222222"/>
                      <w:szCs w:val="24"/>
                      <w:lang w:eastAsia="es-CO"/>
                    </w:rPr>
                  </w:pPr>
                  <w:r w:rsidRPr="00332504">
                    <w:rPr>
                      <w:rFonts w:ascii="Times New Roman" w:eastAsia="Times New Roman" w:hAnsi="Times New Roman" w:cs="Times New Roman"/>
                      <w:color w:val="222222"/>
                      <w:szCs w:val="24"/>
                      <w:lang w:eastAsia="es-CO"/>
                    </w:rPr>
                    <w:t>Eloisa</w:t>
                  </w:r>
                  <w:r w:rsidR="00194459" w:rsidRPr="00332504">
                    <w:rPr>
                      <w:rFonts w:ascii="Times New Roman" w:eastAsia="Times New Roman" w:hAnsi="Times New Roman" w:cs="Times New Roman"/>
                      <w:color w:val="222222"/>
                      <w:szCs w:val="24"/>
                      <w:lang w:eastAsia="es-CO"/>
                    </w:rPr>
                    <w:t xml:space="preserve"> Vargas Moreno</w:t>
                  </w:r>
                </w:p>
              </w:tc>
            </w:tr>
            <w:tr w:rsidR="00194459" w:rsidRPr="00332504" w:rsidTr="00194459">
              <w:tc>
                <w:tcPr>
                  <w:tcW w:w="3509" w:type="dxa"/>
                  <w:vAlign w:val="center"/>
                </w:tcPr>
                <w:p w:rsidR="00194459" w:rsidRPr="00332504" w:rsidRDefault="00194459" w:rsidP="00194459">
                  <w:pPr>
                    <w:spacing w:line="276" w:lineRule="auto"/>
                    <w:rPr>
                      <w:rFonts w:ascii="Times New Roman" w:eastAsia="Times New Roman" w:hAnsi="Times New Roman" w:cs="Times New Roman"/>
                      <w:color w:val="222222"/>
                      <w:szCs w:val="24"/>
                      <w:lang w:eastAsia="es-CO"/>
                    </w:rPr>
                  </w:pPr>
                  <w:r w:rsidRPr="00332504">
                    <w:rPr>
                      <w:rFonts w:ascii="Times New Roman" w:eastAsia="Times New Roman" w:hAnsi="Times New Roman" w:cs="Times New Roman"/>
                      <w:color w:val="222222"/>
                      <w:szCs w:val="24"/>
                      <w:lang w:eastAsia="es-CO"/>
                    </w:rPr>
                    <w:t>Lyda Patricia Álvarez Amaya</w:t>
                  </w:r>
                </w:p>
              </w:tc>
              <w:tc>
                <w:tcPr>
                  <w:tcW w:w="7513" w:type="dxa"/>
                  <w:vMerge/>
                </w:tcPr>
                <w:p w:rsidR="00194459" w:rsidRPr="00332504" w:rsidRDefault="00194459" w:rsidP="00C64DE8">
                  <w:pPr>
                    <w:spacing w:line="276" w:lineRule="auto"/>
                    <w:jc w:val="both"/>
                    <w:rPr>
                      <w:rFonts w:ascii="Times New Roman" w:eastAsia="Times New Roman" w:hAnsi="Times New Roman" w:cs="Times New Roman"/>
                      <w:color w:val="222222"/>
                      <w:szCs w:val="24"/>
                      <w:lang w:eastAsia="es-CO"/>
                    </w:rPr>
                  </w:pPr>
                </w:p>
              </w:tc>
              <w:tc>
                <w:tcPr>
                  <w:tcW w:w="1276" w:type="dxa"/>
                  <w:vAlign w:val="center"/>
                </w:tcPr>
                <w:p w:rsidR="00194459" w:rsidRPr="00332504" w:rsidRDefault="00FB6D36" w:rsidP="00194459">
                  <w:pPr>
                    <w:spacing w:line="276" w:lineRule="auto"/>
                    <w:jc w:val="center"/>
                    <w:rPr>
                      <w:rFonts w:ascii="Times New Roman" w:eastAsia="Times New Roman" w:hAnsi="Times New Roman" w:cs="Times New Roman"/>
                      <w:color w:val="222222"/>
                      <w:szCs w:val="24"/>
                      <w:lang w:eastAsia="es-CO"/>
                    </w:rPr>
                  </w:pPr>
                  <w:r w:rsidRPr="00332504">
                    <w:rPr>
                      <w:rFonts w:ascii="Times New Roman" w:eastAsia="Times New Roman" w:hAnsi="Times New Roman" w:cs="Times New Roman"/>
                      <w:color w:val="222222"/>
                      <w:szCs w:val="24"/>
                      <w:lang w:eastAsia="es-CO"/>
                    </w:rPr>
                    <w:t>2263531</w:t>
                  </w:r>
                </w:p>
              </w:tc>
              <w:tc>
                <w:tcPr>
                  <w:tcW w:w="2268" w:type="dxa"/>
                  <w:vMerge/>
                  <w:vAlign w:val="center"/>
                </w:tcPr>
                <w:p w:rsidR="00194459" w:rsidRPr="00332504" w:rsidRDefault="00194459" w:rsidP="00194459">
                  <w:pPr>
                    <w:spacing w:line="276" w:lineRule="auto"/>
                    <w:rPr>
                      <w:rFonts w:ascii="Times New Roman" w:eastAsia="Times New Roman" w:hAnsi="Times New Roman" w:cs="Times New Roman"/>
                      <w:color w:val="222222"/>
                      <w:szCs w:val="24"/>
                      <w:lang w:eastAsia="es-CO"/>
                    </w:rPr>
                  </w:pPr>
                </w:p>
              </w:tc>
            </w:tr>
            <w:tr w:rsidR="00194459" w:rsidRPr="00332504" w:rsidTr="00194459">
              <w:tc>
                <w:tcPr>
                  <w:tcW w:w="3509" w:type="dxa"/>
                  <w:vAlign w:val="center"/>
                </w:tcPr>
                <w:p w:rsidR="00194459" w:rsidRPr="00332504" w:rsidRDefault="00194459" w:rsidP="00194459">
                  <w:pPr>
                    <w:spacing w:line="276" w:lineRule="auto"/>
                    <w:rPr>
                      <w:rFonts w:ascii="Times New Roman" w:eastAsia="Times New Roman" w:hAnsi="Times New Roman" w:cs="Times New Roman"/>
                      <w:color w:val="222222"/>
                      <w:szCs w:val="24"/>
                      <w:lang w:eastAsia="es-CO"/>
                    </w:rPr>
                  </w:pPr>
                  <w:r w:rsidRPr="00332504">
                    <w:rPr>
                      <w:rFonts w:ascii="Times New Roman" w:eastAsia="Times New Roman" w:hAnsi="Times New Roman" w:cs="Times New Roman"/>
                      <w:color w:val="222222"/>
                      <w:szCs w:val="24"/>
                      <w:lang w:eastAsia="es-CO"/>
                    </w:rPr>
                    <w:t>Giovanni Andrés Caicedo Castro</w:t>
                  </w:r>
                </w:p>
              </w:tc>
              <w:tc>
                <w:tcPr>
                  <w:tcW w:w="7513" w:type="dxa"/>
                </w:tcPr>
                <w:p w:rsidR="00194459" w:rsidRPr="00332504" w:rsidRDefault="00194459" w:rsidP="00C64DE8">
                  <w:pPr>
                    <w:spacing w:line="276" w:lineRule="auto"/>
                    <w:jc w:val="both"/>
                    <w:rPr>
                      <w:rFonts w:ascii="Times New Roman" w:eastAsia="Times New Roman" w:hAnsi="Times New Roman" w:cs="Times New Roman"/>
                      <w:i/>
                      <w:color w:val="222222"/>
                      <w:szCs w:val="24"/>
                      <w:lang w:eastAsia="es-CO"/>
                    </w:rPr>
                  </w:pPr>
                  <w:r w:rsidRPr="00332504">
                    <w:rPr>
                      <w:rFonts w:ascii="Times New Roman" w:eastAsia="Times New Roman" w:hAnsi="Times New Roman" w:cs="Times New Roman"/>
                      <w:i/>
                      <w:color w:val="222222"/>
                      <w:szCs w:val="24"/>
                      <w:lang w:eastAsia="es-CO"/>
                    </w:rPr>
                    <w:t>Procesos de diversificación productiva en la Provincia de Occidente de Boyacá, en el marco de procesos de gobernanza</w:t>
                  </w:r>
                </w:p>
              </w:tc>
              <w:tc>
                <w:tcPr>
                  <w:tcW w:w="1276" w:type="dxa"/>
                  <w:vAlign w:val="center"/>
                </w:tcPr>
                <w:p w:rsidR="00194459" w:rsidRPr="00332504" w:rsidRDefault="00194459" w:rsidP="00194459">
                  <w:pPr>
                    <w:spacing w:line="276" w:lineRule="auto"/>
                    <w:jc w:val="center"/>
                    <w:rPr>
                      <w:rFonts w:ascii="Times New Roman" w:eastAsia="Times New Roman" w:hAnsi="Times New Roman" w:cs="Times New Roman"/>
                      <w:color w:val="222222"/>
                      <w:szCs w:val="24"/>
                      <w:lang w:eastAsia="es-CO"/>
                    </w:rPr>
                  </w:pPr>
                </w:p>
              </w:tc>
              <w:tc>
                <w:tcPr>
                  <w:tcW w:w="2268" w:type="dxa"/>
                  <w:vAlign w:val="center"/>
                </w:tcPr>
                <w:p w:rsidR="00194459" w:rsidRPr="00332504" w:rsidRDefault="00194459" w:rsidP="00194459">
                  <w:pPr>
                    <w:spacing w:line="276" w:lineRule="auto"/>
                    <w:rPr>
                      <w:rFonts w:ascii="Times New Roman" w:eastAsia="Times New Roman" w:hAnsi="Times New Roman" w:cs="Times New Roman"/>
                      <w:color w:val="222222"/>
                      <w:szCs w:val="24"/>
                      <w:lang w:eastAsia="es-CO"/>
                    </w:rPr>
                  </w:pPr>
                  <w:r w:rsidRPr="00332504">
                    <w:rPr>
                      <w:rFonts w:ascii="Times New Roman" w:eastAsia="Times New Roman" w:hAnsi="Times New Roman" w:cs="Times New Roman"/>
                      <w:color w:val="222222"/>
                      <w:szCs w:val="24"/>
                      <w:lang w:eastAsia="es-CO"/>
                    </w:rPr>
                    <w:t>Carlos Sandoval</w:t>
                  </w:r>
                </w:p>
              </w:tc>
            </w:tr>
          </w:tbl>
          <w:p w:rsidR="00C64DE8" w:rsidRPr="00332504" w:rsidRDefault="00C64DE8" w:rsidP="00C64DE8">
            <w:pPr>
              <w:spacing w:after="0" w:line="276" w:lineRule="auto"/>
              <w:jc w:val="both"/>
              <w:rPr>
                <w:rFonts w:ascii="Times New Roman" w:eastAsia="Times New Roman" w:hAnsi="Times New Roman" w:cs="Times New Roman"/>
                <w:color w:val="222222"/>
                <w:sz w:val="24"/>
                <w:szCs w:val="24"/>
                <w:lang w:eastAsia="es-CO"/>
              </w:rPr>
            </w:pPr>
          </w:p>
        </w:tc>
      </w:tr>
    </w:tbl>
    <w:p w:rsidR="002A18AF" w:rsidRPr="00332504" w:rsidRDefault="002A18AF" w:rsidP="005D15C7">
      <w:pPr>
        <w:spacing w:after="0" w:line="276" w:lineRule="auto"/>
        <w:rPr>
          <w:rFonts w:ascii="Times New Roman" w:eastAsia="Times New Roman" w:hAnsi="Times New Roman" w:cs="Times New Roman"/>
          <w:sz w:val="24"/>
          <w:szCs w:val="24"/>
          <w:lang w:eastAsia="es-CO"/>
        </w:rPr>
      </w:pPr>
    </w:p>
    <w:p w:rsidR="001D6087" w:rsidRPr="00332504" w:rsidRDefault="001D6087" w:rsidP="005D15C7">
      <w:pPr>
        <w:spacing w:after="0" w:line="276" w:lineRule="auto"/>
        <w:rPr>
          <w:rFonts w:ascii="Times New Roman" w:eastAsia="Times New Roman" w:hAnsi="Times New Roman" w:cs="Times New Roman"/>
          <w:b/>
          <w:sz w:val="24"/>
          <w:szCs w:val="24"/>
          <w:lang w:eastAsia="es-CO"/>
        </w:rPr>
      </w:pPr>
      <w:r w:rsidRPr="00332504">
        <w:rPr>
          <w:rFonts w:ascii="Times New Roman" w:eastAsia="Times New Roman" w:hAnsi="Times New Roman" w:cs="Times New Roman"/>
          <w:b/>
          <w:sz w:val="24"/>
          <w:szCs w:val="24"/>
          <w:lang w:eastAsia="es-CO"/>
        </w:rPr>
        <w:lastRenderedPageBreak/>
        <w:t>Cronograma</w:t>
      </w:r>
    </w:p>
    <w:tbl>
      <w:tblPr>
        <w:tblW w:w="14686" w:type="dxa"/>
        <w:tblLayout w:type="fixed"/>
        <w:tblCellMar>
          <w:left w:w="70" w:type="dxa"/>
          <w:right w:w="70" w:type="dxa"/>
        </w:tblCellMar>
        <w:tblLook w:val="04A0" w:firstRow="1" w:lastRow="0" w:firstColumn="1" w:lastColumn="0" w:noHBand="0" w:noVBand="1"/>
      </w:tblPr>
      <w:tblGrid>
        <w:gridCol w:w="1099"/>
        <w:gridCol w:w="876"/>
        <w:gridCol w:w="850"/>
        <w:gridCol w:w="874"/>
        <w:gridCol w:w="160"/>
        <w:gridCol w:w="242"/>
        <w:gridCol w:w="202"/>
        <w:gridCol w:w="207"/>
        <w:gridCol w:w="207"/>
        <w:gridCol w:w="207"/>
        <w:gridCol w:w="207"/>
        <w:gridCol w:w="207"/>
        <w:gridCol w:w="207"/>
        <w:gridCol w:w="194"/>
        <w:gridCol w:w="194"/>
        <w:gridCol w:w="274"/>
        <w:gridCol w:w="274"/>
        <w:gridCol w:w="274"/>
        <w:gridCol w:w="274"/>
        <w:gridCol w:w="274"/>
        <w:gridCol w:w="274"/>
        <w:gridCol w:w="274"/>
        <w:gridCol w:w="274"/>
        <w:gridCol w:w="274"/>
        <w:gridCol w:w="274"/>
        <w:gridCol w:w="274"/>
        <w:gridCol w:w="121"/>
        <w:gridCol w:w="125"/>
        <w:gridCol w:w="183"/>
        <w:gridCol w:w="274"/>
        <w:gridCol w:w="274"/>
        <w:gridCol w:w="274"/>
        <w:gridCol w:w="140"/>
        <w:gridCol w:w="140"/>
        <w:gridCol w:w="274"/>
        <w:gridCol w:w="274"/>
        <w:gridCol w:w="274"/>
        <w:gridCol w:w="274"/>
        <w:gridCol w:w="274"/>
        <w:gridCol w:w="274"/>
        <w:gridCol w:w="274"/>
        <w:gridCol w:w="274"/>
        <w:gridCol w:w="274"/>
        <w:gridCol w:w="274"/>
        <w:gridCol w:w="274"/>
        <w:gridCol w:w="140"/>
        <w:gridCol w:w="140"/>
        <w:gridCol w:w="302"/>
        <w:gridCol w:w="302"/>
        <w:gridCol w:w="302"/>
        <w:gridCol w:w="8"/>
      </w:tblGrid>
      <w:tr w:rsidR="004B6B2E" w:rsidRPr="00332504" w:rsidTr="00BC26AF">
        <w:trPr>
          <w:trHeight w:val="340"/>
        </w:trPr>
        <w:tc>
          <w:tcPr>
            <w:tcW w:w="1099" w:type="dxa"/>
            <w:vMerge w:val="restart"/>
            <w:tcBorders>
              <w:top w:val="single" w:sz="8" w:space="0" w:color="auto"/>
              <w:left w:val="single" w:sz="8" w:space="0" w:color="auto"/>
              <w:bottom w:val="single" w:sz="8" w:space="0" w:color="000000"/>
              <w:right w:val="single" w:sz="8" w:space="0" w:color="auto"/>
            </w:tcBorders>
            <w:shd w:val="clear" w:color="000000" w:fill="FFCC99"/>
            <w:vAlign w:val="center"/>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 xml:space="preserve">   ACTIVIDADES</w:t>
            </w:r>
          </w:p>
        </w:tc>
        <w:tc>
          <w:tcPr>
            <w:tcW w:w="876" w:type="dxa"/>
            <w:vMerge w:val="restart"/>
            <w:tcBorders>
              <w:top w:val="single" w:sz="8" w:space="0" w:color="auto"/>
              <w:left w:val="single" w:sz="8" w:space="0" w:color="auto"/>
              <w:bottom w:val="single" w:sz="8" w:space="0" w:color="000000"/>
              <w:right w:val="single" w:sz="8" w:space="0" w:color="auto"/>
            </w:tcBorders>
            <w:shd w:val="clear" w:color="000000" w:fill="FFCC99"/>
            <w:vAlign w:val="center"/>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 xml:space="preserve">RESPONSABLE </w:t>
            </w:r>
          </w:p>
        </w:tc>
        <w:tc>
          <w:tcPr>
            <w:tcW w:w="1724" w:type="dxa"/>
            <w:gridSpan w:val="2"/>
            <w:tcBorders>
              <w:top w:val="single" w:sz="8" w:space="0" w:color="auto"/>
              <w:left w:val="nil"/>
              <w:bottom w:val="single" w:sz="8" w:space="0" w:color="auto"/>
              <w:right w:val="nil"/>
            </w:tcBorders>
            <w:shd w:val="clear" w:color="000000" w:fill="FFCC99"/>
            <w:noWrap/>
            <w:vAlign w:val="center"/>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FECHA</w:t>
            </w:r>
          </w:p>
        </w:tc>
        <w:tc>
          <w:tcPr>
            <w:tcW w:w="160" w:type="dxa"/>
            <w:tcBorders>
              <w:top w:val="single" w:sz="8" w:space="0" w:color="auto"/>
              <w:left w:val="single" w:sz="4" w:space="0" w:color="auto"/>
              <w:bottom w:val="nil"/>
              <w:right w:val="single" w:sz="8" w:space="0" w:color="auto"/>
            </w:tcBorders>
            <w:shd w:val="diagCross" w:color="000000" w:fill="C0C0C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 </w:t>
            </w:r>
          </w:p>
        </w:tc>
        <w:tc>
          <w:tcPr>
            <w:tcW w:w="858" w:type="dxa"/>
            <w:gridSpan w:val="4"/>
            <w:tcBorders>
              <w:top w:val="single" w:sz="8" w:space="0" w:color="auto"/>
              <w:left w:val="nil"/>
              <w:bottom w:val="single" w:sz="8" w:space="0" w:color="auto"/>
              <w:right w:val="single" w:sz="8" w:space="0" w:color="000000"/>
            </w:tcBorders>
            <w:shd w:val="clear" w:color="000000" w:fill="FFCC99"/>
            <w:noWrap/>
            <w:vAlign w:val="center"/>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FEBRERO</w:t>
            </w:r>
          </w:p>
        </w:tc>
        <w:tc>
          <w:tcPr>
            <w:tcW w:w="828" w:type="dxa"/>
            <w:gridSpan w:val="4"/>
            <w:tcBorders>
              <w:top w:val="single" w:sz="8" w:space="0" w:color="auto"/>
              <w:left w:val="single" w:sz="8" w:space="0" w:color="auto"/>
              <w:bottom w:val="nil"/>
              <w:right w:val="single" w:sz="8" w:space="0" w:color="000000"/>
            </w:tcBorders>
            <w:shd w:val="clear" w:color="000000" w:fill="FFCC99"/>
            <w:noWrap/>
            <w:vAlign w:val="center"/>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MARZO</w:t>
            </w:r>
          </w:p>
        </w:tc>
        <w:tc>
          <w:tcPr>
            <w:tcW w:w="1210" w:type="dxa"/>
            <w:gridSpan w:val="5"/>
            <w:tcBorders>
              <w:top w:val="single" w:sz="8" w:space="0" w:color="auto"/>
              <w:left w:val="single" w:sz="8" w:space="0" w:color="auto"/>
              <w:bottom w:val="nil"/>
              <w:right w:val="single" w:sz="8" w:space="0" w:color="000000"/>
            </w:tcBorders>
            <w:shd w:val="clear" w:color="000000" w:fill="FFCC99"/>
            <w:noWrap/>
            <w:vAlign w:val="center"/>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ABRIL</w:t>
            </w:r>
          </w:p>
        </w:tc>
        <w:tc>
          <w:tcPr>
            <w:tcW w:w="1096" w:type="dxa"/>
            <w:gridSpan w:val="4"/>
            <w:tcBorders>
              <w:top w:val="single" w:sz="8" w:space="0" w:color="auto"/>
              <w:left w:val="single" w:sz="8" w:space="0" w:color="auto"/>
              <w:bottom w:val="nil"/>
              <w:right w:val="nil"/>
            </w:tcBorders>
            <w:shd w:val="clear" w:color="000000" w:fill="FFCC99"/>
            <w:noWrap/>
            <w:vAlign w:val="center"/>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MAYO</w:t>
            </w:r>
          </w:p>
        </w:tc>
        <w:tc>
          <w:tcPr>
            <w:tcW w:w="1217" w:type="dxa"/>
            <w:gridSpan w:val="5"/>
            <w:tcBorders>
              <w:top w:val="single" w:sz="8" w:space="0" w:color="auto"/>
              <w:left w:val="single" w:sz="8" w:space="0" w:color="auto"/>
              <w:bottom w:val="nil"/>
              <w:right w:val="single" w:sz="8" w:space="0" w:color="000000"/>
            </w:tcBorders>
            <w:shd w:val="clear" w:color="000000" w:fill="FFCC99"/>
            <w:noWrap/>
            <w:vAlign w:val="center"/>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JUNIO</w:t>
            </w:r>
          </w:p>
        </w:tc>
        <w:tc>
          <w:tcPr>
            <w:tcW w:w="1270" w:type="dxa"/>
            <w:gridSpan w:val="6"/>
            <w:tcBorders>
              <w:top w:val="single" w:sz="8" w:space="0" w:color="auto"/>
              <w:left w:val="single" w:sz="8" w:space="0" w:color="auto"/>
              <w:bottom w:val="nil"/>
              <w:right w:val="single" w:sz="8" w:space="0" w:color="000000"/>
            </w:tcBorders>
            <w:shd w:val="clear" w:color="000000" w:fill="FFCC99"/>
            <w:noWrap/>
            <w:vAlign w:val="center"/>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JULIO</w:t>
            </w:r>
          </w:p>
        </w:tc>
        <w:tc>
          <w:tcPr>
            <w:tcW w:w="962" w:type="dxa"/>
            <w:gridSpan w:val="4"/>
            <w:tcBorders>
              <w:top w:val="single" w:sz="8" w:space="0" w:color="auto"/>
              <w:left w:val="single" w:sz="8" w:space="0" w:color="auto"/>
              <w:bottom w:val="nil"/>
              <w:right w:val="nil"/>
            </w:tcBorders>
            <w:shd w:val="clear" w:color="000000" w:fill="FFCC99"/>
            <w:noWrap/>
            <w:vAlign w:val="center"/>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AGOSTO</w:t>
            </w:r>
          </w:p>
        </w:tc>
        <w:tc>
          <w:tcPr>
            <w:tcW w:w="1096" w:type="dxa"/>
            <w:gridSpan w:val="4"/>
            <w:tcBorders>
              <w:top w:val="single" w:sz="8" w:space="0" w:color="auto"/>
              <w:left w:val="single" w:sz="8" w:space="0" w:color="auto"/>
              <w:bottom w:val="single" w:sz="8" w:space="0" w:color="auto"/>
              <w:right w:val="single" w:sz="8" w:space="0" w:color="000000"/>
            </w:tcBorders>
            <w:shd w:val="clear" w:color="000000" w:fill="FFCC99"/>
            <w:vAlign w:val="bottom"/>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SEPTIEMBRE</w:t>
            </w:r>
          </w:p>
        </w:tc>
        <w:tc>
          <w:tcPr>
            <w:tcW w:w="1236" w:type="dxa"/>
            <w:gridSpan w:val="5"/>
            <w:tcBorders>
              <w:top w:val="single" w:sz="8" w:space="0" w:color="auto"/>
              <w:left w:val="nil"/>
              <w:bottom w:val="single" w:sz="8" w:space="0" w:color="auto"/>
              <w:right w:val="single" w:sz="8" w:space="0" w:color="000000"/>
            </w:tcBorders>
            <w:shd w:val="clear" w:color="000000" w:fill="FFCC99"/>
            <w:noWrap/>
            <w:vAlign w:val="bottom"/>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OCTUBRE</w:t>
            </w:r>
          </w:p>
        </w:tc>
        <w:tc>
          <w:tcPr>
            <w:tcW w:w="1054" w:type="dxa"/>
            <w:gridSpan w:val="5"/>
            <w:tcBorders>
              <w:top w:val="single" w:sz="8" w:space="0" w:color="auto"/>
              <w:left w:val="nil"/>
              <w:bottom w:val="single" w:sz="8" w:space="0" w:color="auto"/>
              <w:right w:val="single" w:sz="8" w:space="0" w:color="000000"/>
            </w:tcBorders>
            <w:shd w:val="clear" w:color="000000" w:fill="FFCC99"/>
            <w:noWrap/>
            <w:vAlign w:val="bottom"/>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NOVIEMBRE</w:t>
            </w:r>
          </w:p>
        </w:tc>
      </w:tr>
      <w:tr w:rsidR="004B6B2E" w:rsidRPr="00332504" w:rsidTr="00BC26AF">
        <w:trPr>
          <w:gridAfter w:val="1"/>
          <w:wAfter w:w="8" w:type="dxa"/>
          <w:trHeight w:val="548"/>
        </w:trPr>
        <w:tc>
          <w:tcPr>
            <w:tcW w:w="1099" w:type="dxa"/>
            <w:vMerge/>
            <w:tcBorders>
              <w:top w:val="single" w:sz="8" w:space="0" w:color="auto"/>
              <w:left w:val="single" w:sz="8" w:space="0" w:color="auto"/>
              <w:bottom w:val="single" w:sz="8" w:space="0" w:color="000000"/>
              <w:right w:val="single" w:sz="8" w:space="0" w:color="auto"/>
            </w:tcBorders>
            <w:vAlign w:val="center"/>
            <w:hideMark/>
          </w:tcPr>
          <w:p w:rsidR="001D6087" w:rsidRPr="00332504" w:rsidRDefault="001D6087" w:rsidP="005D15C7">
            <w:pPr>
              <w:spacing w:after="0" w:line="276" w:lineRule="auto"/>
              <w:rPr>
                <w:rFonts w:ascii="Times New Roman" w:eastAsia="Times New Roman" w:hAnsi="Times New Roman" w:cs="Times New Roman"/>
                <w:b/>
                <w:bCs/>
                <w:sz w:val="14"/>
                <w:szCs w:val="18"/>
                <w:lang w:eastAsia="es-CO"/>
              </w:rPr>
            </w:pPr>
          </w:p>
        </w:tc>
        <w:tc>
          <w:tcPr>
            <w:tcW w:w="876" w:type="dxa"/>
            <w:vMerge/>
            <w:tcBorders>
              <w:top w:val="single" w:sz="8" w:space="0" w:color="auto"/>
              <w:left w:val="single" w:sz="8" w:space="0" w:color="auto"/>
              <w:bottom w:val="single" w:sz="8" w:space="0" w:color="000000"/>
              <w:right w:val="single" w:sz="8" w:space="0" w:color="auto"/>
            </w:tcBorders>
            <w:vAlign w:val="center"/>
            <w:hideMark/>
          </w:tcPr>
          <w:p w:rsidR="001D6087" w:rsidRPr="00332504" w:rsidRDefault="001D6087" w:rsidP="005D15C7">
            <w:pPr>
              <w:spacing w:after="0" w:line="276" w:lineRule="auto"/>
              <w:rPr>
                <w:rFonts w:ascii="Times New Roman" w:eastAsia="Times New Roman" w:hAnsi="Times New Roman" w:cs="Times New Roman"/>
                <w:b/>
                <w:bCs/>
                <w:sz w:val="14"/>
                <w:szCs w:val="18"/>
                <w:lang w:eastAsia="es-CO"/>
              </w:rPr>
            </w:pPr>
          </w:p>
        </w:tc>
        <w:tc>
          <w:tcPr>
            <w:tcW w:w="850" w:type="dxa"/>
            <w:tcBorders>
              <w:top w:val="nil"/>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Inicio</w:t>
            </w:r>
          </w:p>
        </w:tc>
        <w:tc>
          <w:tcPr>
            <w:tcW w:w="874" w:type="dxa"/>
            <w:tcBorders>
              <w:top w:val="nil"/>
              <w:left w:val="nil"/>
              <w:bottom w:val="single" w:sz="8" w:space="0" w:color="auto"/>
              <w:right w:val="nil"/>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b/>
                <w:bCs/>
                <w:sz w:val="14"/>
                <w:szCs w:val="18"/>
                <w:lang w:eastAsia="es-CO"/>
              </w:rPr>
            </w:pPr>
            <w:r w:rsidRPr="00332504">
              <w:rPr>
                <w:rFonts w:ascii="Times New Roman" w:eastAsia="Times New Roman" w:hAnsi="Times New Roman" w:cs="Times New Roman"/>
                <w:b/>
                <w:bCs/>
                <w:sz w:val="14"/>
                <w:szCs w:val="18"/>
                <w:lang w:eastAsia="es-CO"/>
              </w:rPr>
              <w:t>Fin.</w:t>
            </w:r>
          </w:p>
        </w:tc>
        <w:tc>
          <w:tcPr>
            <w:tcW w:w="160" w:type="dxa"/>
            <w:tcBorders>
              <w:top w:val="nil"/>
              <w:left w:val="single" w:sz="4" w:space="0" w:color="auto"/>
              <w:bottom w:val="single" w:sz="8" w:space="0" w:color="auto"/>
              <w:right w:val="single" w:sz="8" w:space="0" w:color="auto"/>
            </w:tcBorders>
            <w:shd w:val="diagCross" w:color="000000" w:fill="C0C0C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 </w:t>
            </w:r>
          </w:p>
        </w:tc>
        <w:tc>
          <w:tcPr>
            <w:tcW w:w="242" w:type="dxa"/>
            <w:tcBorders>
              <w:top w:val="nil"/>
              <w:left w:val="single" w:sz="4" w:space="0" w:color="auto"/>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1</w:t>
            </w:r>
          </w:p>
        </w:tc>
        <w:tc>
          <w:tcPr>
            <w:tcW w:w="202" w:type="dxa"/>
            <w:tcBorders>
              <w:top w:val="nil"/>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2</w:t>
            </w:r>
          </w:p>
        </w:tc>
        <w:tc>
          <w:tcPr>
            <w:tcW w:w="207" w:type="dxa"/>
            <w:tcBorders>
              <w:top w:val="nil"/>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3</w:t>
            </w:r>
          </w:p>
        </w:tc>
        <w:tc>
          <w:tcPr>
            <w:tcW w:w="207" w:type="dxa"/>
            <w:tcBorders>
              <w:top w:val="nil"/>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4</w:t>
            </w:r>
          </w:p>
        </w:tc>
        <w:tc>
          <w:tcPr>
            <w:tcW w:w="207" w:type="dxa"/>
            <w:tcBorders>
              <w:top w:val="single" w:sz="8" w:space="0" w:color="auto"/>
              <w:left w:val="single" w:sz="8" w:space="0" w:color="auto"/>
              <w:bottom w:val="single" w:sz="8" w:space="0" w:color="auto"/>
              <w:right w:val="nil"/>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5</w:t>
            </w:r>
          </w:p>
        </w:tc>
        <w:tc>
          <w:tcPr>
            <w:tcW w:w="207" w:type="dxa"/>
            <w:tcBorders>
              <w:top w:val="single" w:sz="8" w:space="0" w:color="auto"/>
              <w:left w:val="single" w:sz="4" w:space="0" w:color="auto"/>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6</w:t>
            </w:r>
          </w:p>
        </w:tc>
        <w:tc>
          <w:tcPr>
            <w:tcW w:w="207"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7</w:t>
            </w:r>
          </w:p>
        </w:tc>
        <w:tc>
          <w:tcPr>
            <w:tcW w:w="207"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8</w:t>
            </w:r>
          </w:p>
        </w:tc>
        <w:tc>
          <w:tcPr>
            <w:tcW w:w="388" w:type="dxa"/>
            <w:gridSpan w:val="2"/>
            <w:tcBorders>
              <w:top w:val="single" w:sz="8" w:space="0" w:color="auto"/>
              <w:left w:val="single" w:sz="8" w:space="0" w:color="auto"/>
              <w:bottom w:val="single" w:sz="8" w:space="0" w:color="auto"/>
              <w:right w:val="single" w:sz="8" w:space="0" w:color="000000"/>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9</w:t>
            </w:r>
          </w:p>
        </w:tc>
        <w:tc>
          <w:tcPr>
            <w:tcW w:w="274" w:type="dxa"/>
            <w:tcBorders>
              <w:top w:val="single" w:sz="8" w:space="0" w:color="auto"/>
              <w:left w:val="single" w:sz="4" w:space="0" w:color="auto"/>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10</w:t>
            </w:r>
          </w:p>
        </w:tc>
        <w:tc>
          <w:tcPr>
            <w:tcW w:w="274"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11</w:t>
            </w:r>
          </w:p>
        </w:tc>
        <w:tc>
          <w:tcPr>
            <w:tcW w:w="274" w:type="dxa"/>
            <w:tcBorders>
              <w:top w:val="single" w:sz="8" w:space="0" w:color="auto"/>
              <w:left w:val="nil"/>
              <w:bottom w:val="single" w:sz="8" w:space="0" w:color="auto"/>
              <w:right w:val="single" w:sz="8"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12</w:t>
            </w:r>
          </w:p>
        </w:tc>
        <w:tc>
          <w:tcPr>
            <w:tcW w:w="274"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13</w:t>
            </w:r>
          </w:p>
        </w:tc>
        <w:tc>
          <w:tcPr>
            <w:tcW w:w="274"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14</w:t>
            </w:r>
          </w:p>
        </w:tc>
        <w:tc>
          <w:tcPr>
            <w:tcW w:w="274"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15</w:t>
            </w:r>
          </w:p>
        </w:tc>
        <w:tc>
          <w:tcPr>
            <w:tcW w:w="274"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16</w:t>
            </w:r>
          </w:p>
        </w:tc>
        <w:tc>
          <w:tcPr>
            <w:tcW w:w="274" w:type="dxa"/>
            <w:tcBorders>
              <w:top w:val="single" w:sz="8" w:space="0" w:color="auto"/>
              <w:left w:val="single" w:sz="8" w:space="0" w:color="auto"/>
              <w:bottom w:val="single" w:sz="8" w:space="0" w:color="auto"/>
              <w:right w:val="nil"/>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17</w:t>
            </w:r>
          </w:p>
        </w:tc>
        <w:tc>
          <w:tcPr>
            <w:tcW w:w="274" w:type="dxa"/>
            <w:tcBorders>
              <w:top w:val="single" w:sz="8" w:space="0" w:color="auto"/>
              <w:left w:val="single" w:sz="4" w:space="0" w:color="auto"/>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18</w:t>
            </w:r>
          </w:p>
        </w:tc>
        <w:tc>
          <w:tcPr>
            <w:tcW w:w="274"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19</w:t>
            </w:r>
          </w:p>
        </w:tc>
        <w:tc>
          <w:tcPr>
            <w:tcW w:w="274"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20</w:t>
            </w:r>
          </w:p>
        </w:tc>
        <w:tc>
          <w:tcPr>
            <w:tcW w:w="429" w:type="dxa"/>
            <w:gridSpan w:val="3"/>
            <w:tcBorders>
              <w:top w:val="single" w:sz="8" w:space="0" w:color="auto"/>
              <w:left w:val="single" w:sz="8" w:space="0" w:color="auto"/>
              <w:bottom w:val="single" w:sz="8" w:space="0" w:color="auto"/>
              <w:right w:val="nil"/>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21</w:t>
            </w:r>
          </w:p>
        </w:tc>
        <w:tc>
          <w:tcPr>
            <w:tcW w:w="274" w:type="dxa"/>
            <w:tcBorders>
              <w:top w:val="single" w:sz="8" w:space="0" w:color="auto"/>
              <w:left w:val="single" w:sz="4" w:space="0" w:color="auto"/>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22</w:t>
            </w:r>
          </w:p>
        </w:tc>
        <w:tc>
          <w:tcPr>
            <w:tcW w:w="274"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23</w:t>
            </w:r>
          </w:p>
        </w:tc>
        <w:tc>
          <w:tcPr>
            <w:tcW w:w="274" w:type="dxa"/>
            <w:tcBorders>
              <w:top w:val="single" w:sz="8" w:space="0" w:color="auto"/>
              <w:left w:val="nil"/>
              <w:bottom w:val="single" w:sz="8" w:space="0" w:color="auto"/>
              <w:right w:val="single" w:sz="8"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24</w:t>
            </w:r>
          </w:p>
        </w:tc>
        <w:tc>
          <w:tcPr>
            <w:tcW w:w="280" w:type="dxa"/>
            <w:gridSpan w:val="2"/>
            <w:tcBorders>
              <w:top w:val="single" w:sz="8" w:space="0" w:color="auto"/>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25</w:t>
            </w:r>
          </w:p>
        </w:tc>
        <w:tc>
          <w:tcPr>
            <w:tcW w:w="274"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26</w:t>
            </w:r>
          </w:p>
        </w:tc>
        <w:tc>
          <w:tcPr>
            <w:tcW w:w="274"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28</w:t>
            </w:r>
          </w:p>
        </w:tc>
        <w:tc>
          <w:tcPr>
            <w:tcW w:w="274" w:type="dxa"/>
            <w:tcBorders>
              <w:top w:val="single" w:sz="8" w:space="0" w:color="auto"/>
              <w:left w:val="nil"/>
              <w:bottom w:val="single" w:sz="8" w:space="0" w:color="auto"/>
              <w:right w:val="single" w:sz="8"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29</w:t>
            </w:r>
          </w:p>
        </w:tc>
        <w:tc>
          <w:tcPr>
            <w:tcW w:w="274" w:type="dxa"/>
            <w:tcBorders>
              <w:top w:val="nil"/>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30</w:t>
            </w:r>
          </w:p>
        </w:tc>
        <w:tc>
          <w:tcPr>
            <w:tcW w:w="274" w:type="dxa"/>
            <w:tcBorders>
              <w:top w:val="nil"/>
              <w:left w:val="single" w:sz="8" w:space="0" w:color="auto"/>
              <w:bottom w:val="single" w:sz="8" w:space="0" w:color="auto"/>
              <w:right w:val="nil"/>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31</w:t>
            </w:r>
          </w:p>
        </w:tc>
        <w:tc>
          <w:tcPr>
            <w:tcW w:w="274" w:type="dxa"/>
            <w:tcBorders>
              <w:top w:val="nil"/>
              <w:left w:val="single" w:sz="4" w:space="0" w:color="auto"/>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32</w:t>
            </w:r>
          </w:p>
        </w:tc>
        <w:tc>
          <w:tcPr>
            <w:tcW w:w="274" w:type="dxa"/>
            <w:tcBorders>
              <w:top w:val="nil"/>
              <w:left w:val="nil"/>
              <w:bottom w:val="single" w:sz="8" w:space="0" w:color="auto"/>
              <w:right w:val="single" w:sz="8"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33</w:t>
            </w:r>
          </w:p>
        </w:tc>
        <w:tc>
          <w:tcPr>
            <w:tcW w:w="274" w:type="dxa"/>
            <w:tcBorders>
              <w:top w:val="nil"/>
              <w:left w:val="nil"/>
              <w:bottom w:val="single" w:sz="8" w:space="0" w:color="auto"/>
              <w:right w:val="single" w:sz="4"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34</w:t>
            </w:r>
          </w:p>
        </w:tc>
        <w:tc>
          <w:tcPr>
            <w:tcW w:w="274" w:type="dxa"/>
            <w:tcBorders>
              <w:top w:val="nil"/>
              <w:left w:val="nil"/>
              <w:bottom w:val="single" w:sz="8" w:space="0" w:color="auto"/>
              <w:right w:val="nil"/>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35</w:t>
            </w:r>
          </w:p>
        </w:tc>
        <w:tc>
          <w:tcPr>
            <w:tcW w:w="274" w:type="dxa"/>
            <w:tcBorders>
              <w:top w:val="nil"/>
              <w:left w:val="single" w:sz="4" w:space="0" w:color="auto"/>
              <w:bottom w:val="single" w:sz="8" w:space="0" w:color="auto"/>
              <w:right w:val="nil"/>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36</w:t>
            </w:r>
          </w:p>
        </w:tc>
        <w:tc>
          <w:tcPr>
            <w:tcW w:w="274" w:type="dxa"/>
            <w:tcBorders>
              <w:top w:val="nil"/>
              <w:left w:val="single" w:sz="4" w:space="0" w:color="auto"/>
              <w:bottom w:val="single" w:sz="8" w:space="0" w:color="auto"/>
              <w:right w:val="single" w:sz="8" w:space="0" w:color="auto"/>
            </w:tcBorders>
            <w:shd w:val="clear" w:color="000000" w:fill="FFCC00"/>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37</w:t>
            </w:r>
          </w:p>
        </w:tc>
        <w:tc>
          <w:tcPr>
            <w:tcW w:w="280" w:type="dxa"/>
            <w:gridSpan w:val="2"/>
            <w:tcBorders>
              <w:top w:val="nil"/>
              <w:left w:val="nil"/>
              <w:bottom w:val="single" w:sz="8" w:space="0" w:color="auto"/>
              <w:right w:val="nil"/>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38</w:t>
            </w:r>
          </w:p>
        </w:tc>
        <w:tc>
          <w:tcPr>
            <w:tcW w:w="302" w:type="dxa"/>
            <w:tcBorders>
              <w:top w:val="nil"/>
              <w:left w:val="single" w:sz="4" w:space="0" w:color="auto"/>
              <w:bottom w:val="single" w:sz="8" w:space="0" w:color="auto"/>
              <w:right w:val="nil"/>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39</w:t>
            </w:r>
          </w:p>
        </w:tc>
        <w:tc>
          <w:tcPr>
            <w:tcW w:w="302" w:type="dxa"/>
            <w:tcBorders>
              <w:top w:val="nil"/>
              <w:left w:val="single" w:sz="4" w:space="0" w:color="auto"/>
              <w:bottom w:val="single" w:sz="8" w:space="0" w:color="auto"/>
              <w:right w:val="nil"/>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40</w:t>
            </w:r>
          </w:p>
        </w:tc>
        <w:tc>
          <w:tcPr>
            <w:tcW w:w="302" w:type="dxa"/>
            <w:tcBorders>
              <w:top w:val="nil"/>
              <w:left w:val="single" w:sz="4" w:space="0" w:color="auto"/>
              <w:bottom w:val="nil"/>
              <w:right w:val="single" w:sz="8" w:space="0" w:color="auto"/>
            </w:tcBorders>
            <w:shd w:val="clear" w:color="000000" w:fill="FFCC00"/>
            <w:noWrap/>
            <w:vAlign w:val="center"/>
            <w:hideMark/>
          </w:tcPr>
          <w:p w:rsidR="001D6087" w:rsidRPr="00332504" w:rsidRDefault="001D6087" w:rsidP="005D15C7">
            <w:pPr>
              <w:spacing w:after="0" w:line="276" w:lineRule="auto"/>
              <w:jc w:val="center"/>
              <w:rPr>
                <w:rFonts w:ascii="Times New Roman" w:eastAsia="Times New Roman" w:hAnsi="Times New Roman" w:cs="Times New Roman"/>
                <w:sz w:val="14"/>
                <w:szCs w:val="18"/>
                <w:lang w:eastAsia="es-CO"/>
              </w:rPr>
            </w:pPr>
            <w:r w:rsidRPr="00332504">
              <w:rPr>
                <w:rFonts w:ascii="Times New Roman" w:eastAsia="Times New Roman" w:hAnsi="Times New Roman" w:cs="Times New Roman"/>
                <w:sz w:val="14"/>
                <w:szCs w:val="18"/>
                <w:lang w:eastAsia="es-CO"/>
              </w:rPr>
              <w:t>41</w:t>
            </w:r>
          </w:p>
        </w:tc>
      </w:tr>
      <w:tr w:rsidR="004B6B2E" w:rsidRPr="00332504" w:rsidTr="00BC26AF">
        <w:trPr>
          <w:gridAfter w:val="1"/>
          <w:wAfter w:w="8" w:type="dxa"/>
          <w:trHeight w:val="340"/>
        </w:trPr>
        <w:tc>
          <w:tcPr>
            <w:tcW w:w="1099" w:type="dxa"/>
            <w:tcBorders>
              <w:top w:val="nil"/>
              <w:left w:val="single" w:sz="8" w:space="0" w:color="auto"/>
              <w:bottom w:val="single" w:sz="4" w:space="0" w:color="auto"/>
              <w:right w:val="single" w:sz="8" w:space="0" w:color="auto"/>
            </w:tcBorders>
            <w:shd w:val="clear" w:color="auto" w:fill="auto"/>
            <w:vAlign w:val="center"/>
            <w:hideMark/>
          </w:tcPr>
          <w:p w:rsidR="001D6087" w:rsidRPr="00332504" w:rsidRDefault="00FB6D36" w:rsidP="005D15C7">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Revisión de archivo y literatura especializada</w:t>
            </w:r>
            <w:r w:rsidR="001D6087" w:rsidRPr="00332504">
              <w:rPr>
                <w:rFonts w:ascii="Times New Roman" w:eastAsia="Times New Roman" w:hAnsi="Times New Roman" w:cs="Times New Roman"/>
                <w:sz w:val="18"/>
                <w:szCs w:val="18"/>
                <w:lang w:eastAsia="es-CO"/>
              </w:rPr>
              <w:t> </w:t>
            </w:r>
          </w:p>
        </w:tc>
        <w:tc>
          <w:tcPr>
            <w:tcW w:w="876" w:type="dxa"/>
            <w:tcBorders>
              <w:top w:val="nil"/>
              <w:left w:val="nil"/>
              <w:bottom w:val="single" w:sz="4" w:space="0" w:color="auto"/>
              <w:right w:val="single" w:sz="8" w:space="0" w:color="auto"/>
            </w:tcBorders>
            <w:shd w:val="clear" w:color="auto" w:fill="auto"/>
            <w:vAlign w:val="center"/>
            <w:hideMark/>
          </w:tcPr>
          <w:p w:rsidR="001D6087" w:rsidRPr="00332504" w:rsidRDefault="001D6087" w:rsidP="005D15C7">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r w:rsidR="004B6B2E" w:rsidRPr="00332504">
              <w:rPr>
                <w:rFonts w:ascii="Times New Roman" w:eastAsia="Times New Roman" w:hAnsi="Times New Roman" w:cs="Times New Roman"/>
                <w:sz w:val="18"/>
                <w:szCs w:val="18"/>
                <w:lang w:eastAsia="es-CO"/>
              </w:rPr>
              <w:t>Eloisa Vargas; Jorge A. Pinzón y; Carlos Sandoval</w:t>
            </w:r>
          </w:p>
        </w:tc>
        <w:tc>
          <w:tcPr>
            <w:tcW w:w="850" w:type="dxa"/>
            <w:tcBorders>
              <w:top w:val="single" w:sz="8" w:space="0" w:color="auto"/>
              <w:left w:val="single" w:sz="8" w:space="0" w:color="auto"/>
              <w:bottom w:val="nil"/>
              <w:right w:val="single" w:sz="8" w:space="0" w:color="auto"/>
            </w:tcBorders>
            <w:shd w:val="clear" w:color="000000" w:fill="C0C0C0"/>
            <w:vAlign w:val="center"/>
            <w:hideMark/>
          </w:tcPr>
          <w:p w:rsidR="001D6087" w:rsidRPr="00332504" w:rsidRDefault="001D6087" w:rsidP="004B6B2E">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 </w:t>
            </w:r>
            <w:r w:rsidR="004B6B2E" w:rsidRPr="00332504">
              <w:rPr>
                <w:rFonts w:ascii="Times New Roman" w:eastAsia="Times New Roman" w:hAnsi="Times New Roman" w:cs="Times New Roman"/>
                <w:b/>
                <w:bCs/>
                <w:sz w:val="18"/>
                <w:szCs w:val="18"/>
                <w:lang w:eastAsia="es-CO"/>
              </w:rPr>
              <w:t>01.02.20</w:t>
            </w:r>
          </w:p>
        </w:tc>
        <w:tc>
          <w:tcPr>
            <w:tcW w:w="874" w:type="dxa"/>
            <w:tcBorders>
              <w:top w:val="nil"/>
              <w:left w:val="nil"/>
              <w:bottom w:val="nil"/>
              <w:right w:val="nil"/>
            </w:tcBorders>
            <w:shd w:val="clear" w:color="000000" w:fill="FF8080"/>
            <w:vAlign w:val="center"/>
            <w:hideMark/>
          </w:tcPr>
          <w:p w:rsidR="001D6087" w:rsidRPr="00332504" w:rsidRDefault="004B6B2E" w:rsidP="005D15C7">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30.04.20</w:t>
            </w:r>
          </w:p>
        </w:tc>
        <w:tc>
          <w:tcPr>
            <w:tcW w:w="160" w:type="dxa"/>
            <w:tcBorders>
              <w:top w:val="nil"/>
              <w:left w:val="single" w:sz="4" w:space="0" w:color="auto"/>
              <w:bottom w:val="nil"/>
              <w:right w:val="single" w:sz="4" w:space="0" w:color="auto"/>
            </w:tcBorders>
            <w:shd w:val="diagCross" w:color="000000" w:fill="C0C0C0"/>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2" w:type="dxa"/>
            <w:tcBorders>
              <w:top w:val="nil"/>
              <w:left w:val="single" w:sz="8" w:space="0" w:color="auto"/>
              <w:bottom w:val="single" w:sz="4" w:space="0" w:color="auto"/>
              <w:right w:val="nil"/>
            </w:tcBorders>
            <w:shd w:val="clear" w:color="auto" w:fill="00B0F0"/>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2" w:type="dxa"/>
            <w:tcBorders>
              <w:top w:val="nil"/>
              <w:left w:val="single" w:sz="4" w:space="0" w:color="auto"/>
              <w:bottom w:val="single" w:sz="4" w:space="0" w:color="auto"/>
              <w:right w:val="nil"/>
            </w:tcBorders>
            <w:shd w:val="clear" w:color="auto" w:fill="00B0F0"/>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00B0F0"/>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00B0F0"/>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nil"/>
            </w:tcBorders>
            <w:shd w:val="clear" w:color="auto" w:fill="00B0F0"/>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00B0F0"/>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4" w:space="0" w:color="auto"/>
            </w:tcBorders>
            <w:shd w:val="clear" w:color="auto" w:fill="00B0F0"/>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00B0F0"/>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88" w:type="dxa"/>
            <w:gridSpan w:val="2"/>
            <w:tcBorders>
              <w:top w:val="single" w:sz="8" w:space="0" w:color="auto"/>
              <w:left w:val="nil"/>
              <w:bottom w:val="single" w:sz="4" w:space="0" w:color="auto"/>
              <w:right w:val="nil"/>
            </w:tcBorders>
            <w:shd w:val="clear" w:color="auto" w:fill="00B0F0"/>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00B0F0"/>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00B0F0"/>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00B0F0"/>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429" w:type="dxa"/>
            <w:gridSpan w:val="3"/>
            <w:tcBorders>
              <w:top w:val="single" w:sz="8" w:space="0" w:color="auto"/>
              <w:left w:val="nil"/>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single" w:sz="4" w:space="0" w:color="auto"/>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1D6087" w:rsidRPr="00332504" w:rsidRDefault="001D6087" w:rsidP="005D15C7">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r>
      <w:tr w:rsidR="00BC26AF" w:rsidRPr="00332504" w:rsidTr="00BC26AF">
        <w:trPr>
          <w:gridAfter w:val="1"/>
          <w:wAfter w:w="8" w:type="dxa"/>
          <w:trHeight w:val="321"/>
        </w:trPr>
        <w:tc>
          <w:tcPr>
            <w:tcW w:w="1099" w:type="dxa"/>
            <w:tcBorders>
              <w:top w:val="nil"/>
              <w:left w:val="single" w:sz="8"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Lectura de prensa</w:t>
            </w:r>
          </w:p>
        </w:tc>
        <w:tc>
          <w:tcPr>
            <w:tcW w:w="876"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Eloisa Vargas; Jorge A. Pinzón y; Carlos Sandoval</w:t>
            </w:r>
          </w:p>
        </w:tc>
        <w:tc>
          <w:tcPr>
            <w:tcW w:w="850" w:type="dxa"/>
            <w:tcBorders>
              <w:top w:val="single" w:sz="4" w:space="0" w:color="auto"/>
              <w:left w:val="single" w:sz="8" w:space="0" w:color="auto"/>
              <w:bottom w:val="single" w:sz="4" w:space="0" w:color="auto"/>
              <w:right w:val="single" w:sz="8" w:space="0" w:color="auto"/>
            </w:tcBorders>
            <w:shd w:val="clear"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 01.02.20</w:t>
            </w:r>
          </w:p>
        </w:tc>
        <w:tc>
          <w:tcPr>
            <w:tcW w:w="874" w:type="dxa"/>
            <w:tcBorders>
              <w:top w:val="single" w:sz="4" w:space="0" w:color="auto"/>
              <w:left w:val="nil"/>
              <w:bottom w:val="single" w:sz="4" w:space="0" w:color="auto"/>
              <w:right w:val="single" w:sz="4" w:space="0" w:color="auto"/>
            </w:tcBorders>
            <w:shd w:val="clear" w:color="000000" w:fill="FF808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30.04.20</w:t>
            </w:r>
          </w:p>
        </w:tc>
        <w:tc>
          <w:tcPr>
            <w:tcW w:w="160" w:type="dxa"/>
            <w:tcBorders>
              <w:top w:val="nil"/>
              <w:left w:val="single" w:sz="4" w:space="0" w:color="auto"/>
              <w:bottom w:val="nil"/>
              <w:right w:val="single" w:sz="4" w:space="0" w:color="auto"/>
            </w:tcBorders>
            <w:shd w:val="diagCross"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2" w:type="dxa"/>
            <w:tcBorders>
              <w:top w:val="nil"/>
              <w:left w:val="single" w:sz="8" w:space="0" w:color="auto"/>
              <w:bottom w:val="single" w:sz="4" w:space="0" w:color="auto"/>
              <w:right w:val="nil"/>
            </w:tcBorders>
            <w:shd w:val="clear" w:color="auto" w:fill="00B0F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2" w:type="dxa"/>
            <w:tcBorders>
              <w:top w:val="nil"/>
              <w:left w:val="single" w:sz="4" w:space="0" w:color="auto"/>
              <w:bottom w:val="single" w:sz="4" w:space="0" w:color="auto"/>
              <w:right w:val="nil"/>
            </w:tcBorders>
            <w:shd w:val="clear" w:color="auto" w:fill="00B0F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00B0F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00B0F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nil"/>
            </w:tcBorders>
            <w:shd w:val="clear" w:color="auto" w:fill="00B0F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00B0F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4" w:space="0" w:color="auto"/>
            </w:tcBorders>
            <w:shd w:val="clear" w:color="auto" w:fill="00B0F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00B0F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00B0F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00B0F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00B0F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00B0F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00B0F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6" w:type="dxa"/>
            <w:gridSpan w:val="2"/>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83"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r>
      <w:tr w:rsidR="00BC26AF" w:rsidRPr="00332504" w:rsidTr="00BC26AF">
        <w:trPr>
          <w:gridAfter w:val="1"/>
          <w:wAfter w:w="8" w:type="dxa"/>
          <w:trHeight w:val="321"/>
        </w:trPr>
        <w:tc>
          <w:tcPr>
            <w:tcW w:w="1099" w:type="dxa"/>
            <w:tcBorders>
              <w:top w:val="nil"/>
              <w:left w:val="single" w:sz="8"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Entrevistas semiestructuradas</w:t>
            </w:r>
          </w:p>
        </w:tc>
        <w:tc>
          <w:tcPr>
            <w:tcW w:w="876"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Eloisa Vargas</w:t>
            </w:r>
          </w:p>
        </w:tc>
        <w:tc>
          <w:tcPr>
            <w:tcW w:w="850" w:type="dxa"/>
            <w:tcBorders>
              <w:top w:val="single" w:sz="4" w:space="0" w:color="auto"/>
              <w:left w:val="single" w:sz="8" w:space="0" w:color="auto"/>
              <w:bottom w:val="single" w:sz="4" w:space="0" w:color="auto"/>
              <w:right w:val="single" w:sz="8" w:space="0" w:color="auto"/>
            </w:tcBorders>
            <w:shd w:val="clear"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01.05.20 </w:t>
            </w:r>
          </w:p>
        </w:tc>
        <w:tc>
          <w:tcPr>
            <w:tcW w:w="874" w:type="dxa"/>
            <w:tcBorders>
              <w:top w:val="single" w:sz="4" w:space="0" w:color="auto"/>
              <w:left w:val="nil"/>
              <w:bottom w:val="single" w:sz="4" w:space="0" w:color="auto"/>
              <w:right w:val="single" w:sz="4" w:space="0" w:color="auto"/>
            </w:tcBorders>
            <w:shd w:val="clear" w:color="000000" w:fill="FF808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30.07.20 </w:t>
            </w:r>
          </w:p>
        </w:tc>
        <w:tc>
          <w:tcPr>
            <w:tcW w:w="160" w:type="dxa"/>
            <w:tcBorders>
              <w:top w:val="nil"/>
              <w:left w:val="single" w:sz="4" w:space="0" w:color="auto"/>
              <w:bottom w:val="nil"/>
              <w:right w:val="single" w:sz="4" w:space="0" w:color="auto"/>
            </w:tcBorders>
            <w:shd w:val="diagCross"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2" w:type="dxa"/>
            <w:tcBorders>
              <w:top w:val="nil"/>
              <w:left w:val="single" w:sz="8"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6" w:type="dxa"/>
            <w:gridSpan w:val="2"/>
            <w:tcBorders>
              <w:top w:val="nil"/>
              <w:left w:val="nil"/>
              <w:bottom w:val="single" w:sz="4" w:space="0" w:color="auto"/>
              <w:right w:val="nil"/>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83" w:type="dxa"/>
            <w:tcBorders>
              <w:top w:val="nil"/>
              <w:left w:val="nil"/>
              <w:bottom w:val="single" w:sz="4" w:space="0" w:color="auto"/>
              <w:right w:val="nil"/>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r>
      <w:tr w:rsidR="00BC26AF" w:rsidRPr="00332504" w:rsidTr="00BC26AF">
        <w:trPr>
          <w:gridAfter w:val="1"/>
          <w:wAfter w:w="8" w:type="dxa"/>
          <w:trHeight w:val="321"/>
        </w:trPr>
        <w:tc>
          <w:tcPr>
            <w:tcW w:w="1099" w:type="dxa"/>
            <w:tcBorders>
              <w:top w:val="nil"/>
              <w:left w:val="single" w:sz="8"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Grupos focales (salidas de campo)</w:t>
            </w:r>
          </w:p>
        </w:tc>
        <w:tc>
          <w:tcPr>
            <w:tcW w:w="876"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xml:space="preserve">Eloisa Vargas; </w:t>
            </w:r>
            <w:r w:rsidRPr="00332504">
              <w:rPr>
                <w:rFonts w:ascii="Times New Roman" w:eastAsia="Times New Roman" w:hAnsi="Times New Roman" w:cs="Times New Roman"/>
                <w:sz w:val="18"/>
                <w:szCs w:val="18"/>
                <w:lang w:eastAsia="es-CO"/>
              </w:rPr>
              <w:t>Carlos Sandoval</w:t>
            </w:r>
          </w:p>
        </w:tc>
        <w:tc>
          <w:tcPr>
            <w:tcW w:w="850" w:type="dxa"/>
            <w:tcBorders>
              <w:top w:val="single" w:sz="4" w:space="0" w:color="auto"/>
              <w:left w:val="single" w:sz="8" w:space="0" w:color="auto"/>
              <w:bottom w:val="single" w:sz="4" w:space="0" w:color="auto"/>
              <w:right w:val="single" w:sz="8" w:space="0" w:color="auto"/>
            </w:tcBorders>
            <w:shd w:val="clear"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01.05.20 </w:t>
            </w:r>
          </w:p>
        </w:tc>
        <w:tc>
          <w:tcPr>
            <w:tcW w:w="874" w:type="dxa"/>
            <w:tcBorders>
              <w:top w:val="single" w:sz="4" w:space="0" w:color="auto"/>
              <w:left w:val="nil"/>
              <w:bottom w:val="single" w:sz="4" w:space="0" w:color="auto"/>
              <w:right w:val="single" w:sz="4" w:space="0" w:color="auto"/>
            </w:tcBorders>
            <w:shd w:val="clear" w:color="000000" w:fill="FF808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30.07.20 </w:t>
            </w:r>
          </w:p>
        </w:tc>
        <w:tc>
          <w:tcPr>
            <w:tcW w:w="160" w:type="dxa"/>
            <w:tcBorders>
              <w:top w:val="nil"/>
              <w:left w:val="single" w:sz="4" w:space="0" w:color="auto"/>
              <w:bottom w:val="nil"/>
              <w:right w:val="single" w:sz="4" w:space="0" w:color="auto"/>
            </w:tcBorders>
            <w:shd w:val="diagCross"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2" w:type="dxa"/>
            <w:tcBorders>
              <w:top w:val="nil"/>
              <w:left w:val="single" w:sz="8"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6" w:type="dxa"/>
            <w:gridSpan w:val="2"/>
            <w:tcBorders>
              <w:top w:val="nil"/>
              <w:left w:val="nil"/>
              <w:bottom w:val="single" w:sz="4" w:space="0" w:color="auto"/>
              <w:right w:val="nil"/>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83" w:type="dxa"/>
            <w:tcBorders>
              <w:top w:val="nil"/>
              <w:left w:val="nil"/>
              <w:bottom w:val="single" w:sz="4" w:space="0" w:color="auto"/>
              <w:right w:val="nil"/>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ED7D31" w:themeFill="accent2"/>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r>
      <w:tr w:rsidR="00BC26AF" w:rsidRPr="00332504" w:rsidTr="00BC26AF">
        <w:trPr>
          <w:gridAfter w:val="1"/>
          <w:wAfter w:w="8" w:type="dxa"/>
          <w:trHeight w:val="321"/>
        </w:trPr>
        <w:tc>
          <w:tcPr>
            <w:tcW w:w="1099" w:type="dxa"/>
            <w:tcBorders>
              <w:top w:val="nil"/>
              <w:left w:val="single" w:sz="8"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Cafés del Mundo (salidas de campo)</w:t>
            </w:r>
          </w:p>
        </w:tc>
        <w:tc>
          <w:tcPr>
            <w:tcW w:w="876"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Eloisa Vargas</w:t>
            </w:r>
          </w:p>
        </w:tc>
        <w:tc>
          <w:tcPr>
            <w:tcW w:w="850" w:type="dxa"/>
            <w:tcBorders>
              <w:top w:val="single" w:sz="4" w:space="0" w:color="auto"/>
              <w:left w:val="single" w:sz="8" w:space="0" w:color="auto"/>
              <w:bottom w:val="single" w:sz="4" w:space="0" w:color="auto"/>
              <w:right w:val="single" w:sz="8" w:space="0" w:color="auto"/>
            </w:tcBorders>
            <w:shd w:val="clear"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15.07.20 </w:t>
            </w:r>
          </w:p>
        </w:tc>
        <w:tc>
          <w:tcPr>
            <w:tcW w:w="874" w:type="dxa"/>
            <w:tcBorders>
              <w:top w:val="single" w:sz="4" w:space="0" w:color="auto"/>
              <w:left w:val="nil"/>
              <w:bottom w:val="single" w:sz="4" w:space="0" w:color="auto"/>
              <w:right w:val="single" w:sz="4" w:space="0" w:color="auto"/>
            </w:tcBorders>
            <w:shd w:val="clear" w:color="000000" w:fill="FF808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 15.08.20</w:t>
            </w:r>
          </w:p>
        </w:tc>
        <w:tc>
          <w:tcPr>
            <w:tcW w:w="160" w:type="dxa"/>
            <w:tcBorders>
              <w:top w:val="nil"/>
              <w:left w:val="single" w:sz="4" w:space="0" w:color="auto"/>
              <w:bottom w:val="nil"/>
              <w:right w:val="single" w:sz="4" w:space="0" w:color="auto"/>
            </w:tcBorders>
            <w:shd w:val="diagCross"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2" w:type="dxa"/>
            <w:tcBorders>
              <w:top w:val="nil"/>
              <w:left w:val="single" w:sz="8"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6" w:type="dxa"/>
            <w:gridSpan w:val="2"/>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83" w:type="dxa"/>
            <w:tcBorders>
              <w:top w:val="nil"/>
              <w:left w:val="nil"/>
              <w:bottom w:val="single" w:sz="4" w:space="0" w:color="auto"/>
              <w:right w:val="nil"/>
            </w:tcBorders>
            <w:shd w:val="clear" w:color="auto" w:fill="92D05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92D05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92D05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92D05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single" w:sz="4" w:space="0" w:color="auto"/>
            </w:tcBorders>
            <w:shd w:val="clear" w:color="auto" w:fill="92D05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92D05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r>
      <w:tr w:rsidR="00BC26AF" w:rsidRPr="00332504" w:rsidTr="00BC26AF">
        <w:trPr>
          <w:gridAfter w:val="1"/>
          <w:wAfter w:w="8" w:type="dxa"/>
          <w:trHeight w:val="302"/>
        </w:trPr>
        <w:tc>
          <w:tcPr>
            <w:tcW w:w="1099" w:type="dxa"/>
            <w:tcBorders>
              <w:top w:val="nil"/>
              <w:left w:val="single" w:sz="8"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Jornada I de  PPGA </w:t>
            </w:r>
          </w:p>
        </w:tc>
        <w:tc>
          <w:tcPr>
            <w:tcW w:w="876"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r w:rsidRPr="00332504">
              <w:rPr>
                <w:rFonts w:ascii="Times New Roman" w:eastAsia="Times New Roman" w:hAnsi="Times New Roman" w:cs="Times New Roman"/>
                <w:sz w:val="18"/>
                <w:szCs w:val="18"/>
                <w:lang w:eastAsia="es-CO"/>
              </w:rPr>
              <w:t>Eloisa Vargas; Jorge A. Pinzón y</w:t>
            </w:r>
          </w:p>
        </w:tc>
        <w:tc>
          <w:tcPr>
            <w:tcW w:w="850" w:type="dxa"/>
            <w:tcBorders>
              <w:top w:val="single" w:sz="4" w:space="0" w:color="auto"/>
              <w:left w:val="single" w:sz="8" w:space="0" w:color="auto"/>
              <w:bottom w:val="single" w:sz="4" w:space="0" w:color="auto"/>
              <w:right w:val="single" w:sz="8" w:space="0" w:color="auto"/>
            </w:tcBorders>
            <w:shd w:val="clear"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15.07.20 </w:t>
            </w:r>
          </w:p>
        </w:tc>
        <w:tc>
          <w:tcPr>
            <w:tcW w:w="874" w:type="dxa"/>
            <w:tcBorders>
              <w:top w:val="single" w:sz="4" w:space="0" w:color="auto"/>
              <w:left w:val="nil"/>
              <w:bottom w:val="single" w:sz="4" w:space="0" w:color="auto"/>
              <w:right w:val="single" w:sz="4" w:space="0" w:color="auto"/>
            </w:tcBorders>
            <w:shd w:val="clear" w:color="000000" w:fill="FF808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 15.08.20</w:t>
            </w:r>
          </w:p>
        </w:tc>
        <w:tc>
          <w:tcPr>
            <w:tcW w:w="160" w:type="dxa"/>
            <w:tcBorders>
              <w:top w:val="nil"/>
              <w:left w:val="single" w:sz="4" w:space="0" w:color="auto"/>
              <w:bottom w:val="nil"/>
              <w:right w:val="single" w:sz="4" w:space="0" w:color="auto"/>
            </w:tcBorders>
            <w:shd w:val="diagCross"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2" w:type="dxa"/>
            <w:tcBorders>
              <w:top w:val="nil"/>
              <w:left w:val="single" w:sz="8"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6" w:type="dxa"/>
            <w:gridSpan w:val="2"/>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83" w:type="dxa"/>
            <w:tcBorders>
              <w:top w:val="nil"/>
              <w:left w:val="nil"/>
              <w:bottom w:val="single" w:sz="4" w:space="0" w:color="auto"/>
              <w:right w:val="nil"/>
            </w:tcBorders>
            <w:shd w:val="clear" w:color="auto" w:fill="92D05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92D05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92D05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92D05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single" w:sz="4" w:space="0" w:color="auto"/>
            </w:tcBorders>
            <w:shd w:val="clear" w:color="auto" w:fill="92D05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92D05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r>
      <w:tr w:rsidR="00BC26AF" w:rsidRPr="00332504" w:rsidTr="00BC26AF">
        <w:trPr>
          <w:gridAfter w:val="1"/>
          <w:wAfter w:w="8" w:type="dxa"/>
          <w:trHeight w:val="302"/>
        </w:trPr>
        <w:tc>
          <w:tcPr>
            <w:tcW w:w="1099" w:type="dxa"/>
            <w:tcBorders>
              <w:top w:val="nil"/>
              <w:left w:val="single" w:sz="8"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Jornada II de PPGA</w:t>
            </w:r>
          </w:p>
        </w:tc>
        <w:tc>
          <w:tcPr>
            <w:tcW w:w="876"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r w:rsidRPr="00332504">
              <w:rPr>
                <w:rFonts w:ascii="Times New Roman" w:eastAsia="Times New Roman" w:hAnsi="Times New Roman" w:cs="Times New Roman"/>
                <w:sz w:val="18"/>
                <w:szCs w:val="18"/>
                <w:lang w:eastAsia="es-CO"/>
              </w:rPr>
              <w:t>Eloisa Vargas; Jorge A. Pinzón y</w:t>
            </w:r>
          </w:p>
        </w:tc>
        <w:tc>
          <w:tcPr>
            <w:tcW w:w="850" w:type="dxa"/>
            <w:tcBorders>
              <w:top w:val="single" w:sz="4" w:space="0" w:color="auto"/>
              <w:left w:val="single" w:sz="8" w:space="0" w:color="auto"/>
              <w:bottom w:val="single" w:sz="4" w:space="0" w:color="auto"/>
              <w:right w:val="single" w:sz="8" w:space="0" w:color="auto"/>
            </w:tcBorders>
            <w:shd w:val="clear"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16.08.20 </w:t>
            </w:r>
          </w:p>
        </w:tc>
        <w:tc>
          <w:tcPr>
            <w:tcW w:w="874" w:type="dxa"/>
            <w:tcBorders>
              <w:top w:val="single" w:sz="4" w:space="0" w:color="auto"/>
              <w:left w:val="nil"/>
              <w:bottom w:val="single" w:sz="4" w:space="0" w:color="auto"/>
              <w:right w:val="single" w:sz="4" w:space="0" w:color="auto"/>
            </w:tcBorders>
            <w:shd w:val="clear" w:color="000000" w:fill="FF808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20.10.20 </w:t>
            </w:r>
          </w:p>
        </w:tc>
        <w:tc>
          <w:tcPr>
            <w:tcW w:w="160" w:type="dxa"/>
            <w:tcBorders>
              <w:top w:val="nil"/>
              <w:left w:val="single" w:sz="4" w:space="0" w:color="auto"/>
              <w:bottom w:val="nil"/>
              <w:right w:val="single" w:sz="4" w:space="0" w:color="auto"/>
            </w:tcBorders>
            <w:shd w:val="diagCross"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2" w:type="dxa"/>
            <w:tcBorders>
              <w:top w:val="nil"/>
              <w:left w:val="single" w:sz="8"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6" w:type="dxa"/>
            <w:gridSpan w:val="2"/>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83"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r>
      <w:tr w:rsidR="00BC26AF" w:rsidRPr="00332504" w:rsidTr="00BC26AF">
        <w:trPr>
          <w:gridAfter w:val="1"/>
          <w:wAfter w:w="8" w:type="dxa"/>
          <w:trHeight w:val="302"/>
        </w:trPr>
        <w:tc>
          <w:tcPr>
            <w:tcW w:w="1099" w:type="dxa"/>
            <w:tcBorders>
              <w:top w:val="nil"/>
              <w:left w:val="single" w:sz="8"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Jornada III de PPGA</w:t>
            </w:r>
          </w:p>
        </w:tc>
        <w:tc>
          <w:tcPr>
            <w:tcW w:w="876"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r w:rsidRPr="00332504">
              <w:rPr>
                <w:rFonts w:ascii="Times New Roman" w:eastAsia="Times New Roman" w:hAnsi="Times New Roman" w:cs="Times New Roman"/>
                <w:sz w:val="18"/>
                <w:szCs w:val="18"/>
                <w:lang w:eastAsia="es-CO"/>
              </w:rPr>
              <w:t>Eloisa Vargas; Jorge A. Pinzón y</w:t>
            </w:r>
          </w:p>
        </w:tc>
        <w:tc>
          <w:tcPr>
            <w:tcW w:w="850" w:type="dxa"/>
            <w:tcBorders>
              <w:top w:val="single" w:sz="4" w:space="0" w:color="auto"/>
              <w:left w:val="single" w:sz="8" w:space="0" w:color="auto"/>
              <w:bottom w:val="single" w:sz="4" w:space="0" w:color="auto"/>
              <w:right w:val="single" w:sz="8" w:space="0" w:color="auto"/>
            </w:tcBorders>
            <w:shd w:val="clear"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16.08.20 </w:t>
            </w:r>
          </w:p>
        </w:tc>
        <w:tc>
          <w:tcPr>
            <w:tcW w:w="874" w:type="dxa"/>
            <w:tcBorders>
              <w:top w:val="single" w:sz="4" w:space="0" w:color="auto"/>
              <w:left w:val="nil"/>
              <w:bottom w:val="single" w:sz="4" w:space="0" w:color="auto"/>
              <w:right w:val="single" w:sz="4" w:space="0" w:color="auto"/>
            </w:tcBorders>
            <w:shd w:val="clear" w:color="000000" w:fill="FF808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20.10.20 </w:t>
            </w:r>
          </w:p>
        </w:tc>
        <w:tc>
          <w:tcPr>
            <w:tcW w:w="160" w:type="dxa"/>
            <w:tcBorders>
              <w:top w:val="nil"/>
              <w:left w:val="single" w:sz="4" w:space="0" w:color="auto"/>
              <w:bottom w:val="nil"/>
              <w:right w:val="single" w:sz="4" w:space="0" w:color="auto"/>
            </w:tcBorders>
            <w:shd w:val="diagCross"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2" w:type="dxa"/>
            <w:tcBorders>
              <w:top w:val="nil"/>
              <w:left w:val="single" w:sz="8"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6" w:type="dxa"/>
            <w:gridSpan w:val="2"/>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83"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single" w:sz="4"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B4C6E7" w:themeFill="accent5" w:themeFillTint="66"/>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r>
      <w:tr w:rsidR="00BC26AF" w:rsidRPr="00332504" w:rsidTr="00BC26AF">
        <w:trPr>
          <w:gridAfter w:val="1"/>
          <w:wAfter w:w="8" w:type="dxa"/>
          <w:trHeight w:val="302"/>
        </w:trPr>
        <w:tc>
          <w:tcPr>
            <w:tcW w:w="1099" w:type="dxa"/>
            <w:tcBorders>
              <w:top w:val="nil"/>
              <w:left w:val="single" w:sz="8" w:space="0" w:color="auto"/>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lastRenderedPageBreak/>
              <w:t> Sistematización</w:t>
            </w:r>
          </w:p>
        </w:tc>
        <w:tc>
          <w:tcPr>
            <w:tcW w:w="876" w:type="dxa"/>
            <w:tcBorders>
              <w:top w:val="nil"/>
              <w:left w:val="nil"/>
              <w:bottom w:val="single" w:sz="4" w:space="0" w:color="auto"/>
              <w:right w:val="single" w:sz="8" w:space="0" w:color="auto"/>
            </w:tcBorders>
            <w:shd w:val="clear" w:color="auto" w:fill="auto"/>
            <w:vAlign w:val="center"/>
            <w:hideMark/>
          </w:tcPr>
          <w:p w:rsidR="00BC26AF" w:rsidRPr="00332504" w:rsidRDefault="00BC26AF" w:rsidP="00BC26AF">
            <w:pPr>
              <w:spacing w:after="0" w:line="276" w:lineRule="auto"/>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r w:rsidRPr="00332504">
              <w:rPr>
                <w:rFonts w:ascii="Times New Roman" w:eastAsia="Times New Roman" w:hAnsi="Times New Roman" w:cs="Times New Roman"/>
                <w:sz w:val="18"/>
                <w:szCs w:val="18"/>
                <w:lang w:eastAsia="es-CO"/>
              </w:rPr>
              <w:t>Eloisa Vargas; Jorge A. Pinzón y; Carlos Sandoval</w:t>
            </w:r>
          </w:p>
        </w:tc>
        <w:tc>
          <w:tcPr>
            <w:tcW w:w="850" w:type="dxa"/>
            <w:tcBorders>
              <w:top w:val="single" w:sz="4" w:space="0" w:color="auto"/>
              <w:left w:val="single" w:sz="8" w:space="0" w:color="auto"/>
              <w:bottom w:val="single" w:sz="4" w:space="0" w:color="auto"/>
              <w:right w:val="single" w:sz="8" w:space="0" w:color="auto"/>
            </w:tcBorders>
            <w:shd w:val="clear"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 21.10.20</w:t>
            </w:r>
          </w:p>
        </w:tc>
        <w:tc>
          <w:tcPr>
            <w:tcW w:w="874" w:type="dxa"/>
            <w:tcBorders>
              <w:top w:val="single" w:sz="4" w:space="0" w:color="auto"/>
              <w:left w:val="nil"/>
              <w:bottom w:val="single" w:sz="4" w:space="0" w:color="auto"/>
              <w:right w:val="single" w:sz="4" w:space="0" w:color="auto"/>
            </w:tcBorders>
            <w:shd w:val="clear" w:color="000000" w:fill="FF8080"/>
            <w:vAlign w:val="center"/>
            <w:hideMark/>
          </w:tcPr>
          <w:p w:rsidR="00BC26AF" w:rsidRPr="00332504" w:rsidRDefault="00BC26AF" w:rsidP="00BC26AF">
            <w:pPr>
              <w:spacing w:after="0" w:line="276" w:lineRule="auto"/>
              <w:jc w:val="center"/>
              <w:rPr>
                <w:rFonts w:ascii="Times New Roman" w:eastAsia="Times New Roman" w:hAnsi="Times New Roman" w:cs="Times New Roman"/>
                <w:b/>
                <w:bCs/>
                <w:sz w:val="18"/>
                <w:szCs w:val="18"/>
                <w:lang w:eastAsia="es-CO"/>
              </w:rPr>
            </w:pPr>
            <w:r w:rsidRPr="00332504">
              <w:rPr>
                <w:rFonts w:ascii="Times New Roman" w:eastAsia="Times New Roman" w:hAnsi="Times New Roman" w:cs="Times New Roman"/>
                <w:b/>
                <w:bCs/>
                <w:sz w:val="18"/>
                <w:szCs w:val="18"/>
                <w:lang w:eastAsia="es-CO"/>
              </w:rPr>
              <w:t>30.11.20 </w:t>
            </w:r>
          </w:p>
        </w:tc>
        <w:tc>
          <w:tcPr>
            <w:tcW w:w="160" w:type="dxa"/>
            <w:tcBorders>
              <w:top w:val="nil"/>
              <w:left w:val="single" w:sz="4" w:space="0" w:color="auto"/>
              <w:bottom w:val="nil"/>
              <w:right w:val="single" w:sz="4" w:space="0" w:color="auto"/>
            </w:tcBorders>
            <w:shd w:val="diagCross" w:color="000000" w:fill="C0C0C0"/>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2" w:type="dxa"/>
            <w:tcBorders>
              <w:top w:val="nil"/>
              <w:left w:val="single" w:sz="8" w:space="0" w:color="auto"/>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2" w:type="dxa"/>
            <w:tcBorders>
              <w:top w:val="nil"/>
              <w:left w:val="single" w:sz="4" w:space="0" w:color="auto"/>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single" w:sz="4" w:space="0" w:color="auto"/>
              <w:bottom w:val="single" w:sz="4" w:space="0" w:color="auto"/>
              <w:right w:val="single" w:sz="4"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4"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07" w:type="dxa"/>
            <w:tcBorders>
              <w:top w:val="nil"/>
              <w:left w:val="nil"/>
              <w:bottom w:val="single" w:sz="4" w:space="0" w:color="auto"/>
              <w:right w:val="single" w:sz="8"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94" w:type="dxa"/>
            <w:tcBorders>
              <w:top w:val="nil"/>
              <w:left w:val="nil"/>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46" w:type="dxa"/>
            <w:gridSpan w:val="2"/>
            <w:tcBorders>
              <w:top w:val="nil"/>
              <w:left w:val="nil"/>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183" w:type="dxa"/>
            <w:tcBorders>
              <w:top w:val="nil"/>
              <w:left w:val="nil"/>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4"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4"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single" w:sz="8"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single" w:sz="4"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nil"/>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74" w:type="dxa"/>
            <w:tcBorders>
              <w:top w:val="nil"/>
              <w:left w:val="single" w:sz="4" w:space="0" w:color="auto"/>
              <w:bottom w:val="single" w:sz="4" w:space="0" w:color="auto"/>
              <w:right w:val="single" w:sz="8"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280" w:type="dxa"/>
            <w:gridSpan w:val="2"/>
            <w:tcBorders>
              <w:top w:val="nil"/>
              <w:left w:val="nil"/>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nil"/>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c>
          <w:tcPr>
            <w:tcW w:w="302" w:type="dxa"/>
            <w:tcBorders>
              <w:top w:val="nil"/>
              <w:left w:val="single" w:sz="4" w:space="0" w:color="auto"/>
              <w:bottom w:val="single" w:sz="4" w:space="0" w:color="auto"/>
              <w:right w:val="single" w:sz="8" w:space="0" w:color="auto"/>
            </w:tcBorders>
            <w:shd w:val="clear" w:color="auto" w:fill="FFC000" w:themeFill="accent4"/>
            <w:vAlign w:val="center"/>
            <w:hideMark/>
          </w:tcPr>
          <w:p w:rsidR="00BC26AF" w:rsidRPr="00332504" w:rsidRDefault="00BC26AF" w:rsidP="00BC26AF">
            <w:pPr>
              <w:spacing w:after="0" w:line="276" w:lineRule="auto"/>
              <w:jc w:val="center"/>
              <w:rPr>
                <w:rFonts w:ascii="Times New Roman" w:eastAsia="Times New Roman" w:hAnsi="Times New Roman" w:cs="Times New Roman"/>
                <w:sz w:val="18"/>
                <w:szCs w:val="18"/>
                <w:lang w:eastAsia="es-CO"/>
              </w:rPr>
            </w:pPr>
            <w:r w:rsidRPr="00332504">
              <w:rPr>
                <w:rFonts w:ascii="Times New Roman" w:eastAsia="Times New Roman" w:hAnsi="Times New Roman" w:cs="Times New Roman"/>
                <w:sz w:val="18"/>
                <w:szCs w:val="18"/>
                <w:lang w:eastAsia="es-CO"/>
              </w:rPr>
              <w:t> </w:t>
            </w:r>
          </w:p>
        </w:tc>
      </w:tr>
    </w:tbl>
    <w:p w:rsidR="00FB6D36" w:rsidRPr="00332504" w:rsidRDefault="00FB6D36" w:rsidP="005D15C7">
      <w:pPr>
        <w:spacing w:line="276" w:lineRule="auto"/>
        <w:jc w:val="center"/>
        <w:rPr>
          <w:rFonts w:ascii="Times New Roman" w:hAnsi="Times New Roman" w:cs="Times New Roman"/>
          <w:b/>
          <w:sz w:val="24"/>
          <w:szCs w:val="24"/>
          <w:lang w:val="es-ES"/>
        </w:rPr>
      </w:pPr>
    </w:p>
    <w:tbl>
      <w:tblPr>
        <w:tblStyle w:val="Tablaconcuadrcula"/>
        <w:tblpPr w:leftFromText="141" w:rightFromText="141" w:vertAnchor="text" w:horzAnchor="margin" w:tblpY="351"/>
        <w:tblW w:w="14748" w:type="dxa"/>
        <w:tblLayout w:type="fixed"/>
        <w:tblLook w:val="04A0" w:firstRow="1" w:lastRow="0" w:firstColumn="1" w:lastColumn="0" w:noHBand="0" w:noVBand="1"/>
      </w:tblPr>
      <w:tblGrid>
        <w:gridCol w:w="1124"/>
        <w:gridCol w:w="2106"/>
        <w:gridCol w:w="6830"/>
        <w:gridCol w:w="1275"/>
        <w:gridCol w:w="1843"/>
        <w:gridCol w:w="1570"/>
      </w:tblGrid>
      <w:tr w:rsidR="00E86C90" w:rsidRPr="00662970" w:rsidTr="0080220C">
        <w:trPr>
          <w:trHeight w:val="371"/>
        </w:trPr>
        <w:tc>
          <w:tcPr>
            <w:tcW w:w="11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86C90" w:rsidRPr="00662970" w:rsidRDefault="00E86C90" w:rsidP="0080220C">
            <w:pPr>
              <w:spacing w:line="276" w:lineRule="auto"/>
              <w:ind w:left="-108" w:right="-108"/>
              <w:jc w:val="center"/>
              <w:rPr>
                <w:rFonts w:ascii="Times New Roman" w:hAnsi="Times New Roman" w:cs="Times New Roman"/>
                <w:b/>
                <w:sz w:val="20"/>
                <w:szCs w:val="20"/>
              </w:rPr>
            </w:pPr>
            <w:r w:rsidRPr="00662970">
              <w:rPr>
                <w:rFonts w:ascii="Times New Roman" w:hAnsi="Times New Roman" w:cs="Times New Roman"/>
                <w:b/>
                <w:sz w:val="20"/>
                <w:szCs w:val="20"/>
              </w:rPr>
              <w:t>FINANCIACIÓN</w:t>
            </w:r>
          </w:p>
        </w:tc>
        <w:tc>
          <w:tcPr>
            <w:tcW w:w="2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86C90" w:rsidRPr="00662970" w:rsidRDefault="00E86C90" w:rsidP="0080220C">
            <w:pPr>
              <w:spacing w:line="276" w:lineRule="auto"/>
              <w:jc w:val="center"/>
              <w:rPr>
                <w:rFonts w:ascii="Times New Roman" w:hAnsi="Times New Roman" w:cs="Times New Roman"/>
                <w:b/>
                <w:sz w:val="20"/>
                <w:szCs w:val="20"/>
              </w:rPr>
            </w:pPr>
            <w:r w:rsidRPr="00662970">
              <w:rPr>
                <w:rFonts w:ascii="Times New Roman" w:hAnsi="Times New Roman" w:cs="Times New Roman"/>
                <w:b/>
                <w:sz w:val="20"/>
                <w:szCs w:val="20"/>
              </w:rPr>
              <w:t>RECURSO</w:t>
            </w:r>
          </w:p>
        </w:tc>
        <w:tc>
          <w:tcPr>
            <w:tcW w:w="6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86C90" w:rsidRPr="00662970" w:rsidRDefault="00E86C90" w:rsidP="0080220C">
            <w:pPr>
              <w:spacing w:line="276" w:lineRule="auto"/>
              <w:jc w:val="center"/>
              <w:rPr>
                <w:rFonts w:ascii="Times New Roman" w:hAnsi="Times New Roman" w:cs="Times New Roman"/>
                <w:b/>
                <w:sz w:val="20"/>
                <w:szCs w:val="20"/>
              </w:rPr>
            </w:pPr>
            <w:r w:rsidRPr="00662970">
              <w:rPr>
                <w:rFonts w:ascii="Times New Roman" w:hAnsi="Times New Roman" w:cs="Times New Roman"/>
                <w:b/>
                <w:sz w:val="20"/>
                <w:szCs w:val="20"/>
              </w:rPr>
              <w:t>DESCRIPCIÓN</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86C90" w:rsidRPr="00662970" w:rsidRDefault="00E86C90" w:rsidP="0080220C">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662970">
              <w:rPr>
                <w:rFonts w:ascii="Times New Roman" w:eastAsia="Times New Roman" w:hAnsi="Times New Roman" w:cs="Times New Roman"/>
                <w:b/>
                <w:bCs/>
                <w:color w:val="222222"/>
                <w:sz w:val="20"/>
                <w:szCs w:val="20"/>
                <w:lang w:eastAsia="es-CO"/>
              </w:rPr>
              <w:t>Valor partida</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86C90" w:rsidRPr="00662970" w:rsidRDefault="00E86C90" w:rsidP="0080220C">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662970">
              <w:rPr>
                <w:rFonts w:ascii="Times New Roman" w:eastAsia="Times New Roman" w:hAnsi="Times New Roman" w:cs="Times New Roman"/>
                <w:b/>
                <w:bCs/>
                <w:color w:val="222222"/>
                <w:sz w:val="20"/>
                <w:szCs w:val="20"/>
                <w:lang w:eastAsia="es-CO"/>
              </w:rPr>
              <w:t>Valor contrapartida (Externa)</w:t>
            </w:r>
          </w:p>
        </w:tc>
        <w:tc>
          <w:tcPr>
            <w:tcW w:w="15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86C90" w:rsidRPr="00662970" w:rsidRDefault="00E86C90" w:rsidP="0080220C">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662970">
              <w:rPr>
                <w:rFonts w:ascii="Times New Roman" w:eastAsia="Times New Roman" w:hAnsi="Times New Roman" w:cs="Times New Roman"/>
                <w:b/>
                <w:bCs/>
                <w:color w:val="222222"/>
                <w:sz w:val="20"/>
                <w:szCs w:val="20"/>
                <w:lang w:eastAsia="es-CO"/>
              </w:rPr>
              <w:t>Total ($)</w:t>
            </w:r>
          </w:p>
        </w:tc>
      </w:tr>
      <w:tr w:rsidR="00E86C90" w:rsidRPr="00662970" w:rsidTr="0080220C">
        <w:trPr>
          <w:trHeight w:val="364"/>
        </w:trPr>
        <w:tc>
          <w:tcPr>
            <w:tcW w:w="1124" w:type="dxa"/>
            <w:vMerge w:val="restart"/>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center"/>
              <w:rPr>
                <w:rFonts w:ascii="Times New Roman" w:hAnsi="Times New Roman" w:cs="Times New Roman"/>
                <w:b/>
                <w:sz w:val="20"/>
                <w:szCs w:val="20"/>
              </w:rPr>
            </w:pPr>
            <w:r w:rsidRPr="00662970">
              <w:rPr>
                <w:rFonts w:ascii="Times New Roman" w:hAnsi="Times New Roman" w:cs="Times New Roman"/>
                <w:b/>
                <w:sz w:val="20"/>
                <w:szCs w:val="20"/>
              </w:rPr>
              <w:t>RUBROS</w:t>
            </w:r>
          </w:p>
        </w:tc>
        <w:tc>
          <w:tcPr>
            <w:tcW w:w="2106"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both"/>
              <w:rPr>
                <w:rFonts w:ascii="Times New Roman" w:hAnsi="Times New Roman" w:cs="Times New Roman"/>
                <w:b/>
                <w:sz w:val="20"/>
                <w:szCs w:val="20"/>
              </w:rPr>
            </w:pPr>
            <w:r w:rsidRPr="00662970">
              <w:rPr>
                <w:rFonts w:ascii="Times New Roman" w:hAnsi="Times New Roman" w:cs="Times New Roman"/>
                <w:b/>
                <w:sz w:val="20"/>
                <w:szCs w:val="20"/>
              </w:rPr>
              <w:t>Servicios Técnicos</w:t>
            </w:r>
          </w:p>
        </w:tc>
        <w:tc>
          <w:tcPr>
            <w:tcW w:w="6830"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rPr>
                <w:rFonts w:ascii="Times New Roman" w:hAnsi="Times New Roman" w:cs="Times New Roman"/>
                <w:sz w:val="20"/>
                <w:szCs w:val="20"/>
              </w:rPr>
            </w:pPr>
            <w:r>
              <w:rPr>
                <w:rFonts w:ascii="Times New Roman" w:hAnsi="Times New Roman" w:cs="Times New Roman"/>
                <w:sz w:val="20"/>
                <w:szCs w:val="20"/>
              </w:rPr>
              <w:t>Generación de 7 (toma e impresión) planos para el ejercicio de talleres de ordenamiento territorial en el municipio de Soacha, Gachantivá y la provincia de Boyacá.</w:t>
            </w:r>
          </w:p>
        </w:tc>
        <w:tc>
          <w:tcPr>
            <w:tcW w:w="1275"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$420.000</w:t>
            </w:r>
          </w:p>
        </w:tc>
        <w:tc>
          <w:tcPr>
            <w:tcW w:w="1843"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p>
        </w:tc>
        <w:tc>
          <w:tcPr>
            <w:tcW w:w="1570"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$420.000</w:t>
            </w:r>
          </w:p>
        </w:tc>
      </w:tr>
      <w:tr w:rsidR="00E86C90" w:rsidRPr="00662970" w:rsidTr="0080220C">
        <w:trPr>
          <w:trHeight w:val="364"/>
        </w:trPr>
        <w:tc>
          <w:tcPr>
            <w:tcW w:w="1124" w:type="dxa"/>
            <w:vMerge/>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rPr>
                <w:rFonts w:ascii="Times New Roman" w:hAnsi="Times New Roman" w:cs="Times New Roman"/>
                <w:b/>
                <w:sz w:val="20"/>
                <w:szCs w:val="20"/>
              </w:rPr>
            </w:pPr>
          </w:p>
        </w:tc>
        <w:tc>
          <w:tcPr>
            <w:tcW w:w="2106"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both"/>
              <w:rPr>
                <w:rFonts w:ascii="Times New Roman" w:hAnsi="Times New Roman" w:cs="Times New Roman"/>
                <w:b/>
                <w:sz w:val="20"/>
                <w:szCs w:val="20"/>
              </w:rPr>
            </w:pPr>
            <w:r w:rsidRPr="00662970">
              <w:rPr>
                <w:rFonts w:ascii="Times New Roman" w:hAnsi="Times New Roman" w:cs="Times New Roman"/>
                <w:b/>
                <w:sz w:val="20"/>
                <w:szCs w:val="20"/>
              </w:rPr>
              <w:t>Salidas de campo</w:t>
            </w:r>
          </w:p>
        </w:tc>
        <w:tc>
          <w:tcPr>
            <w:tcW w:w="6830"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rPr>
                <w:rFonts w:ascii="Times New Roman" w:hAnsi="Times New Roman" w:cs="Times New Roman"/>
                <w:sz w:val="20"/>
                <w:szCs w:val="20"/>
              </w:rPr>
            </w:pPr>
            <w:r>
              <w:rPr>
                <w:rFonts w:ascii="Times New Roman" w:hAnsi="Times New Roman" w:cs="Times New Roman"/>
                <w:sz w:val="20"/>
                <w:szCs w:val="20"/>
              </w:rPr>
              <w:t xml:space="preserve">3 salidas de campo a la provincia de occidente y </w:t>
            </w:r>
            <w:r w:rsidRPr="00936A49">
              <w:rPr>
                <w:rFonts w:ascii="Times New Roman" w:hAnsi="Times New Roman" w:cs="Times New Roman"/>
                <w:sz w:val="20"/>
                <w:szCs w:val="20"/>
              </w:rPr>
              <w:t>Gachantivá</w:t>
            </w:r>
            <w:r>
              <w:rPr>
                <w:rFonts w:ascii="Times New Roman" w:hAnsi="Times New Roman" w:cs="Times New Roman"/>
                <w:sz w:val="20"/>
                <w:szCs w:val="20"/>
              </w:rPr>
              <w:t>, para la recolección de información, el desarrollo de talleres participativos y la socialización de resultados.</w:t>
            </w:r>
          </w:p>
        </w:tc>
        <w:tc>
          <w:tcPr>
            <w:tcW w:w="1275"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$1.200.000</w:t>
            </w:r>
          </w:p>
        </w:tc>
        <w:tc>
          <w:tcPr>
            <w:tcW w:w="1843"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p>
        </w:tc>
        <w:tc>
          <w:tcPr>
            <w:tcW w:w="1570"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$1.200.000</w:t>
            </w:r>
          </w:p>
        </w:tc>
      </w:tr>
      <w:tr w:rsidR="00E86C90" w:rsidRPr="00662970" w:rsidTr="0080220C">
        <w:trPr>
          <w:trHeight w:val="364"/>
        </w:trPr>
        <w:tc>
          <w:tcPr>
            <w:tcW w:w="1124" w:type="dxa"/>
            <w:vMerge/>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rPr>
                <w:rFonts w:ascii="Times New Roman" w:hAnsi="Times New Roman" w:cs="Times New Roman"/>
                <w:b/>
                <w:sz w:val="20"/>
                <w:szCs w:val="20"/>
              </w:rPr>
            </w:pPr>
          </w:p>
        </w:tc>
        <w:tc>
          <w:tcPr>
            <w:tcW w:w="2106"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both"/>
              <w:rPr>
                <w:rFonts w:ascii="Times New Roman" w:hAnsi="Times New Roman" w:cs="Times New Roman"/>
                <w:b/>
                <w:sz w:val="20"/>
                <w:szCs w:val="20"/>
              </w:rPr>
            </w:pPr>
            <w:r w:rsidRPr="00662970">
              <w:rPr>
                <w:rFonts w:ascii="Times New Roman" w:hAnsi="Times New Roman" w:cs="Times New Roman"/>
                <w:b/>
                <w:sz w:val="20"/>
                <w:szCs w:val="20"/>
              </w:rPr>
              <w:t>Equipos</w:t>
            </w:r>
          </w:p>
        </w:tc>
        <w:tc>
          <w:tcPr>
            <w:tcW w:w="6830"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E86C90" w:rsidRPr="00662970" w:rsidRDefault="00E86C90" w:rsidP="0080220C">
            <w:pPr>
              <w:spacing w:line="276" w:lineRule="auto"/>
              <w:jc w:val="both"/>
              <w:rPr>
                <w:rFonts w:ascii="Times New Roman" w:hAnsi="Times New Roman" w:cs="Times New Roman"/>
                <w:sz w:val="20"/>
                <w:szCs w:val="20"/>
              </w:rPr>
            </w:pPr>
          </w:p>
        </w:tc>
        <w:tc>
          <w:tcPr>
            <w:tcW w:w="1570"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$ 0</w:t>
            </w:r>
          </w:p>
        </w:tc>
      </w:tr>
      <w:tr w:rsidR="00E86C90" w:rsidRPr="00662970" w:rsidTr="0080220C">
        <w:trPr>
          <w:trHeight w:val="364"/>
        </w:trPr>
        <w:tc>
          <w:tcPr>
            <w:tcW w:w="1124" w:type="dxa"/>
            <w:vMerge/>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rPr>
                <w:rFonts w:ascii="Times New Roman" w:hAnsi="Times New Roman" w:cs="Times New Roman"/>
                <w:b/>
                <w:sz w:val="20"/>
                <w:szCs w:val="20"/>
              </w:rPr>
            </w:pPr>
          </w:p>
        </w:tc>
        <w:tc>
          <w:tcPr>
            <w:tcW w:w="2106"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both"/>
              <w:rPr>
                <w:rFonts w:ascii="Times New Roman" w:hAnsi="Times New Roman" w:cs="Times New Roman"/>
                <w:b/>
                <w:sz w:val="20"/>
                <w:szCs w:val="20"/>
              </w:rPr>
            </w:pPr>
            <w:r w:rsidRPr="00662970">
              <w:rPr>
                <w:rFonts w:ascii="Times New Roman" w:hAnsi="Times New Roman" w:cs="Times New Roman"/>
                <w:b/>
                <w:sz w:val="20"/>
                <w:szCs w:val="20"/>
              </w:rPr>
              <w:t>Materiales, insumos y software</w:t>
            </w:r>
          </w:p>
        </w:tc>
        <w:tc>
          <w:tcPr>
            <w:tcW w:w="6830"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E86C90" w:rsidRPr="00662970" w:rsidRDefault="00E86C90" w:rsidP="0080220C">
            <w:pPr>
              <w:spacing w:line="276" w:lineRule="auto"/>
              <w:jc w:val="both"/>
              <w:rPr>
                <w:rFonts w:ascii="Times New Roman" w:hAnsi="Times New Roman" w:cs="Times New Roman"/>
                <w:sz w:val="20"/>
                <w:szCs w:val="20"/>
              </w:rPr>
            </w:pPr>
          </w:p>
        </w:tc>
        <w:tc>
          <w:tcPr>
            <w:tcW w:w="1570"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$ 0</w:t>
            </w:r>
          </w:p>
        </w:tc>
      </w:tr>
      <w:tr w:rsidR="00E86C90" w:rsidRPr="00662970" w:rsidTr="0080220C">
        <w:trPr>
          <w:trHeight w:val="364"/>
        </w:trPr>
        <w:tc>
          <w:tcPr>
            <w:tcW w:w="1124" w:type="dxa"/>
            <w:vMerge w:val="restart"/>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center"/>
              <w:rPr>
                <w:rFonts w:ascii="Times New Roman" w:hAnsi="Times New Roman" w:cs="Times New Roman"/>
                <w:b/>
                <w:sz w:val="20"/>
                <w:szCs w:val="20"/>
              </w:rPr>
            </w:pPr>
            <w:r w:rsidRPr="00662970">
              <w:rPr>
                <w:rFonts w:ascii="Times New Roman" w:hAnsi="Times New Roman" w:cs="Times New Roman"/>
                <w:b/>
                <w:sz w:val="20"/>
                <w:szCs w:val="20"/>
              </w:rPr>
              <w:t>BOLSAS</w:t>
            </w:r>
          </w:p>
        </w:tc>
        <w:tc>
          <w:tcPr>
            <w:tcW w:w="2106"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both"/>
              <w:rPr>
                <w:rFonts w:ascii="Times New Roman" w:hAnsi="Times New Roman" w:cs="Times New Roman"/>
                <w:b/>
                <w:sz w:val="20"/>
                <w:szCs w:val="20"/>
              </w:rPr>
            </w:pPr>
            <w:r w:rsidRPr="00662970">
              <w:rPr>
                <w:rFonts w:ascii="Times New Roman" w:hAnsi="Times New Roman" w:cs="Times New Roman"/>
                <w:b/>
                <w:sz w:val="20"/>
                <w:szCs w:val="20"/>
              </w:rPr>
              <w:t>Papelería</w:t>
            </w:r>
          </w:p>
        </w:tc>
        <w:tc>
          <w:tcPr>
            <w:tcW w:w="6830"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rPr>
                <w:rFonts w:ascii="Times New Roman" w:hAnsi="Times New Roman" w:cs="Times New Roman"/>
                <w:sz w:val="20"/>
                <w:szCs w:val="20"/>
              </w:rPr>
            </w:pPr>
            <w:r>
              <w:rPr>
                <w:rFonts w:ascii="Times New Roman" w:hAnsi="Times New Roman" w:cs="Times New Roman"/>
                <w:sz w:val="20"/>
                <w:szCs w:val="20"/>
              </w:rPr>
              <w:t>Materiales para la realización de los 7 talleres de participación ciudadana y divulgación del conocimiento de los resultados de la propuesta de articulación instrumental.</w:t>
            </w:r>
          </w:p>
        </w:tc>
        <w:tc>
          <w:tcPr>
            <w:tcW w:w="1275"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$210.000</w:t>
            </w:r>
          </w:p>
        </w:tc>
        <w:tc>
          <w:tcPr>
            <w:tcW w:w="1843" w:type="dxa"/>
            <w:tcBorders>
              <w:top w:val="single" w:sz="4" w:space="0" w:color="auto"/>
              <w:left w:val="single" w:sz="4" w:space="0" w:color="auto"/>
              <w:bottom w:val="single" w:sz="4" w:space="0" w:color="auto"/>
              <w:right w:val="single" w:sz="4" w:space="0" w:color="auto"/>
            </w:tcBorders>
          </w:tcPr>
          <w:p w:rsidR="00E86C90" w:rsidRPr="00662970" w:rsidRDefault="00E86C90" w:rsidP="0080220C">
            <w:pPr>
              <w:spacing w:line="276" w:lineRule="auto"/>
              <w:jc w:val="both"/>
              <w:rPr>
                <w:rFonts w:ascii="Times New Roman" w:hAnsi="Times New Roman" w:cs="Times New Roman"/>
                <w:sz w:val="20"/>
                <w:szCs w:val="20"/>
              </w:rPr>
            </w:pPr>
          </w:p>
        </w:tc>
        <w:tc>
          <w:tcPr>
            <w:tcW w:w="1570"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$210.000</w:t>
            </w:r>
          </w:p>
        </w:tc>
      </w:tr>
      <w:tr w:rsidR="00E86C90" w:rsidRPr="00662970" w:rsidTr="0080220C">
        <w:trPr>
          <w:trHeight w:val="364"/>
        </w:trPr>
        <w:tc>
          <w:tcPr>
            <w:tcW w:w="1124" w:type="dxa"/>
            <w:vMerge/>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b/>
                <w:sz w:val="20"/>
                <w:szCs w:val="20"/>
              </w:rPr>
            </w:pPr>
          </w:p>
        </w:tc>
        <w:tc>
          <w:tcPr>
            <w:tcW w:w="2106"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both"/>
              <w:rPr>
                <w:rFonts w:ascii="Times New Roman" w:hAnsi="Times New Roman" w:cs="Times New Roman"/>
                <w:b/>
                <w:sz w:val="20"/>
                <w:szCs w:val="20"/>
              </w:rPr>
            </w:pPr>
            <w:r w:rsidRPr="00662970">
              <w:rPr>
                <w:rFonts w:ascii="Times New Roman" w:hAnsi="Times New Roman" w:cs="Times New Roman"/>
                <w:b/>
                <w:sz w:val="20"/>
                <w:szCs w:val="20"/>
              </w:rPr>
              <w:t>Fotocopias</w:t>
            </w:r>
          </w:p>
        </w:tc>
        <w:tc>
          <w:tcPr>
            <w:tcW w:w="6830"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rPr>
                <w:rFonts w:ascii="Times New Roman" w:hAnsi="Times New Roman" w:cs="Times New Roman"/>
                <w:sz w:val="20"/>
                <w:szCs w:val="20"/>
              </w:rPr>
            </w:pPr>
            <w:r>
              <w:rPr>
                <w:rFonts w:ascii="Times New Roman" w:hAnsi="Times New Roman" w:cs="Times New Roman"/>
                <w:sz w:val="20"/>
                <w:szCs w:val="20"/>
              </w:rPr>
              <w:t>Material de circulación de contenidos temáticos durante los ejercicios de campo.</w:t>
            </w:r>
          </w:p>
        </w:tc>
        <w:tc>
          <w:tcPr>
            <w:tcW w:w="1275"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$140.000</w:t>
            </w:r>
          </w:p>
        </w:tc>
        <w:tc>
          <w:tcPr>
            <w:tcW w:w="1843" w:type="dxa"/>
            <w:tcBorders>
              <w:top w:val="single" w:sz="4" w:space="0" w:color="auto"/>
              <w:left w:val="single" w:sz="4" w:space="0" w:color="auto"/>
              <w:bottom w:val="single" w:sz="4" w:space="0" w:color="auto"/>
              <w:right w:val="single" w:sz="4" w:space="0" w:color="auto"/>
            </w:tcBorders>
          </w:tcPr>
          <w:p w:rsidR="00E86C90" w:rsidRPr="00662970" w:rsidRDefault="00E86C90" w:rsidP="0080220C">
            <w:pPr>
              <w:spacing w:line="276" w:lineRule="auto"/>
              <w:jc w:val="both"/>
              <w:rPr>
                <w:rFonts w:ascii="Times New Roman" w:hAnsi="Times New Roman" w:cs="Times New Roman"/>
                <w:sz w:val="20"/>
                <w:szCs w:val="20"/>
              </w:rPr>
            </w:pPr>
          </w:p>
        </w:tc>
        <w:tc>
          <w:tcPr>
            <w:tcW w:w="1570"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$140.000</w:t>
            </w:r>
          </w:p>
        </w:tc>
      </w:tr>
      <w:tr w:rsidR="00E86C90" w:rsidRPr="00662970" w:rsidTr="0080220C">
        <w:trPr>
          <w:trHeight w:val="364"/>
        </w:trPr>
        <w:tc>
          <w:tcPr>
            <w:tcW w:w="1124" w:type="dxa"/>
            <w:vMerge/>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b/>
                <w:sz w:val="20"/>
                <w:szCs w:val="20"/>
              </w:rPr>
            </w:pPr>
          </w:p>
        </w:tc>
        <w:tc>
          <w:tcPr>
            <w:tcW w:w="2106"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both"/>
              <w:rPr>
                <w:rFonts w:ascii="Times New Roman" w:hAnsi="Times New Roman" w:cs="Times New Roman"/>
                <w:b/>
                <w:sz w:val="20"/>
                <w:szCs w:val="20"/>
              </w:rPr>
            </w:pPr>
            <w:r w:rsidRPr="00662970">
              <w:rPr>
                <w:rFonts w:ascii="Times New Roman" w:hAnsi="Times New Roman" w:cs="Times New Roman"/>
                <w:b/>
                <w:sz w:val="20"/>
                <w:szCs w:val="20"/>
              </w:rPr>
              <w:t>Material bibliográfico</w:t>
            </w:r>
          </w:p>
        </w:tc>
        <w:tc>
          <w:tcPr>
            <w:tcW w:w="6830"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E86C90" w:rsidRPr="00662970" w:rsidRDefault="00E86C90" w:rsidP="0080220C">
            <w:pPr>
              <w:spacing w:line="276" w:lineRule="auto"/>
              <w:jc w:val="both"/>
              <w:rPr>
                <w:rFonts w:ascii="Times New Roman" w:hAnsi="Times New Roman" w:cs="Times New Roman"/>
                <w:sz w:val="20"/>
                <w:szCs w:val="20"/>
              </w:rPr>
            </w:pPr>
          </w:p>
        </w:tc>
        <w:tc>
          <w:tcPr>
            <w:tcW w:w="1570"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$ 0</w:t>
            </w:r>
          </w:p>
        </w:tc>
      </w:tr>
      <w:tr w:rsidR="00E86C90" w:rsidRPr="00662970" w:rsidTr="0080220C">
        <w:trPr>
          <w:trHeight w:val="364"/>
        </w:trPr>
        <w:tc>
          <w:tcPr>
            <w:tcW w:w="1124" w:type="dxa"/>
            <w:vMerge/>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rPr>
                <w:rFonts w:ascii="Times New Roman" w:hAnsi="Times New Roman" w:cs="Times New Roman"/>
                <w:b/>
                <w:sz w:val="20"/>
                <w:szCs w:val="20"/>
              </w:rPr>
            </w:pPr>
          </w:p>
        </w:tc>
        <w:tc>
          <w:tcPr>
            <w:tcW w:w="2106"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both"/>
              <w:rPr>
                <w:rFonts w:ascii="Times New Roman" w:hAnsi="Times New Roman" w:cs="Times New Roman"/>
                <w:b/>
                <w:sz w:val="20"/>
                <w:szCs w:val="20"/>
              </w:rPr>
            </w:pPr>
            <w:r w:rsidRPr="00662970">
              <w:rPr>
                <w:rFonts w:ascii="Times New Roman" w:hAnsi="Times New Roman" w:cs="Times New Roman"/>
                <w:b/>
                <w:sz w:val="20"/>
                <w:szCs w:val="20"/>
              </w:rPr>
              <w:t>Auxilio de transporte</w:t>
            </w:r>
          </w:p>
        </w:tc>
        <w:tc>
          <w:tcPr>
            <w:tcW w:w="6830"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rPr>
                <w:rFonts w:ascii="Times New Roman" w:hAnsi="Times New Roman" w:cs="Times New Roman"/>
                <w:sz w:val="20"/>
                <w:szCs w:val="20"/>
              </w:rPr>
            </w:pPr>
            <w:r>
              <w:rPr>
                <w:rFonts w:ascii="Times New Roman" w:hAnsi="Times New Roman" w:cs="Times New Roman"/>
                <w:sz w:val="20"/>
                <w:szCs w:val="20"/>
              </w:rPr>
              <w:t>Auxilio para 3 ejercicios de campo y talleres en el municipio de Soacha.</w:t>
            </w:r>
          </w:p>
        </w:tc>
        <w:tc>
          <w:tcPr>
            <w:tcW w:w="1275"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$45.000</w:t>
            </w:r>
          </w:p>
        </w:tc>
        <w:tc>
          <w:tcPr>
            <w:tcW w:w="1843" w:type="dxa"/>
            <w:tcBorders>
              <w:top w:val="single" w:sz="4" w:space="0" w:color="auto"/>
              <w:left w:val="single" w:sz="4" w:space="0" w:color="auto"/>
              <w:bottom w:val="single" w:sz="4" w:space="0" w:color="auto"/>
              <w:right w:val="single" w:sz="4" w:space="0" w:color="auto"/>
            </w:tcBorders>
          </w:tcPr>
          <w:p w:rsidR="00E86C90" w:rsidRPr="00662970" w:rsidRDefault="00E86C90" w:rsidP="0080220C">
            <w:pPr>
              <w:spacing w:line="276" w:lineRule="auto"/>
              <w:jc w:val="both"/>
              <w:rPr>
                <w:rFonts w:ascii="Times New Roman" w:hAnsi="Times New Roman" w:cs="Times New Roman"/>
                <w:sz w:val="20"/>
                <w:szCs w:val="20"/>
              </w:rPr>
            </w:pPr>
          </w:p>
        </w:tc>
        <w:tc>
          <w:tcPr>
            <w:tcW w:w="1570"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$45.000</w:t>
            </w:r>
          </w:p>
        </w:tc>
      </w:tr>
      <w:tr w:rsidR="00E86C90" w:rsidRPr="00662970" w:rsidTr="0080220C">
        <w:trPr>
          <w:trHeight w:val="364"/>
        </w:trPr>
        <w:tc>
          <w:tcPr>
            <w:tcW w:w="1124" w:type="dxa"/>
            <w:vMerge/>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rPr>
                <w:rFonts w:ascii="Times New Roman" w:hAnsi="Times New Roman" w:cs="Times New Roman"/>
                <w:b/>
                <w:sz w:val="20"/>
                <w:szCs w:val="20"/>
              </w:rPr>
            </w:pPr>
          </w:p>
        </w:tc>
        <w:tc>
          <w:tcPr>
            <w:tcW w:w="2106"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both"/>
              <w:rPr>
                <w:rFonts w:ascii="Times New Roman" w:hAnsi="Times New Roman" w:cs="Times New Roman"/>
                <w:b/>
                <w:sz w:val="20"/>
                <w:szCs w:val="20"/>
              </w:rPr>
            </w:pPr>
            <w:r w:rsidRPr="00662970">
              <w:rPr>
                <w:rFonts w:ascii="Times New Roman" w:hAnsi="Times New Roman" w:cs="Times New Roman"/>
                <w:b/>
                <w:sz w:val="20"/>
                <w:szCs w:val="20"/>
              </w:rPr>
              <w:t xml:space="preserve">Movilidad </w:t>
            </w:r>
          </w:p>
        </w:tc>
        <w:tc>
          <w:tcPr>
            <w:tcW w:w="6830"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E86C90" w:rsidRPr="00662970" w:rsidRDefault="00E86C90" w:rsidP="0080220C">
            <w:pPr>
              <w:spacing w:line="276" w:lineRule="auto"/>
              <w:jc w:val="both"/>
              <w:rPr>
                <w:rFonts w:ascii="Times New Roman" w:hAnsi="Times New Roman" w:cs="Times New Roman"/>
                <w:sz w:val="20"/>
                <w:szCs w:val="20"/>
              </w:rPr>
            </w:pPr>
          </w:p>
        </w:tc>
        <w:tc>
          <w:tcPr>
            <w:tcW w:w="1570"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$ 0</w:t>
            </w:r>
          </w:p>
        </w:tc>
      </w:tr>
      <w:tr w:rsidR="00E86C90" w:rsidRPr="00662970" w:rsidTr="0080220C">
        <w:trPr>
          <w:trHeight w:val="364"/>
        </w:trPr>
        <w:tc>
          <w:tcPr>
            <w:tcW w:w="1124" w:type="dxa"/>
            <w:vMerge/>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rPr>
                <w:rFonts w:ascii="Times New Roman" w:hAnsi="Times New Roman" w:cs="Times New Roman"/>
                <w:b/>
                <w:sz w:val="20"/>
                <w:szCs w:val="20"/>
              </w:rPr>
            </w:pPr>
          </w:p>
        </w:tc>
        <w:tc>
          <w:tcPr>
            <w:tcW w:w="2106" w:type="dxa"/>
            <w:tcBorders>
              <w:top w:val="single" w:sz="4" w:space="0" w:color="auto"/>
              <w:left w:val="single" w:sz="4" w:space="0" w:color="auto"/>
              <w:bottom w:val="single" w:sz="4" w:space="0" w:color="auto"/>
              <w:right w:val="single" w:sz="4" w:space="0" w:color="auto"/>
            </w:tcBorders>
            <w:vAlign w:val="center"/>
            <w:hideMark/>
          </w:tcPr>
          <w:p w:rsidR="00E86C90" w:rsidRPr="00662970" w:rsidRDefault="00E86C90" w:rsidP="0080220C">
            <w:pPr>
              <w:spacing w:line="276" w:lineRule="auto"/>
              <w:jc w:val="both"/>
              <w:rPr>
                <w:rFonts w:ascii="Times New Roman" w:hAnsi="Times New Roman" w:cs="Times New Roman"/>
                <w:b/>
                <w:sz w:val="20"/>
                <w:szCs w:val="20"/>
              </w:rPr>
            </w:pPr>
            <w:r w:rsidRPr="00662970">
              <w:rPr>
                <w:rFonts w:ascii="Times New Roman" w:hAnsi="Times New Roman" w:cs="Times New Roman"/>
                <w:b/>
                <w:sz w:val="20"/>
                <w:szCs w:val="20"/>
              </w:rPr>
              <w:t>Publicaciones (Artículos, proceso editorial y traducción)</w:t>
            </w:r>
          </w:p>
        </w:tc>
        <w:tc>
          <w:tcPr>
            <w:tcW w:w="6830"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rPr>
                <w:rFonts w:ascii="Times New Roman" w:hAnsi="Times New Roman" w:cs="Times New Roman"/>
                <w:sz w:val="20"/>
                <w:szCs w:val="20"/>
              </w:rPr>
            </w:pPr>
            <w:r>
              <w:rPr>
                <w:rFonts w:ascii="Times New Roman" w:hAnsi="Times New Roman" w:cs="Times New Roman"/>
                <w:sz w:val="20"/>
                <w:szCs w:val="20"/>
              </w:rPr>
              <w:t>Publicación de una guía metodológica de articulación instrumental para el desarrollo local.</w:t>
            </w:r>
          </w:p>
        </w:tc>
        <w:tc>
          <w:tcPr>
            <w:tcW w:w="1275"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$1.800.000</w:t>
            </w:r>
          </w:p>
        </w:tc>
        <w:tc>
          <w:tcPr>
            <w:tcW w:w="1843" w:type="dxa"/>
            <w:tcBorders>
              <w:top w:val="single" w:sz="4" w:space="0" w:color="auto"/>
              <w:left w:val="single" w:sz="4" w:space="0" w:color="auto"/>
              <w:bottom w:val="single" w:sz="4" w:space="0" w:color="auto"/>
              <w:right w:val="single" w:sz="4" w:space="0" w:color="auto"/>
            </w:tcBorders>
          </w:tcPr>
          <w:p w:rsidR="00E86C90" w:rsidRPr="00662970" w:rsidRDefault="00E86C90" w:rsidP="0080220C">
            <w:pPr>
              <w:spacing w:line="276" w:lineRule="auto"/>
              <w:jc w:val="both"/>
              <w:rPr>
                <w:rFonts w:ascii="Times New Roman" w:hAnsi="Times New Roman" w:cs="Times New Roman"/>
                <w:sz w:val="20"/>
                <w:szCs w:val="20"/>
              </w:rPr>
            </w:pPr>
          </w:p>
        </w:tc>
        <w:tc>
          <w:tcPr>
            <w:tcW w:w="1570" w:type="dxa"/>
            <w:tcBorders>
              <w:top w:val="single" w:sz="4" w:space="0" w:color="auto"/>
              <w:left w:val="single" w:sz="4" w:space="0" w:color="auto"/>
              <w:bottom w:val="single" w:sz="4" w:space="0" w:color="auto"/>
              <w:right w:val="single" w:sz="4" w:space="0" w:color="auto"/>
            </w:tcBorders>
            <w:vAlign w:val="center"/>
            <w:hideMark/>
          </w:tcPr>
          <w:p w:rsidR="00E86C9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$1.800.000</w:t>
            </w:r>
          </w:p>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(no se incluye)</w:t>
            </w:r>
          </w:p>
        </w:tc>
      </w:tr>
      <w:tr w:rsidR="00E86C90" w:rsidRPr="00662970" w:rsidTr="0080220C">
        <w:trPr>
          <w:trHeight w:val="364"/>
        </w:trPr>
        <w:tc>
          <w:tcPr>
            <w:tcW w:w="13178" w:type="dxa"/>
            <w:gridSpan w:val="5"/>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right"/>
              <w:rPr>
                <w:rFonts w:ascii="Times New Roman" w:hAnsi="Times New Roman" w:cs="Times New Roman"/>
                <w:sz w:val="20"/>
                <w:szCs w:val="20"/>
              </w:rPr>
            </w:pPr>
            <w:r w:rsidRPr="00662970">
              <w:rPr>
                <w:rFonts w:ascii="Times New Roman" w:hAnsi="Times New Roman" w:cs="Times New Roman"/>
                <w:b/>
                <w:sz w:val="20"/>
                <w:szCs w:val="20"/>
              </w:rPr>
              <w:t>TOTAL DEL PROYECTO:</w:t>
            </w:r>
          </w:p>
        </w:tc>
        <w:tc>
          <w:tcPr>
            <w:tcW w:w="1570" w:type="dxa"/>
            <w:tcBorders>
              <w:top w:val="single" w:sz="4" w:space="0" w:color="auto"/>
              <w:left w:val="single" w:sz="4" w:space="0" w:color="auto"/>
              <w:bottom w:val="single" w:sz="4" w:space="0" w:color="auto"/>
              <w:right w:val="single" w:sz="4" w:space="0" w:color="auto"/>
            </w:tcBorders>
            <w:vAlign w:val="center"/>
          </w:tcPr>
          <w:p w:rsidR="00E86C90" w:rsidRPr="00662970" w:rsidRDefault="00E86C90" w:rsidP="0080220C">
            <w:pPr>
              <w:spacing w:line="276" w:lineRule="auto"/>
              <w:jc w:val="center"/>
              <w:rPr>
                <w:rFonts w:ascii="Times New Roman" w:hAnsi="Times New Roman" w:cs="Times New Roman"/>
                <w:sz w:val="20"/>
                <w:szCs w:val="20"/>
              </w:rPr>
            </w:pPr>
            <w:r>
              <w:rPr>
                <w:rFonts w:ascii="Times New Roman" w:hAnsi="Times New Roman" w:cs="Times New Roman"/>
                <w:sz w:val="20"/>
                <w:szCs w:val="20"/>
              </w:rPr>
              <w:t>$2.015.000</w:t>
            </w:r>
          </w:p>
        </w:tc>
      </w:tr>
    </w:tbl>
    <w:p w:rsidR="00E86C90" w:rsidRDefault="00E86C90" w:rsidP="005D15C7">
      <w:pPr>
        <w:spacing w:line="276" w:lineRule="auto"/>
        <w:jc w:val="center"/>
        <w:rPr>
          <w:rFonts w:ascii="Times New Roman" w:hAnsi="Times New Roman" w:cs="Times New Roman"/>
          <w:b/>
          <w:sz w:val="24"/>
          <w:szCs w:val="24"/>
          <w:lang w:val="es-ES"/>
        </w:rPr>
      </w:pPr>
    </w:p>
    <w:p w:rsidR="00E86C90" w:rsidRDefault="00E86C90" w:rsidP="005D15C7">
      <w:pPr>
        <w:spacing w:line="276" w:lineRule="auto"/>
        <w:jc w:val="center"/>
        <w:rPr>
          <w:rFonts w:ascii="Times New Roman" w:hAnsi="Times New Roman" w:cs="Times New Roman"/>
          <w:b/>
          <w:sz w:val="24"/>
          <w:szCs w:val="24"/>
          <w:lang w:val="es-ES"/>
        </w:rPr>
      </w:pPr>
    </w:p>
    <w:p w:rsidR="00E86C90" w:rsidRDefault="00E86C90" w:rsidP="005D15C7">
      <w:pPr>
        <w:spacing w:line="276" w:lineRule="auto"/>
        <w:jc w:val="center"/>
        <w:rPr>
          <w:rFonts w:ascii="Times New Roman" w:hAnsi="Times New Roman" w:cs="Times New Roman"/>
          <w:b/>
          <w:sz w:val="24"/>
          <w:szCs w:val="24"/>
          <w:lang w:val="es-ES"/>
        </w:rPr>
      </w:pPr>
    </w:p>
    <w:p w:rsidR="00E86C90" w:rsidRDefault="00E86C90" w:rsidP="005D15C7">
      <w:pPr>
        <w:spacing w:line="276" w:lineRule="auto"/>
        <w:jc w:val="center"/>
        <w:rPr>
          <w:rFonts w:ascii="Times New Roman" w:hAnsi="Times New Roman" w:cs="Times New Roman"/>
          <w:b/>
          <w:sz w:val="24"/>
          <w:szCs w:val="24"/>
          <w:lang w:val="es-ES"/>
        </w:rPr>
      </w:pPr>
    </w:p>
    <w:p w:rsidR="00E86C90" w:rsidRDefault="00E86C90" w:rsidP="005D15C7">
      <w:pPr>
        <w:spacing w:line="276" w:lineRule="auto"/>
        <w:jc w:val="center"/>
        <w:rPr>
          <w:rFonts w:ascii="Times New Roman" w:hAnsi="Times New Roman" w:cs="Times New Roman"/>
          <w:b/>
          <w:sz w:val="24"/>
          <w:szCs w:val="24"/>
          <w:lang w:val="es-ES"/>
        </w:rPr>
      </w:pPr>
    </w:p>
    <w:p w:rsidR="00E86C90" w:rsidRDefault="00E86C90" w:rsidP="005D15C7">
      <w:pPr>
        <w:spacing w:line="276" w:lineRule="auto"/>
        <w:jc w:val="center"/>
        <w:rPr>
          <w:rFonts w:ascii="Times New Roman" w:hAnsi="Times New Roman" w:cs="Times New Roman"/>
          <w:b/>
          <w:sz w:val="24"/>
          <w:szCs w:val="24"/>
          <w:lang w:val="es-ES"/>
        </w:rPr>
      </w:pPr>
    </w:p>
    <w:p w:rsidR="00E86C90" w:rsidRDefault="00E86C90" w:rsidP="005D15C7">
      <w:pPr>
        <w:spacing w:line="276" w:lineRule="auto"/>
        <w:jc w:val="center"/>
        <w:rPr>
          <w:rFonts w:ascii="Times New Roman" w:hAnsi="Times New Roman" w:cs="Times New Roman"/>
          <w:b/>
          <w:sz w:val="24"/>
          <w:szCs w:val="24"/>
          <w:lang w:val="es-ES"/>
        </w:rPr>
      </w:pPr>
    </w:p>
    <w:p w:rsidR="00E86C90" w:rsidRDefault="00E86C90" w:rsidP="005D15C7">
      <w:pPr>
        <w:spacing w:line="276" w:lineRule="auto"/>
        <w:jc w:val="center"/>
        <w:rPr>
          <w:rFonts w:ascii="Times New Roman" w:hAnsi="Times New Roman" w:cs="Times New Roman"/>
          <w:b/>
          <w:sz w:val="24"/>
          <w:szCs w:val="24"/>
          <w:lang w:val="es-ES"/>
        </w:rPr>
      </w:pPr>
    </w:p>
    <w:p w:rsidR="00E86C90" w:rsidRDefault="00E86C90" w:rsidP="005D15C7">
      <w:pPr>
        <w:spacing w:line="276" w:lineRule="auto"/>
        <w:jc w:val="center"/>
        <w:rPr>
          <w:rFonts w:ascii="Times New Roman" w:hAnsi="Times New Roman" w:cs="Times New Roman"/>
          <w:b/>
          <w:sz w:val="24"/>
          <w:szCs w:val="24"/>
          <w:lang w:val="es-ES"/>
        </w:rPr>
      </w:pPr>
    </w:p>
    <w:p w:rsidR="00E86C90" w:rsidRDefault="00E86C90" w:rsidP="005D15C7">
      <w:pPr>
        <w:spacing w:line="276" w:lineRule="auto"/>
        <w:jc w:val="center"/>
        <w:rPr>
          <w:rFonts w:ascii="Times New Roman" w:hAnsi="Times New Roman" w:cs="Times New Roman"/>
          <w:b/>
          <w:sz w:val="24"/>
          <w:szCs w:val="24"/>
          <w:lang w:val="es-ES"/>
        </w:rPr>
      </w:pPr>
    </w:p>
    <w:p w:rsidR="00E86C90" w:rsidRDefault="00E86C90" w:rsidP="005D15C7">
      <w:pPr>
        <w:spacing w:line="276" w:lineRule="auto"/>
        <w:jc w:val="center"/>
        <w:rPr>
          <w:rFonts w:ascii="Times New Roman" w:hAnsi="Times New Roman" w:cs="Times New Roman"/>
          <w:b/>
          <w:sz w:val="24"/>
          <w:szCs w:val="24"/>
          <w:lang w:val="es-ES"/>
        </w:rPr>
      </w:pPr>
    </w:p>
    <w:tbl>
      <w:tblPr>
        <w:tblpPr w:leftFromText="141" w:rightFromText="141" w:vertAnchor="page" w:horzAnchor="margin" w:tblpY="1186"/>
        <w:tblW w:w="14730" w:type="dxa"/>
        <w:shd w:val="clear" w:color="auto" w:fill="FFFFFF"/>
        <w:tblLook w:val="04A0" w:firstRow="1" w:lastRow="0" w:firstColumn="1" w:lastColumn="0" w:noHBand="0" w:noVBand="1"/>
      </w:tblPr>
      <w:tblGrid>
        <w:gridCol w:w="2454"/>
        <w:gridCol w:w="2454"/>
        <w:gridCol w:w="2454"/>
        <w:gridCol w:w="2454"/>
        <w:gridCol w:w="2454"/>
        <w:gridCol w:w="2460"/>
      </w:tblGrid>
      <w:tr w:rsidR="00E86C90" w:rsidRPr="00332504" w:rsidTr="00E86C90">
        <w:trPr>
          <w:trHeight w:val="232"/>
        </w:trPr>
        <w:tc>
          <w:tcPr>
            <w:tcW w:w="2454" w:type="dxa"/>
            <w:tcBorders>
              <w:top w:val="single" w:sz="6" w:space="0" w:color="DDDDDD"/>
              <w:left w:val="single" w:sz="6" w:space="0" w:color="DDDDDD"/>
              <w:bottom w:val="single" w:sz="6" w:space="0" w:color="DDDDDD"/>
              <w:right w:val="single" w:sz="6" w:space="0" w:color="DDDDDD"/>
            </w:tcBorders>
            <w:shd w:val="clear" w:color="auto" w:fill="F3F3F3"/>
          </w:tcPr>
          <w:p w:rsidR="00E86C90" w:rsidRPr="00332504" w:rsidRDefault="00E86C90" w:rsidP="00E86C90">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p>
        </w:tc>
        <w:tc>
          <w:tcPr>
            <w:tcW w:w="12276" w:type="dxa"/>
            <w:gridSpan w:val="5"/>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E86C90" w:rsidRPr="00332504" w:rsidRDefault="00E86C90" w:rsidP="00E86C90">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Presupuesto</w:t>
            </w:r>
          </w:p>
        </w:tc>
      </w:tr>
      <w:tr w:rsidR="00E86C90" w:rsidRPr="00332504" w:rsidTr="00E86C90">
        <w:trPr>
          <w:trHeight w:val="232"/>
        </w:trPr>
        <w:tc>
          <w:tcPr>
            <w:tcW w:w="2454" w:type="dxa"/>
            <w:tcBorders>
              <w:top w:val="single" w:sz="6" w:space="0" w:color="DDDDDD"/>
              <w:left w:val="single" w:sz="6" w:space="0" w:color="DDDDDD"/>
              <w:bottom w:val="single" w:sz="6" w:space="0" w:color="DDDDDD"/>
              <w:right w:val="single" w:sz="6" w:space="0" w:color="DDDDDD"/>
            </w:tcBorders>
            <w:shd w:val="clear" w:color="auto" w:fill="F3F3F3"/>
          </w:tcPr>
          <w:p w:rsidR="00E86C90" w:rsidRPr="00332504" w:rsidRDefault="00E86C90" w:rsidP="00E86C90">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p>
        </w:tc>
        <w:tc>
          <w:tcPr>
            <w:tcW w:w="12276" w:type="dxa"/>
            <w:gridSpan w:val="5"/>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E86C90" w:rsidRPr="00332504" w:rsidRDefault="00E86C90" w:rsidP="00E86C90">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Horas nómina</w:t>
            </w:r>
          </w:p>
        </w:tc>
      </w:tr>
      <w:tr w:rsidR="00E86C90" w:rsidRPr="00332504" w:rsidTr="00E86C90">
        <w:trPr>
          <w:trHeight w:val="247"/>
        </w:trPr>
        <w:tc>
          <w:tcPr>
            <w:tcW w:w="2454"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E86C90" w:rsidRPr="00332504" w:rsidRDefault="00E86C90" w:rsidP="00E86C90">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Concepto</w:t>
            </w:r>
          </w:p>
        </w:tc>
        <w:tc>
          <w:tcPr>
            <w:tcW w:w="2454"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E86C90" w:rsidRPr="00332504" w:rsidRDefault="00E86C90" w:rsidP="00E86C90">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Nombre</w:t>
            </w:r>
          </w:p>
        </w:tc>
        <w:tc>
          <w:tcPr>
            <w:tcW w:w="2454"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E86C90" w:rsidRPr="00332504" w:rsidRDefault="00E86C90" w:rsidP="00E86C90">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Escalafón</w:t>
            </w:r>
          </w:p>
        </w:tc>
        <w:tc>
          <w:tcPr>
            <w:tcW w:w="2454"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E86C90" w:rsidRPr="00332504" w:rsidRDefault="00E86C90" w:rsidP="00E86C90">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Horas mes</w:t>
            </w:r>
          </w:p>
        </w:tc>
        <w:tc>
          <w:tcPr>
            <w:tcW w:w="2454" w:type="dxa"/>
            <w:tcBorders>
              <w:top w:val="single" w:sz="6" w:space="0" w:color="DDDDDD"/>
              <w:left w:val="single" w:sz="6" w:space="0" w:color="DDDDDD"/>
              <w:bottom w:val="single" w:sz="6" w:space="0" w:color="DDDDDD"/>
              <w:right w:val="single" w:sz="6" w:space="0" w:color="DDDDDD"/>
            </w:tcBorders>
            <w:shd w:val="clear" w:color="auto" w:fill="F3F3F3"/>
          </w:tcPr>
          <w:p w:rsidR="00E86C90" w:rsidRPr="00332504" w:rsidRDefault="00E86C90" w:rsidP="00E86C90">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Sede / Seccional o Externo</w:t>
            </w:r>
          </w:p>
        </w:tc>
        <w:tc>
          <w:tcPr>
            <w:tcW w:w="2460"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E86C90" w:rsidRPr="00332504" w:rsidRDefault="00E86C90" w:rsidP="00E86C90">
            <w:pPr>
              <w:spacing w:before="100" w:beforeAutospacing="1" w:after="100" w:afterAutospacing="1" w:line="276" w:lineRule="auto"/>
              <w:jc w:val="center"/>
              <w:rPr>
                <w:rFonts w:ascii="Times New Roman" w:eastAsia="Times New Roman" w:hAnsi="Times New Roman" w:cs="Times New Roman"/>
                <w:b/>
                <w:bCs/>
                <w:color w:val="222222"/>
                <w:sz w:val="20"/>
                <w:szCs w:val="20"/>
                <w:lang w:eastAsia="es-CO"/>
              </w:rPr>
            </w:pPr>
            <w:r w:rsidRPr="00332504">
              <w:rPr>
                <w:rFonts w:ascii="Times New Roman" w:eastAsia="Times New Roman" w:hAnsi="Times New Roman" w:cs="Times New Roman"/>
                <w:b/>
                <w:bCs/>
                <w:color w:val="222222"/>
                <w:sz w:val="20"/>
                <w:szCs w:val="20"/>
                <w:lang w:eastAsia="es-CO"/>
              </w:rPr>
              <w:t>Total ($)</w:t>
            </w:r>
          </w:p>
        </w:tc>
      </w:tr>
      <w:tr w:rsidR="00E86C90" w:rsidRPr="00332504" w:rsidTr="00E86C90">
        <w:trPr>
          <w:trHeight w:val="464"/>
        </w:trPr>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Horas Nomina (Investigador Principal)</w:t>
            </w:r>
          </w:p>
        </w:tc>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Eloisa Vargas-Moreno</w:t>
            </w:r>
          </w:p>
        </w:tc>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3</w:t>
            </w:r>
          </w:p>
        </w:tc>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35</w:t>
            </w:r>
          </w:p>
        </w:tc>
        <w:tc>
          <w:tcPr>
            <w:tcW w:w="2454" w:type="dxa"/>
            <w:tcBorders>
              <w:top w:val="single" w:sz="6" w:space="0" w:color="DDDDDD"/>
              <w:left w:val="single" w:sz="6" w:space="0" w:color="DDDDDD"/>
              <w:bottom w:val="single" w:sz="6" w:space="0" w:color="DDDDDD"/>
              <w:right w:val="single" w:sz="6" w:space="0" w:color="DDDDDD"/>
            </w:tcBorders>
            <w:shd w:val="clear" w:color="auto" w:fill="FFFFFF"/>
            <w:vAlign w:val="center"/>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Sede Bogotá</w:t>
            </w:r>
          </w:p>
        </w:tc>
        <w:tc>
          <w:tcPr>
            <w:tcW w:w="2460"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86C90" w:rsidRPr="00332504" w:rsidRDefault="00E86C90" w:rsidP="00E86C90">
            <w:pPr>
              <w:spacing w:after="0" w:line="276" w:lineRule="auto"/>
              <w:jc w:val="right"/>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$ 1.088.718 =</w:t>
            </w:r>
          </w:p>
        </w:tc>
      </w:tr>
      <w:tr w:rsidR="00E86C90" w:rsidRPr="00332504" w:rsidTr="00E86C90">
        <w:trPr>
          <w:trHeight w:val="290"/>
        </w:trPr>
        <w:tc>
          <w:tcPr>
            <w:tcW w:w="2454" w:type="dxa"/>
            <w:vMerge w:val="restart"/>
            <w:tcBorders>
              <w:top w:val="single" w:sz="6" w:space="0" w:color="DDDDDD"/>
              <w:left w:val="single" w:sz="6" w:space="0" w:color="DDDDDD"/>
              <w:right w:val="single" w:sz="6" w:space="0" w:color="DDDDDD"/>
            </w:tcBorders>
            <w:shd w:val="clear" w:color="auto" w:fill="FFFFFF"/>
            <w:vAlign w:val="center"/>
            <w:hideMark/>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Horas Nomina (Co-Investigadores)</w:t>
            </w:r>
          </w:p>
        </w:tc>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Jorge Andrés Pinzón Rueda</w:t>
            </w:r>
          </w:p>
        </w:tc>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2</w:t>
            </w:r>
          </w:p>
        </w:tc>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25</w:t>
            </w:r>
          </w:p>
        </w:tc>
        <w:tc>
          <w:tcPr>
            <w:tcW w:w="2454" w:type="dxa"/>
            <w:tcBorders>
              <w:top w:val="single" w:sz="6" w:space="0" w:color="DDDDDD"/>
              <w:left w:val="single" w:sz="6" w:space="0" w:color="DDDDDD"/>
              <w:bottom w:val="single" w:sz="6" w:space="0" w:color="DDDDDD"/>
              <w:right w:val="single" w:sz="6" w:space="0" w:color="DDDDDD"/>
            </w:tcBorders>
            <w:shd w:val="clear" w:color="auto" w:fill="FFFFFF"/>
            <w:vAlign w:val="center"/>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Sede Bogotá</w:t>
            </w:r>
          </w:p>
        </w:tc>
        <w:tc>
          <w:tcPr>
            <w:tcW w:w="2460"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86C90" w:rsidRPr="00332504" w:rsidRDefault="00E86C90" w:rsidP="00E86C90">
            <w:pPr>
              <w:spacing w:after="0" w:line="276" w:lineRule="auto"/>
              <w:jc w:val="right"/>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$ 647.656 =</w:t>
            </w:r>
          </w:p>
        </w:tc>
      </w:tr>
      <w:tr w:rsidR="00E86C90" w:rsidRPr="00332504" w:rsidTr="00E86C90">
        <w:trPr>
          <w:trHeight w:val="261"/>
        </w:trPr>
        <w:tc>
          <w:tcPr>
            <w:tcW w:w="2454" w:type="dxa"/>
            <w:vMerge/>
            <w:tcBorders>
              <w:left w:val="single" w:sz="6" w:space="0" w:color="DDDDDD"/>
              <w:right w:val="single" w:sz="6" w:space="0" w:color="DDDDDD"/>
            </w:tcBorders>
            <w:shd w:val="clear" w:color="auto" w:fill="FFFFFF"/>
            <w:vAlign w:val="center"/>
            <w:hideMark/>
          </w:tcPr>
          <w:p w:rsidR="00E86C90" w:rsidRPr="00332504" w:rsidRDefault="00E86C90" w:rsidP="00E86C90">
            <w:pPr>
              <w:spacing w:after="0" w:line="276" w:lineRule="auto"/>
              <w:rPr>
                <w:rFonts w:ascii="Times New Roman" w:eastAsia="Times New Roman" w:hAnsi="Times New Roman" w:cs="Times New Roman"/>
                <w:color w:val="222222"/>
                <w:sz w:val="20"/>
                <w:szCs w:val="20"/>
                <w:lang w:eastAsia="es-CO"/>
              </w:rPr>
            </w:pPr>
          </w:p>
        </w:tc>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 xml:space="preserve">Carlos Arturo Sandoval </w:t>
            </w:r>
          </w:p>
        </w:tc>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3</w:t>
            </w:r>
          </w:p>
        </w:tc>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14</w:t>
            </w:r>
          </w:p>
        </w:tc>
        <w:tc>
          <w:tcPr>
            <w:tcW w:w="2454" w:type="dxa"/>
            <w:tcBorders>
              <w:top w:val="single" w:sz="6" w:space="0" w:color="DDDDDD"/>
              <w:left w:val="single" w:sz="6" w:space="0" w:color="DDDDDD"/>
              <w:bottom w:val="single" w:sz="6" w:space="0" w:color="DDDDDD"/>
              <w:right w:val="single" w:sz="6" w:space="0" w:color="DDDDDD"/>
            </w:tcBorders>
            <w:shd w:val="clear" w:color="auto" w:fill="FFFFFF"/>
            <w:vAlign w:val="center"/>
          </w:tcPr>
          <w:p w:rsidR="00E86C90" w:rsidRPr="00332504" w:rsidRDefault="00E86C90" w:rsidP="00E86C90">
            <w:pPr>
              <w:spacing w:after="0" w:line="276" w:lineRule="auto"/>
              <w:jc w:val="center"/>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Sede Bogotá</w:t>
            </w:r>
          </w:p>
        </w:tc>
        <w:tc>
          <w:tcPr>
            <w:tcW w:w="2460"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86C90" w:rsidRPr="00332504" w:rsidRDefault="00E86C90" w:rsidP="00E86C90">
            <w:pPr>
              <w:spacing w:after="0" w:line="276" w:lineRule="auto"/>
              <w:jc w:val="right"/>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$ 217.787 =</w:t>
            </w:r>
          </w:p>
        </w:tc>
      </w:tr>
      <w:tr w:rsidR="00E86C90" w:rsidRPr="00662970" w:rsidTr="00E86C90">
        <w:trPr>
          <w:trHeight w:val="261"/>
        </w:trPr>
        <w:tc>
          <w:tcPr>
            <w:tcW w:w="12270" w:type="dxa"/>
            <w:gridSpan w:val="5"/>
            <w:tcBorders>
              <w:left w:val="single" w:sz="6" w:space="0" w:color="DDDDDD"/>
              <w:bottom w:val="single" w:sz="6" w:space="0" w:color="DDDDDD"/>
              <w:right w:val="single" w:sz="6" w:space="0" w:color="DDDDDD"/>
            </w:tcBorders>
            <w:shd w:val="clear" w:color="auto" w:fill="FFFFFF"/>
            <w:vAlign w:val="center"/>
          </w:tcPr>
          <w:p w:rsidR="00E86C90" w:rsidRPr="00332504" w:rsidRDefault="00E86C90" w:rsidP="00E86C90">
            <w:pPr>
              <w:spacing w:after="0" w:line="276" w:lineRule="auto"/>
              <w:jc w:val="right"/>
              <w:rPr>
                <w:rFonts w:ascii="Times New Roman" w:eastAsia="Times New Roman" w:hAnsi="Times New Roman" w:cs="Times New Roman"/>
                <w:b/>
                <w:i/>
                <w:color w:val="222222"/>
                <w:sz w:val="20"/>
                <w:szCs w:val="20"/>
                <w:lang w:eastAsia="es-CO"/>
              </w:rPr>
            </w:pPr>
            <w:r w:rsidRPr="00332504">
              <w:rPr>
                <w:rFonts w:ascii="Times New Roman" w:eastAsia="Times New Roman" w:hAnsi="Times New Roman" w:cs="Times New Roman"/>
                <w:b/>
                <w:i/>
                <w:color w:val="222222"/>
                <w:sz w:val="20"/>
                <w:szCs w:val="20"/>
                <w:lang w:eastAsia="es-CO"/>
              </w:rPr>
              <w:t>Total</w:t>
            </w:r>
          </w:p>
        </w:tc>
        <w:tc>
          <w:tcPr>
            <w:tcW w:w="2460"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86C90" w:rsidRDefault="00E86C90" w:rsidP="00E86C90">
            <w:pPr>
              <w:spacing w:after="0" w:line="276" w:lineRule="auto"/>
              <w:jc w:val="right"/>
              <w:rPr>
                <w:rFonts w:ascii="Times New Roman" w:eastAsia="Times New Roman" w:hAnsi="Times New Roman" w:cs="Times New Roman"/>
                <w:color w:val="222222"/>
                <w:sz w:val="20"/>
                <w:szCs w:val="20"/>
                <w:lang w:eastAsia="es-CO"/>
              </w:rPr>
            </w:pPr>
            <w:r w:rsidRPr="00332504">
              <w:rPr>
                <w:rFonts w:ascii="Times New Roman" w:eastAsia="Times New Roman" w:hAnsi="Times New Roman" w:cs="Times New Roman"/>
                <w:color w:val="222222"/>
                <w:sz w:val="20"/>
                <w:szCs w:val="20"/>
                <w:lang w:eastAsia="es-CO"/>
              </w:rPr>
              <w:t>$ 1.954.161 =</w:t>
            </w:r>
          </w:p>
        </w:tc>
      </w:tr>
    </w:tbl>
    <w:p w:rsidR="00D604FB" w:rsidRPr="005D15C7" w:rsidRDefault="00D604FB" w:rsidP="00D23DA8">
      <w:pPr>
        <w:spacing w:line="276" w:lineRule="auto"/>
        <w:jc w:val="center"/>
        <w:rPr>
          <w:rFonts w:ascii="Times New Roman" w:hAnsi="Times New Roman" w:cs="Times New Roman"/>
          <w:b/>
          <w:sz w:val="24"/>
          <w:szCs w:val="24"/>
          <w:lang w:val="es-ES"/>
        </w:rPr>
      </w:pPr>
    </w:p>
    <w:sectPr w:rsidR="00D604FB" w:rsidRPr="005D15C7" w:rsidSect="00265B89">
      <w:headerReference w:type="even" r:id="rId12"/>
      <w:headerReference w:type="default" r:id="rId13"/>
      <w:footerReference w:type="default" r:id="rId14"/>
      <w:headerReference w:type="first" r:id="rId15"/>
      <w:footerReference w:type="first" r:id="rId16"/>
      <w:pgSz w:w="15840" w:h="12240" w:orient="landscape"/>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E4E" w:rsidRDefault="00660E4E" w:rsidP="00F14D0D">
      <w:pPr>
        <w:spacing w:after="0" w:line="240" w:lineRule="auto"/>
      </w:pPr>
      <w:r>
        <w:separator/>
      </w:r>
    </w:p>
  </w:endnote>
  <w:endnote w:type="continuationSeparator" w:id="0">
    <w:p w:rsidR="00660E4E" w:rsidRDefault="00660E4E" w:rsidP="00F1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E4E" w:rsidRDefault="00660E4E">
    <w:pPr>
      <w:pStyle w:val="Piedepgina"/>
    </w:pPr>
    <w:r w:rsidRPr="00ED1717">
      <w:rPr>
        <w:noProof/>
        <w:lang w:val="en-US"/>
      </w:rPr>
      <w:drawing>
        <wp:anchor distT="0" distB="0" distL="114300" distR="114300" simplePos="0" relativeHeight="251688960" behindDoc="0" locked="0" layoutInCell="1" allowOverlap="1" wp14:anchorId="7DEFBFC1" wp14:editId="719C529C">
          <wp:simplePos x="0" y="0"/>
          <wp:positionH relativeFrom="margin">
            <wp:posOffset>2107981</wp:posOffset>
          </wp:positionH>
          <wp:positionV relativeFrom="paragraph">
            <wp:posOffset>-222710</wp:posOffset>
          </wp:positionV>
          <wp:extent cx="5748834" cy="761478"/>
          <wp:effectExtent l="0" t="0" r="4445" b="635"/>
          <wp:wrapNone/>
          <wp:docPr id="2" name="Imagen 2" descr="Comunicaciones:Comunicaciones USTA:3.Comunicaciones Institucionales:1. Comunicacion Interna:2018:Solicitudes:ST548-2018 Hoja Membrete Actualizada:Pieza:ST548–2018 Membrete 23 octubr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unicaciones:Comunicaciones USTA:3.Comunicaciones Institucionales:1. Comunicacion Interna:2018:Solicitudes:ST548-2018 Hoja Membrete Actualizada:Pieza:ST548–2018 Membrete 23 octubr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8834" cy="76147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E4E" w:rsidRDefault="00660E4E">
    <w:pPr>
      <w:pStyle w:val="Piedepgina"/>
    </w:pPr>
    <w:r>
      <w:rPr>
        <w:noProof/>
        <w:lang w:val="en-US"/>
      </w:rPr>
      <w:drawing>
        <wp:anchor distT="0" distB="0" distL="114300" distR="114300" simplePos="0" relativeHeight="251679744" behindDoc="0" locked="0" layoutInCell="1" allowOverlap="1" wp14:anchorId="1B6510E0" wp14:editId="0F451BAC">
          <wp:simplePos x="0" y="0"/>
          <wp:positionH relativeFrom="margin">
            <wp:posOffset>2040255</wp:posOffset>
          </wp:positionH>
          <wp:positionV relativeFrom="paragraph">
            <wp:posOffset>-216535</wp:posOffset>
          </wp:positionV>
          <wp:extent cx="5748834" cy="761478"/>
          <wp:effectExtent l="0" t="0" r="4445" b="635"/>
          <wp:wrapNone/>
          <wp:docPr id="57" name="Imagen 57" descr="Comunicaciones:Comunicaciones USTA:3.Comunicaciones Institucionales:1. Comunicacion Interna:2018:Solicitudes:ST548-2018 Hoja Membrete Actualizada:Pieza:ST548–2018 Membrete 23 octubr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unicaciones:Comunicaciones USTA:3.Comunicaciones Institucionales:1. Comunicacion Interna:2018:Solicitudes:ST548-2018 Hoja Membrete Actualizada:Pieza:ST548–2018 Membrete 23 octubr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8834" cy="76147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E4E" w:rsidRDefault="00660E4E" w:rsidP="00F14D0D">
      <w:pPr>
        <w:spacing w:after="0" w:line="240" w:lineRule="auto"/>
      </w:pPr>
      <w:r>
        <w:separator/>
      </w:r>
    </w:p>
  </w:footnote>
  <w:footnote w:type="continuationSeparator" w:id="0">
    <w:p w:rsidR="00660E4E" w:rsidRDefault="00660E4E" w:rsidP="00F14D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E4E" w:rsidRDefault="00660E4E">
    <w:pPr>
      <w:pStyle w:val="Encabezado"/>
    </w:pPr>
    <w:r>
      <w:rPr>
        <w:noProof/>
      </w:rPr>
      <w:pict w14:anchorId="48C0A0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5219110" o:spid="_x0000_s2051" type="#_x0000_t75" alt="/Users/grafico1908/Desktop/escudo.png" style="position:absolute;margin-left:0;margin-top:0;width:441.3pt;height:455.05pt;z-index:-251652096;mso-wrap-edited:f;mso-position-horizontal:center;mso-position-horizontal-relative:margin;mso-position-vertical:center;mso-position-vertical-relative:margin" o:allowincell="f">
          <v:imagedata r:id="rId1" o:title="escu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E4E" w:rsidRDefault="00660E4E" w:rsidP="00ED1717">
    <w:pPr>
      <w:pStyle w:val="Encabezado"/>
      <w:jc w:val="right"/>
      <w:rPr>
        <w:sz w:val="14"/>
        <w:szCs w:val="16"/>
        <w:lang w:val="es-ES"/>
      </w:rPr>
    </w:pPr>
    <w:r w:rsidRPr="00ED1717">
      <w:rPr>
        <w:noProof/>
        <w:lang w:val="en-US"/>
      </w:rPr>
      <w:drawing>
        <wp:anchor distT="0" distB="0" distL="114300" distR="114300" simplePos="0" relativeHeight="251687936" behindDoc="0" locked="0" layoutInCell="1" allowOverlap="1" wp14:anchorId="432BB353" wp14:editId="7E8B5688">
          <wp:simplePos x="0" y="0"/>
          <wp:positionH relativeFrom="margin">
            <wp:posOffset>1860331</wp:posOffset>
          </wp:positionH>
          <wp:positionV relativeFrom="paragraph">
            <wp:posOffset>-456390</wp:posOffset>
          </wp:positionV>
          <wp:extent cx="5908040" cy="917196"/>
          <wp:effectExtent l="0" t="0" r="0" b="0"/>
          <wp:wrapNone/>
          <wp:docPr id="1" name="Imagen 1" descr="Macintosh HD:Users:angelicafernandasierrapolanco:Desktop:membrete4oct-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gelicafernandasierrapolanco:Desktop:membrete4oct-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8040" cy="91719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0E4E" w:rsidRDefault="00660E4E" w:rsidP="004F1944">
    <w:pPr>
      <w:pStyle w:val="Encabezado"/>
      <w:jc w:val="right"/>
      <w:rPr>
        <w:sz w:val="14"/>
        <w:szCs w:val="16"/>
        <w:lang w:val="es-ES"/>
      </w:rPr>
    </w:pPr>
  </w:p>
  <w:p w:rsidR="00660E4E" w:rsidRPr="004F1944" w:rsidRDefault="00660E4E" w:rsidP="004F1944">
    <w:pPr>
      <w:pStyle w:val="Encabezado"/>
      <w:jc w:val="right"/>
      <w:rPr>
        <w:sz w:val="14"/>
        <w:szCs w:val="16"/>
      </w:rPr>
    </w:pPr>
    <w:r w:rsidRPr="006930C8">
      <w:rPr>
        <w:sz w:val="14"/>
        <w:szCs w:val="16"/>
        <w:lang w:val="es-ES"/>
      </w:rPr>
      <w:t xml:space="preserve">Página </w:t>
    </w:r>
    <w:r w:rsidRPr="006930C8">
      <w:rPr>
        <w:b/>
        <w:bCs/>
        <w:sz w:val="14"/>
        <w:szCs w:val="16"/>
      </w:rPr>
      <w:fldChar w:fldCharType="begin"/>
    </w:r>
    <w:r w:rsidRPr="006930C8">
      <w:rPr>
        <w:b/>
        <w:bCs/>
        <w:sz w:val="14"/>
        <w:szCs w:val="16"/>
      </w:rPr>
      <w:instrText>PAGE</w:instrText>
    </w:r>
    <w:r w:rsidRPr="006930C8">
      <w:rPr>
        <w:b/>
        <w:bCs/>
        <w:sz w:val="14"/>
        <w:szCs w:val="16"/>
      </w:rPr>
      <w:fldChar w:fldCharType="separate"/>
    </w:r>
    <w:r w:rsidR="00B20929">
      <w:rPr>
        <w:b/>
        <w:bCs/>
        <w:noProof/>
        <w:sz w:val="14"/>
        <w:szCs w:val="16"/>
      </w:rPr>
      <w:t>15</w:t>
    </w:r>
    <w:r w:rsidRPr="006930C8">
      <w:rPr>
        <w:b/>
        <w:bCs/>
        <w:sz w:val="14"/>
        <w:szCs w:val="16"/>
      </w:rPr>
      <w:fldChar w:fldCharType="end"/>
    </w:r>
    <w:r w:rsidRPr="006930C8">
      <w:rPr>
        <w:sz w:val="14"/>
        <w:szCs w:val="16"/>
        <w:lang w:val="es-ES"/>
      </w:rPr>
      <w:t xml:space="preserve"> de </w:t>
    </w:r>
    <w:r w:rsidRPr="006930C8">
      <w:rPr>
        <w:b/>
        <w:bCs/>
        <w:sz w:val="14"/>
        <w:szCs w:val="16"/>
      </w:rPr>
      <w:fldChar w:fldCharType="begin"/>
    </w:r>
    <w:r w:rsidRPr="006930C8">
      <w:rPr>
        <w:b/>
        <w:bCs/>
        <w:sz w:val="14"/>
        <w:szCs w:val="16"/>
      </w:rPr>
      <w:instrText>NUMPAGES</w:instrText>
    </w:r>
    <w:r w:rsidRPr="006930C8">
      <w:rPr>
        <w:b/>
        <w:bCs/>
        <w:sz w:val="14"/>
        <w:szCs w:val="16"/>
      </w:rPr>
      <w:fldChar w:fldCharType="separate"/>
    </w:r>
    <w:r w:rsidR="00B20929">
      <w:rPr>
        <w:b/>
        <w:bCs/>
        <w:noProof/>
        <w:sz w:val="14"/>
        <w:szCs w:val="16"/>
      </w:rPr>
      <w:t>15</w:t>
    </w:r>
    <w:r w:rsidRPr="006930C8">
      <w:rPr>
        <w:b/>
        <w:bCs/>
        <w:sz w:val="14"/>
        <w:szCs w:val="16"/>
      </w:rPr>
      <w:fldChar w:fldCharType="end"/>
    </w:r>
    <w:r>
      <w:rPr>
        <w:noProof/>
        <w:lang w:eastAsia="es-CO"/>
      </w:rPr>
      <w:pict w14:anchorId="282363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5219111" o:spid="_x0000_s2050" type="#_x0000_t75" alt="/Users/grafico1908/Desktop/escudo.png" style="position:absolute;left:0;text-align:left;margin-left:0;margin-top:0;width:441.3pt;height:455.05pt;z-index:-251649024;mso-wrap-edited:f;mso-position-horizontal:center;mso-position-horizontal-relative:margin;mso-position-vertical:center;mso-position-vertical-relative:margin" o:allowincell="f">
          <v:imagedata r:id="rId2" o:title="escud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836580"/>
      <w:docPartObj>
        <w:docPartGallery w:val="Page Numbers (Top of Page)"/>
        <w:docPartUnique/>
      </w:docPartObj>
    </w:sdtPr>
    <w:sdtEndPr>
      <w:rPr>
        <w:b/>
      </w:rPr>
    </w:sdtEndPr>
    <w:sdtContent>
      <w:p w:rsidR="00660E4E" w:rsidRDefault="00660E4E" w:rsidP="00E6008D">
        <w:pPr>
          <w:spacing w:after="0" w:line="240" w:lineRule="auto"/>
          <w:jc w:val="center"/>
        </w:pPr>
        <w:r w:rsidRPr="00280851">
          <w:rPr>
            <w:b/>
            <w:noProof/>
            <w:sz w:val="20"/>
            <w:lang w:val="en-US"/>
          </w:rPr>
          <w:drawing>
            <wp:anchor distT="0" distB="0" distL="114300" distR="114300" simplePos="0" relativeHeight="251675648" behindDoc="0" locked="0" layoutInCell="1" allowOverlap="1" wp14:anchorId="40840B03" wp14:editId="24A737ED">
              <wp:simplePos x="0" y="0"/>
              <wp:positionH relativeFrom="margin">
                <wp:posOffset>1792605</wp:posOffset>
              </wp:positionH>
              <wp:positionV relativeFrom="paragraph">
                <wp:posOffset>-450215</wp:posOffset>
              </wp:positionV>
              <wp:extent cx="5908040" cy="917196"/>
              <wp:effectExtent l="0" t="0" r="0" b="0"/>
              <wp:wrapNone/>
              <wp:docPr id="56" name="Imagen 56" descr="Macintosh HD:Users:angelicafernandasierrapolanco:Desktop:membrete4oct-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gelicafernandasierrapolanco:Desktop:membrete4oct-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8040" cy="91719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0E4E" w:rsidRDefault="00660E4E" w:rsidP="00A34F4E">
        <w:pPr>
          <w:pStyle w:val="Encabezado"/>
          <w:jc w:val="right"/>
          <w:rPr>
            <w:b/>
          </w:rPr>
        </w:pPr>
        <w:r w:rsidRPr="006930C8">
          <w:rPr>
            <w:sz w:val="14"/>
            <w:szCs w:val="16"/>
            <w:lang w:val="es-ES"/>
          </w:rPr>
          <w:t xml:space="preserve">Página </w:t>
        </w:r>
        <w:r w:rsidRPr="006930C8">
          <w:rPr>
            <w:b/>
            <w:bCs/>
            <w:sz w:val="14"/>
            <w:szCs w:val="16"/>
          </w:rPr>
          <w:fldChar w:fldCharType="begin"/>
        </w:r>
        <w:r w:rsidRPr="006930C8">
          <w:rPr>
            <w:b/>
            <w:bCs/>
            <w:sz w:val="14"/>
            <w:szCs w:val="16"/>
          </w:rPr>
          <w:instrText>PAGE</w:instrText>
        </w:r>
        <w:r w:rsidRPr="006930C8">
          <w:rPr>
            <w:b/>
            <w:bCs/>
            <w:sz w:val="14"/>
            <w:szCs w:val="16"/>
          </w:rPr>
          <w:fldChar w:fldCharType="separate"/>
        </w:r>
        <w:r w:rsidR="00B20929">
          <w:rPr>
            <w:b/>
            <w:bCs/>
            <w:noProof/>
            <w:sz w:val="14"/>
            <w:szCs w:val="16"/>
          </w:rPr>
          <w:t>1</w:t>
        </w:r>
        <w:r w:rsidRPr="006930C8">
          <w:rPr>
            <w:b/>
            <w:bCs/>
            <w:sz w:val="14"/>
            <w:szCs w:val="16"/>
          </w:rPr>
          <w:fldChar w:fldCharType="end"/>
        </w:r>
        <w:r w:rsidRPr="006930C8">
          <w:rPr>
            <w:sz w:val="14"/>
            <w:szCs w:val="16"/>
            <w:lang w:val="es-ES"/>
          </w:rPr>
          <w:t xml:space="preserve"> de </w:t>
        </w:r>
        <w:r w:rsidRPr="006930C8">
          <w:rPr>
            <w:b/>
            <w:bCs/>
            <w:sz w:val="14"/>
            <w:szCs w:val="16"/>
          </w:rPr>
          <w:fldChar w:fldCharType="begin"/>
        </w:r>
        <w:r w:rsidRPr="006930C8">
          <w:rPr>
            <w:b/>
            <w:bCs/>
            <w:sz w:val="14"/>
            <w:szCs w:val="16"/>
          </w:rPr>
          <w:instrText>NUMPAGES</w:instrText>
        </w:r>
        <w:r w:rsidRPr="006930C8">
          <w:rPr>
            <w:b/>
            <w:bCs/>
            <w:sz w:val="14"/>
            <w:szCs w:val="16"/>
          </w:rPr>
          <w:fldChar w:fldCharType="separate"/>
        </w:r>
        <w:r w:rsidR="00B20929">
          <w:rPr>
            <w:b/>
            <w:bCs/>
            <w:noProof/>
            <w:sz w:val="14"/>
            <w:szCs w:val="16"/>
          </w:rPr>
          <w:t>15</w:t>
        </w:r>
        <w:r w:rsidRPr="006930C8">
          <w:rPr>
            <w:b/>
            <w:bCs/>
            <w:sz w:val="14"/>
            <w:szCs w:val="16"/>
          </w:rPr>
          <w:fldChar w:fldCharType="end"/>
        </w: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Users/grafico1908/Desktop/escudo.png" style="position:absolute;left:0;text-align:left;margin-left:0;margin-top:0;width:441.3pt;height:455.05pt;z-index:-251630592;mso-wrap-edited:f;mso-position-horizontal:center;mso-position-horizontal-relative:margin;mso-position-vertical:center;mso-position-vertical-relative:margin" o:allowincell="f">
              <v:imagedata r:id="rId2" o:title="escudo" gain="19661f" blacklevel="22938f"/>
              <w10:wrap anchorx="margin" anchory="margin"/>
            </v:shape>
          </w:pict>
        </w:r>
      </w:p>
    </w:sdtContent>
  </w:sdt>
  <w:p w:rsidR="00660E4E" w:rsidRPr="00A34F4E" w:rsidRDefault="00660E4E" w:rsidP="00A34F4E">
    <w:pPr>
      <w:pStyle w:val="Encabezado"/>
      <w:jc w:val="right"/>
      <w:rPr>
        <w:sz w:val="14"/>
        <w:szCs w:val="16"/>
      </w:rPr>
    </w:pPr>
    <w:r>
      <w:rPr>
        <w:noProof/>
      </w:rPr>
      <w:pict w14:anchorId="22AFA7BF">
        <v:shape id="WordPictureWatermark425219109" o:spid="_x0000_s2049" type="#_x0000_t75" alt="/Users/grafico1908/Desktop/escudo.png" style="position:absolute;left:0;text-align:left;margin-left:0;margin-top:0;width:441.3pt;height:455.05pt;z-index:-251655168;mso-wrap-edited:f;mso-position-horizontal:center;mso-position-horizontal-relative:margin;mso-position-vertical:center;mso-position-vertical-relative:margin" o:allowincell="f">
          <v:imagedata r:id="rId2" o:title="escu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F1A17"/>
    <w:multiLevelType w:val="hybridMultilevel"/>
    <w:tmpl w:val="B4F6F9C2"/>
    <w:lvl w:ilvl="0" w:tplc="E174DEB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830985"/>
    <w:multiLevelType w:val="hybridMultilevel"/>
    <w:tmpl w:val="AA2E2F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6EAC125B"/>
    <w:multiLevelType w:val="hybridMultilevel"/>
    <w:tmpl w:val="E1E0F6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2FA24A9"/>
    <w:multiLevelType w:val="hybridMultilevel"/>
    <w:tmpl w:val="C50A9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3F0205"/>
    <w:multiLevelType w:val="hybridMultilevel"/>
    <w:tmpl w:val="48E00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C4657B"/>
    <w:multiLevelType w:val="hybridMultilevel"/>
    <w:tmpl w:val="E21E3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pt-BR"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D0D"/>
    <w:rsid w:val="00005BF8"/>
    <w:rsid w:val="00005D34"/>
    <w:rsid w:val="000472E9"/>
    <w:rsid w:val="00061113"/>
    <w:rsid w:val="000720B3"/>
    <w:rsid w:val="0009117E"/>
    <w:rsid w:val="000918C6"/>
    <w:rsid w:val="000A1F3D"/>
    <w:rsid w:val="000D4132"/>
    <w:rsid w:val="000D6D72"/>
    <w:rsid w:val="000E1D7F"/>
    <w:rsid w:val="00141983"/>
    <w:rsid w:val="001560BF"/>
    <w:rsid w:val="00194459"/>
    <w:rsid w:val="00194D98"/>
    <w:rsid w:val="001C6852"/>
    <w:rsid w:val="001C71E1"/>
    <w:rsid w:val="001D6087"/>
    <w:rsid w:val="001E5EBA"/>
    <w:rsid w:val="001F6D20"/>
    <w:rsid w:val="00221E3A"/>
    <w:rsid w:val="00251442"/>
    <w:rsid w:val="00251825"/>
    <w:rsid w:val="00251C79"/>
    <w:rsid w:val="002652B5"/>
    <w:rsid w:val="00265B89"/>
    <w:rsid w:val="00280851"/>
    <w:rsid w:val="002A18AF"/>
    <w:rsid w:val="002A684A"/>
    <w:rsid w:val="002B1A55"/>
    <w:rsid w:val="002B5078"/>
    <w:rsid w:val="002C3E46"/>
    <w:rsid w:val="002E1C24"/>
    <w:rsid w:val="002F1AD3"/>
    <w:rsid w:val="00311E44"/>
    <w:rsid w:val="00332504"/>
    <w:rsid w:val="0033777C"/>
    <w:rsid w:val="00343306"/>
    <w:rsid w:val="0036247F"/>
    <w:rsid w:val="00387219"/>
    <w:rsid w:val="003A14DA"/>
    <w:rsid w:val="003A22B3"/>
    <w:rsid w:val="003A2535"/>
    <w:rsid w:val="003B227F"/>
    <w:rsid w:val="003D2DF8"/>
    <w:rsid w:val="00400E55"/>
    <w:rsid w:val="00403605"/>
    <w:rsid w:val="00415D47"/>
    <w:rsid w:val="004A0718"/>
    <w:rsid w:val="004B44C6"/>
    <w:rsid w:val="004B6B2E"/>
    <w:rsid w:val="004D6E9B"/>
    <w:rsid w:val="004F1944"/>
    <w:rsid w:val="00515B61"/>
    <w:rsid w:val="00535D0F"/>
    <w:rsid w:val="005418DE"/>
    <w:rsid w:val="005508D4"/>
    <w:rsid w:val="0055775E"/>
    <w:rsid w:val="0058167B"/>
    <w:rsid w:val="00582B5F"/>
    <w:rsid w:val="00583222"/>
    <w:rsid w:val="00591F2A"/>
    <w:rsid w:val="005C6AF4"/>
    <w:rsid w:val="005D15C7"/>
    <w:rsid w:val="005D3A79"/>
    <w:rsid w:val="005D7AC3"/>
    <w:rsid w:val="006021B7"/>
    <w:rsid w:val="0061319F"/>
    <w:rsid w:val="00613D20"/>
    <w:rsid w:val="00617F7C"/>
    <w:rsid w:val="00642463"/>
    <w:rsid w:val="00660E4E"/>
    <w:rsid w:val="00662970"/>
    <w:rsid w:val="0067092C"/>
    <w:rsid w:val="006757C0"/>
    <w:rsid w:val="00676308"/>
    <w:rsid w:val="006930C8"/>
    <w:rsid w:val="00694B49"/>
    <w:rsid w:val="006E3336"/>
    <w:rsid w:val="006F4699"/>
    <w:rsid w:val="007002B4"/>
    <w:rsid w:val="0071160D"/>
    <w:rsid w:val="00712F55"/>
    <w:rsid w:val="00737531"/>
    <w:rsid w:val="0075587A"/>
    <w:rsid w:val="0076408E"/>
    <w:rsid w:val="00767012"/>
    <w:rsid w:val="00794EE7"/>
    <w:rsid w:val="007A3BB3"/>
    <w:rsid w:val="007E1E78"/>
    <w:rsid w:val="007E21C1"/>
    <w:rsid w:val="00835B4C"/>
    <w:rsid w:val="008C1647"/>
    <w:rsid w:val="008C7991"/>
    <w:rsid w:val="008D2ED2"/>
    <w:rsid w:val="008D47D0"/>
    <w:rsid w:val="008D6920"/>
    <w:rsid w:val="008E7BB4"/>
    <w:rsid w:val="009038BA"/>
    <w:rsid w:val="00922517"/>
    <w:rsid w:val="00924CCC"/>
    <w:rsid w:val="00944309"/>
    <w:rsid w:val="0099314B"/>
    <w:rsid w:val="009974C6"/>
    <w:rsid w:val="009C1711"/>
    <w:rsid w:val="009D2CE3"/>
    <w:rsid w:val="009F368A"/>
    <w:rsid w:val="00A04BC7"/>
    <w:rsid w:val="00A34F4E"/>
    <w:rsid w:val="00A512B6"/>
    <w:rsid w:val="00A54DA9"/>
    <w:rsid w:val="00A62926"/>
    <w:rsid w:val="00A80790"/>
    <w:rsid w:val="00AA7853"/>
    <w:rsid w:val="00AC47BF"/>
    <w:rsid w:val="00AF6337"/>
    <w:rsid w:val="00B00682"/>
    <w:rsid w:val="00B13208"/>
    <w:rsid w:val="00B20929"/>
    <w:rsid w:val="00B224CF"/>
    <w:rsid w:val="00B2385F"/>
    <w:rsid w:val="00B306EC"/>
    <w:rsid w:val="00B35FB6"/>
    <w:rsid w:val="00B63430"/>
    <w:rsid w:val="00B6632E"/>
    <w:rsid w:val="00B66D74"/>
    <w:rsid w:val="00B705C7"/>
    <w:rsid w:val="00B94412"/>
    <w:rsid w:val="00BB19D9"/>
    <w:rsid w:val="00BB1DE8"/>
    <w:rsid w:val="00BB4793"/>
    <w:rsid w:val="00BC26AF"/>
    <w:rsid w:val="00C15915"/>
    <w:rsid w:val="00C17434"/>
    <w:rsid w:val="00C4364A"/>
    <w:rsid w:val="00C46EE5"/>
    <w:rsid w:val="00C5405E"/>
    <w:rsid w:val="00C57E95"/>
    <w:rsid w:val="00C635CF"/>
    <w:rsid w:val="00C64DE8"/>
    <w:rsid w:val="00C65B97"/>
    <w:rsid w:val="00C7499F"/>
    <w:rsid w:val="00CA2193"/>
    <w:rsid w:val="00CB03E7"/>
    <w:rsid w:val="00CB0B13"/>
    <w:rsid w:val="00CB1DDB"/>
    <w:rsid w:val="00CC347C"/>
    <w:rsid w:val="00CC77C3"/>
    <w:rsid w:val="00CD559F"/>
    <w:rsid w:val="00CF456C"/>
    <w:rsid w:val="00D03855"/>
    <w:rsid w:val="00D05F45"/>
    <w:rsid w:val="00D10B4C"/>
    <w:rsid w:val="00D11105"/>
    <w:rsid w:val="00D2386B"/>
    <w:rsid w:val="00D23DA8"/>
    <w:rsid w:val="00D240F9"/>
    <w:rsid w:val="00D540AA"/>
    <w:rsid w:val="00D604FB"/>
    <w:rsid w:val="00DB652E"/>
    <w:rsid w:val="00DB702C"/>
    <w:rsid w:val="00DB7A36"/>
    <w:rsid w:val="00DC124D"/>
    <w:rsid w:val="00DE419F"/>
    <w:rsid w:val="00DF7C22"/>
    <w:rsid w:val="00E034DF"/>
    <w:rsid w:val="00E1352C"/>
    <w:rsid w:val="00E1613E"/>
    <w:rsid w:val="00E408E2"/>
    <w:rsid w:val="00E41954"/>
    <w:rsid w:val="00E55B73"/>
    <w:rsid w:val="00E6008D"/>
    <w:rsid w:val="00E65262"/>
    <w:rsid w:val="00E75BAD"/>
    <w:rsid w:val="00E762C6"/>
    <w:rsid w:val="00E86C90"/>
    <w:rsid w:val="00EA042A"/>
    <w:rsid w:val="00EA54E1"/>
    <w:rsid w:val="00EA5619"/>
    <w:rsid w:val="00EC5323"/>
    <w:rsid w:val="00ED1717"/>
    <w:rsid w:val="00F14D0D"/>
    <w:rsid w:val="00F243E8"/>
    <w:rsid w:val="00F30B66"/>
    <w:rsid w:val="00F34710"/>
    <w:rsid w:val="00F55938"/>
    <w:rsid w:val="00F87552"/>
    <w:rsid w:val="00FA5249"/>
    <w:rsid w:val="00FB33BC"/>
    <w:rsid w:val="00FB6D36"/>
    <w:rsid w:val="00FC2DA2"/>
    <w:rsid w:val="00FF157E"/>
    <w:rsid w:val="00FF23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1A7B410"/>
  <w15:chartTrackingRefBased/>
  <w15:docId w15:val="{0F6DBDB8-D38D-4901-9E38-C7A91458C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743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4D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14D0D"/>
  </w:style>
  <w:style w:type="paragraph" w:styleId="Piedepgina">
    <w:name w:val="footer"/>
    <w:basedOn w:val="Normal"/>
    <w:link w:val="PiedepginaCar"/>
    <w:uiPriority w:val="99"/>
    <w:unhideWhenUsed/>
    <w:rsid w:val="00F14D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14D0D"/>
  </w:style>
  <w:style w:type="table" w:styleId="Tablaconcuadrcula">
    <w:name w:val="Table Grid"/>
    <w:basedOn w:val="Tablanormal"/>
    <w:uiPriority w:val="39"/>
    <w:rsid w:val="009D2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7434"/>
    <w:pPr>
      <w:autoSpaceDE w:val="0"/>
      <w:autoSpaceDN w:val="0"/>
      <w:adjustRightInd w:val="0"/>
      <w:spacing w:after="0" w:line="240" w:lineRule="auto"/>
    </w:pPr>
    <w:rPr>
      <w:rFonts w:ascii="Times New Roman" w:hAnsi="Times New Roman" w:cs="Times New Roman"/>
      <w:color w:val="000000"/>
      <w:sz w:val="24"/>
      <w:szCs w:val="24"/>
    </w:rPr>
  </w:style>
  <w:style w:type="paragraph" w:styleId="Textodeglobo">
    <w:name w:val="Balloon Text"/>
    <w:basedOn w:val="Normal"/>
    <w:link w:val="TextodegloboCar"/>
    <w:uiPriority w:val="99"/>
    <w:semiHidden/>
    <w:unhideWhenUsed/>
    <w:rsid w:val="0006111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1113"/>
    <w:rPr>
      <w:rFonts w:ascii="Segoe UI" w:hAnsi="Segoe UI" w:cs="Segoe UI"/>
      <w:sz w:val="18"/>
      <w:szCs w:val="18"/>
    </w:rPr>
  </w:style>
  <w:style w:type="paragraph" w:styleId="Sinespaciado">
    <w:name w:val="No Spacing"/>
    <w:uiPriority w:val="1"/>
    <w:qFormat/>
    <w:rsid w:val="00061113"/>
    <w:pPr>
      <w:spacing w:after="0" w:line="240" w:lineRule="auto"/>
    </w:pPr>
    <w:rPr>
      <w:rFonts w:ascii="Calibri" w:eastAsia="Calibri" w:hAnsi="Calibri" w:cs="Times New Roman"/>
      <w:lang w:val="es-ES"/>
    </w:rPr>
  </w:style>
  <w:style w:type="character" w:customStyle="1" w:styleId="5yl5">
    <w:name w:val="_5yl5"/>
    <w:rsid w:val="00061113"/>
  </w:style>
  <w:style w:type="character" w:styleId="Refdecomentario">
    <w:name w:val="annotation reference"/>
    <w:basedOn w:val="Fuentedeprrafopredeter"/>
    <w:uiPriority w:val="99"/>
    <w:semiHidden/>
    <w:unhideWhenUsed/>
    <w:rsid w:val="007002B4"/>
    <w:rPr>
      <w:sz w:val="16"/>
      <w:szCs w:val="16"/>
    </w:rPr>
  </w:style>
  <w:style w:type="paragraph" w:styleId="Textocomentario">
    <w:name w:val="annotation text"/>
    <w:basedOn w:val="Normal"/>
    <w:link w:val="TextocomentarioCar"/>
    <w:uiPriority w:val="99"/>
    <w:semiHidden/>
    <w:unhideWhenUsed/>
    <w:rsid w:val="007002B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002B4"/>
    <w:rPr>
      <w:sz w:val="20"/>
      <w:szCs w:val="20"/>
    </w:rPr>
  </w:style>
  <w:style w:type="character" w:styleId="Hipervnculo">
    <w:name w:val="Hyperlink"/>
    <w:basedOn w:val="Fuentedeprrafopredeter"/>
    <w:uiPriority w:val="99"/>
    <w:unhideWhenUsed/>
    <w:rsid w:val="007002B4"/>
    <w:rPr>
      <w:color w:val="0563C1"/>
      <w:u w:val="single"/>
    </w:rPr>
  </w:style>
  <w:style w:type="paragraph" w:styleId="NormalWeb">
    <w:name w:val="Normal (Web)"/>
    <w:basedOn w:val="Normal"/>
    <w:uiPriority w:val="99"/>
    <w:semiHidden/>
    <w:unhideWhenUsed/>
    <w:rsid w:val="00515B6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rrafodelista">
    <w:name w:val="List Paragraph"/>
    <w:aliases w:val="Segundo nivel de viñetas,List Paragraph1,titulo 3,Párrafo de lista1,Numbered List Paragraph,Bullets,Lista vistosa - Énfasis 11,List,Fluvial1,Ha,Cuadrícula clara - Énfasis 31,Normal. Viñetas,List Paragraph,HOJA,Bolita,Párrafo de lista4"/>
    <w:basedOn w:val="Normal"/>
    <w:link w:val="PrrafodelistaCar"/>
    <w:uiPriority w:val="34"/>
    <w:qFormat/>
    <w:rsid w:val="003A22B3"/>
    <w:pPr>
      <w:ind w:left="720"/>
      <w:contextualSpacing/>
    </w:pPr>
  </w:style>
  <w:style w:type="character" w:styleId="Textoennegrita">
    <w:name w:val="Strong"/>
    <w:basedOn w:val="Fuentedeprrafopredeter"/>
    <w:uiPriority w:val="22"/>
    <w:qFormat/>
    <w:rsid w:val="00A34F4E"/>
    <w:rPr>
      <w:b/>
      <w:bCs/>
    </w:rPr>
  </w:style>
  <w:style w:type="paragraph" w:styleId="Textonotapie">
    <w:name w:val="footnote text"/>
    <w:basedOn w:val="Normal"/>
    <w:link w:val="TextonotapieCar"/>
    <w:uiPriority w:val="99"/>
    <w:semiHidden/>
    <w:unhideWhenUsed/>
    <w:rsid w:val="00B66D7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66D74"/>
    <w:rPr>
      <w:sz w:val="20"/>
      <w:szCs w:val="20"/>
    </w:rPr>
  </w:style>
  <w:style w:type="character" w:styleId="Refdenotaalpie">
    <w:name w:val="footnote reference"/>
    <w:basedOn w:val="Fuentedeprrafopredeter"/>
    <w:uiPriority w:val="99"/>
    <w:semiHidden/>
    <w:unhideWhenUsed/>
    <w:rsid w:val="00B66D74"/>
    <w:rPr>
      <w:vertAlign w:val="superscript"/>
    </w:rPr>
  </w:style>
  <w:style w:type="paragraph" w:customStyle="1" w:styleId="TableParagraph">
    <w:name w:val="Table Paragraph"/>
    <w:basedOn w:val="Normal"/>
    <w:uiPriority w:val="1"/>
    <w:qFormat/>
    <w:rsid w:val="00E408E2"/>
    <w:pPr>
      <w:widowControl w:val="0"/>
      <w:autoSpaceDE w:val="0"/>
      <w:autoSpaceDN w:val="0"/>
      <w:spacing w:after="0" w:line="240" w:lineRule="auto"/>
    </w:pPr>
    <w:rPr>
      <w:rFonts w:ascii="Arial" w:eastAsia="Arial" w:hAnsi="Arial" w:cs="Times New Roman"/>
      <w:lang w:val="gl" w:eastAsia="gl"/>
    </w:rPr>
  </w:style>
  <w:style w:type="character" w:customStyle="1" w:styleId="tl8wme">
    <w:name w:val="tl8wme"/>
    <w:basedOn w:val="Fuentedeprrafopredeter"/>
    <w:rsid w:val="002B5078"/>
  </w:style>
  <w:style w:type="character" w:customStyle="1" w:styleId="PrrafodelistaCar">
    <w:name w:val="Párrafo de lista Car"/>
    <w:aliases w:val="Segundo nivel de viñetas Car,List Paragraph1 Car,titulo 3 Car,Párrafo de lista1 Car,Numbered List Paragraph Car,Bullets Car,Lista vistosa - Énfasis 11 Car,List Car,Fluvial1 Car,Ha Car,Cuadrícula clara - Énfasis 31 Car,HOJA Car"/>
    <w:link w:val="Prrafodelista"/>
    <w:uiPriority w:val="34"/>
    <w:locked/>
    <w:rsid w:val="002F1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332868">
      <w:bodyDiv w:val="1"/>
      <w:marLeft w:val="0"/>
      <w:marRight w:val="0"/>
      <w:marTop w:val="0"/>
      <w:marBottom w:val="0"/>
      <w:divBdr>
        <w:top w:val="none" w:sz="0" w:space="0" w:color="auto"/>
        <w:left w:val="none" w:sz="0" w:space="0" w:color="auto"/>
        <w:bottom w:val="none" w:sz="0" w:space="0" w:color="auto"/>
        <w:right w:val="none" w:sz="0" w:space="0" w:color="auto"/>
      </w:divBdr>
    </w:div>
    <w:div w:id="367412696">
      <w:bodyDiv w:val="1"/>
      <w:marLeft w:val="0"/>
      <w:marRight w:val="0"/>
      <w:marTop w:val="0"/>
      <w:marBottom w:val="0"/>
      <w:divBdr>
        <w:top w:val="none" w:sz="0" w:space="0" w:color="auto"/>
        <w:left w:val="none" w:sz="0" w:space="0" w:color="auto"/>
        <w:bottom w:val="none" w:sz="0" w:space="0" w:color="auto"/>
        <w:right w:val="none" w:sz="0" w:space="0" w:color="auto"/>
      </w:divBdr>
      <w:divsChild>
        <w:div w:id="683898619">
          <w:marLeft w:val="0"/>
          <w:marRight w:val="0"/>
          <w:marTop w:val="0"/>
          <w:marBottom w:val="0"/>
          <w:divBdr>
            <w:top w:val="none" w:sz="0" w:space="0" w:color="auto"/>
            <w:left w:val="none" w:sz="0" w:space="0" w:color="auto"/>
            <w:bottom w:val="none" w:sz="0" w:space="0" w:color="auto"/>
            <w:right w:val="none" w:sz="0" w:space="0" w:color="auto"/>
          </w:divBdr>
          <w:divsChild>
            <w:div w:id="1895041449">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 w:id="600338790">
      <w:bodyDiv w:val="1"/>
      <w:marLeft w:val="0"/>
      <w:marRight w:val="0"/>
      <w:marTop w:val="0"/>
      <w:marBottom w:val="0"/>
      <w:divBdr>
        <w:top w:val="none" w:sz="0" w:space="0" w:color="auto"/>
        <w:left w:val="none" w:sz="0" w:space="0" w:color="auto"/>
        <w:bottom w:val="none" w:sz="0" w:space="0" w:color="auto"/>
        <w:right w:val="none" w:sz="0" w:space="0" w:color="auto"/>
      </w:divBdr>
    </w:div>
    <w:div w:id="621150839">
      <w:bodyDiv w:val="1"/>
      <w:marLeft w:val="0"/>
      <w:marRight w:val="0"/>
      <w:marTop w:val="0"/>
      <w:marBottom w:val="0"/>
      <w:divBdr>
        <w:top w:val="none" w:sz="0" w:space="0" w:color="auto"/>
        <w:left w:val="none" w:sz="0" w:space="0" w:color="auto"/>
        <w:bottom w:val="none" w:sz="0" w:space="0" w:color="auto"/>
        <w:right w:val="none" w:sz="0" w:space="0" w:color="auto"/>
      </w:divBdr>
    </w:div>
    <w:div w:id="696585902">
      <w:bodyDiv w:val="1"/>
      <w:marLeft w:val="0"/>
      <w:marRight w:val="0"/>
      <w:marTop w:val="0"/>
      <w:marBottom w:val="0"/>
      <w:divBdr>
        <w:top w:val="none" w:sz="0" w:space="0" w:color="auto"/>
        <w:left w:val="none" w:sz="0" w:space="0" w:color="auto"/>
        <w:bottom w:val="none" w:sz="0" w:space="0" w:color="auto"/>
        <w:right w:val="none" w:sz="0" w:space="0" w:color="auto"/>
      </w:divBdr>
    </w:div>
    <w:div w:id="836193947">
      <w:bodyDiv w:val="1"/>
      <w:marLeft w:val="0"/>
      <w:marRight w:val="0"/>
      <w:marTop w:val="0"/>
      <w:marBottom w:val="0"/>
      <w:divBdr>
        <w:top w:val="none" w:sz="0" w:space="0" w:color="auto"/>
        <w:left w:val="none" w:sz="0" w:space="0" w:color="auto"/>
        <w:bottom w:val="none" w:sz="0" w:space="0" w:color="auto"/>
        <w:right w:val="none" w:sz="0" w:space="0" w:color="auto"/>
      </w:divBdr>
      <w:divsChild>
        <w:div w:id="209391274">
          <w:marLeft w:val="0"/>
          <w:marRight w:val="0"/>
          <w:marTop w:val="0"/>
          <w:marBottom w:val="0"/>
          <w:divBdr>
            <w:top w:val="none" w:sz="0" w:space="0" w:color="auto"/>
            <w:left w:val="none" w:sz="0" w:space="0" w:color="auto"/>
            <w:bottom w:val="none" w:sz="0" w:space="0" w:color="auto"/>
            <w:right w:val="none" w:sz="0" w:space="0" w:color="auto"/>
          </w:divBdr>
        </w:div>
      </w:divsChild>
    </w:div>
    <w:div w:id="1072192306">
      <w:bodyDiv w:val="1"/>
      <w:marLeft w:val="0"/>
      <w:marRight w:val="0"/>
      <w:marTop w:val="0"/>
      <w:marBottom w:val="0"/>
      <w:divBdr>
        <w:top w:val="none" w:sz="0" w:space="0" w:color="auto"/>
        <w:left w:val="none" w:sz="0" w:space="0" w:color="auto"/>
        <w:bottom w:val="none" w:sz="0" w:space="0" w:color="auto"/>
        <w:right w:val="none" w:sz="0" w:space="0" w:color="auto"/>
      </w:divBdr>
    </w:div>
    <w:div w:id="1238445577">
      <w:bodyDiv w:val="1"/>
      <w:marLeft w:val="0"/>
      <w:marRight w:val="0"/>
      <w:marTop w:val="0"/>
      <w:marBottom w:val="0"/>
      <w:divBdr>
        <w:top w:val="none" w:sz="0" w:space="0" w:color="auto"/>
        <w:left w:val="none" w:sz="0" w:space="0" w:color="auto"/>
        <w:bottom w:val="none" w:sz="0" w:space="0" w:color="auto"/>
        <w:right w:val="none" w:sz="0" w:space="0" w:color="auto"/>
      </w:divBdr>
    </w:div>
    <w:div w:id="1295477534">
      <w:bodyDiv w:val="1"/>
      <w:marLeft w:val="0"/>
      <w:marRight w:val="0"/>
      <w:marTop w:val="0"/>
      <w:marBottom w:val="0"/>
      <w:divBdr>
        <w:top w:val="none" w:sz="0" w:space="0" w:color="auto"/>
        <w:left w:val="none" w:sz="0" w:space="0" w:color="auto"/>
        <w:bottom w:val="none" w:sz="0" w:space="0" w:color="auto"/>
        <w:right w:val="none" w:sz="0" w:space="0" w:color="auto"/>
      </w:divBdr>
    </w:div>
    <w:div w:id="1615743839">
      <w:bodyDiv w:val="1"/>
      <w:marLeft w:val="0"/>
      <w:marRight w:val="0"/>
      <w:marTop w:val="0"/>
      <w:marBottom w:val="0"/>
      <w:divBdr>
        <w:top w:val="none" w:sz="0" w:space="0" w:color="auto"/>
        <w:left w:val="none" w:sz="0" w:space="0" w:color="auto"/>
        <w:bottom w:val="none" w:sz="0" w:space="0" w:color="auto"/>
        <w:right w:val="none" w:sz="0" w:space="0" w:color="auto"/>
      </w:divBdr>
    </w:div>
    <w:div w:id="1630890895">
      <w:bodyDiv w:val="1"/>
      <w:marLeft w:val="0"/>
      <w:marRight w:val="0"/>
      <w:marTop w:val="0"/>
      <w:marBottom w:val="0"/>
      <w:divBdr>
        <w:top w:val="none" w:sz="0" w:space="0" w:color="auto"/>
        <w:left w:val="none" w:sz="0" w:space="0" w:color="auto"/>
        <w:bottom w:val="none" w:sz="0" w:space="0" w:color="auto"/>
        <w:right w:val="none" w:sz="0" w:space="0" w:color="auto"/>
      </w:divBdr>
    </w:div>
    <w:div w:id="1636990087">
      <w:bodyDiv w:val="1"/>
      <w:marLeft w:val="0"/>
      <w:marRight w:val="0"/>
      <w:marTop w:val="0"/>
      <w:marBottom w:val="0"/>
      <w:divBdr>
        <w:top w:val="none" w:sz="0" w:space="0" w:color="auto"/>
        <w:left w:val="none" w:sz="0" w:space="0" w:color="auto"/>
        <w:bottom w:val="none" w:sz="0" w:space="0" w:color="auto"/>
        <w:right w:val="none" w:sz="0" w:space="0" w:color="auto"/>
      </w:divBdr>
    </w:div>
    <w:div w:id="1884292926">
      <w:bodyDiv w:val="1"/>
      <w:marLeft w:val="0"/>
      <w:marRight w:val="0"/>
      <w:marTop w:val="0"/>
      <w:marBottom w:val="0"/>
      <w:divBdr>
        <w:top w:val="none" w:sz="0" w:space="0" w:color="auto"/>
        <w:left w:val="none" w:sz="0" w:space="0" w:color="auto"/>
        <w:bottom w:val="none" w:sz="0" w:space="0" w:color="auto"/>
        <w:right w:val="none" w:sz="0" w:space="0" w:color="auto"/>
      </w:divBdr>
    </w:div>
    <w:div w:id="1954285631">
      <w:bodyDiv w:val="1"/>
      <w:marLeft w:val="0"/>
      <w:marRight w:val="0"/>
      <w:marTop w:val="0"/>
      <w:marBottom w:val="0"/>
      <w:divBdr>
        <w:top w:val="none" w:sz="0" w:space="0" w:color="auto"/>
        <w:left w:val="none" w:sz="0" w:space="0" w:color="auto"/>
        <w:bottom w:val="none" w:sz="0" w:space="0" w:color="auto"/>
        <w:right w:val="none" w:sz="0" w:space="0" w:color="auto"/>
      </w:divBdr>
    </w:div>
    <w:div w:id="2044598037">
      <w:bodyDiv w:val="1"/>
      <w:marLeft w:val="0"/>
      <w:marRight w:val="0"/>
      <w:marTop w:val="0"/>
      <w:marBottom w:val="0"/>
      <w:divBdr>
        <w:top w:val="none" w:sz="0" w:space="0" w:color="auto"/>
        <w:left w:val="none" w:sz="0" w:space="0" w:color="auto"/>
        <w:bottom w:val="none" w:sz="0" w:space="0" w:color="auto"/>
        <w:right w:val="none" w:sz="0" w:space="0" w:color="auto"/>
      </w:divBdr>
    </w:div>
    <w:div w:id="2071074907">
      <w:bodyDiv w:val="1"/>
      <w:marLeft w:val="0"/>
      <w:marRight w:val="0"/>
      <w:marTop w:val="0"/>
      <w:marBottom w:val="0"/>
      <w:divBdr>
        <w:top w:val="none" w:sz="0" w:space="0" w:color="auto"/>
        <w:left w:val="none" w:sz="0" w:space="0" w:color="auto"/>
        <w:bottom w:val="none" w:sz="0" w:space="0" w:color="auto"/>
        <w:right w:val="none" w:sz="0" w:space="0" w:color="auto"/>
      </w:divBdr>
      <w:divsChild>
        <w:div w:id="1717466117">
          <w:marLeft w:val="-15"/>
          <w:marRight w:val="0"/>
          <w:marTop w:val="0"/>
          <w:marBottom w:val="0"/>
          <w:divBdr>
            <w:top w:val="none" w:sz="0" w:space="0" w:color="auto"/>
            <w:left w:val="none" w:sz="0" w:space="0" w:color="auto"/>
            <w:bottom w:val="none" w:sz="0" w:space="0" w:color="auto"/>
            <w:right w:val="none" w:sz="0" w:space="0" w:color="auto"/>
          </w:divBdr>
        </w:div>
      </w:divsChild>
    </w:div>
    <w:div w:id="210602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0002-8709-760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m/citations?%20user=Zj1gDYEAAAAJ&amp;hl=es&amp;oi=ao"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oogle.com/url?q=https://orcid.org/0000-0002-0519-4524&amp;sa=D&amp;source=hangouts&amp;ust=1565364302645000&amp;usg=AFQjCNGH2ux6He6ar4FZ_l-5fGFHJtHFkw" TargetMode="External"/><Relationship Id="rId4" Type="http://schemas.openxmlformats.org/officeDocument/2006/relationships/settings" Target="settings.xml"/><Relationship Id="rId9" Type="http://schemas.openxmlformats.org/officeDocument/2006/relationships/hyperlink" Target="https://scholar.google.es/citations?user=X8NxaQoAAAAJ&amp;amp;hl=es&amp;amp;oi=a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9FAF6-600C-459C-A911-A85BF6C04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1244</TotalTime>
  <Pages>15</Pages>
  <Words>5674</Words>
  <Characters>35406</Characters>
  <Application>Microsoft Office Word</Application>
  <DocSecurity>0</DocSecurity>
  <Lines>1106</Lines>
  <Paragraphs>373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Docentes Unidad de Investigación</dc:creator>
  <cp:keywords/>
  <dc:description/>
  <cp:lastModifiedBy>Eloisa Moreno Vargas</cp:lastModifiedBy>
  <cp:revision>51</cp:revision>
  <cp:lastPrinted>2019-05-21T14:57:00Z</cp:lastPrinted>
  <dcterms:created xsi:type="dcterms:W3CDTF">2019-04-25T19:38:00Z</dcterms:created>
  <dcterms:modified xsi:type="dcterms:W3CDTF">2019-08-09T23:09:00Z</dcterms:modified>
</cp:coreProperties>
</file>