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8AF" w:rsidRPr="003F00A9" w:rsidRDefault="00642463" w:rsidP="003F00A9">
      <w:pPr>
        <w:spacing w:line="276" w:lineRule="auto"/>
        <w:jc w:val="center"/>
        <w:rPr>
          <w:rFonts w:ascii="Times New Roman" w:hAnsi="Times New Roman" w:cs="Times New Roman"/>
          <w:b/>
          <w:sz w:val="24"/>
          <w:szCs w:val="24"/>
          <w:lang w:val="es-ES"/>
        </w:rPr>
      </w:pPr>
      <w:r w:rsidRPr="003F00A9">
        <w:rPr>
          <w:rFonts w:ascii="Times New Roman" w:hAnsi="Times New Roman" w:cs="Times New Roman"/>
          <w:b/>
          <w:sz w:val="24"/>
          <w:szCs w:val="24"/>
          <w:lang w:val="es-ES"/>
        </w:rPr>
        <w:t>DECIMOQUINTA CONVOCATORIA PARA EL FOMENTO DE LA INVESTIGACIÓN Y LA INNOVACIÓN 2020</w:t>
      </w:r>
    </w:p>
    <w:tbl>
      <w:tblPr>
        <w:tblW w:w="14983" w:type="dxa"/>
        <w:shd w:val="clear" w:color="auto" w:fill="FFFFFF"/>
        <w:tblLook w:val="04A0" w:firstRow="1" w:lastRow="0" w:firstColumn="1" w:lastColumn="0" w:noHBand="0" w:noVBand="1"/>
      </w:tblPr>
      <w:tblGrid>
        <w:gridCol w:w="6371"/>
        <w:gridCol w:w="8612"/>
      </w:tblGrid>
      <w:tr w:rsidR="002A18AF" w:rsidRPr="003F00A9"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Título del proyecto</w:t>
            </w:r>
          </w:p>
        </w:tc>
      </w:tr>
      <w:tr w:rsidR="002A18AF" w:rsidRPr="003F00A9"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9021D0" w:rsidP="003F00A9">
            <w:pPr>
              <w:spacing w:after="0" w:line="276" w:lineRule="auto"/>
              <w:jc w:val="both"/>
              <w:rPr>
                <w:rFonts w:ascii="Times New Roman" w:eastAsia="Times New Roman" w:hAnsi="Times New Roman" w:cs="Times New Roman"/>
                <w:color w:val="222222"/>
                <w:sz w:val="24"/>
                <w:szCs w:val="24"/>
                <w:lang w:eastAsia="es-CO"/>
              </w:rPr>
            </w:pPr>
            <w:r w:rsidRPr="003F00A9">
              <w:rPr>
                <w:rFonts w:ascii="Times New Roman" w:hAnsi="Times New Roman" w:cs="Times New Roman"/>
                <w:b/>
                <w:sz w:val="24"/>
                <w:szCs w:val="24"/>
              </w:rPr>
              <w:t>Efecto de la descripción morfológica y la reinstauración de contexto en la exactitud en la identificación en fila de personas con el paso del tiempo</w:t>
            </w:r>
          </w:p>
        </w:tc>
      </w:tr>
      <w:tr w:rsidR="00265B89" w:rsidRPr="003F00A9" w:rsidTr="00565FE6">
        <w:tc>
          <w:tcPr>
            <w:tcW w:w="212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3F00A9" w:rsidRDefault="00265B89"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Campo de acción</w:t>
            </w:r>
          </w:p>
        </w:tc>
        <w:tc>
          <w:tcPr>
            <w:tcW w:w="287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65B89" w:rsidRPr="003F00A9" w:rsidRDefault="00265B89"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Transdisciplinariedad - Aporte al PIM</w:t>
            </w:r>
          </w:p>
        </w:tc>
      </w:tr>
      <w:tr w:rsidR="00265B89" w:rsidRPr="003F00A9" w:rsidTr="00565FE6">
        <w:tc>
          <w:tcPr>
            <w:tcW w:w="212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9021D0" w:rsidRPr="009021D0" w:rsidRDefault="009021D0" w:rsidP="003F00A9">
            <w:pPr>
              <w:shd w:val="clear" w:color="auto" w:fill="FFFFFF"/>
              <w:spacing w:before="100" w:beforeAutospacing="1" w:after="100" w:afterAutospacing="1" w:line="276" w:lineRule="auto"/>
              <w:rPr>
                <w:rFonts w:ascii="Times New Roman" w:eastAsia="Times New Roman" w:hAnsi="Times New Roman" w:cs="Times New Roman"/>
                <w:color w:val="333333"/>
                <w:sz w:val="24"/>
                <w:szCs w:val="24"/>
                <w:lang w:eastAsia="es-CO"/>
              </w:rPr>
            </w:pPr>
            <w:r w:rsidRPr="009021D0">
              <w:rPr>
                <w:rFonts w:ascii="Times New Roman" w:eastAsia="Times New Roman" w:hAnsi="Times New Roman" w:cs="Times New Roman"/>
                <w:color w:val="333333"/>
                <w:spacing w:val="2"/>
                <w:sz w:val="24"/>
                <w:szCs w:val="24"/>
                <w:lang w:eastAsia="es-CO"/>
              </w:rPr>
              <w:t>Derechos Humanos, Ciudadanía y Construcción de Política Pública en y para escenarios de paz</w:t>
            </w:r>
          </w:p>
          <w:p w:rsidR="00265B89" w:rsidRPr="003F00A9" w:rsidRDefault="00265B89"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2874" w:type="pct"/>
            <w:tcBorders>
              <w:top w:val="single" w:sz="6" w:space="0" w:color="DDDDDD"/>
              <w:left w:val="single" w:sz="6" w:space="0" w:color="DDDDDD"/>
              <w:bottom w:val="single" w:sz="6" w:space="0" w:color="DDDDDD"/>
              <w:right w:val="single" w:sz="6" w:space="0" w:color="DDDDDD"/>
            </w:tcBorders>
            <w:shd w:val="clear" w:color="auto" w:fill="FFFFFF"/>
            <w:vAlign w:val="center"/>
          </w:tcPr>
          <w:p w:rsidR="009021D0" w:rsidRPr="003F00A9" w:rsidRDefault="009021D0" w:rsidP="003F00A9">
            <w:pPr>
              <w:spacing w:line="276" w:lineRule="auto"/>
              <w:jc w:val="both"/>
              <w:rPr>
                <w:rFonts w:ascii="Times New Roman" w:hAnsi="Times New Roman" w:cs="Times New Roman"/>
                <w:sz w:val="24"/>
                <w:szCs w:val="24"/>
                <w:shd w:val="clear" w:color="auto" w:fill="FFFFFF"/>
              </w:rPr>
            </w:pPr>
            <w:r w:rsidRPr="003F00A9">
              <w:rPr>
                <w:rFonts w:ascii="Times New Roman" w:hAnsi="Times New Roman" w:cs="Times New Roman"/>
                <w:sz w:val="24"/>
                <w:szCs w:val="24"/>
              </w:rPr>
              <w:t>Este proyecto se vincula a la línea del PIM “Pro</w:t>
            </w:r>
            <w:r w:rsidRPr="003F00A9">
              <w:rPr>
                <w:rFonts w:ascii="Times New Roman" w:hAnsi="Times New Roman" w:cs="Times New Roman"/>
                <w:sz w:val="24"/>
                <w:szCs w:val="24"/>
                <w:shd w:val="clear" w:color="auto" w:fill="FFFFFF"/>
              </w:rPr>
              <w:t>yección social e investigación pertinentes”, en este sentido, el proyecto contribuye al cumplimiento de esta línea del Plan Integral Multicampus, en tanto que se plantea como un proyecto con impacto nacional que busca hacer visible la investigación de la USTA Colombia, impactando en el medio externo (sector justicia) con la generación de un protocolo de actuación para policía judicial sobre el reconocimiento de personas</w:t>
            </w:r>
            <w:r w:rsidR="003F00A9">
              <w:rPr>
                <w:rFonts w:ascii="Times New Roman" w:hAnsi="Times New Roman" w:cs="Times New Roman"/>
                <w:sz w:val="24"/>
                <w:szCs w:val="24"/>
                <w:shd w:val="clear" w:color="auto" w:fill="FFFFFF"/>
              </w:rPr>
              <w:t>.</w:t>
            </w:r>
          </w:p>
          <w:p w:rsidR="00265B89" w:rsidRPr="003F00A9" w:rsidRDefault="009021D0" w:rsidP="003F00A9">
            <w:pPr>
              <w:spacing w:line="276" w:lineRule="auto"/>
              <w:jc w:val="both"/>
              <w:rPr>
                <w:rFonts w:ascii="Times New Roman" w:eastAsia="Times New Roman" w:hAnsi="Times New Roman" w:cs="Times New Roman"/>
                <w:b/>
                <w:bCs/>
                <w:color w:val="222222"/>
                <w:sz w:val="24"/>
                <w:szCs w:val="24"/>
                <w:lang w:eastAsia="es-CO"/>
              </w:rPr>
            </w:pPr>
            <w:r w:rsidRPr="003F00A9">
              <w:rPr>
                <w:rFonts w:ascii="Times New Roman" w:hAnsi="Times New Roman" w:cs="Times New Roman"/>
                <w:sz w:val="24"/>
                <w:szCs w:val="24"/>
                <w:shd w:val="clear" w:color="auto" w:fill="FFFFFF"/>
              </w:rPr>
              <w:t>Personas que transforman la sociedad: Esta línea del PIM es alimentada por el presente proyecto, ya que aporta conocimiento científico para disminuir el error judicial que puede conducir a falsos positivos o negativos en la investigación judicial.</w:t>
            </w:r>
          </w:p>
        </w:tc>
      </w:tr>
      <w:tr w:rsidR="00265B89" w:rsidRPr="003F00A9"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3F00A9" w:rsidRDefault="00265B89"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Articulación con funciones sustantivas y el sector social y productivo</w:t>
            </w:r>
          </w:p>
        </w:tc>
      </w:tr>
      <w:tr w:rsidR="00265B89" w:rsidRPr="003F00A9"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3F00A9" w:rsidRDefault="009021D0" w:rsidP="00182F6F">
            <w:pPr>
              <w:spacing w:before="100" w:beforeAutospacing="1" w:after="100" w:afterAutospacing="1" w:line="276" w:lineRule="auto"/>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Cs/>
                <w:color w:val="222222"/>
                <w:sz w:val="24"/>
                <w:szCs w:val="24"/>
                <w:lang w:eastAsia="es-CO"/>
              </w:rPr>
              <w:t xml:space="preserve">Se articula con docencia toda vez que el proyecto se circunscribe a la psicología del testimonio (subcampo de la psicología jurídica), espacio académico dictado en el primer semestre de la especialización en psicología jurídica y forense. Frente al sector productivo el proyecto se enfoca en la responsabilidad social universitaria al brindar a la Fiscalía General de la Nación conocimiento científico sobre </w:t>
            </w:r>
            <w:r w:rsidR="000C2604" w:rsidRPr="003F00A9">
              <w:rPr>
                <w:rFonts w:ascii="Times New Roman" w:eastAsia="Times New Roman" w:hAnsi="Times New Roman" w:cs="Times New Roman"/>
                <w:bCs/>
                <w:color w:val="222222"/>
                <w:sz w:val="24"/>
                <w:szCs w:val="24"/>
                <w:lang w:eastAsia="es-CO"/>
              </w:rPr>
              <w:t>el efecto de técnicas de potencialización de memoria en una tarea que se desarrolla a diario como es el reconocimiento de personas a través de estrategias de investigación judicial.</w:t>
            </w:r>
          </w:p>
        </w:tc>
      </w:tr>
      <w:tr w:rsidR="002A18AF" w:rsidRPr="003F00A9" w:rsidTr="00565FE6">
        <w:tc>
          <w:tcPr>
            <w:tcW w:w="212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3F00A9" w:rsidRDefault="002A18AF" w:rsidP="003F00A9">
            <w:pPr>
              <w:spacing w:after="0"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Grupo de investigación</w:t>
            </w:r>
          </w:p>
        </w:tc>
        <w:tc>
          <w:tcPr>
            <w:tcW w:w="287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A18AF" w:rsidRPr="003F00A9" w:rsidRDefault="002A18AF" w:rsidP="003F00A9">
            <w:pPr>
              <w:spacing w:after="0"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Línea de investigación en la que se inscribe el proyecto</w:t>
            </w:r>
          </w:p>
        </w:tc>
      </w:tr>
      <w:tr w:rsidR="002A18AF" w:rsidRPr="003F00A9"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2B6E3B" w:rsidP="003F00A9">
            <w:pPr>
              <w:spacing w:after="0" w:line="276" w:lineRule="auto"/>
              <w:rPr>
                <w:rFonts w:ascii="Times New Roman" w:eastAsia="Times New Roman" w:hAnsi="Times New Roman" w:cs="Times New Roman"/>
                <w:color w:val="222222"/>
                <w:sz w:val="24"/>
                <w:szCs w:val="24"/>
                <w:lang w:eastAsia="es-CO"/>
              </w:rPr>
            </w:pPr>
            <w:r w:rsidRPr="003F00A9">
              <w:rPr>
                <w:rFonts w:ascii="Times New Roman" w:eastAsia="Times New Roman" w:hAnsi="Times New Roman" w:cs="Times New Roman"/>
                <w:color w:val="222222"/>
                <w:sz w:val="24"/>
                <w:szCs w:val="24"/>
                <w:lang w:eastAsia="es-CO"/>
              </w:rPr>
              <w:t>Psicología, ciclo vital y derechos</w:t>
            </w:r>
            <w:r w:rsidR="009021D0" w:rsidRPr="003F00A9">
              <w:rPr>
                <w:rFonts w:ascii="Times New Roman" w:eastAsia="Times New Roman" w:hAnsi="Times New Roman" w:cs="Times New Roman"/>
                <w:color w:val="222222"/>
                <w:sz w:val="24"/>
                <w:szCs w:val="24"/>
                <w:lang w:eastAsia="es-CO"/>
              </w:rPr>
              <w:t xml:space="preserve">                                                               </w:t>
            </w:r>
            <w:r w:rsidR="009021D0" w:rsidRPr="003F00A9">
              <w:rPr>
                <w:rFonts w:ascii="Times New Roman" w:hAnsi="Times New Roman" w:cs="Times New Roman"/>
                <w:sz w:val="24"/>
                <w:szCs w:val="24"/>
              </w:rPr>
              <w:t>Psicología, fenómenos jurídicos y transdisciplinariedad</w:t>
            </w:r>
          </w:p>
        </w:tc>
      </w:tr>
    </w:tbl>
    <w:p w:rsidR="002A18AF" w:rsidRPr="003F00A9" w:rsidRDefault="002A18AF" w:rsidP="003F00A9">
      <w:pPr>
        <w:spacing w:after="0" w:line="276" w:lineRule="auto"/>
        <w:rPr>
          <w:rFonts w:ascii="Times New Roman" w:eastAsia="Times New Roman" w:hAnsi="Times New Roman" w:cs="Times New Roman"/>
          <w:sz w:val="24"/>
          <w:szCs w:val="24"/>
          <w:lang w:eastAsia="es-CO"/>
        </w:rPr>
      </w:pPr>
    </w:p>
    <w:tbl>
      <w:tblPr>
        <w:tblW w:w="14734" w:type="dxa"/>
        <w:shd w:val="clear" w:color="auto" w:fill="FFFFFF"/>
        <w:tblLayout w:type="fixed"/>
        <w:tblLook w:val="04A0" w:firstRow="1" w:lastRow="0" w:firstColumn="1" w:lastColumn="0" w:noHBand="0" w:noVBand="1"/>
      </w:tblPr>
      <w:tblGrid>
        <w:gridCol w:w="3678"/>
        <w:gridCol w:w="4818"/>
        <w:gridCol w:w="2696"/>
        <w:gridCol w:w="3542"/>
      </w:tblGrid>
      <w:tr w:rsidR="002A18AF" w:rsidRPr="003F00A9" w:rsidTr="00915155">
        <w:trPr>
          <w:trHeight w:val="516"/>
        </w:trPr>
        <w:tc>
          <w:tcPr>
            <w:tcW w:w="124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Nombre del Investigador principal</w:t>
            </w:r>
          </w:p>
        </w:tc>
        <w:tc>
          <w:tcPr>
            <w:tcW w:w="16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Enlace CvLAC</w:t>
            </w:r>
          </w:p>
        </w:tc>
        <w:tc>
          <w:tcPr>
            <w:tcW w:w="91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Enlace ORCID</w:t>
            </w:r>
          </w:p>
        </w:tc>
        <w:tc>
          <w:tcPr>
            <w:tcW w:w="1202"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Enlace Google Académico</w:t>
            </w:r>
          </w:p>
        </w:tc>
      </w:tr>
      <w:tr w:rsidR="002A18AF" w:rsidRPr="003F00A9" w:rsidTr="00915155">
        <w:trPr>
          <w:trHeight w:val="536"/>
        </w:trPr>
        <w:tc>
          <w:tcPr>
            <w:tcW w:w="12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2B6E3B" w:rsidP="003F00A9">
            <w:pPr>
              <w:spacing w:after="0" w:line="276" w:lineRule="auto"/>
              <w:jc w:val="center"/>
              <w:rPr>
                <w:rFonts w:ascii="Times New Roman" w:eastAsia="Times New Roman" w:hAnsi="Times New Roman" w:cs="Times New Roman"/>
                <w:color w:val="222222"/>
                <w:sz w:val="24"/>
                <w:szCs w:val="24"/>
                <w:lang w:eastAsia="es-CO"/>
              </w:rPr>
            </w:pPr>
            <w:r w:rsidRPr="003F00A9">
              <w:rPr>
                <w:rFonts w:ascii="Times New Roman" w:eastAsia="Times New Roman" w:hAnsi="Times New Roman" w:cs="Times New Roman"/>
                <w:color w:val="222222"/>
                <w:sz w:val="24"/>
                <w:szCs w:val="24"/>
                <w:lang w:eastAsia="es-CO"/>
              </w:rPr>
              <w:t>Jazmin Andrea Guerrero Zapata</w:t>
            </w:r>
          </w:p>
        </w:tc>
        <w:tc>
          <w:tcPr>
            <w:tcW w:w="16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D90853" w:rsidP="003F00A9">
            <w:pPr>
              <w:spacing w:after="0" w:line="276" w:lineRule="auto"/>
              <w:jc w:val="center"/>
              <w:rPr>
                <w:rFonts w:ascii="Times New Roman" w:eastAsia="Times New Roman" w:hAnsi="Times New Roman" w:cs="Times New Roman"/>
                <w:color w:val="222222"/>
                <w:sz w:val="24"/>
                <w:szCs w:val="24"/>
                <w:lang w:eastAsia="es-CO"/>
              </w:rPr>
            </w:pPr>
            <w:hyperlink r:id="rId8" w:history="1">
              <w:r w:rsidRPr="003F00A9">
                <w:rPr>
                  <w:rStyle w:val="Hipervnculo"/>
                  <w:rFonts w:ascii="Times New Roman" w:hAnsi="Times New Roman" w:cs="Times New Roman"/>
                  <w:sz w:val="24"/>
                  <w:szCs w:val="24"/>
                </w:rPr>
                <w:t>http://scienti.colciencias.gov.co:8081/cvlac/visualizador/generarCurriculoCv.do?cod_rh=0001137301</w:t>
              </w:r>
            </w:hyperlink>
          </w:p>
        </w:tc>
        <w:tc>
          <w:tcPr>
            <w:tcW w:w="91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D90853" w:rsidP="003F00A9">
            <w:pPr>
              <w:spacing w:after="0" w:line="276" w:lineRule="auto"/>
              <w:jc w:val="center"/>
              <w:rPr>
                <w:rFonts w:ascii="Times New Roman" w:eastAsia="Times New Roman" w:hAnsi="Times New Roman" w:cs="Times New Roman"/>
                <w:color w:val="222222"/>
                <w:sz w:val="24"/>
                <w:szCs w:val="24"/>
                <w:lang w:eastAsia="es-CO"/>
              </w:rPr>
            </w:pPr>
            <w:hyperlink r:id="rId9" w:history="1">
              <w:r w:rsidRPr="003F00A9">
                <w:rPr>
                  <w:rStyle w:val="Hipervnculo"/>
                  <w:rFonts w:ascii="Times New Roman" w:hAnsi="Times New Roman" w:cs="Times New Roman"/>
                  <w:sz w:val="24"/>
                  <w:szCs w:val="24"/>
                </w:rPr>
                <w:t>https://orcid.org/0000-0001-7129-2459</w:t>
              </w:r>
            </w:hyperlink>
          </w:p>
        </w:tc>
        <w:tc>
          <w:tcPr>
            <w:tcW w:w="120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D90853" w:rsidP="003F00A9">
            <w:pPr>
              <w:spacing w:after="0" w:line="276" w:lineRule="auto"/>
              <w:jc w:val="center"/>
              <w:rPr>
                <w:rFonts w:ascii="Times New Roman" w:eastAsia="Times New Roman" w:hAnsi="Times New Roman" w:cs="Times New Roman"/>
                <w:color w:val="222222"/>
                <w:sz w:val="24"/>
                <w:szCs w:val="24"/>
                <w:lang w:eastAsia="es-CO"/>
              </w:rPr>
            </w:pPr>
            <w:hyperlink r:id="rId10" w:history="1">
              <w:r w:rsidRPr="003F00A9">
                <w:rPr>
                  <w:rStyle w:val="Hipervnculo"/>
                  <w:rFonts w:ascii="Times New Roman" w:hAnsi="Times New Roman" w:cs="Times New Roman"/>
                  <w:sz w:val="24"/>
                  <w:szCs w:val="24"/>
                </w:rPr>
                <w:t>https://scholar.google.es/citations?hl=es&amp;pli=1&amp;user=aa2wx2QAAAAJ</w:t>
              </w:r>
            </w:hyperlink>
          </w:p>
        </w:tc>
      </w:tr>
      <w:tr w:rsidR="002A18AF" w:rsidRPr="003F00A9" w:rsidTr="00915155">
        <w:trPr>
          <w:trHeight w:val="536"/>
        </w:trPr>
        <w:tc>
          <w:tcPr>
            <w:tcW w:w="124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División</w:t>
            </w:r>
          </w:p>
        </w:tc>
        <w:tc>
          <w:tcPr>
            <w:tcW w:w="16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Facultad</w:t>
            </w:r>
          </w:p>
        </w:tc>
        <w:tc>
          <w:tcPr>
            <w:tcW w:w="91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Programa</w:t>
            </w:r>
          </w:p>
        </w:tc>
        <w:tc>
          <w:tcPr>
            <w:tcW w:w="120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Grupo de investigación</w:t>
            </w:r>
          </w:p>
        </w:tc>
      </w:tr>
      <w:tr w:rsidR="002A18AF" w:rsidRPr="003F00A9" w:rsidTr="00915155">
        <w:trPr>
          <w:trHeight w:val="536"/>
        </w:trPr>
        <w:tc>
          <w:tcPr>
            <w:tcW w:w="12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lastRenderedPageBreak/>
              <w:t xml:space="preserve">Ciencias de la Salud </w:t>
            </w:r>
          </w:p>
        </w:tc>
        <w:tc>
          <w:tcPr>
            <w:tcW w:w="16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t>Psicología</w:t>
            </w:r>
          </w:p>
        </w:tc>
        <w:tc>
          <w:tcPr>
            <w:tcW w:w="91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t>Especialización en psicología jurídica y forense</w:t>
            </w:r>
          </w:p>
        </w:tc>
        <w:tc>
          <w:tcPr>
            <w:tcW w:w="120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t>Psicología, ciclo vital y derechos</w:t>
            </w:r>
          </w:p>
        </w:tc>
      </w:tr>
      <w:tr w:rsidR="00AC47BF" w:rsidRPr="003F00A9" w:rsidTr="00915155">
        <w:trPr>
          <w:trHeight w:val="536"/>
        </w:trPr>
        <w:tc>
          <w:tcPr>
            <w:tcW w:w="124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 xml:space="preserve">Nombre del Co-investigador </w:t>
            </w:r>
          </w:p>
        </w:tc>
        <w:tc>
          <w:tcPr>
            <w:tcW w:w="16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Enlace CvLAC</w:t>
            </w:r>
          </w:p>
        </w:tc>
        <w:tc>
          <w:tcPr>
            <w:tcW w:w="91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Enlace ORCID</w:t>
            </w:r>
          </w:p>
        </w:tc>
        <w:tc>
          <w:tcPr>
            <w:tcW w:w="120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Enlace Google Académico</w:t>
            </w:r>
          </w:p>
        </w:tc>
      </w:tr>
      <w:tr w:rsidR="00AC47BF" w:rsidRPr="003F00A9" w:rsidTr="00915155">
        <w:trPr>
          <w:trHeight w:val="536"/>
        </w:trPr>
        <w:tc>
          <w:tcPr>
            <w:tcW w:w="12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3F00A9" w:rsidRDefault="00D90853"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 xml:space="preserve">Erika Mayorga Sierra </w:t>
            </w:r>
          </w:p>
        </w:tc>
        <w:tc>
          <w:tcPr>
            <w:tcW w:w="16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3F00A9" w:rsidRDefault="00D90853"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1" w:history="1">
              <w:r w:rsidRPr="003F00A9">
                <w:rPr>
                  <w:rStyle w:val="Hipervnculo"/>
                  <w:rFonts w:ascii="Times New Roman" w:hAnsi="Times New Roman" w:cs="Times New Roman"/>
                  <w:sz w:val="24"/>
                  <w:szCs w:val="24"/>
                </w:rPr>
                <w:t>http://scienti.colciencias.gov.co:8081/cvlac/visualizador/generarCurriculoCv.do?cod_rh=0001407687</w:t>
              </w:r>
            </w:hyperlink>
          </w:p>
        </w:tc>
        <w:tc>
          <w:tcPr>
            <w:tcW w:w="91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3F00A9" w:rsidRDefault="00D90853"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2" w:history="1">
              <w:r w:rsidRPr="003F00A9">
                <w:rPr>
                  <w:rStyle w:val="Hipervnculo"/>
                  <w:rFonts w:ascii="Times New Roman" w:hAnsi="Times New Roman" w:cs="Times New Roman"/>
                  <w:sz w:val="24"/>
                  <w:szCs w:val="24"/>
                </w:rPr>
                <w:t>https://orcid.org/0000-0002-0229-8627</w:t>
              </w:r>
            </w:hyperlink>
          </w:p>
        </w:tc>
        <w:tc>
          <w:tcPr>
            <w:tcW w:w="120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3F00A9" w:rsidRDefault="00D90853"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3" w:history="1">
              <w:r w:rsidRPr="003F00A9">
                <w:rPr>
                  <w:rStyle w:val="Hipervnculo"/>
                  <w:rFonts w:ascii="Times New Roman" w:hAnsi="Times New Roman" w:cs="Times New Roman"/>
                  <w:sz w:val="24"/>
                  <w:szCs w:val="24"/>
                </w:rPr>
                <w:t>https://scholar.google.com/citations?user=HBgECD8AAAAJ&amp;hl=es</w:t>
              </w:r>
            </w:hyperlink>
          </w:p>
        </w:tc>
      </w:tr>
      <w:tr w:rsidR="00AC47BF" w:rsidRPr="003F00A9" w:rsidTr="00915155">
        <w:trPr>
          <w:trHeight w:val="536"/>
        </w:trPr>
        <w:tc>
          <w:tcPr>
            <w:tcW w:w="124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División</w:t>
            </w:r>
          </w:p>
        </w:tc>
        <w:tc>
          <w:tcPr>
            <w:tcW w:w="163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Facultad</w:t>
            </w:r>
          </w:p>
        </w:tc>
        <w:tc>
          <w:tcPr>
            <w:tcW w:w="91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Programa</w:t>
            </w:r>
          </w:p>
        </w:tc>
        <w:tc>
          <w:tcPr>
            <w:tcW w:w="120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3F00A9" w:rsidRDefault="00AC47B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Grupo de investigación</w:t>
            </w:r>
          </w:p>
        </w:tc>
      </w:tr>
      <w:tr w:rsidR="00D90853" w:rsidRPr="003F00A9" w:rsidTr="00915155">
        <w:trPr>
          <w:trHeight w:val="536"/>
        </w:trPr>
        <w:tc>
          <w:tcPr>
            <w:tcW w:w="12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90853"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t xml:space="preserve">Ciencias de la Salud </w:t>
            </w:r>
          </w:p>
        </w:tc>
        <w:tc>
          <w:tcPr>
            <w:tcW w:w="16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90853"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t>Psicología</w:t>
            </w:r>
          </w:p>
        </w:tc>
        <w:tc>
          <w:tcPr>
            <w:tcW w:w="91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90853"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t>Especialización en psicología jurídica y forense</w:t>
            </w:r>
          </w:p>
        </w:tc>
        <w:tc>
          <w:tcPr>
            <w:tcW w:w="120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90853" w:rsidRPr="003F00A9" w:rsidRDefault="00D90853" w:rsidP="003F00A9">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3F00A9">
              <w:rPr>
                <w:rFonts w:ascii="Times New Roman" w:eastAsia="Times New Roman" w:hAnsi="Times New Roman" w:cs="Times New Roman"/>
                <w:bCs/>
                <w:color w:val="222222"/>
                <w:sz w:val="24"/>
                <w:szCs w:val="24"/>
                <w:lang w:eastAsia="es-CO"/>
              </w:rPr>
              <w:t>Psicología, ciclo vital y derechos</w:t>
            </w:r>
          </w:p>
        </w:tc>
      </w:tr>
    </w:tbl>
    <w:p w:rsidR="002A18AF" w:rsidRPr="003F00A9" w:rsidRDefault="002A18AF" w:rsidP="003F00A9">
      <w:pPr>
        <w:spacing w:after="0" w:line="276" w:lineRule="auto"/>
        <w:rPr>
          <w:rFonts w:ascii="Times New Roman" w:eastAsia="Times New Roman" w:hAnsi="Times New Roman" w:cs="Times New Roman"/>
          <w:vanish/>
          <w:sz w:val="24"/>
          <w:szCs w:val="24"/>
          <w:lang w:eastAsia="es-CO"/>
        </w:rPr>
      </w:pPr>
    </w:p>
    <w:p w:rsidR="002A18AF" w:rsidRPr="003F00A9" w:rsidRDefault="002A18AF" w:rsidP="003F00A9">
      <w:pPr>
        <w:spacing w:after="0" w:line="276" w:lineRule="auto"/>
        <w:rPr>
          <w:rFonts w:ascii="Times New Roman" w:eastAsia="Times New Roman" w:hAnsi="Times New Roman" w:cs="Times New Roman"/>
          <w:vanish/>
          <w:sz w:val="24"/>
          <w:szCs w:val="24"/>
          <w:lang w:eastAsia="es-CO"/>
        </w:rPr>
      </w:pPr>
    </w:p>
    <w:p w:rsidR="002A18AF" w:rsidRPr="003F00A9" w:rsidRDefault="002A18AF" w:rsidP="003F00A9">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0908"/>
        <w:gridCol w:w="4075"/>
      </w:tblGrid>
      <w:tr w:rsidR="002A18AF" w:rsidRPr="003F00A9" w:rsidTr="00565FE6">
        <w:tc>
          <w:tcPr>
            <w:tcW w:w="364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Resumen de la propuesta</w:t>
            </w:r>
          </w:p>
        </w:tc>
        <w:tc>
          <w:tcPr>
            <w:tcW w:w="136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Palabras clave</w:t>
            </w:r>
          </w:p>
        </w:tc>
      </w:tr>
      <w:tr w:rsidR="002A18AF" w:rsidRPr="003F00A9" w:rsidTr="00565FE6">
        <w:tc>
          <w:tcPr>
            <w:tcW w:w="364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La psicología del testimonio es la subárea de la psicología jurídica que reúne “el</w:t>
            </w:r>
            <w:r w:rsidRPr="003F00A9">
              <w:rPr>
                <w:rFonts w:ascii="Times New Roman" w:hAnsi="Times New Roman" w:cs="Times New Roman"/>
                <w:sz w:val="24"/>
                <w:szCs w:val="24"/>
                <w:shd w:val="clear" w:color="auto" w:fill="FFFFFF"/>
              </w:rPr>
              <w:t xml:space="preserve"> conjunto de conocimientos que basados en los resultados de las investigaciones de los campos de la Psicología Experimental y la Psicología Social, intentan determinar la calidad (exactitud y credibilidad) de los testimonios que sobre los delitos, accidentes o sucesos cotidianos, prestan los testigos presenciales” (Mira &amp; Diges, 1991), por lo anterior, el análisis de aspectos asociados a la memoria del testigo busca ayudar a la administración de justicia al mejorar las técnicas empleadas en la investigación criminalística, incluyendo la identificación de sospechosos a través del</w:t>
            </w:r>
            <w:r w:rsidRPr="003F00A9">
              <w:rPr>
                <w:rFonts w:ascii="Times New Roman" w:hAnsi="Times New Roman" w:cs="Times New Roman"/>
                <w:sz w:val="24"/>
                <w:szCs w:val="24"/>
              </w:rPr>
              <w:t xml:space="preserve"> reconocimiento en fila de personas, avalado por el artículo 253 del Código de Procedimiento Penal colombiano.</w:t>
            </w:r>
          </w:p>
          <w:p w:rsidR="00E6008D" w:rsidRPr="003F00A9" w:rsidRDefault="003F00A9" w:rsidP="003F00A9">
            <w:pPr>
              <w:spacing w:line="276" w:lineRule="auto"/>
              <w:jc w:val="both"/>
              <w:rPr>
                <w:rFonts w:ascii="Times New Roman" w:eastAsia="Times New Roman" w:hAnsi="Times New Roman" w:cs="Times New Roman"/>
                <w:color w:val="222222"/>
                <w:sz w:val="24"/>
                <w:szCs w:val="24"/>
                <w:lang w:eastAsia="es-CO"/>
              </w:rPr>
            </w:pPr>
            <w:r w:rsidRPr="003F00A9">
              <w:rPr>
                <w:rFonts w:ascii="Times New Roman" w:hAnsi="Times New Roman" w:cs="Times New Roman"/>
                <w:sz w:val="24"/>
                <w:szCs w:val="24"/>
              </w:rPr>
              <w:t xml:space="preserve">En la primera fase del proyecto de investigación docente FODEIN 2019 la muestra estuvo constituida por estudiantes de pregrado de la USTA quienes, previo consentimiento informado en el que se advirtió que serían requeridos para dos proyectos, se aplicaron técnicas de recuperación de memoria para, posteriormente, hacer la identificación en fila de personas (7 sujetos a través de video). La segunda fase incluye la medición longitudinal a partir de nuevas tomas de reconocimiento en fila de personas al mes, a los tres meses y a los seis meses, midiendo el impacto del paso del tiempo. </w:t>
            </w:r>
          </w:p>
        </w:tc>
        <w:tc>
          <w:tcPr>
            <w:tcW w:w="136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3F00A9" w:rsidRPr="003F00A9" w:rsidRDefault="003F00A9" w:rsidP="003F00A9">
            <w:pPr>
              <w:spacing w:line="276" w:lineRule="auto"/>
              <w:jc w:val="both"/>
              <w:rPr>
                <w:rFonts w:ascii="Times New Roman" w:hAnsi="Times New Roman" w:cs="Times New Roman"/>
                <w:sz w:val="24"/>
                <w:szCs w:val="24"/>
              </w:rPr>
            </w:pPr>
            <w:hyperlink r:id="rId14" w:history="1">
              <w:r w:rsidRPr="003F00A9">
                <w:rPr>
                  <w:rStyle w:val="Hipervnculo"/>
                  <w:rFonts w:ascii="Times New Roman" w:hAnsi="Times New Roman" w:cs="Times New Roman"/>
                  <w:sz w:val="24"/>
                  <w:szCs w:val="24"/>
                  <w:bdr w:val="none" w:sz="0" w:space="0" w:color="auto" w:frame="1"/>
                </w:rPr>
                <w:t>Witnesses</w:t>
              </w:r>
            </w:hyperlink>
            <w:r w:rsidRPr="003F00A9">
              <w:rPr>
                <w:rFonts w:ascii="Times New Roman" w:hAnsi="Times New Roman" w:cs="Times New Roman"/>
                <w:sz w:val="24"/>
                <w:szCs w:val="24"/>
              </w:rPr>
              <w:t xml:space="preserve"> (testigo), memory (memoria), interviews (entrevistas), legal evidencie (evidencia legal), legal testimony (testimonio legal)</w:t>
            </w:r>
          </w:p>
          <w:p w:rsidR="002A18AF" w:rsidRPr="003F00A9" w:rsidRDefault="002A18AF" w:rsidP="003F00A9">
            <w:pPr>
              <w:spacing w:after="0" w:line="276" w:lineRule="auto"/>
              <w:jc w:val="both"/>
              <w:rPr>
                <w:rFonts w:ascii="Times New Roman" w:eastAsia="Times New Roman" w:hAnsi="Times New Roman" w:cs="Times New Roman"/>
                <w:color w:val="222222"/>
                <w:sz w:val="24"/>
                <w:szCs w:val="24"/>
                <w:lang w:eastAsia="es-CO"/>
              </w:rPr>
            </w:pPr>
          </w:p>
        </w:tc>
      </w:tr>
    </w:tbl>
    <w:p w:rsidR="002A18AF" w:rsidRPr="003F00A9" w:rsidRDefault="002A18AF" w:rsidP="003F00A9">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E6008D"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lastRenderedPageBreak/>
              <w:t>P</w:t>
            </w:r>
            <w:r w:rsidR="002A18AF" w:rsidRPr="003F00A9">
              <w:rPr>
                <w:rFonts w:ascii="Times New Roman" w:eastAsia="Times New Roman" w:hAnsi="Times New Roman" w:cs="Times New Roman"/>
                <w:b/>
                <w:bCs/>
                <w:color w:val="222222"/>
                <w:sz w:val="24"/>
                <w:szCs w:val="24"/>
                <w:lang w:eastAsia="es-CO"/>
              </w:rPr>
              <w:t>roblema de investigación</w:t>
            </w:r>
          </w:p>
        </w:tc>
      </w:tr>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Dentro del proceso penal colombiano, en la fase de indagación e investigación, los servidores públicos que cuentan con funciones de policía judicial reciben denuncias o querellas, de los cuales se infiere la comisión de un delito, y a partir de un programa metodológico planteado por el fiscal del caso, deben realizar labores como inspecciones a lugar de los hechos, inspecciones a cadáver, entrevistas e interrogatorios, con el fin de obtener información que guíe el proceso de investigación judicial. En algunos casos el denunciante no conoce la identificación del autor de la conducta criminal y tampoco se cuenta con medios objetivos para lograr la individualización, como es el caso de evidencia biológica (ADN) o huellas digitales, de ahí la necesidad de tomar testimonio a la víctima o testigos del suceso para obtener información que pueda conducir a la identificación, para ello puede emplearse álbum fotográfico, videos (como los de las cámaras de seguridad) o reconocimiento en fila de personas,</w:t>
            </w:r>
          </w:p>
          <w:p w:rsidR="0028198F" w:rsidRDefault="003F00A9" w:rsidP="0028198F">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En Colombia, la legislación actual en el ámbito penal (Ley 906 de 2004, Código de Procedimiento Penal) permite el reconocimiento en álbum fotográfico y en fila de personas (Congreso de la República de Colombia, 2004, artículo 252 y 253). En dichas diligencias deben operar, según la Corte Suprema de Justicia, los principios de razonabilidad, conducencia, pertinencia y utilidad de la actividad investigativa ya que una vez lograda la identidad de autor en la fase de investigación, por medio del juicio se debe establecer su responsabilidad penal o su inocencia en una específica conducta delictiva. </w:t>
            </w:r>
          </w:p>
          <w:p w:rsidR="00E6008D" w:rsidRPr="003F00A9" w:rsidRDefault="003F00A9" w:rsidP="00915155">
            <w:pPr>
              <w:spacing w:line="276" w:lineRule="auto"/>
              <w:jc w:val="both"/>
              <w:rPr>
                <w:rFonts w:ascii="Times New Roman" w:hAnsi="Times New Roman" w:cs="Times New Roman"/>
                <w:sz w:val="24"/>
                <w:szCs w:val="24"/>
              </w:rPr>
            </w:pPr>
            <w:r w:rsidRPr="003F00A9">
              <w:rPr>
                <w:rFonts w:ascii="Times New Roman" w:hAnsi="Times New Roman" w:cs="Times New Roman"/>
                <w:iCs/>
                <w:sz w:val="24"/>
                <w:szCs w:val="24"/>
              </w:rPr>
              <w:t>La entrevista realizada a la víctima o testigo</w:t>
            </w:r>
            <w:r w:rsidRPr="003F00A9">
              <w:rPr>
                <w:rFonts w:ascii="Times New Roman" w:hAnsi="Times New Roman" w:cs="Times New Roman"/>
                <w:sz w:val="24"/>
                <w:szCs w:val="24"/>
              </w:rPr>
              <w:t xml:space="preserve"> busca obtener información de tiempo, modo y lugar sobre la conducta delictiva, indicando datos como descripciones físicas del presunto delincuente, que pueden generar posteriormente el reconocimiento en álbum fotográfico o en fila de personas, sin un tiempo máximo establecido por la legislación para esta tarea. Diversas investigaciones han mostrado que las falsas identificaciones son responsables de la mayoría de los errores judiciales (Wells, Memon y Penrod, 2006), por tanto, uno de los mayores retos para la administración de justicia disminuir los errores que cometen los testigos en los procesos de identificación. Se busca por tanto responder con la presente investigación ¿cuál es el efecto de la descripción morfológica y la reinstauración de contexto en la exactitud en la identificación en fila de personas realizada por testigos con el paso del tiempo?</w:t>
            </w:r>
          </w:p>
        </w:tc>
      </w:tr>
    </w:tbl>
    <w:p w:rsidR="002A18AF" w:rsidRPr="003F00A9" w:rsidRDefault="002A18AF" w:rsidP="003F00A9">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Justificación</w:t>
            </w:r>
          </w:p>
        </w:tc>
      </w:tr>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La presente investigación tiene como como finalidad evaluar el efecto de la descripción morfológica y la restauración de contexto como técnicas previas a la identificación en fila de personas por testigos y la influencia del paso del tiempo, tal como ocurre en escenarios reales de administración de justicia. </w:t>
            </w:r>
          </w:p>
          <w:p w:rsidR="002A18AF" w:rsidRPr="003F00A9" w:rsidRDefault="003F00A9" w:rsidP="006F7BEA">
            <w:pPr>
              <w:spacing w:line="276" w:lineRule="auto"/>
              <w:jc w:val="both"/>
              <w:rPr>
                <w:rFonts w:ascii="Times New Roman" w:eastAsia="Times New Roman" w:hAnsi="Times New Roman" w:cs="Times New Roman"/>
                <w:color w:val="222222"/>
                <w:sz w:val="24"/>
                <w:szCs w:val="24"/>
                <w:lang w:eastAsia="es-CO"/>
              </w:rPr>
            </w:pPr>
            <w:r w:rsidRPr="003F00A9">
              <w:rPr>
                <w:rFonts w:ascii="Times New Roman" w:hAnsi="Times New Roman" w:cs="Times New Roman"/>
                <w:sz w:val="24"/>
                <w:szCs w:val="24"/>
              </w:rPr>
              <w:t xml:space="preserve">Los servidores públicos con funciones de policía judicial realizan dentro del proceso de investigación, con la víctima o testigo presencial, procesos de identificación bien sea a través de álbum fotográfico, videos o reconocimiento en fila, sin embargo, no está regulado que previo a este reconocimiento se realicen tareas que busquen potencializar el recuerdo, como el uso de entrevista cognitiva o la verbalización de elementos como la descripción morfológica, tampoco está regulado el tiempo máximo en que debería realizarse esta tarea sin que afecte la exactitud. </w:t>
            </w:r>
            <w:r>
              <w:rPr>
                <w:rFonts w:ascii="Times New Roman" w:hAnsi="Times New Roman" w:cs="Times New Roman"/>
                <w:sz w:val="24"/>
                <w:szCs w:val="24"/>
              </w:rPr>
              <w:t xml:space="preserve"> </w:t>
            </w:r>
            <w:r w:rsidRPr="003F00A9">
              <w:rPr>
                <w:rFonts w:ascii="Times New Roman" w:hAnsi="Times New Roman" w:cs="Times New Roman"/>
                <w:sz w:val="24"/>
                <w:szCs w:val="24"/>
              </w:rPr>
              <w:t xml:space="preserve">Meissner y Brigham (2001) en un meta-análisis encontraron que la descripción verbal previa a ver una cara podía obstaculizar los subsecuentes intentos de identificación, generando un fenómeno conocido como ensombrecimiento verbal (verbal overshadowing), especialmente cuando la tarea de identificación se hace de forma inmediata posterior a la tarea de </w:t>
            </w:r>
            <w:r w:rsidRPr="003F00A9">
              <w:rPr>
                <w:rFonts w:ascii="Times New Roman" w:hAnsi="Times New Roman" w:cs="Times New Roman"/>
                <w:sz w:val="24"/>
                <w:szCs w:val="24"/>
              </w:rPr>
              <w:lastRenderedPageBreak/>
              <w:t>descripción</w:t>
            </w:r>
            <w:r w:rsidR="009A4138">
              <w:rPr>
                <w:rFonts w:ascii="Times New Roman" w:hAnsi="Times New Roman" w:cs="Times New Roman"/>
                <w:sz w:val="24"/>
                <w:szCs w:val="24"/>
              </w:rPr>
              <w:t>, resultados similares encontraron</w:t>
            </w:r>
            <w:r w:rsidRPr="003F00A9">
              <w:rPr>
                <w:rFonts w:ascii="Times New Roman" w:hAnsi="Times New Roman" w:cs="Times New Roman"/>
                <w:sz w:val="24"/>
                <w:szCs w:val="24"/>
              </w:rPr>
              <w:t xml:space="preserve"> Smith y Flowe (2015).</w:t>
            </w:r>
            <w:r w:rsidR="00182F6F">
              <w:rPr>
                <w:rFonts w:ascii="Times New Roman" w:hAnsi="Times New Roman" w:cs="Times New Roman"/>
                <w:sz w:val="24"/>
                <w:szCs w:val="24"/>
              </w:rPr>
              <w:t xml:space="preserve"> </w:t>
            </w:r>
            <w:r w:rsidRPr="003F00A9">
              <w:rPr>
                <w:rFonts w:ascii="Times New Roman" w:hAnsi="Times New Roman" w:cs="Times New Roman"/>
                <w:sz w:val="24"/>
                <w:szCs w:val="24"/>
              </w:rPr>
              <w:t>Contrario a estos resultados, previos estudios como los de Chance y Goldstein (1976) y Wogalter (1996) mostraban los efectos positivos de la descripción verbal previa al reconocimiento de caras, o incluso se encontró que la descripción no afectaba a la exactitud de la identificación (Migueles, García-Bajos &amp; Ibabe, 1999)</w:t>
            </w:r>
            <w:r>
              <w:rPr>
                <w:rFonts w:ascii="Times New Roman" w:hAnsi="Times New Roman" w:cs="Times New Roman"/>
                <w:sz w:val="24"/>
                <w:szCs w:val="24"/>
              </w:rPr>
              <w:t xml:space="preserve">. </w:t>
            </w:r>
            <w:r w:rsidRPr="003F00A9">
              <w:rPr>
                <w:rFonts w:ascii="Times New Roman" w:hAnsi="Times New Roman" w:cs="Times New Roman"/>
                <w:sz w:val="24"/>
                <w:szCs w:val="24"/>
              </w:rPr>
              <w:t>Finger y Pezdek (1999) evaluaron el efecto de la entrevista cognitiva en la exactitud del reconocimiento teniendo en cuenta la hipótesis del ensombrecimiento verbal. En el experimento 1 probaron y confirmaron esta hipótesis usando la entrevista cognitiva para mejorar la descripción verbal, sin embargo, la precisión en la identificación se</w:t>
            </w:r>
            <w:r w:rsidRPr="003F00A9">
              <w:rPr>
                <w:rFonts w:ascii="Times New Roman" w:eastAsia="Times New Roman" w:hAnsi="Times New Roman" w:cs="Times New Roman"/>
                <w:sz w:val="24"/>
                <w:szCs w:val="24"/>
                <w:lang w:val="es-ES"/>
              </w:rPr>
              <w:t xml:space="preserve"> redujo significativamente después de la entrevista cognitiva, en comparación con una entrevista policial estándar. Los experimentos 2 y 3 probaron y confirmaron la hipótesis de que el ensombrecimiento verbal se reduciría cuando se inserta un retraso entre la descripción verbal y la identificación de rostros, lo que resulta en la liberación del ensombrecimiento verbal, estos resultados sugieren que la descripción verbal no sobrescribe la representación visual de la cara en la memoria, sino que hace la menos accesible en el momento de la identificación de la cara. La entrevista cognitiva reduce la precisión de la identificación solo cuando la identificación sigue la descripción de forma inmediata.  Estos resultados</w:t>
            </w:r>
            <w:r w:rsidRPr="003F00A9">
              <w:rPr>
                <w:rFonts w:ascii="Times New Roman" w:hAnsi="Times New Roman" w:cs="Times New Roman"/>
                <w:sz w:val="24"/>
                <w:szCs w:val="24"/>
                <w:lang w:val="es-ES"/>
              </w:rPr>
              <w:t xml:space="preserve"> sugieren que, si bien la entrevista cognitiva es efectiva para provocar una mejora verbal en la descripción de los testigos oculares, reduce la capacidad de identificar la cara objetivo. </w:t>
            </w:r>
            <w:r w:rsidRPr="003F00A9">
              <w:rPr>
                <w:rFonts w:ascii="Times New Roman" w:hAnsi="Times New Roman" w:cs="Times New Roman"/>
                <w:sz w:val="24"/>
                <w:szCs w:val="24"/>
              </w:rPr>
              <w:t>Sporer, Kamiski, Davids y McQuiston (2015) refieren que, si bien se ha demostrado el efecto del ensombrecimiento verbal, ha sido difícil la replicación de este efecto, de ahí que lo que se ha buscado es como reversar dicho fenómeno, para ello i</w:t>
            </w:r>
            <w:r w:rsidRPr="003F00A9">
              <w:rPr>
                <w:rFonts w:ascii="Times New Roman" w:hAnsi="Times New Roman" w:cs="Times New Roman"/>
                <w:sz w:val="24"/>
                <w:szCs w:val="24"/>
                <w:lang w:val="es-ES"/>
              </w:rPr>
              <w:t xml:space="preserve">nducían el restablecimiento del contexto como una variable del sistema a través de volver a leer la descripción propia antes de una tarea de identificación, utilizando tiempos de espera entre 2 días y 5 semanas, mostrando una mejora en el reconocimiento. Los efectos de las descripciones verbales en la memoria de testigos oculares son dignos de investigación utilizando procedimientos que son más prolongados para imitar la experiencia de testigos reales, Mickes (2016) afirma que, en la vida real, los testigos no proporcionan una descripción verbal inmediatamente después de ver al perpetrador, por tanto, se sugiere la utilización de procedimientos en investigación que se asemejen más a lo que ocurre en escenarios reales lo que sustenta la necesidad de realizar un estudio longitudinal en el que se tomen datos al mes, a los tres meses y a los seis meses. </w:t>
            </w:r>
            <w:r w:rsidR="00182F6F">
              <w:rPr>
                <w:rFonts w:ascii="Times New Roman" w:hAnsi="Times New Roman" w:cs="Times New Roman"/>
                <w:sz w:val="24"/>
                <w:szCs w:val="24"/>
                <w:lang w:val="es-ES"/>
              </w:rPr>
              <w:t xml:space="preserve"> </w:t>
            </w:r>
            <w:r w:rsidRPr="003F00A9">
              <w:rPr>
                <w:rFonts w:ascii="Times New Roman" w:hAnsi="Times New Roman" w:cs="Times New Roman"/>
                <w:sz w:val="24"/>
                <w:szCs w:val="24"/>
                <w:lang w:val="es-ES"/>
              </w:rPr>
              <w:t xml:space="preserve">Con base en dicha premisa, Odinot, Wolters, &amp; Van Koppen </w:t>
            </w:r>
            <w:r w:rsidR="009A4138">
              <w:rPr>
                <w:rFonts w:ascii="Times New Roman" w:hAnsi="Times New Roman" w:cs="Times New Roman"/>
                <w:sz w:val="24"/>
                <w:szCs w:val="24"/>
                <w:lang w:val="es-ES"/>
              </w:rPr>
              <w:t>(</w:t>
            </w:r>
            <w:r w:rsidRPr="003F00A9">
              <w:rPr>
                <w:rFonts w:ascii="Times New Roman" w:hAnsi="Times New Roman" w:cs="Times New Roman"/>
                <w:sz w:val="24"/>
                <w:szCs w:val="24"/>
                <w:lang w:val="es-ES"/>
              </w:rPr>
              <w:t>2009</w:t>
            </w:r>
            <w:r w:rsidR="009A4138">
              <w:rPr>
                <w:rFonts w:ascii="Times New Roman" w:hAnsi="Times New Roman" w:cs="Times New Roman"/>
                <w:sz w:val="24"/>
                <w:szCs w:val="24"/>
                <w:lang w:val="es-ES"/>
              </w:rPr>
              <w:t>)</w:t>
            </w:r>
            <w:r w:rsidRPr="003F00A9">
              <w:rPr>
                <w:rFonts w:ascii="Times New Roman" w:hAnsi="Times New Roman" w:cs="Times New Roman"/>
                <w:sz w:val="24"/>
                <w:szCs w:val="24"/>
                <w:lang w:val="es-ES"/>
              </w:rPr>
              <w:t xml:space="preserve"> un estudio de caso con</w:t>
            </w:r>
            <w:r w:rsidR="0028198F">
              <w:rPr>
                <w:rFonts w:ascii="Times New Roman" w:hAnsi="Times New Roman" w:cs="Times New Roman"/>
                <w:sz w:val="24"/>
                <w:szCs w:val="24"/>
                <w:lang w:val="es-ES"/>
              </w:rPr>
              <w:t xml:space="preserve"> </w:t>
            </w:r>
            <w:r w:rsidRPr="003F00A9">
              <w:rPr>
                <w:rFonts w:ascii="Times New Roman" w:hAnsi="Times New Roman" w:cs="Times New Roman"/>
                <w:sz w:val="24"/>
                <w:szCs w:val="24"/>
                <w:lang w:val="es-ES"/>
              </w:rPr>
              <w:t>14 testigos de robo a mano armada, quienes fueron entrevistados 3 meses después de la exposición al evento, de la información recogida sobre el robo el 84% fue correcta.</w:t>
            </w:r>
            <w:r w:rsidR="00182F6F">
              <w:rPr>
                <w:rFonts w:ascii="Times New Roman" w:hAnsi="Times New Roman" w:cs="Times New Roman"/>
                <w:sz w:val="24"/>
                <w:szCs w:val="24"/>
                <w:lang w:val="es-ES"/>
              </w:rPr>
              <w:t xml:space="preserve"> </w:t>
            </w:r>
            <w:r w:rsidRPr="003F00A9">
              <w:rPr>
                <w:rFonts w:ascii="Times New Roman" w:hAnsi="Times New Roman" w:cs="Times New Roman"/>
                <w:sz w:val="24"/>
                <w:szCs w:val="24"/>
                <w:lang w:val="es-ES"/>
              </w:rPr>
              <w:t xml:space="preserve">Posteriormente, en 2013, Steblay, Tix &amp; Benson, a 130 testigos de un crimen les pidieron que identificaran al culpable a partir de dos formaciones del mismo formato (simultáneas o secuenciales) pero separadas por un periodo de 2 semanas, concluyendo que los errores de identificación positiva cometidos en la primera alienación se mantienen en lugar de corregirse en la segunda alineación y que el número de identificaciones falsas del sospechoso inocente aumentaría en la segunda alineación. </w:t>
            </w:r>
            <w:r w:rsidR="006F7BEA">
              <w:rPr>
                <w:rFonts w:ascii="Times New Roman" w:hAnsi="Times New Roman" w:cs="Times New Roman"/>
                <w:sz w:val="24"/>
                <w:szCs w:val="24"/>
                <w:lang w:val="es-ES"/>
              </w:rPr>
              <w:t xml:space="preserve">Todos estos datos contrarios merecen ser investigados, más cuando no es claro el efecto del paso del tiempo, tal y como ocurre en la vida real con los testigos. </w:t>
            </w:r>
          </w:p>
        </w:tc>
      </w:tr>
    </w:tbl>
    <w:p w:rsidR="002A18AF" w:rsidRPr="003F00A9" w:rsidRDefault="002A18AF" w:rsidP="003F00A9">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Objetivo general</w:t>
            </w:r>
          </w:p>
        </w:tc>
      </w:tr>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Determinar el efecto de la descripción morfológica y la reinstauración de contexto en la exactitud en la identificación en fila de personas por parte de testigos con el paso del tiempo.</w:t>
            </w:r>
          </w:p>
        </w:tc>
      </w:tr>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Objetivos específicos</w:t>
            </w:r>
          </w:p>
        </w:tc>
      </w:tr>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3F00A9" w:rsidRPr="003F00A9" w:rsidRDefault="003F00A9" w:rsidP="003F00A9">
            <w:pPr>
              <w:spacing w:line="276" w:lineRule="auto"/>
              <w:jc w:val="both"/>
              <w:rPr>
                <w:rFonts w:ascii="Times New Roman" w:hAnsi="Times New Roman" w:cs="Times New Roman"/>
                <w:b/>
                <w:sz w:val="24"/>
                <w:szCs w:val="24"/>
              </w:rPr>
            </w:pPr>
            <w:r w:rsidRPr="003F00A9">
              <w:rPr>
                <w:rFonts w:ascii="Times New Roman" w:hAnsi="Times New Roman" w:cs="Times New Roman"/>
                <w:sz w:val="24"/>
                <w:szCs w:val="24"/>
              </w:rPr>
              <w:lastRenderedPageBreak/>
              <w:t>Determinar el efecto de la descripción morfológica en la exactitud de la identificación en fila de personas por parte de testigos con el paso del tiempo.</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Determinar el efecto de la reinstauración de contexto en la exactitud en la identificación en fila de personas por parte de testigos con el paso del tiempo.</w:t>
            </w:r>
          </w:p>
          <w:p w:rsidR="00E6008D" w:rsidRPr="003F00A9" w:rsidRDefault="003F00A9" w:rsidP="003F00A9">
            <w:pPr>
              <w:spacing w:line="276" w:lineRule="auto"/>
              <w:jc w:val="both"/>
              <w:rPr>
                <w:rFonts w:ascii="Times New Roman" w:eastAsia="Times New Roman" w:hAnsi="Times New Roman" w:cs="Times New Roman"/>
                <w:color w:val="222222"/>
                <w:sz w:val="24"/>
                <w:szCs w:val="24"/>
                <w:lang w:eastAsia="es-CO"/>
              </w:rPr>
            </w:pPr>
            <w:r w:rsidRPr="003F00A9">
              <w:rPr>
                <w:rFonts w:ascii="Times New Roman" w:hAnsi="Times New Roman" w:cs="Times New Roman"/>
                <w:sz w:val="24"/>
                <w:szCs w:val="24"/>
              </w:rPr>
              <w:t>Determinar el efecto conjunto de la reinstauración de contexto y la descripción morfológica en la exactitud en la identificación en fila de personas por parte de testigos con el paso del tiempo.</w:t>
            </w:r>
          </w:p>
        </w:tc>
      </w:tr>
    </w:tbl>
    <w:p w:rsidR="002A18AF" w:rsidRPr="003F00A9" w:rsidRDefault="002A18AF" w:rsidP="003F00A9">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E6008D"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Estado del arte y marco conceptual</w:t>
            </w:r>
          </w:p>
        </w:tc>
      </w:tr>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3F00A9" w:rsidRPr="003F00A9" w:rsidRDefault="003F00A9" w:rsidP="003F00A9">
            <w:pPr>
              <w:autoSpaceDE w:val="0"/>
              <w:adjustRightInd w:val="0"/>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El reconocimiento de caras ha sido uno de los campos abordados por la psicología cognitiva, y desde ahí, la psicología del testimonio lo ha abordado por su impacto en los procesos judiciales, ya que muchas personas han sido condenadas porque han sido reconocidas por las identificaciones que hacen los testigos. El reconocimiento se debe desarrollar de manera precisa, pronta y exacta, ya que se involucran la integración en paralela de toda la cara; en un reconocimiento de caras el primer paso que se da es una representación de esos aspectos que distinguen los rostros. (Gutiérrez de Piñeres, Egea y Espinosa, 2017).</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De acuerdo con Lopera (2000), la cotidianidad hace que no percibamos la importancia que suscita reconocer un rostro, ya que normalmente lo hacemos sin requerir una descripción verbal, ni análisis conscientes, no obstante es más que sorprendente que se puedan memorizar tantos rostros a lo largo de toda la vida, facultad que puede perderse por una lesión particular en la corteza cerebral y que produce un trastorno denominado </w:t>
            </w:r>
            <w:r w:rsidRPr="003F00A9">
              <w:rPr>
                <w:rFonts w:ascii="Times New Roman" w:hAnsi="Times New Roman" w:cs="Times New Roman"/>
                <w:i/>
                <w:sz w:val="24"/>
                <w:szCs w:val="24"/>
              </w:rPr>
              <w:t xml:space="preserve">prosopagnosia, </w:t>
            </w:r>
            <w:r w:rsidRPr="003F00A9">
              <w:rPr>
                <w:rFonts w:ascii="Times New Roman" w:hAnsi="Times New Roman" w:cs="Times New Roman"/>
                <w:sz w:val="24"/>
                <w:szCs w:val="24"/>
              </w:rPr>
              <w:t>la cual puede presentarse de dos formas, de acuerdo al proceso de construcción alterado (precepto o huellas de memoria). En el primer caso, sería la incapacidad para reconocer caras y en el segundo, de una amnesia visual específica para las caras.</w:t>
            </w:r>
          </w:p>
          <w:p w:rsidR="003F00A9" w:rsidRPr="003F00A9" w:rsidRDefault="003F00A9" w:rsidP="003F00A9">
            <w:pPr>
              <w:autoSpaceDE w:val="0"/>
              <w:adjustRightInd w:val="0"/>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Conviene subrayar que los estudios sugieren que el reconocimiento facial tiene un conocimiento innato, donde desde el nacimiento el niño realizaría un seguimiento y rastro visual que le permite identificar e imitar; desde la etología, se ha demostrado que lograr identificar la edad de otro ser humano permite regular su comportamiento social y  desde el área de la psicología y en lo referente a la cognición social, se ha demostrado que los rostros permiten inferir estados emocionales, intenciones y/o cualidades más específicas como el atractivo. (Guerrero, Ramírez y Romero, 2015).</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Por otro lado, en los procesos de identificación de rostros intervienen diversos procesos mentales, por ejemplo, la atención, la sensopercepción, el pensamiento y la memoria; que coadyuvan para filtrar la información del medio, centrarse en un grupo de estímulos particulares, procesar dicha información y almacenarla para posteriormente recuperarla. </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El modelo cognitivo de reconocimiento de rostros planteado por Bruce y Young (1986) explica como este proceso se da desde el instante en que una persona ve un rostro que considera familiar hasta su reconocimiento y la evaluación de su nombre. El modelo sugiere que al inicio se genera una codificación basándose en las características faciales que permiten la construcción de una representación visual, analizando información facial como por ejemplo la identificación inicial de que lo que se observa corresponde a la categoría caras, las características particulares del rostro para reconocer semejanzas o diferencias entre este y otros rostros, las </w:t>
            </w:r>
            <w:proofErr w:type="gramStart"/>
            <w:r w:rsidRPr="003F00A9">
              <w:rPr>
                <w:rFonts w:ascii="Times New Roman" w:hAnsi="Times New Roman" w:cs="Times New Roman"/>
                <w:sz w:val="24"/>
                <w:szCs w:val="24"/>
              </w:rPr>
              <w:t>expresiones faciales y el lenguaje facial</w:t>
            </w:r>
            <w:proofErr w:type="gramEnd"/>
            <w:r w:rsidRPr="003F00A9">
              <w:rPr>
                <w:rFonts w:ascii="Times New Roman" w:hAnsi="Times New Roman" w:cs="Times New Roman"/>
                <w:sz w:val="24"/>
                <w:szCs w:val="24"/>
              </w:rPr>
              <w:t xml:space="preserve">. </w:t>
            </w:r>
            <w:r w:rsidR="00182F6F">
              <w:rPr>
                <w:rFonts w:ascii="Times New Roman" w:hAnsi="Times New Roman" w:cs="Times New Roman"/>
                <w:sz w:val="24"/>
                <w:szCs w:val="24"/>
              </w:rPr>
              <w:t xml:space="preserve"> </w:t>
            </w:r>
            <w:r w:rsidRPr="003F00A9">
              <w:rPr>
                <w:rFonts w:ascii="Times New Roman" w:hAnsi="Times New Roman" w:cs="Times New Roman"/>
                <w:sz w:val="24"/>
                <w:szCs w:val="24"/>
              </w:rPr>
              <w:t xml:space="preserve">En una segunda fase, se da el proceso de reconocimiento facial a partir de </w:t>
            </w:r>
            <w:r w:rsidRPr="003F00A9">
              <w:rPr>
                <w:rFonts w:ascii="Times New Roman" w:hAnsi="Times New Roman" w:cs="Times New Roman"/>
                <w:sz w:val="24"/>
                <w:szCs w:val="24"/>
              </w:rPr>
              <w:lastRenderedPageBreak/>
              <w:t xml:space="preserve">la representación generada, comparando las huellas de memoria de caras previamente aprendidas y almacenadas en la memoria (unidades de reconocimiento facial), por sensación de familiaridad se activa el acceso a su reconocimiento, se conecta de esta forma, la representación mental y los nodos de identidad personal. La tercera fase, implica una activación de la memoria semántica en la que los nodos de identidad personal permiten que la sensación de familiaridad se materialice a través de información extra, como por ejemplo donde vive la persona, en donde trabaja, etc.; finalmente se activa un sistema léxico que lleva a que se acceda al nombre. </w:t>
            </w:r>
            <w:r>
              <w:rPr>
                <w:rFonts w:ascii="Times New Roman" w:hAnsi="Times New Roman" w:cs="Times New Roman"/>
                <w:sz w:val="24"/>
                <w:szCs w:val="24"/>
              </w:rPr>
              <w:t xml:space="preserve"> </w:t>
            </w:r>
            <w:r w:rsidRPr="003F00A9">
              <w:rPr>
                <w:rFonts w:ascii="Times New Roman" w:hAnsi="Times New Roman" w:cs="Times New Roman"/>
                <w:sz w:val="24"/>
                <w:szCs w:val="24"/>
              </w:rPr>
              <w:t xml:space="preserve">En resumen, ante el estímulo de un rostro que ya se conocía previamente, se genera una representación facial, luego un sentimiento o sensación de familiaridad, se reconoce la cara y se activa la memoria semántica asociada a esa cara, y finalmente se accede al nombre. </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El reconocimiento de caras, es por tanto, un proceso complejo, toda vez que existen múltiples variables que pueden interferir en dicho proceso; existiendo variabilidad intrasujeto y variabilidad intersujeto, es decir, una misma persona cambia con el paso del tiempo o puede cambiar rasgos gracias a procesos externos o internos o las diferencias que existen entre personas, requiriendo que se integren los rasgos individuales en un todo que tenga sentido, Manzanero (2010),  refiere que las principales teorías actuales sobre procesamiento de caras sugieren que se crea una impresión particular de una persona a partir de la integración de distintos rasgos, de ahí, que presentar a una persona los rasgos por separado podría generar errores en el proceso de identificación, indicando que el proceso de codificación es de forma holística tanto para rostros familiares y no familiares, en cuanto al almacenamiento y el recuerdo se activan procesos diferentes, en el sentido en que en los procesos de reconocimientos las caras se encuentran plasmada en dos dimensiones, pero cuando se percibe el estímulo, se codifica en tres dimensiones. </w:t>
            </w:r>
            <w:bookmarkStart w:id="0" w:name="_Hlk496342412"/>
            <w:r w:rsidRPr="003F00A9">
              <w:rPr>
                <w:rFonts w:ascii="Times New Roman" w:hAnsi="Times New Roman" w:cs="Times New Roman"/>
                <w:sz w:val="24"/>
                <w:szCs w:val="24"/>
              </w:rPr>
              <w:t>(Gutiérrez de Piñeres, Egea y Espinosa, 2017)</w:t>
            </w:r>
            <w:bookmarkEnd w:id="0"/>
            <w:r w:rsidRPr="003F00A9">
              <w:rPr>
                <w:rFonts w:ascii="Times New Roman" w:hAnsi="Times New Roman" w:cs="Times New Roman"/>
                <w:sz w:val="24"/>
                <w:szCs w:val="24"/>
              </w:rPr>
              <w:t>.</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Garrido, Masip y Herrero (2006) mencionan que a partir de múltiples investigaciones que se realizaron desde la memoria de testigo se identifican diferentes factores que influyen en la memoria de caras, desde la fase de codificación hasta que, en el caso del contexto judicial, el testigo debe realizar un reconocimiento: se encuentran los factores del suceso, del testigo y del proceso.</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Dentro de los factores del suceso se encuentran: La primera hace referencia a que mejor sean las condiciones de luz será mejor el procesamiento visual, en el caso de que el evento ocurra en la noche solamente se podrá percibir en escala de grises y lo contornos no serán bien definidos; la distancia del suceso, entre mayor distancia su percepción no será buena y no podrá percibir muchos detalles del suceso; la duración, el reconocimiento de un rostro será mejor cuando el tiempo de exposición inicial sea largo, pero al ser un suceso en donde ocurren muchas interacciones y el genere tanto estrés en el testigo afecta un reconocimiento exacto; el grado de violencia del evento, genera emociones como la ansiedad, diferentes estudios muestran que el reconocimiento de testigos que presenciaron un evento violento no son exactas en comparación con los testigos de un evento no violento; detalles impactantes, hace énfasis en que existen detalles en su rostro que tiene el presunto agresor y llaman la atención en un testigo (cicatrices, tatuajes, lunares, perforaciones); la presencia de armas influye de manera negativa en el reconocimiento, debido a que la persona que ha sido amenazada como un arma durante todo el evento, su atención será focalizada a aquello que amenaza su vida y detalles como el rostro del agresor pasará a segundo plano, restando su capacidad de atención general (Loftus y Ketcham, 2010); como último factor se encuentra el número de agresores, entre más personas estén presentes en el evento, el testigo comete más errores en la identificación. (Garrido, Masip y Herrero, 2006).</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lastRenderedPageBreak/>
              <w:t>Los factores dentro del proceso hacen referencia a: Los efectos de la demora, en donde varias investigaciones ponen en evidencia que el paso del tiempo es perjudicial para las buenas identificaciones; pero se habla de que en el intervalo de la retención de la información cuando la persona repasa el recuerdo puede prolongarse de forma indefinida, pero en el caso de las identificaciones cuando son repetidas y el testigo ve la fotografía de un sospechoso en diferentes ruedas de reconocimiento, genera una sensación de familiaridad lo que dificulta el juicioso del testigo sobre ella; otro factor que influye en la información postsuceso, debido a que es usual que los testigos hablen de lo ocurrido con tercero, ya sea familiares, amigos, conocidos, lo que puede sesgar la información. (Garrido, Masip y Herrero, 2006).</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La rueda de reconocimiento es un proceso utilizado en el marco judicial en el cual se le presenta al testigo un grupo de personas para que pueda identificar la persona que cometió el delito del que fue testigo. Las ruedas deben ser imparciales, para esto se recomienda utilizar testigos simulados, quienes a partir de una descripción inicial deben señalar a un sospechoso y si en el momento de la identificación todos eligen a la misma persona, la rueda no es imparcial; pero si la rueda es bien elegida por el parecido con el sospechoso, este será señalado tan a menudo como los demás. Lo anterior se le conoce como tamaño funcional. (Wells, Leippe y Ostrom, 1979 citados en Garrido, Masip y Herrero, 2006). </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Por otro lado, Malpass menciona que una rueda de reconocimiento también debe tener un tamaño efecto, el cual elimina los componentes que hacían parte de la descripción para los testigos simulados y que ninguno señaló, no solo tiene en cuenta el número de veces que fue señalado un sospechoso sino también con cuánta frecuencia se señala. (Garrido, Masip y Herrero, 2006).</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Desde la psicología del testimonio se recomienda que el número de personas que confirman la rueda de reconocimiento se encuentre entre 10 a 12 personas. (Wagenaar, 1988, citado en Ovejero, 2009), sin embargo, en algunos contextos jurídicos este número se reduce a 7; adicionalmente, estas personas se deben escoger a partir de la descripción inicial que da el testigo, o tener semejanzas exteriores a la del sospechoso. Sin embargo, Wells afirma que hay más identificaciones correctas cuando la rueda de reconocimiento se basa en la descripción inicial que el sujeto dio del sospechoso, las variaciones en la apariencia física de los miembros de la rueda ayudan al proceso de reconocimiento. (Garrido, Masip y Herrero, 2006).</w:t>
            </w:r>
          </w:p>
          <w:p w:rsidR="003F00A9" w:rsidRPr="003F00A9" w:rsidRDefault="003F00A9" w:rsidP="003F00A9">
            <w:pPr>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Para la presentación de los componentes de la rueda de reconocimiento, la psicología del testimonio afirma que no debe hacerse de forma simultánea ya que favorece los juicios relativos; los cuales hacen referencia a la evaluación de los componentes en términos de su parecido con el sospechoso, siendo este el señalado. Para evitar los juicios relativos, se debe realizar una presentación secuencial, es decir, uno a uno para que de esta forma el testigo evalúe el parecido del componente de la rueda con la información que está en su memoria y determinar si es suficiente para identificarlo. Con este método, existe una menor cantidad de falsos reconocimientos.</w:t>
            </w:r>
          </w:p>
          <w:p w:rsidR="00E6008D" w:rsidRPr="003F00A9" w:rsidRDefault="003F00A9" w:rsidP="00182F6F">
            <w:pPr>
              <w:autoSpaceDE w:val="0"/>
              <w:adjustRightInd w:val="0"/>
              <w:spacing w:line="276" w:lineRule="auto"/>
              <w:jc w:val="both"/>
              <w:rPr>
                <w:rFonts w:ascii="Times New Roman" w:hAnsi="Times New Roman" w:cs="Times New Roman"/>
                <w:sz w:val="24"/>
                <w:szCs w:val="24"/>
              </w:rPr>
            </w:pPr>
            <w:r w:rsidRPr="003F00A9">
              <w:rPr>
                <w:rFonts w:ascii="Times New Roman" w:hAnsi="Times New Roman" w:cs="Times New Roman"/>
                <w:sz w:val="24"/>
                <w:szCs w:val="24"/>
              </w:rPr>
              <w:t xml:space="preserve">Las instrucciones que se les va a dar a las personas que van a realizar un proceso de reconocimiento deben ser claras y advertirles que en la rueda es probable que no esté el culpable, ya que, con instrucciones sesgadas, el testigo asume que el culpable va a estar presente en la rueda de reconocimiento (Foster, Libkuman, Schooler y Loftus, 1994 citados por Garrido, Masip y Herrero, 2006), y es posible que el testigo señale al sospecho por descarte o eliminación y no porque realmente lo haya reconocido, un ejemplo de estas ruedas de reconocimiento lo ilustra Elizabeth Loftus. Igualmente, investigaciones realizadas </w:t>
            </w:r>
            <w:r w:rsidRPr="003F00A9">
              <w:rPr>
                <w:rFonts w:ascii="Times New Roman" w:hAnsi="Times New Roman" w:cs="Times New Roman"/>
                <w:sz w:val="24"/>
                <w:szCs w:val="24"/>
              </w:rPr>
              <w:lastRenderedPageBreak/>
              <w:t>por Wells, Seelau, Rydell y Luus el identificar a una persona y no sea el culpable y adicionalmente no se les dieran las instrucciones correctamente, da paso a un fenómeno que ellos denominan la falacia del culpable presente. Es importante tener presente que en cualquier rueda de reconocimiento siempre habrá una persona que se parezca más al verdadero culpable. (Garrido, Masip y Herrero, 2006)</w:t>
            </w:r>
          </w:p>
        </w:tc>
      </w:tr>
    </w:tbl>
    <w:p w:rsidR="002A18AF" w:rsidRPr="003F00A9" w:rsidRDefault="002A18AF" w:rsidP="003F00A9">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3F00A9" w:rsidRDefault="002A18AF"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t>Metodología</w:t>
            </w:r>
          </w:p>
        </w:tc>
      </w:tr>
      <w:tr w:rsidR="002A18AF"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3F00A9" w:rsidRPr="00BD46C8" w:rsidRDefault="003F00A9" w:rsidP="0028198F">
            <w:pPr>
              <w:autoSpaceDE w:val="0"/>
              <w:spacing w:line="240" w:lineRule="auto"/>
              <w:jc w:val="both"/>
              <w:rPr>
                <w:rFonts w:ascii="Times New Roman" w:hAnsi="Times New Roman" w:cs="Times New Roman"/>
                <w:sz w:val="24"/>
                <w:szCs w:val="24"/>
              </w:rPr>
            </w:pPr>
            <w:r w:rsidRPr="00BD46C8">
              <w:rPr>
                <w:rFonts w:ascii="Times New Roman" w:hAnsi="Times New Roman" w:cs="Times New Roman"/>
                <w:sz w:val="24"/>
                <w:szCs w:val="24"/>
              </w:rPr>
              <w:t xml:space="preserve">Esta investigación es de tipo no experimental con un diseño longitudinal panel en tanto que la pretensión es recoger datos de los mismos grupos de sujetos en diferentes puntos del tiempo, para identificar las diferencias en la tarea (Hernández, Fernández y Baptista, 2010) de identificación en fila de personas. </w:t>
            </w:r>
          </w:p>
          <w:p w:rsidR="003F00A9" w:rsidRPr="00BD46C8" w:rsidRDefault="003F00A9" w:rsidP="003F00A9">
            <w:pPr>
              <w:spacing w:line="240" w:lineRule="auto"/>
              <w:jc w:val="both"/>
              <w:rPr>
                <w:rFonts w:ascii="Times New Roman" w:hAnsi="Times New Roman" w:cs="Times New Roman"/>
                <w:sz w:val="24"/>
                <w:szCs w:val="24"/>
              </w:rPr>
            </w:pPr>
            <w:r w:rsidRPr="00BD46C8">
              <w:rPr>
                <w:rFonts w:ascii="Times New Roman" w:hAnsi="Times New Roman" w:cs="Times New Roman"/>
                <w:sz w:val="24"/>
                <w:szCs w:val="24"/>
              </w:rPr>
              <w:t>Para cumplir con dicho cometido, se realizó la estimación del tamaño de la muestra calculando la función de potencia, es decir, la probabilidad de rechazar la hipótesis nula cuando esta es verdadera (negar un caso cuando este es verdadero). Según Montgomery (2012), es posible calcular esta probabilidad con una distribución F no central, con parámetro de no centralidad igual a:</w:t>
            </w:r>
            <w:r w:rsidR="00915155">
              <w:rPr>
                <w:rFonts w:ascii="Times New Roman" w:hAnsi="Times New Roman" w:cs="Times New Roman"/>
                <w:sz w:val="24"/>
                <w:szCs w:val="24"/>
              </w:rPr>
              <w:t xml:space="preserve"> </w:t>
            </w:r>
            <m:oMath>
              <m:r>
                <w:rPr>
                  <w:rFonts w:ascii="Cambria Math" w:hAnsi="Cambria Math" w:cs="Times New Roman"/>
                  <w:sz w:val="24"/>
                  <w:szCs w:val="24"/>
                </w:rPr>
                <m:t>γ=</m:t>
              </m:r>
              <m:f>
                <m:fPr>
                  <m:ctrlPr>
                    <w:rPr>
                      <w:rFonts w:ascii="Cambria Math" w:hAnsi="Cambria Math" w:cs="Times New Roman"/>
                      <w:i/>
                      <w:sz w:val="24"/>
                      <w:szCs w:val="24"/>
                    </w:rPr>
                  </m:ctrlPr>
                </m:fPr>
                <m:num>
                  <m:r>
                    <w:rPr>
                      <w:rFonts w:ascii="Cambria Math" w:hAnsi="Cambria Math" w:cs="Times New Roman"/>
                      <w:sz w:val="24"/>
                      <w:szCs w:val="24"/>
                    </w:rPr>
                    <m:t>n∙</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num>
                <m:den>
                  <m:r>
                    <w:rPr>
                      <w:rFonts w:ascii="Cambria Math" w:hAnsi="Cambria Math" w:cs="Times New Roman"/>
                      <w:sz w:val="24"/>
                      <w:szCs w:val="24"/>
                    </w:rPr>
                    <m:t>2∙a∙CME</m:t>
                  </m:r>
                </m:den>
              </m:f>
            </m:oMath>
          </w:p>
          <w:p w:rsidR="003F00A9" w:rsidRDefault="003F00A9" w:rsidP="003F00A9">
            <w:pPr>
              <w:spacing w:line="240" w:lineRule="auto"/>
              <w:jc w:val="both"/>
              <w:rPr>
                <w:rFonts w:ascii="Times New Roman" w:hAnsi="Times New Roman" w:cs="Times New Roman"/>
                <w:sz w:val="24"/>
                <w:szCs w:val="24"/>
              </w:rPr>
            </w:pPr>
            <w:r w:rsidRPr="00BD46C8">
              <w:rPr>
                <w:rFonts w:ascii="Times New Roman" w:hAnsi="Times New Roman" w:cs="Times New Roman"/>
                <w:sz w:val="24"/>
                <w:szCs w:val="24"/>
              </w:rPr>
              <w:t xml:space="preserve">En donde </w:t>
            </w:r>
            <m:oMath>
              <m:r>
                <w:rPr>
                  <w:rFonts w:ascii="Cambria Math" w:hAnsi="Cambria Math" w:cs="Times New Roman"/>
                  <w:sz w:val="24"/>
                  <w:szCs w:val="24"/>
                </w:rPr>
                <m:t>n</m:t>
              </m:r>
            </m:oMath>
            <w:r w:rsidRPr="00BD46C8">
              <w:rPr>
                <w:rFonts w:ascii="Times New Roman" w:hAnsi="Times New Roman" w:cs="Times New Roman"/>
                <w:sz w:val="24"/>
                <w:szCs w:val="24"/>
              </w:rPr>
              <w:t xml:space="preserve"> es el tamaño de muestra, </w:t>
            </w:r>
            <m:oMath>
              <m:r>
                <w:rPr>
                  <w:rFonts w:ascii="Cambria Math" w:hAnsi="Cambria Math" w:cs="Times New Roman"/>
                  <w:sz w:val="24"/>
                  <w:szCs w:val="24"/>
                </w:rPr>
                <m:t>D</m:t>
              </m:r>
            </m:oMath>
            <w:r w:rsidRPr="00BD46C8">
              <w:rPr>
                <w:rFonts w:ascii="Times New Roman" w:hAnsi="Times New Roman" w:cs="Times New Roman"/>
                <w:sz w:val="24"/>
                <w:szCs w:val="24"/>
              </w:rPr>
              <w:t xml:space="preserve"> es el margen de error, </w:t>
            </w:r>
            <m:oMath>
              <m:r>
                <w:rPr>
                  <w:rFonts w:ascii="Cambria Math" w:hAnsi="Cambria Math" w:cs="Times New Roman"/>
                  <w:sz w:val="24"/>
                  <w:szCs w:val="24"/>
                </w:rPr>
                <m:t>a</m:t>
              </m:r>
            </m:oMath>
            <w:r w:rsidRPr="00BD46C8">
              <w:rPr>
                <w:rFonts w:ascii="Times New Roman" w:hAnsi="Times New Roman" w:cs="Times New Roman"/>
                <w:sz w:val="24"/>
                <w:szCs w:val="24"/>
              </w:rPr>
              <w:t xml:space="preserve"> el número de tratamientos y </w:t>
            </w:r>
            <m:oMath>
              <m:r>
                <w:rPr>
                  <w:rFonts w:ascii="Cambria Math" w:hAnsi="Cambria Math" w:cs="Times New Roman"/>
                  <w:sz w:val="24"/>
                  <w:szCs w:val="24"/>
                </w:rPr>
                <m:t>CME</m:t>
              </m:r>
            </m:oMath>
            <w:r w:rsidRPr="00BD46C8">
              <w:rPr>
                <w:rFonts w:ascii="Times New Roman" w:hAnsi="Times New Roman" w:cs="Times New Roman"/>
                <w:sz w:val="24"/>
                <w:szCs w:val="24"/>
              </w:rPr>
              <w:t xml:space="preserve">, el cuadrado medio del error. Para 4 tratamientos incluyendo el control, con un margen del 0.38 y suponiendo que el CME se asocia a un 20% de los casos que no se predicen correctamente, el tamaño de muestra en función de la potencia del 90% o 95% para minimizar el error de rechazar la hipótesis nula cuando esta es verdadera, </w:t>
            </w:r>
            <w:r>
              <w:rPr>
                <w:rFonts w:ascii="Times New Roman" w:hAnsi="Times New Roman" w:cs="Times New Roman"/>
                <w:sz w:val="24"/>
                <w:szCs w:val="24"/>
              </w:rPr>
              <w:t xml:space="preserve">es de n=35 y n=42 respectivamente. </w:t>
            </w:r>
          </w:p>
          <w:p w:rsidR="003F00A9" w:rsidRPr="00BD46C8" w:rsidRDefault="003F00A9" w:rsidP="0028198F">
            <w:pPr>
              <w:autoSpaceDE w:val="0"/>
              <w:spacing w:line="240" w:lineRule="auto"/>
              <w:jc w:val="both"/>
              <w:rPr>
                <w:rFonts w:ascii="Times New Roman" w:hAnsi="Times New Roman" w:cs="Times New Roman"/>
                <w:sz w:val="24"/>
                <w:szCs w:val="24"/>
              </w:rPr>
            </w:pPr>
            <w:r w:rsidRPr="00BD46C8">
              <w:rPr>
                <w:rFonts w:ascii="Times New Roman" w:hAnsi="Times New Roman" w:cs="Times New Roman"/>
                <w:sz w:val="24"/>
                <w:szCs w:val="24"/>
              </w:rPr>
              <w:t xml:space="preserve">El procedimiento de la investigación consistirá en que </w:t>
            </w:r>
            <w:r>
              <w:rPr>
                <w:rFonts w:ascii="Times New Roman" w:hAnsi="Times New Roman" w:cs="Times New Roman"/>
                <w:sz w:val="24"/>
                <w:szCs w:val="24"/>
              </w:rPr>
              <w:t>con base en la información recolectada en la primera fase del proyecto, en la que cada</w:t>
            </w:r>
            <w:r w:rsidRPr="00BD46C8">
              <w:rPr>
                <w:rFonts w:ascii="Times New Roman" w:hAnsi="Times New Roman" w:cs="Times New Roman"/>
                <w:sz w:val="24"/>
                <w:szCs w:val="24"/>
              </w:rPr>
              <w:t xml:space="preserve"> participante previo consentimiento informado, </w:t>
            </w:r>
            <w:r>
              <w:rPr>
                <w:rFonts w:ascii="Times New Roman" w:hAnsi="Times New Roman" w:cs="Times New Roman"/>
                <w:sz w:val="24"/>
                <w:szCs w:val="24"/>
              </w:rPr>
              <w:t>observó</w:t>
            </w:r>
            <w:r w:rsidRPr="00BD46C8">
              <w:rPr>
                <w:rFonts w:ascii="Times New Roman" w:hAnsi="Times New Roman" w:cs="Times New Roman"/>
                <w:sz w:val="24"/>
                <w:szCs w:val="24"/>
              </w:rPr>
              <w:t xml:space="preserve"> en una aula de clase a un actor (de sexo masculino) que t</w:t>
            </w:r>
            <w:r>
              <w:rPr>
                <w:rFonts w:ascii="Times New Roman" w:hAnsi="Times New Roman" w:cs="Times New Roman"/>
                <w:sz w:val="24"/>
                <w:szCs w:val="24"/>
              </w:rPr>
              <w:t>uvo</w:t>
            </w:r>
            <w:r w:rsidRPr="00BD46C8">
              <w:rPr>
                <w:rFonts w:ascii="Times New Roman" w:hAnsi="Times New Roman" w:cs="Times New Roman"/>
                <w:sz w:val="24"/>
                <w:szCs w:val="24"/>
              </w:rPr>
              <w:t xml:space="preserve"> un altercado con el docente de la clase (hecho simulado desconocido para los participantes), posteriormente, en un lapso entre 13 y 14 días</w:t>
            </w:r>
            <w:r>
              <w:rPr>
                <w:rFonts w:ascii="Times New Roman" w:hAnsi="Times New Roman" w:cs="Times New Roman"/>
                <w:sz w:val="24"/>
                <w:szCs w:val="24"/>
              </w:rPr>
              <w:t xml:space="preserve"> se realizó el </w:t>
            </w:r>
            <w:r w:rsidRPr="00BD46C8">
              <w:rPr>
                <w:rFonts w:ascii="Times New Roman" w:hAnsi="Times New Roman" w:cs="Times New Roman"/>
                <w:sz w:val="24"/>
                <w:szCs w:val="24"/>
              </w:rPr>
              <w:t>reconocimiento en fila</w:t>
            </w:r>
            <w:r>
              <w:rPr>
                <w:rFonts w:ascii="Times New Roman" w:hAnsi="Times New Roman" w:cs="Times New Roman"/>
                <w:sz w:val="24"/>
                <w:szCs w:val="24"/>
              </w:rPr>
              <w:t xml:space="preserve">, previo sometimiento </w:t>
            </w:r>
            <w:r w:rsidRPr="00BD46C8">
              <w:rPr>
                <w:rFonts w:ascii="Times New Roman" w:hAnsi="Times New Roman" w:cs="Times New Roman"/>
                <w:sz w:val="24"/>
                <w:szCs w:val="24"/>
              </w:rPr>
              <w:t>al tratamiento experimental (diferente para cada grupo), a los participantes del grupo 1 se les p</w:t>
            </w:r>
            <w:r>
              <w:rPr>
                <w:rFonts w:ascii="Times New Roman" w:hAnsi="Times New Roman" w:cs="Times New Roman"/>
                <w:sz w:val="24"/>
                <w:szCs w:val="24"/>
              </w:rPr>
              <w:t>i</w:t>
            </w:r>
            <w:r w:rsidRPr="00BD46C8">
              <w:rPr>
                <w:rFonts w:ascii="Times New Roman" w:hAnsi="Times New Roman" w:cs="Times New Roman"/>
                <w:sz w:val="24"/>
                <w:szCs w:val="24"/>
              </w:rPr>
              <w:t>di</w:t>
            </w:r>
            <w:r>
              <w:rPr>
                <w:rFonts w:ascii="Times New Roman" w:hAnsi="Times New Roman" w:cs="Times New Roman"/>
                <w:sz w:val="24"/>
                <w:szCs w:val="24"/>
              </w:rPr>
              <w:t>ó</w:t>
            </w:r>
            <w:r w:rsidRPr="00BD46C8">
              <w:rPr>
                <w:rFonts w:ascii="Times New Roman" w:hAnsi="Times New Roman" w:cs="Times New Roman"/>
                <w:sz w:val="24"/>
                <w:szCs w:val="24"/>
              </w:rPr>
              <w:t xml:space="preserve"> que h</w:t>
            </w:r>
            <w:r>
              <w:rPr>
                <w:rFonts w:ascii="Times New Roman" w:hAnsi="Times New Roman" w:cs="Times New Roman"/>
                <w:sz w:val="24"/>
                <w:szCs w:val="24"/>
              </w:rPr>
              <w:t>icieran</w:t>
            </w:r>
            <w:r w:rsidRPr="00BD46C8">
              <w:rPr>
                <w:rFonts w:ascii="Times New Roman" w:hAnsi="Times New Roman" w:cs="Times New Roman"/>
                <w:sz w:val="24"/>
                <w:szCs w:val="24"/>
              </w:rPr>
              <w:t xml:space="preserve"> una descripción verbal morfológica de la persona que vieron </w:t>
            </w:r>
            <w:r>
              <w:rPr>
                <w:rFonts w:ascii="Times New Roman" w:hAnsi="Times New Roman" w:cs="Times New Roman"/>
                <w:sz w:val="24"/>
                <w:szCs w:val="24"/>
              </w:rPr>
              <w:t xml:space="preserve">en el incidente; </w:t>
            </w:r>
            <w:r w:rsidRPr="00BD46C8">
              <w:rPr>
                <w:rFonts w:ascii="Times New Roman" w:hAnsi="Times New Roman" w:cs="Times New Roman"/>
                <w:sz w:val="24"/>
                <w:szCs w:val="24"/>
              </w:rPr>
              <w:t xml:space="preserve">a los participantes del grupo 2 se les </w:t>
            </w:r>
            <w:r>
              <w:rPr>
                <w:rFonts w:ascii="Times New Roman" w:hAnsi="Times New Roman" w:cs="Times New Roman"/>
                <w:sz w:val="24"/>
                <w:szCs w:val="24"/>
              </w:rPr>
              <w:t>instruyó para que hicieran reinstauración del</w:t>
            </w:r>
            <w:r w:rsidRPr="00BD46C8">
              <w:rPr>
                <w:rFonts w:ascii="Times New Roman" w:hAnsi="Times New Roman" w:cs="Times New Roman"/>
                <w:sz w:val="24"/>
                <w:szCs w:val="24"/>
              </w:rPr>
              <w:t xml:space="preserve"> contexto únicamente</w:t>
            </w:r>
            <w:r>
              <w:rPr>
                <w:rFonts w:ascii="Times New Roman" w:hAnsi="Times New Roman" w:cs="Times New Roman"/>
                <w:sz w:val="24"/>
                <w:szCs w:val="24"/>
              </w:rPr>
              <w:t>;</w:t>
            </w:r>
            <w:r w:rsidRPr="00BD46C8">
              <w:rPr>
                <w:rFonts w:ascii="Times New Roman" w:hAnsi="Times New Roman" w:cs="Times New Roman"/>
                <w:sz w:val="24"/>
                <w:szCs w:val="24"/>
              </w:rPr>
              <w:t xml:space="preserve"> a los participantes del grupo 3 se les p</w:t>
            </w:r>
            <w:r>
              <w:rPr>
                <w:rFonts w:ascii="Times New Roman" w:hAnsi="Times New Roman" w:cs="Times New Roman"/>
                <w:sz w:val="24"/>
                <w:szCs w:val="24"/>
              </w:rPr>
              <w:t>idió</w:t>
            </w:r>
            <w:r w:rsidRPr="00BD46C8">
              <w:rPr>
                <w:rFonts w:ascii="Times New Roman" w:hAnsi="Times New Roman" w:cs="Times New Roman"/>
                <w:sz w:val="24"/>
                <w:szCs w:val="24"/>
              </w:rPr>
              <w:t xml:space="preserve"> que </w:t>
            </w:r>
            <w:r>
              <w:rPr>
                <w:rFonts w:ascii="Times New Roman" w:hAnsi="Times New Roman" w:cs="Times New Roman"/>
                <w:sz w:val="24"/>
                <w:szCs w:val="24"/>
              </w:rPr>
              <w:t xml:space="preserve">hicieran </w:t>
            </w:r>
            <w:r w:rsidRPr="00BD46C8">
              <w:rPr>
                <w:rFonts w:ascii="Times New Roman" w:hAnsi="Times New Roman" w:cs="Times New Roman"/>
                <w:sz w:val="24"/>
                <w:szCs w:val="24"/>
              </w:rPr>
              <w:t>reinstaur</w:t>
            </w:r>
            <w:r>
              <w:rPr>
                <w:rFonts w:ascii="Times New Roman" w:hAnsi="Times New Roman" w:cs="Times New Roman"/>
                <w:sz w:val="24"/>
                <w:szCs w:val="24"/>
              </w:rPr>
              <w:t>ación del</w:t>
            </w:r>
            <w:r w:rsidRPr="00BD46C8">
              <w:rPr>
                <w:rFonts w:ascii="Times New Roman" w:hAnsi="Times New Roman" w:cs="Times New Roman"/>
                <w:sz w:val="24"/>
                <w:szCs w:val="24"/>
              </w:rPr>
              <w:t xml:space="preserve"> contexto y luego describ</w:t>
            </w:r>
            <w:r>
              <w:rPr>
                <w:rFonts w:ascii="Times New Roman" w:hAnsi="Times New Roman" w:cs="Times New Roman"/>
                <w:sz w:val="24"/>
                <w:szCs w:val="24"/>
              </w:rPr>
              <w:t>ier</w:t>
            </w:r>
            <w:r w:rsidRPr="00BD46C8">
              <w:rPr>
                <w:rFonts w:ascii="Times New Roman" w:hAnsi="Times New Roman" w:cs="Times New Roman"/>
                <w:sz w:val="24"/>
                <w:szCs w:val="24"/>
              </w:rPr>
              <w:t>an verbalmente a la persona vista</w:t>
            </w:r>
            <w:r>
              <w:rPr>
                <w:rFonts w:ascii="Times New Roman" w:hAnsi="Times New Roman" w:cs="Times New Roman"/>
                <w:sz w:val="24"/>
                <w:szCs w:val="24"/>
              </w:rPr>
              <w:t>;</w:t>
            </w:r>
            <w:r w:rsidRPr="00BD46C8">
              <w:rPr>
                <w:rFonts w:ascii="Times New Roman" w:hAnsi="Times New Roman" w:cs="Times New Roman"/>
                <w:sz w:val="24"/>
                <w:szCs w:val="24"/>
              </w:rPr>
              <w:t xml:space="preserve"> y el grupo 4 no realiz</w:t>
            </w:r>
            <w:r>
              <w:rPr>
                <w:rFonts w:ascii="Times New Roman" w:hAnsi="Times New Roman" w:cs="Times New Roman"/>
                <w:sz w:val="24"/>
                <w:szCs w:val="24"/>
              </w:rPr>
              <w:t>ó ninguna</w:t>
            </w:r>
            <w:r w:rsidRPr="00BD46C8">
              <w:rPr>
                <w:rFonts w:ascii="Times New Roman" w:hAnsi="Times New Roman" w:cs="Times New Roman"/>
                <w:sz w:val="24"/>
                <w:szCs w:val="24"/>
              </w:rPr>
              <w:t xml:space="preserve"> tarea </w:t>
            </w:r>
            <w:r>
              <w:rPr>
                <w:rFonts w:ascii="Times New Roman" w:hAnsi="Times New Roman" w:cs="Times New Roman"/>
                <w:sz w:val="24"/>
                <w:szCs w:val="24"/>
              </w:rPr>
              <w:t xml:space="preserve"> constituyéndose como el </w:t>
            </w:r>
            <w:r w:rsidRPr="00BD46C8">
              <w:rPr>
                <w:rFonts w:ascii="Times New Roman" w:hAnsi="Times New Roman" w:cs="Times New Roman"/>
                <w:sz w:val="24"/>
                <w:szCs w:val="24"/>
              </w:rPr>
              <w:t xml:space="preserve">grupo control. </w:t>
            </w:r>
            <w:r>
              <w:rPr>
                <w:rFonts w:ascii="Times New Roman" w:hAnsi="Times New Roman" w:cs="Times New Roman"/>
                <w:sz w:val="24"/>
                <w:szCs w:val="24"/>
              </w:rPr>
              <w:t>En este caso, por ser un estudio longitudinal, la tarea de los sujetos pertenecientes a los cuatro grupos consiste en volver a hacer la identificación en fila de personas en tres momentos: al mes, a los tres meses y a los seis meses de la exposición al incidente</w:t>
            </w:r>
            <w:r w:rsidRPr="00BD46C8">
              <w:rPr>
                <w:rFonts w:ascii="Times New Roman" w:hAnsi="Times New Roman" w:cs="Times New Roman"/>
                <w:sz w:val="24"/>
                <w:szCs w:val="24"/>
              </w:rPr>
              <w:t xml:space="preserve">. </w:t>
            </w:r>
            <w:r>
              <w:rPr>
                <w:rFonts w:ascii="Times New Roman" w:hAnsi="Times New Roman" w:cs="Times New Roman"/>
                <w:sz w:val="24"/>
                <w:szCs w:val="24"/>
              </w:rPr>
              <w:t>Como en la primera fase, e</w:t>
            </w:r>
            <w:r w:rsidRPr="00BD46C8">
              <w:rPr>
                <w:rFonts w:ascii="Times New Roman" w:hAnsi="Times New Roman" w:cs="Times New Roman"/>
                <w:sz w:val="24"/>
                <w:szCs w:val="24"/>
              </w:rPr>
              <w:t>l orden de las personas en la fila será aleatorio</w:t>
            </w:r>
            <w:r>
              <w:rPr>
                <w:rFonts w:ascii="Times New Roman" w:hAnsi="Times New Roman" w:cs="Times New Roman"/>
                <w:sz w:val="24"/>
                <w:szCs w:val="24"/>
              </w:rPr>
              <w:t>; e</w:t>
            </w:r>
            <w:r w:rsidRPr="00BD46C8">
              <w:rPr>
                <w:rFonts w:ascii="Times New Roman" w:hAnsi="Times New Roman" w:cs="Times New Roman"/>
                <w:sz w:val="24"/>
                <w:szCs w:val="24"/>
              </w:rPr>
              <w:t xml:space="preserve">xplícitamente se les dará a los sujetos la opción de contestar que no es ninguna de las personas de la fila. La </w:t>
            </w:r>
            <w:r>
              <w:rPr>
                <w:rFonts w:ascii="Times New Roman" w:hAnsi="Times New Roman" w:cs="Times New Roman"/>
                <w:sz w:val="24"/>
                <w:szCs w:val="24"/>
              </w:rPr>
              <w:t xml:space="preserve">respuesta del reconocimiento </w:t>
            </w:r>
            <w:r w:rsidRPr="00BD46C8">
              <w:rPr>
                <w:rFonts w:ascii="Times New Roman" w:hAnsi="Times New Roman" w:cs="Times New Roman"/>
                <w:sz w:val="24"/>
                <w:szCs w:val="24"/>
              </w:rPr>
              <w:t xml:space="preserve">será anotada en una ficha de recolección de datos.  </w:t>
            </w:r>
          </w:p>
          <w:p w:rsidR="003F00A9" w:rsidRPr="00BD46C8" w:rsidRDefault="003F00A9" w:rsidP="0028198F">
            <w:pPr>
              <w:autoSpaceDE w:val="0"/>
              <w:spacing w:line="240" w:lineRule="auto"/>
              <w:jc w:val="both"/>
              <w:rPr>
                <w:rFonts w:ascii="Times New Roman" w:hAnsi="Times New Roman" w:cs="Times New Roman"/>
                <w:sz w:val="24"/>
                <w:szCs w:val="24"/>
              </w:rPr>
            </w:pPr>
            <w:r w:rsidRPr="00BD46C8">
              <w:rPr>
                <w:rFonts w:ascii="Times New Roman" w:hAnsi="Times New Roman" w:cs="Times New Roman"/>
                <w:sz w:val="24"/>
                <w:szCs w:val="24"/>
              </w:rPr>
              <w:t xml:space="preserve">Participantes: Cada grupo estará conformado con </w:t>
            </w:r>
            <w:r>
              <w:rPr>
                <w:rFonts w:ascii="Times New Roman" w:hAnsi="Times New Roman" w:cs="Times New Roman"/>
                <w:sz w:val="24"/>
                <w:szCs w:val="24"/>
              </w:rPr>
              <w:t>42</w:t>
            </w:r>
            <w:r w:rsidRPr="00BD46C8">
              <w:rPr>
                <w:rFonts w:ascii="Times New Roman" w:hAnsi="Times New Roman" w:cs="Times New Roman"/>
                <w:sz w:val="24"/>
                <w:szCs w:val="24"/>
              </w:rPr>
              <w:t xml:space="preserve"> estudiantes universitarios distribuidos de forma aleatoria entre los 4 grupos, su participación será voluntaria, previo consentimiento informado</w:t>
            </w:r>
            <w:r w:rsidR="0028198F">
              <w:rPr>
                <w:rFonts w:ascii="Times New Roman" w:hAnsi="Times New Roman" w:cs="Times New Roman"/>
                <w:sz w:val="24"/>
                <w:szCs w:val="24"/>
              </w:rPr>
              <w:t xml:space="preserve">. </w:t>
            </w:r>
            <w:r w:rsidRPr="00BD46C8">
              <w:rPr>
                <w:rFonts w:ascii="Times New Roman" w:hAnsi="Times New Roman" w:cs="Times New Roman"/>
                <w:sz w:val="24"/>
                <w:szCs w:val="24"/>
              </w:rPr>
              <w:t xml:space="preserve">El procesamiento de la información estadística será realizado en software especializado a través </w:t>
            </w:r>
            <w:r>
              <w:rPr>
                <w:rFonts w:ascii="Times New Roman" w:hAnsi="Times New Roman" w:cs="Times New Roman"/>
                <w:sz w:val="24"/>
                <w:szCs w:val="24"/>
              </w:rPr>
              <w:t>un análisis de datos longitudinales, Anova, modelos GLM y aprendizaje supervisado</w:t>
            </w:r>
            <w:r w:rsidRPr="00BD46C8">
              <w:rPr>
                <w:rFonts w:ascii="Times New Roman" w:hAnsi="Times New Roman" w:cs="Times New Roman"/>
                <w:sz w:val="24"/>
                <w:szCs w:val="24"/>
              </w:rPr>
              <w:t>. Se</w:t>
            </w:r>
            <w:r>
              <w:rPr>
                <w:rFonts w:ascii="Times New Roman" w:hAnsi="Times New Roman" w:cs="Times New Roman"/>
                <w:sz w:val="24"/>
                <w:szCs w:val="24"/>
              </w:rPr>
              <w:t xml:space="preserve"> </w:t>
            </w:r>
            <w:proofErr w:type="gramStart"/>
            <w:r>
              <w:rPr>
                <w:rFonts w:ascii="Times New Roman" w:hAnsi="Times New Roman" w:cs="Times New Roman"/>
                <w:sz w:val="24"/>
                <w:szCs w:val="24"/>
              </w:rPr>
              <w:t>aplicara</w:t>
            </w:r>
            <w:proofErr w:type="gramEnd"/>
            <w:r>
              <w:rPr>
                <w:rFonts w:ascii="Times New Roman" w:hAnsi="Times New Roman" w:cs="Times New Roman"/>
                <w:sz w:val="24"/>
                <w:szCs w:val="24"/>
              </w:rPr>
              <w:t xml:space="preserve"> un cuestionario </w:t>
            </w:r>
            <w:r>
              <w:rPr>
                <w:rFonts w:ascii="Times New Roman" w:hAnsi="Times New Roman" w:cs="Times New Roman"/>
                <w:i/>
                <w:sz w:val="24"/>
                <w:szCs w:val="24"/>
              </w:rPr>
              <w:t xml:space="preserve">a doc </w:t>
            </w:r>
            <w:r>
              <w:rPr>
                <w:rFonts w:ascii="Times New Roman" w:hAnsi="Times New Roman" w:cs="Times New Roman"/>
                <w:sz w:val="24"/>
                <w:szCs w:val="24"/>
              </w:rPr>
              <w:t xml:space="preserve">con datos sociodemográficos y otros relacionados con historia de victimización o criminológica, </w:t>
            </w:r>
            <w:r w:rsidRPr="00BD46C8">
              <w:rPr>
                <w:rFonts w:ascii="Times New Roman" w:hAnsi="Times New Roman" w:cs="Times New Roman"/>
                <w:sz w:val="24"/>
                <w:szCs w:val="24"/>
              </w:rPr>
              <w:t xml:space="preserve">separando los participantes por grupo experimental y si reconoce o no al sujeto estímulo. </w:t>
            </w:r>
          </w:p>
          <w:p w:rsidR="003F00A9" w:rsidRPr="00BD46C8" w:rsidRDefault="003F00A9" w:rsidP="003F00A9">
            <w:pPr>
              <w:spacing w:line="240" w:lineRule="auto"/>
              <w:jc w:val="both"/>
              <w:rPr>
                <w:rStyle w:val="apple-converted-space"/>
                <w:rFonts w:ascii="Times New Roman" w:hAnsi="Times New Roman" w:cs="Times New Roman"/>
                <w:sz w:val="24"/>
                <w:szCs w:val="24"/>
                <w:shd w:val="clear" w:color="auto" w:fill="FFFFFF"/>
              </w:rPr>
            </w:pPr>
            <w:r w:rsidRPr="00BD46C8">
              <w:rPr>
                <w:rStyle w:val="apple-converted-space"/>
                <w:rFonts w:ascii="Times New Roman" w:hAnsi="Times New Roman" w:cs="Times New Roman"/>
                <w:sz w:val="24"/>
                <w:szCs w:val="24"/>
                <w:shd w:val="clear" w:color="auto" w:fill="FFFFFF"/>
              </w:rPr>
              <w:t xml:space="preserve">Las hipótesis planteadas son las siguientes: </w:t>
            </w:r>
          </w:p>
          <w:p w:rsidR="003F00A9" w:rsidRPr="00567FF3" w:rsidRDefault="003F00A9" w:rsidP="003F00A9">
            <w:pPr>
              <w:spacing w:line="240" w:lineRule="auto"/>
              <w:jc w:val="both"/>
              <w:rPr>
                <w:rFonts w:ascii="Times New Roman" w:hAnsi="Times New Roman" w:cs="Times New Roman"/>
                <w:sz w:val="24"/>
                <w:szCs w:val="24"/>
                <w:shd w:val="clear" w:color="auto" w:fill="FFFFFF"/>
              </w:rPr>
            </w:pPr>
            <w:r w:rsidRPr="00567FF3">
              <w:rPr>
                <w:rFonts w:ascii="Times New Roman" w:hAnsi="Times New Roman" w:cs="Times New Roman"/>
                <w:sz w:val="24"/>
                <w:szCs w:val="24"/>
                <w:shd w:val="clear" w:color="auto" w:fill="FFFFFF"/>
              </w:rPr>
              <w:t>Hipótesis nula H0: No hay diferencia significativa entre los grupos. Las técnicas no influyen en el éxito en la identificación con el paso del tiempo.</w:t>
            </w:r>
          </w:p>
          <w:p w:rsidR="003F00A9" w:rsidRPr="00567FF3" w:rsidRDefault="003F00A9" w:rsidP="003F00A9">
            <w:pPr>
              <w:spacing w:line="240" w:lineRule="auto"/>
              <w:jc w:val="both"/>
              <w:rPr>
                <w:rFonts w:ascii="Times New Roman" w:hAnsi="Times New Roman" w:cs="Times New Roman"/>
                <w:sz w:val="24"/>
                <w:szCs w:val="24"/>
                <w:shd w:val="clear" w:color="auto" w:fill="FFFFFF"/>
              </w:rPr>
            </w:pPr>
            <w:r w:rsidRPr="00567FF3">
              <w:rPr>
                <w:rFonts w:ascii="Times New Roman" w:hAnsi="Times New Roman" w:cs="Times New Roman"/>
                <w:sz w:val="24"/>
                <w:szCs w:val="24"/>
                <w:shd w:val="clear" w:color="auto" w:fill="FFFFFF"/>
              </w:rPr>
              <w:lastRenderedPageBreak/>
              <w:t>Hipótesis H1: La descripción morfológica previa aumenta el nivel de éxito en la identificación con el paso del tiempo.</w:t>
            </w:r>
          </w:p>
          <w:p w:rsidR="003F00A9" w:rsidRPr="00567FF3" w:rsidRDefault="003F00A9" w:rsidP="003F00A9">
            <w:pPr>
              <w:spacing w:line="240" w:lineRule="auto"/>
              <w:jc w:val="both"/>
              <w:rPr>
                <w:rFonts w:ascii="Times New Roman" w:hAnsi="Times New Roman" w:cs="Times New Roman"/>
                <w:sz w:val="24"/>
                <w:szCs w:val="24"/>
                <w:shd w:val="clear" w:color="auto" w:fill="FFFFFF"/>
              </w:rPr>
            </w:pPr>
            <w:r w:rsidRPr="00567FF3">
              <w:rPr>
                <w:rFonts w:ascii="Times New Roman" w:hAnsi="Times New Roman" w:cs="Times New Roman"/>
                <w:sz w:val="24"/>
                <w:szCs w:val="24"/>
                <w:shd w:val="clear" w:color="auto" w:fill="FFFFFF"/>
              </w:rPr>
              <w:t>Hipótesis H2: La reinstauración de contexto genera más éxito en la identificación que la descripción morfológica con el paso del tiempo.</w:t>
            </w:r>
          </w:p>
          <w:p w:rsidR="00E6008D" w:rsidRPr="003F00A9" w:rsidRDefault="003F00A9" w:rsidP="003F00A9">
            <w:pPr>
              <w:spacing w:line="240" w:lineRule="auto"/>
              <w:jc w:val="both"/>
              <w:rPr>
                <w:rFonts w:ascii="Times New Roman" w:eastAsia="Times New Roman" w:hAnsi="Times New Roman" w:cs="Times New Roman"/>
                <w:color w:val="222222"/>
                <w:sz w:val="24"/>
                <w:szCs w:val="24"/>
                <w:lang w:eastAsia="es-CO"/>
              </w:rPr>
            </w:pPr>
            <w:r w:rsidRPr="00567FF3">
              <w:rPr>
                <w:rFonts w:ascii="Times New Roman" w:hAnsi="Times New Roman" w:cs="Times New Roman"/>
                <w:sz w:val="24"/>
                <w:szCs w:val="24"/>
                <w:shd w:val="clear" w:color="auto" w:fill="FFFFFF"/>
              </w:rPr>
              <w:t>Hipótesis H3: La utilización de ambas técnicas es más exitoso que cada técnica por separado en la identificación con el paso del tiempo.</w:t>
            </w:r>
          </w:p>
        </w:tc>
      </w:tr>
      <w:tr w:rsidR="001D6087" w:rsidRPr="003F00A9"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1D6087" w:rsidRPr="003F00A9" w:rsidRDefault="001D6087" w:rsidP="003F00A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3F00A9">
              <w:rPr>
                <w:rFonts w:ascii="Times New Roman" w:eastAsia="Times New Roman" w:hAnsi="Times New Roman" w:cs="Times New Roman"/>
                <w:b/>
                <w:bCs/>
                <w:color w:val="222222"/>
                <w:sz w:val="24"/>
                <w:szCs w:val="24"/>
                <w:lang w:eastAsia="es-CO"/>
              </w:rPr>
              <w:lastRenderedPageBreak/>
              <w:t>Resultados esperados</w:t>
            </w:r>
          </w:p>
        </w:tc>
      </w:tr>
      <w:tr w:rsidR="001D6087" w:rsidRPr="003F00A9"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D6087" w:rsidRDefault="003F00A9" w:rsidP="003F00A9">
            <w:pPr>
              <w:spacing w:line="240" w:lineRule="auto"/>
              <w:jc w:val="both"/>
              <w:rPr>
                <w:rFonts w:ascii="Times New Roman" w:hAnsi="Times New Roman" w:cs="Times New Roman"/>
                <w:sz w:val="24"/>
                <w:szCs w:val="24"/>
              </w:rPr>
            </w:pPr>
            <w:r w:rsidRPr="00BD46C8">
              <w:rPr>
                <w:rFonts w:ascii="Times New Roman" w:hAnsi="Times New Roman" w:cs="Times New Roman"/>
                <w:sz w:val="24"/>
                <w:szCs w:val="24"/>
              </w:rPr>
              <w:t xml:space="preserve">Se espera obtener una diferencia significativa entre los grupos, mostrando un mayor éxito en la técnica de reinstauración de contexto (hipótesis H2), pero con una disminución en la exactitud con el paso del tiempo debido a la curva de olvido, pese a esto se espera un mejor nivel de éxito en el reconocimiento en el grupo de reinstauración de contexto. </w:t>
            </w:r>
          </w:p>
          <w:tbl>
            <w:tblPr>
              <w:tblStyle w:val="Tablaconcuadrcula"/>
              <w:tblW w:w="0" w:type="auto"/>
              <w:tblLook w:val="04A0" w:firstRow="1" w:lastRow="0" w:firstColumn="1" w:lastColumn="0" w:noHBand="0" w:noVBand="1"/>
            </w:tblPr>
            <w:tblGrid>
              <w:gridCol w:w="3367"/>
              <w:gridCol w:w="1985"/>
              <w:gridCol w:w="2977"/>
              <w:gridCol w:w="6055"/>
            </w:tblGrid>
            <w:tr w:rsidR="003F00A9" w:rsidRPr="00BD46C8" w:rsidTr="0028198F">
              <w:tc>
                <w:tcPr>
                  <w:tcW w:w="3367" w:type="dxa"/>
                </w:tcPr>
                <w:p w:rsidR="003F00A9" w:rsidRPr="00BD46C8" w:rsidRDefault="003F00A9" w:rsidP="003F00A9">
                  <w:pPr>
                    <w:jc w:val="both"/>
                    <w:rPr>
                      <w:rFonts w:ascii="Times New Roman" w:hAnsi="Times New Roman" w:cs="Times New Roman"/>
                      <w:sz w:val="24"/>
                      <w:szCs w:val="24"/>
                    </w:rPr>
                  </w:pPr>
                  <w:r w:rsidRPr="00BD46C8">
                    <w:rPr>
                      <w:rFonts w:ascii="Times New Roman" w:eastAsia="Times New Roman" w:hAnsi="Times New Roman" w:cs="Times New Roman"/>
                      <w:b/>
                      <w:bCs/>
                      <w:sz w:val="24"/>
                      <w:szCs w:val="24"/>
                    </w:rPr>
                    <w:t>Tipo de producto</w:t>
                  </w:r>
                </w:p>
              </w:tc>
              <w:tc>
                <w:tcPr>
                  <w:tcW w:w="1985" w:type="dxa"/>
                </w:tcPr>
                <w:p w:rsidR="003F00A9" w:rsidRPr="00BD46C8" w:rsidRDefault="003F00A9" w:rsidP="003F00A9">
                  <w:pPr>
                    <w:jc w:val="both"/>
                    <w:rPr>
                      <w:rFonts w:ascii="Times New Roman" w:hAnsi="Times New Roman" w:cs="Times New Roman"/>
                      <w:sz w:val="24"/>
                      <w:szCs w:val="24"/>
                    </w:rPr>
                  </w:pPr>
                  <w:r w:rsidRPr="00BD46C8">
                    <w:rPr>
                      <w:rFonts w:ascii="Times New Roman" w:eastAsia="Times New Roman" w:hAnsi="Times New Roman" w:cs="Times New Roman"/>
                      <w:b/>
                      <w:bCs/>
                      <w:sz w:val="24"/>
                      <w:szCs w:val="24"/>
                    </w:rPr>
                    <w:t>Categoría</w:t>
                  </w:r>
                </w:p>
              </w:tc>
              <w:tc>
                <w:tcPr>
                  <w:tcW w:w="2977" w:type="dxa"/>
                </w:tcPr>
                <w:p w:rsidR="003F00A9" w:rsidRPr="00BD46C8" w:rsidRDefault="003F00A9" w:rsidP="003F00A9">
                  <w:pPr>
                    <w:jc w:val="both"/>
                    <w:rPr>
                      <w:rFonts w:ascii="Times New Roman" w:hAnsi="Times New Roman" w:cs="Times New Roman"/>
                      <w:sz w:val="24"/>
                      <w:szCs w:val="24"/>
                    </w:rPr>
                  </w:pPr>
                  <w:r w:rsidRPr="00BD46C8">
                    <w:rPr>
                      <w:rFonts w:ascii="Times New Roman" w:eastAsia="Times New Roman" w:hAnsi="Times New Roman" w:cs="Times New Roman"/>
                      <w:b/>
                      <w:bCs/>
                      <w:sz w:val="24"/>
                      <w:szCs w:val="24"/>
                    </w:rPr>
                    <w:t>Producto</w:t>
                  </w:r>
                </w:p>
              </w:tc>
              <w:tc>
                <w:tcPr>
                  <w:tcW w:w="6055" w:type="dxa"/>
                </w:tcPr>
                <w:p w:rsidR="003F00A9" w:rsidRPr="00BD46C8" w:rsidRDefault="003F00A9" w:rsidP="003F00A9">
                  <w:pPr>
                    <w:jc w:val="both"/>
                    <w:rPr>
                      <w:rFonts w:ascii="Times New Roman" w:hAnsi="Times New Roman" w:cs="Times New Roman"/>
                      <w:sz w:val="24"/>
                      <w:szCs w:val="24"/>
                    </w:rPr>
                  </w:pPr>
                  <w:r w:rsidRPr="00BD46C8">
                    <w:rPr>
                      <w:rFonts w:ascii="Times New Roman" w:eastAsia="Times New Roman" w:hAnsi="Times New Roman" w:cs="Times New Roman"/>
                      <w:b/>
                      <w:bCs/>
                      <w:sz w:val="24"/>
                      <w:szCs w:val="24"/>
                    </w:rPr>
                    <w:t>Referencia</w:t>
                  </w:r>
                </w:p>
              </w:tc>
            </w:tr>
            <w:tr w:rsidR="003F00A9" w:rsidRPr="00BD46C8" w:rsidTr="0028198F">
              <w:tc>
                <w:tcPr>
                  <w:tcW w:w="3367" w:type="dxa"/>
                </w:tcPr>
                <w:p w:rsidR="003F00A9" w:rsidRPr="00BD46C8" w:rsidRDefault="003F00A9" w:rsidP="003F00A9">
                  <w:pPr>
                    <w:jc w:val="both"/>
                    <w:rPr>
                      <w:rFonts w:ascii="Times New Roman" w:hAnsi="Times New Roman" w:cs="Times New Roman"/>
                      <w:sz w:val="24"/>
                      <w:szCs w:val="24"/>
                    </w:rPr>
                  </w:pPr>
                  <w:r w:rsidRPr="00BD46C8">
                    <w:rPr>
                      <w:rFonts w:ascii="Times New Roman" w:hAnsi="Times New Roman" w:cs="Times New Roman"/>
                      <w:sz w:val="24"/>
                      <w:szCs w:val="24"/>
                      <w:shd w:val="clear" w:color="auto" w:fill="FFFFFF"/>
                    </w:rPr>
                    <w:t>Producto resultado de actividades de generación de nuevo conocimiento</w:t>
                  </w:r>
                </w:p>
              </w:tc>
              <w:tc>
                <w:tcPr>
                  <w:tcW w:w="1985" w:type="dxa"/>
                </w:tcPr>
                <w:p w:rsidR="003F00A9" w:rsidRPr="00BD46C8" w:rsidRDefault="003F00A9" w:rsidP="003F00A9">
                  <w:pPr>
                    <w:jc w:val="both"/>
                    <w:rPr>
                      <w:rFonts w:ascii="Times New Roman" w:hAnsi="Times New Roman" w:cs="Times New Roman"/>
                      <w:sz w:val="24"/>
                      <w:szCs w:val="24"/>
                    </w:rPr>
                  </w:pPr>
                  <w:r w:rsidRPr="00BD46C8">
                    <w:rPr>
                      <w:rFonts w:ascii="Times New Roman" w:hAnsi="Times New Roman" w:cs="Times New Roman"/>
                      <w:sz w:val="24"/>
                      <w:szCs w:val="24"/>
                      <w:shd w:val="clear" w:color="auto" w:fill="FFFFFF"/>
                    </w:rPr>
                    <w:t>Artículo de Investigación</w:t>
                  </w:r>
                </w:p>
              </w:tc>
              <w:tc>
                <w:tcPr>
                  <w:tcW w:w="2977" w:type="dxa"/>
                </w:tcPr>
                <w:p w:rsidR="003F00A9" w:rsidRPr="00BD46C8" w:rsidRDefault="003F00A9" w:rsidP="003F00A9">
                  <w:pPr>
                    <w:jc w:val="both"/>
                    <w:rPr>
                      <w:rFonts w:ascii="Times New Roman" w:hAnsi="Times New Roman" w:cs="Times New Roman"/>
                      <w:sz w:val="24"/>
                      <w:szCs w:val="24"/>
                    </w:rPr>
                  </w:pPr>
                  <w:r w:rsidRPr="00BD46C8">
                    <w:rPr>
                      <w:rFonts w:ascii="Times New Roman" w:hAnsi="Times New Roman" w:cs="Times New Roman"/>
                      <w:sz w:val="24"/>
                      <w:szCs w:val="24"/>
                      <w:shd w:val="clear" w:color="auto" w:fill="FFFFFF"/>
                    </w:rPr>
                    <w:t>Artículo científico Q</w:t>
                  </w:r>
                  <w:r w:rsidR="002B7187">
                    <w:rPr>
                      <w:rFonts w:ascii="Times New Roman" w:hAnsi="Times New Roman" w:cs="Times New Roman"/>
                      <w:sz w:val="24"/>
                      <w:szCs w:val="24"/>
                      <w:shd w:val="clear" w:color="auto" w:fill="FFFFFF"/>
                    </w:rPr>
                    <w:t>3</w:t>
                  </w:r>
                </w:p>
              </w:tc>
              <w:tc>
                <w:tcPr>
                  <w:tcW w:w="6055" w:type="dxa"/>
                </w:tcPr>
                <w:p w:rsidR="003F00A9" w:rsidRPr="00BD46C8" w:rsidRDefault="003F00A9" w:rsidP="003F00A9">
                  <w:pPr>
                    <w:jc w:val="both"/>
                    <w:rPr>
                      <w:rFonts w:ascii="Times New Roman" w:hAnsi="Times New Roman" w:cs="Times New Roman"/>
                      <w:sz w:val="24"/>
                      <w:szCs w:val="24"/>
                    </w:rPr>
                  </w:pPr>
                  <w:r w:rsidRPr="00BD46C8">
                    <w:rPr>
                      <w:rFonts w:ascii="Times New Roman" w:hAnsi="Times New Roman" w:cs="Times New Roman"/>
                      <w:sz w:val="24"/>
                      <w:szCs w:val="24"/>
                      <w:shd w:val="clear" w:color="auto" w:fill="FFFFFF"/>
                    </w:rPr>
                    <w:t>Guerrero-Zapata, A. &amp; Mayorga-Sierra, E., (2021). </w:t>
                  </w:r>
                  <w:r w:rsidRPr="00BD46C8">
                    <w:rPr>
                      <w:rFonts w:ascii="Times New Roman" w:hAnsi="Times New Roman" w:cs="Times New Roman"/>
                      <w:i/>
                      <w:sz w:val="24"/>
                      <w:szCs w:val="24"/>
                    </w:rPr>
                    <w:t>Efecto de la descripción verbal y la reinstauración de contexto en la identificación en fila de personas, un estudio longitudinal</w:t>
                  </w:r>
                  <w:r w:rsidRPr="00BD46C8">
                    <w:rPr>
                      <w:rFonts w:ascii="Times New Roman" w:hAnsi="Times New Roman" w:cs="Times New Roman"/>
                      <w:i/>
                      <w:iCs/>
                      <w:sz w:val="24"/>
                      <w:szCs w:val="24"/>
                      <w:shd w:val="clear" w:color="auto" w:fill="FFFFFF"/>
                    </w:rPr>
                    <w:t>. </w:t>
                  </w:r>
                  <w:r w:rsidRPr="00BD46C8">
                    <w:rPr>
                      <w:rFonts w:ascii="Times New Roman" w:hAnsi="Times New Roman" w:cs="Times New Roman"/>
                      <w:sz w:val="24"/>
                      <w:szCs w:val="24"/>
                      <w:shd w:val="clear" w:color="auto" w:fill="FFFFFF"/>
                    </w:rPr>
                    <w:t>Manuscrito para publicación en revista Q</w:t>
                  </w:r>
                  <w:r w:rsidR="002B7187">
                    <w:rPr>
                      <w:rFonts w:ascii="Times New Roman" w:hAnsi="Times New Roman" w:cs="Times New Roman"/>
                      <w:sz w:val="24"/>
                      <w:szCs w:val="24"/>
                      <w:shd w:val="clear" w:color="auto" w:fill="FFFFFF"/>
                    </w:rPr>
                    <w:t>3</w:t>
                  </w:r>
                </w:p>
              </w:tc>
            </w:tr>
            <w:tr w:rsidR="003F00A9" w:rsidRPr="00BD46C8" w:rsidTr="0028198F">
              <w:tc>
                <w:tcPr>
                  <w:tcW w:w="3367"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Desarrollo tecnológico e innovación</w:t>
                  </w:r>
                </w:p>
              </w:tc>
              <w:tc>
                <w:tcPr>
                  <w:tcW w:w="1985"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Regulación, norma, reglamento o legislación</w:t>
                  </w:r>
                </w:p>
              </w:tc>
              <w:tc>
                <w:tcPr>
                  <w:tcW w:w="2977"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Regulación (protocolo)</w:t>
                  </w:r>
                </w:p>
              </w:tc>
              <w:tc>
                <w:tcPr>
                  <w:tcW w:w="6055"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 xml:space="preserve">Mayorga-Sierra, E. &amp; Guerrero-Zapata, A., (2021). Protocolo de policía judicial para reconocimiento en fila de personas. </w:t>
                  </w:r>
                </w:p>
              </w:tc>
            </w:tr>
            <w:tr w:rsidR="003F00A9" w:rsidRPr="00BD46C8" w:rsidTr="0028198F">
              <w:tc>
                <w:tcPr>
                  <w:tcW w:w="3367"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Producto apropiación social del conocimiento</w:t>
                  </w:r>
                </w:p>
              </w:tc>
              <w:tc>
                <w:tcPr>
                  <w:tcW w:w="1985"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 xml:space="preserve">Evento científico </w:t>
                  </w:r>
                </w:p>
              </w:tc>
              <w:tc>
                <w:tcPr>
                  <w:tcW w:w="2977"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Ponencia en Congreso de Responsabilidad social USTA</w:t>
                  </w:r>
                </w:p>
              </w:tc>
              <w:tc>
                <w:tcPr>
                  <w:tcW w:w="6055"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 xml:space="preserve">Mayorga-Sierra, E. &amp; Guerrero-Zapata, A., (2020). Aspectos psicológicos en el reconocimiento de personas en procesos judiciales. </w:t>
                  </w:r>
                </w:p>
              </w:tc>
            </w:tr>
            <w:tr w:rsidR="003F00A9" w:rsidRPr="00BD46C8" w:rsidTr="0028198F">
              <w:tc>
                <w:tcPr>
                  <w:tcW w:w="3367"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 xml:space="preserve">Formación de recurso humano </w:t>
                  </w:r>
                </w:p>
              </w:tc>
              <w:tc>
                <w:tcPr>
                  <w:tcW w:w="1985"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Tesis de maestría</w:t>
                  </w:r>
                </w:p>
              </w:tc>
              <w:tc>
                <w:tcPr>
                  <w:tcW w:w="2977"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 xml:space="preserve">Tesis de maestría </w:t>
                  </w:r>
                </w:p>
              </w:tc>
              <w:tc>
                <w:tcPr>
                  <w:tcW w:w="6055" w:type="dxa"/>
                </w:tcPr>
                <w:p w:rsidR="003F00A9" w:rsidRPr="00BD46C8" w:rsidRDefault="003F00A9" w:rsidP="003F00A9">
                  <w:pPr>
                    <w:jc w:val="both"/>
                    <w:rPr>
                      <w:rFonts w:ascii="Times New Roman" w:hAnsi="Times New Roman" w:cs="Times New Roman"/>
                      <w:sz w:val="24"/>
                      <w:szCs w:val="24"/>
                      <w:shd w:val="clear" w:color="auto" w:fill="FFFFFF"/>
                    </w:rPr>
                  </w:pPr>
                  <w:r w:rsidRPr="00BD46C8">
                    <w:rPr>
                      <w:rFonts w:ascii="Times New Roman" w:hAnsi="Times New Roman" w:cs="Times New Roman"/>
                      <w:sz w:val="24"/>
                      <w:szCs w:val="24"/>
                      <w:shd w:val="clear" w:color="auto" w:fill="FFFFFF"/>
                    </w:rPr>
                    <w:t>Sin definir (2020)</w:t>
                  </w:r>
                </w:p>
              </w:tc>
            </w:tr>
          </w:tbl>
          <w:p w:rsidR="003F00A9" w:rsidRPr="003F00A9" w:rsidRDefault="003F00A9" w:rsidP="003F00A9">
            <w:pPr>
              <w:spacing w:line="240" w:lineRule="auto"/>
              <w:jc w:val="both"/>
              <w:rPr>
                <w:rFonts w:ascii="Times New Roman" w:eastAsia="Times New Roman" w:hAnsi="Times New Roman" w:cs="Times New Roman"/>
                <w:color w:val="222222"/>
                <w:sz w:val="24"/>
                <w:szCs w:val="24"/>
                <w:lang w:eastAsia="es-CO"/>
              </w:rPr>
            </w:pPr>
          </w:p>
        </w:tc>
      </w:tr>
    </w:tbl>
    <w:p w:rsidR="001D6087" w:rsidRPr="003F00A9" w:rsidRDefault="0028198F" w:rsidP="003F00A9">
      <w:pPr>
        <w:spacing w:after="0" w:line="276" w:lineRule="auto"/>
        <w:rPr>
          <w:rFonts w:ascii="Times New Roman" w:eastAsia="Times New Roman" w:hAnsi="Times New Roman" w:cs="Times New Roman"/>
          <w:b/>
          <w:sz w:val="24"/>
          <w:szCs w:val="24"/>
          <w:lang w:eastAsia="es-CO"/>
        </w:rPr>
      </w:pPr>
      <w:r>
        <w:rPr>
          <w:rFonts w:ascii="Times New Roman" w:eastAsia="Times New Roman" w:hAnsi="Times New Roman" w:cs="Times New Roman"/>
          <w:b/>
          <w:sz w:val="24"/>
          <w:szCs w:val="24"/>
          <w:lang w:eastAsia="es-CO"/>
        </w:rPr>
        <w:t>C</w:t>
      </w:r>
      <w:r w:rsidR="001D6087" w:rsidRPr="003F00A9">
        <w:rPr>
          <w:rFonts w:ascii="Times New Roman" w:eastAsia="Times New Roman" w:hAnsi="Times New Roman" w:cs="Times New Roman"/>
          <w:b/>
          <w:sz w:val="24"/>
          <w:szCs w:val="24"/>
          <w:lang w:eastAsia="es-CO"/>
        </w:rPr>
        <w:t>ronograma</w:t>
      </w:r>
    </w:p>
    <w:tbl>
      <w:tblPr>
        <w:tblW w:w="14686" w:type="dxa"/>
        <w:tblCellMar>
          <w:left w:w="70" w:type="dxa"/>
          <w:right w:w="70" w:type="dxa"/>
        </w:tblCellMar>
        <w:tblLook w:val="04A0" w:firstRow="1" w:lastRow="0" w:firstColumn="1" w:lastColumn="0" w:noHBand="0" w:noVBand="1"/>
      </w:tblPr>
      <w:tblGrid>
        <w:gridCol w:w="1209"/>
        <w:gridCol w:w="1260"/>
        <w:gridCol w:w="513"/>
        <w:gridCol w:w="398"/>
        <w:gridCol w:w="177"/>
        <w:gridCol w:w="256"/>
        <w:gridCol w:w="257"/>
        <w:gridCol w:w="257"/>
        <w:gridCol w:w="257"/>
        <w:gridCol w:w="220"/>
        <w:gridCol w:w="220"/>
        <w:gridCol w:w="220"/>
        <w:gridCol w:w="220"/>
        <w:gridCol w:w="178"/>
        <w:gridCol w:w="178"/>
        <w:gridCol w:w="255"/>
        <w:gridCol w:w="255"/>
        <w:gridCol w:w="255"/>
        <w:gridCol w:w="255"/>
        <w:gridCol w:w="255"/>
        <w:gridCol w:w="255"/>
        <w:gridCol w:w="255"/>
        <w:gridCol w:w="255"/>
        <w:gridCol w:w="255"/>
        <w:gridCol w:w="255"/>
        <w:gridCol w:w="255"/>
        <w:gridCol w:w="129"/>
        <w:gridCol w:w="112"/>
        <w:gridCol w:w="178"/>
        <w:gridCol w:w="255"/>
        <w:gridCol w:w="255"/>
        <w:gridCol w:w="255"/>
        <w:gridCol w:w="116"/>
        <w:gridCol w:w="190"/>
        <w:gridCol w:w="276"/>
        <w:gridCol w:w="276"/>
        <w:gridCol w:w="276"/>
        <w:gridCol w:w="324"/>
        <w:gridCol w:w="324"/>
        <w:gridCol w:w="324"/>
        <w:gridCol w:w="324"/>
        <w:gridCol w:w="255"/>
        <w:gridCol w:w="255"/>
        <w:gridCol w:w="255"/>
        <w:gridCol w:w="255"/>
        <w:gridCol w:w="123"/>
        <w:gridCol w:w="182"/>
        <w:gridCol w:w="374"/>
        <w:gridCol w:w="374"/>
        <w:gridCol w:w="374"/>
      </w:tblGrid>
      <w:tr w:rsidR="00182F6F" w:rsidRPr="003F00A9" w:rsidTr="006F7BEA">
        <w:trPr>
          <w:trHeight w:val="340"/>
        </w:trPr>
        <w:tc>
          <w:tcPr>
            <w:tcW w:w="120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xml:space="preserve">   ACTIVIDADES</w:t>
            </w:r>
          </w:p>
        </w:tc>
        <w:tc>
          <w:tcPr>
            <w:tcW w:w="1259"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xml:space="preserve">RESPONSABLE </w:t>
            </w:r>
          </w:p>
        </w:tc>
        <w:tc>
          <w:tcPr>
            <w:tcW w:w="910" w:type="dxa"/>
            <w:gridSpan w:val="2"/>
            <w:tcBorders>
              <w:top w:val="single" w:sz="8" w:space="0" w:color="auto"/>
              <w:left w:val="nil"/>
              <w:bottom w:val="single" w:sz="8" w:space="0" w:color="auto"/>
              <w:right w:val="nil"/>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FECHA</w:t>
            </w:r>
          </w:p>
        </w:tc>
        <w:tc>
          <w:tcPr>
            <w:tcW w:w="177" w:type="dxa"/>
            <w:tcBorders>
              <w:top w:val="single" w:sz="8" w:space="0" w:color="auto"/>
              <w:left w:val="single" w:sz="4" w:space="0" w:color="auto"/>
              <w:bottom w:val="nil"/>
              <w:right w:val="single" w:sz="8" w:space="0" w:color="auto"/>
            </w:tcBorders>
            <w:shd w:val="diagCross" w:color="000000" w:fill="C0C0C0"/>
            <w:noWrap/>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031" w:type="dxa"/>
            <w:gridSpan w:val="4"/>
            <w:tcBorders>
              <w:top w:val="single" w:sz="8" w:space="0" w:color="auto"/>
              <w:left w:val="nil"/>
              <w:bottom w:val="single" w:sz="8" w:space="0" w:color="auto"/>
              <w:right w:val="single" w:sz="8" w:space="0" w:color="000000"/>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FEBRERO</w:t>
            </w:r>
          </w:p>
        </w:tc>
        <w:tc>
          <w:tcPr>
            <w:tcW w:w="880" w:type="dxa"/>
            <w:gridSpan w:val="4"/>
            <w:tcBorders>
              <w:top w:val="single" w:sz="8" w:space="0" w:color="auto"/>
              <w:left w:val="single" w:sz="8" w:space="0" w:color="auto"/>
              <w:bottom w:val="nil"/>
              <w:right w:val="single" w:sz="8" w:space="0" w:color="000000"/>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MARZO</w:t>
            </w:r>
          </w:p>
        </w:tc>
        <w:tc>
          <w:tcPr>
            <w:tcW w:w="1121"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ABRIL</w:t>
            </w:r>
          </w:p>
        </w:tc>
        <w:tc>
          <w:tcPr>
            <w:tcW w:w="1020" w:type="dxa"/>
            <w:gridSpan w:val="4"/>
            <w:tcBorders>
              <w:top w:val="single" w:sz="8" w:space="0" w:color="auto"/>
              <w:left w:val="single" w:sz="8" w:space="0" w:color="auto"/>
              <w:bottom w:val="nil"/>
              <w:right w:val="nil"/>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MAYO</w:t>
            </w:r>
          </w:p>
        </w:tc>
        <w:tc>
          <w:tcPr>
            <w:tcW w:w="1143"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JUNIO</w:t>
            </w:r>
          </w:p>
        </w:tc>
        <w:tc>
          <w:tcPr>
            <w:tcW w:w="1184" w:type="dxa"/>
            <w:gridSpan w:val="6"/>
            <w:tcBorders>
              <w:top w:val="single" w:sz="8" w:space="0" w:color="auto"/>
              <w:left w:val="single" w:sz="8" w:space="0" w:color="auto"/>
              <w:bottom w:val="nil"/>
              <w:right w:val="single" w:sz="8" w:space="0" w:color="000000"/>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JULIO</w:t>
            </w:r>
          </w:p>
        </w:tc>
        <w:tc>
          <w:tcPr>
            <w:tcW w:w="1013" w:type="dxa"/>
            <w:gridSpan w:val="4"/>
            <w:tcBorders>
              <w:top w:val="single" w:sz="8" w:space="0" w:color="auto"/>
              <w:left w:val="single" w:sz="8" w:space="0" w:color="auto"/>
              <w:bottom w:val="nil"/>
              <w:right w:val="nil"/>
            </w:tcBorders>
            <w:shd w:val="clear" w:color="000000" w:fill="FFCC99"/>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AGOSTO</w:t>
            </w:r>
          </w:p>
        </w:tc>
        <w:tc>
          <w:tcPr>
            <w:tcW w:w="1296"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SEPTIEMBRE</w:t>
            </w:r>
          </w:p>
        </w:tc>
        <w:tc>
          <w:tcPr>
            <w:tcW w:w="1143"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OCTUBRE</w:t>
            </w:r>
          </w:p>
        </w:tc>
        <w:tc>
          <w:tcPr>
            <w:tcW w:w="1301" w:type="dxa"/>
            <w:gridSpan w:val="4"/>
            <w:tcBorders>
              <w:top w:val="single" w:sz="8" w:space="0" w:color="auto"/>
              <w:left w:val="nil"/>
              <w:bottom w:val="single" w:sz="8" w:space="0" w:color="auto"/>
              <w:right w:val="single" w:sz="8" w:space="0" w:color="000000"/>
            </w:tcBorders>
            <w:shd w:val="clear" w:color="000000" w:fill="FFCC99"/>
            <w:noWrap/>
            <w:vAlign w:val="bottom"/>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NOVIEMBRE</w:t>
            </w:r>
          </w:p>
        </w:tc>
      </w:tr>
      <w:tr w:rsidR="00915155" w:rsidRPr="003F00A9" w:rsidTr="006F7BEA">
        <w:trPr>
          <w:trHeight w:val="548"/>
        </w:trPr>
        <w:tc>
          <w:tcPr>
            <w:tcW w:w="1208" w:type="dxa"/>
            <w:vMerge/>
            <w:tcBorders>
              <w:top w:val="single" w:sz="8" w:space="0" w:color="auto"/>
              <w:left w:val="single" w:sz="8" w:space="0" w:color="auto"/>
              <w:bottom w:val="single" w:sz="8" w:space="0" w:color="000000"/>
              <w:right w:val="single" w:sz="8" w:space="0" w:color="auto"/>
            </w:tcBorders>
            <w:vAlign w:val="center"/>
            <w:hideMark/>
          </w:tcPr>
          <w:p w:rsidR="001D6087" w:rsidRPr="003F00A9" w:rsidRDefault="001D6087" w:rsidP="003F00A9">
            <w:pPr>
              <w:spacing w:after="0" w:line="276" w:lineRule="auto"/>
              <w:rPr>
                <w:rFonts w:ascii="Times New Roman" w:eastAsia="Times New Roman" w:hAnsi="Times New Roman" w:cs="Times New Roman"/>
                <w:b/>
                <w:bCs/>
                <w:sz w:val="24"/>
                <w:szCs w:val="24"/>
                <w:lang w:eastAsia="es-CO"/>
              </w:rPr>
            </w:pPr>
          </w:p>
        </w:tc>
        <w:tc>
          <w:tcPr>
            <w:tcW w:w="1259" w:type="dxa"/>
            <w:vMerge/>
            <w:tcBorders>
              <w:top w:val="single" w:sz="8" w:space="0" w:color="auto"/>
              <w:left w:val="single" w:sz="8" w:space="0" w:color="auto"/>
              <w:bottom w:val="single" w:sz="8" w:space="0" w:color="000000"/>
              <w:right w:val="single" w:sz="8" w:space="0" w:color="auto"/>
            </w:tcBorders>
            <w:vAlign w:val="center"/>
            <w:hideMark/>
          </w:tcPr>
          <w:p w:rsidR="001D6087" w:rsidRPr="003F00A9" w:rsidRDefault="001D6087" w:rsidP="003F00A9">
            <w:pPr>
              <w:spacing w:after="0" w:line="276" w:lineRule="auto"/>
              <w:rPr>
                <w:rFonts w:ascii="Times New Roman" w:eastAsia="Times New Roman" w:hAnsi="Times New Roman" w:cs="Times New Roman"/>
                <w:b/>
                <w:bCs/>
                <w:sz w:val="24"/>
                <w:szCs w:val="24"/>
                <w:lang w:eastAsia="es-CO"/>
              </w:rPr>
            </w:pPr>
          </w:p>
        </w:tc>
        <w:tc>
          <w:tcPr>
            <w:tcW w:w="512" w:type="dxa"/>
            <w:tcBorders>
              <w:top w:val="nil"/>
              <w:left w:val="nil"/>
              <w:bottom w:val="single" w:sz="8" w:space="0" w:color="auto"/>
              <w:right w:val="single" w:sz="4" w:space="0" w:color="auto"/>
            </w:tcBorders>
            <w:shd w:val="clear" w:color="000000" w:fill="FFCC00"/>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Inicio</w:t>
            </w:r>
          </w:p>
        </w:tc>
        <w:tc>
          <w:tcPr>
            <w:tcW w:w="398" w:type="dxa"/>
            <w:tcBorders>
              <w:top w:val="nil"/>
              <w:left w:val="nil"/>
              <w:bottom w:val="single" w:sz="8" w:space="0" w:color="auto"/>
              <w:right w:val="nil"/>
            </w:tcBorders>
            <w:shd w:val="clear" w:color="000000" w:fill="FFCC00"/>
            <w:noWrap/>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Fin.</w:t>
            </w:r>
          </w:p>
        </w:tc>
        <w:tc>
          <w:tcPr>
            <w:tcW w:w="177" w:type="dxa"/>
            <w:tcBorders>
              <w:top w:val="nil"/>
              <w:left w:val="single" w:sz="4" w:space="0" w:color="auto"/>
              <w:bottom w:val="single" w:sz="8" w:space="0" w:color="auto"/>
              <w:right w:val="single" w:sz="8" w:space="0" w:color="auto"/>
            </w:tcBorders>
            <w:shd w:val="diagCross" w:color="000000" w:fill="C0C0C0"/>
            <w:noWrap/>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7"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w:t>
            </w:r>
          </w:p>
        </w:tc>
        <w:tc>
          <w:tcPr>
            <w:tcW w:w="258" w:type="dxa"/>
            <w:tcBorders>
              <w:top w:val="nil"/>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w:t>
            </w:r>
          </w:p>
        </w:tc>
        <w:tc>
          <w:tcPr>
            <w:tcW w:w="258" w:type="dxa"/>
            <w:tcBorders>
              <w:top w:val="nil"/>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w:t>
            </w:r>
          </w:p>
        </w:tc>
        <w:tc>
          <w:tcPr>
            <w:tcW w:w="258" w:type="dxa"/>
            <w:tcBorders>
              <w:top w:val="nil"/>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4</w:t>
            </w:r>
          </w:p>
        </w:tc>
        <w:tc>
          <w:tcPr>
            <w:tcW w:w="220"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5</w:t>
            </w:r>
          </w:p>
        </w:tc>
        <w:tc>
          <w:tcPr>
            <w:tcW w:w="220"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6</w:t>
            </w:r>
          </w:p>
        </w:tc>
        <w:tc>
          <w:tcPr>
            <w:tcW w:w="220"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7</w:t>
            </w:r>
          </w:p>
        </w:tc>
        <w:tc>
          <w:tcPr>
            <w:tcW w:w="220"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8</w:t>
            </w:r>
          </w:p>
        </w:tc>
        <w:tc>
          <w:tcPr>
            <w:tcW w:w="356"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9</w:t>
            </w:r>
          </w:p>
        </w:tc>
        <w:tc>
          <w:tcPr>
            <w:tcW w:w="25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10</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11</w:t>
            </w:r>
          </w:p>
        </w:tc>
        <w:tc>
          <w:tcPr>
            <w:tcW w:w="255"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12</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13</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14</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15</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16</w:t>
            </w:r>
          </w:p>
        </w:tc>
        <w:tc>
          <w:tcPr>
            <w:tcW w:w="255"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17</w:t>
            </w:r>
          </w:p>
        </w:tc>
        <w:tc>
          <w:tcPr>
            <w:tcW w:w="25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18</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19</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20</w:t>
            </w:r>
          </w:p>
        </w:tc>
        <w:tc>
          <w:tcPr>
            <w:tcW w:w="419" w:type="dxa"/>
            <w:gridSpan w:val="3"/>
            <w:tcBorders>
              <w:top w:val="single" w:sz="8" w:space="0" w:color="auto"/>
              <w:left w:val="single" w:sz="8" w:space="0" w:color="auto"/>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21</w:t>
            </w:r>
          </w:p>
        </w:tc>
        <w:tc>
          <w:tcPr>
            <w:tcW w:w="25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22</w:t>
            </w:r>
          </w:p>
        </w:tc>
        <w:tc>
          <w:tcPr>
            <w:tcW w:w="255"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23</w:t>
            </w:r>
          </w:p>
        </w:tc>
        <w:tc>
          <w:tcPr>
            <w:tcW w:w="255"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24</w:t>
            </w:r>
          </w:p>
        </w:tc>
        <w:tc>
          <w:tcPr>
            <w:tcW w:w="305" w:type="dxa"/>
            <w:gridSpan w:val="2"/>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25</w:t>
            </w:r>
          </w:p>
        </w:tc>
        <w:tc>
          <w:tcPr>
            <w:tcW w:w="277"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26</w:t>
            </w:r>
          </w:p>
        </w:tc>
        <w:tc>
          <w:tcPr>
            <w:tcW w:w="277"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28</w:t>
            </w:r>
          </w:p>
        </w:tc>
        <w:tc>
          <w:tcPr>
            <w:tcW w:w="277"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29</w:t>
            </w:r>
          </w:p>
        </w:tc>
        <w:tc>
          <w:tcPr>
            <w:tcW w:w="324" w:type="dxa"/>
            <w:tcBorders>
              <w:top w:val="nil"/>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30</w:t>
            </w:r>
          </w:p>
        </w:tc>
        <w:tc>
          <w:tcPr>
            <w:tcW w:w="324" w:type="dxa"/>
            <w:tcBorders>
              <w:top w:val="nil"/>
              <w:left w:val="single" w:sz="8" w:space="0" w:color="auto"/>
              <w:bottom w:val="single" w:sz="4"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31</w:t>
            </w:r>
          </w:p>
        </w:tc>
        <w:tc>
          <w:tcPr>
            <w:tcW w:w="324"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32</w:t>
            </w:r>
          </w:p>
        </w:tc>
        <w:tc>
          <w:tcPr>
            <w:tcW w:w="324" w:type="dxa"/>
            <w:tcBorders>
              <w:top w:val="nil"/>
              <w:left w:val="nil"/>
              <w:bottom w:val="single" w:sz="8" w:space="0" w:color="auto"/>
              <w:right w:val="single" w:sz="8"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33</w:t>
            </w:r>
          </w:p>
        </w:tc>
        <w:tc>
          <w:tcPr>
            <w:tcW w:w="255" w:type="dxa"/>
            <w:tcBorders>
              <w:top w:val="nil"/>
              <w:left w:val="nil"/>
              <w:bottom w:val="single" w:sz="8" w:space="0" w:color="auto"/>
              <w:right w:val="single" w:sz="4"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34</w:t>
            </w:r>
          </w:p>
        </w:tc>
        <w:tc>
          <w:tcPr>
            <w:tcW w:w="255" w:type="dxa"/>
            <w:tcBorders>
              <w:top w:val="nil"/>
              <w:left w:val="nil"/>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35</w:t>
            </w:r>
          </w:p>
        </w:tc>
        <w:tc>
          <w:tcPr>
            <w:tcW w:w="255" w:type="dxa"/>
            <w:tcBorders>
              <w:top w:val="nil"/>
              <w:left w:val="single" w:sz="4" w:space="0" w:color="auto"/>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36</w:t>
            </w:r>
          </w:p>
        </w:tc>
        <w:tc>
          <w:tcPr>
            <w:tcW w:w="255" w:type="dxa"/>
            <w:tcBorders>
              <w:top w:val="nil"/>
              <w:left w:val="single" w:sz="4" w:space="0" w:color="auto"/>
              <w:bottom w:val="single" w:sz="8" w:space="0" w:color="auto"/>
              <w:right w:val="single" w:sz="8" w:space="0" w:color="auto"/>
            </w:tcBorders>
            <w:shd w:val="clear" w:color="000000" w:fill="FFCC00"/>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37</w:t>
            </w:r>
          </w:p>
        </w:tc>
        <w:tc>
          <w:tcPr>
            <w:tcW w:w="305" w:type="dxa"/>
            <w:gridSpan w:val="2"/>
            <w:tcBorders>
              <w:top w:val="nil"/>
              <w:left w:val="nil"/>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38</w:t>
            </w:r>
          </w:p>
        </w:tc>
        <w:tc>
          <w:tcPr>
            <w:tcW w:w="373" w:type="dxa"/>
            <w:tcBorders>
              <w:top w:val="nil"/>
              <w:left w:val="single" w:sz="4" w:space="0" w:color="auto"/>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39</w:t>
            </w:r>
          </w:p>
        </w:tc>
        <w:tc>
          <w:tcPr>
            <w:tcW w:w="373" w:type="dxa"/>
            <w:tcBorders>
              <w:top w:val="nil"/>
              <w:left w:val="single" w:sz="4" w:space="0" w:color="auto"/>
              <w:bottom w:val="single" w:sz="8" w:space="0" w:color="auto"/>
              <w:right w:val="nil"/>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40</w:t>
            </w:r>
          </w:p>
        </w:tc>
        <w:tc>
          <w:tcPr>
            <w:tcW w:w="373" w:type="dxa"/>
            <w:tcBorders>
              <w:top w:val="nil"/>
              <w:left w:val="single" w:sz="4" w:space="0" w:color="auto"/>
              <w:bottom w:val="nil"/>
              <w:right w:val="single" w:sz="8" w:space="0" w:color="auto"/>
            </w:tcBorders>
            <w:shd w:val="clear" w:color="000000" w:fill="FFCC00"/>
            <w:noWrap/>
            <w:vAlign w:val="center"/>
            <w:hideMark/>
          </w:tcPr>
          <w:p w:rsidR="001D6087" w:rsidRPr="00C233D0" w:rsidRDefault="001D6087" w:rsidP="003F00A9">
            <w:pPr>
              <w:spacing w:after="0" w:line="276" w:lineRule="auto"/>
              <w:jc w:val="center"/>
              <w:rPr>
                <w:rFonts w:ascii="Times New Roman" w:eastAsia="Times New Roman" w:hAnsi="Times New Roman" w:cs="Times New Roman"/>
                <w:sz w:val="18"/>
                <w:szCs w:val="24"/>
                <w:lang w:eastAsia="es-CO"/>
              </w:rPr>
            </w:pPr>
            <w:r w:rsidRPr="00C233D0">
              <w:rPr>
                <w:rFonts w:ascii="Times New Roman" w:eastAsia="Times New Roman" w:hAnsi="Times New Roman" w:cs="Times New Roman"/>
                <w:sz w:val="18"/>
                <w:szCs w:val="24"/>
                <w:lang w:eastAsia="es-CO"/>
              </w:rPr>
              <w:t>41</w:t>
            </w:r>
          </w:p>
        </w:tc>
      </w:tr>
      <w:tr w:rsidR="00915155" w:rsidRPr="003F00A9" w:rsidTr="006F7BEA">
        <w:trPr>
          <w:trHeight w:val="340"/>
        </w:trPr>
        <w:tc>
          <w:tcPr>
            <w:tcW w:w="1208" w:type="dxa"/>
            <w:tcBorders>
              <w:top w:val="nil"/>
              <w:left w:val="single" w:sz="8"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r w:rsidR="00C233D0">
              <w:rPr>
                <w:rFonts w:ascii="Times New Roman" w:eastAsia="Times New Roman" w:hAnsi="Times New Roman" w:cs="Times New Roman"/>
                <w:sz w:val="24"/>
                <w:szCs w:val="24"/>
                <w:lang w:eastAsia="es-CO"/>
              </w:rPr>
              <w:t>Información marco</w:t>
            </w:r>
          </w:p>
        </w:tc>
        <w:tc>
          <w:tcPr>
            <w:tcW w:w="1259"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r w:rsidR="00182F6F">
              <w:rPr>
                <w:rFonts w:ascii="Times New Roman" w:eastAsia="Times New Roman" w:hAnsi="Times New Roman" w:cs="Times New Roman"/>
                <w:sz w:val="24"/>
                <w:szCs w:val="24"/>
                <w:lang w:eastAsia="es-CO"/>
              </w:rPr>
              <w:t xml:space="preserve">Equipo </w:t>
            </w:r>
          </w:p>
        </w:tc>
        <w:tc>
          <w:tcPr>
            <w:tcW w:w="512" w:type="dxa"/>
            <w:tcBorders>
              <w:top w:val="single" w:sz="8" w:space="0" w:color="auto"/>
              <w:left w:val="single" w:sz="8" w:space="0" w:color="auto"/>
              <w:bottom w:val="nil"/>
              <w:right w:val="single" w:sz="8" w:space="0" w:color="auto"/>
            </w:tcBorders>
            <w:shd w:val="clear"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w:t>
            </w:r>
          </w:p>
        </w:tc>
        <w:tc>
          <w:tcPr>
            <w:tcW w:w="398" w:type="dxa"/>
            <w:tcBorders>
              <w:top w:val="nil"/>
              <w:left w:val="nil"/>
              <w:bottom w:val="nil"/>
              <w:right w:val="nil"/>
            </w:tcBorders>
            <w:shd w:val="clear" w:color="000000" w:fill="FF808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p>
        </w:tc>
        <w:tc>
          <w:tcPr>
            <w:tcW w:w="177" w:type="dxa"/>
            <w:tcBorders>
              <w:top w:val="nil"/>
              <w:left w:val="single" w:sz="4" w:space="0" w:color="auto"/>
              <w:bottom w:val="nil"/>
              <w:right w:val="single" w:sz="4" w:space="0" w:color="auto"/>
            </w:tcBorders>
            <w:shd w:val="diagCross"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7" w:type="dxa"/>
            <w:tcBorders>
              <w:top w:val="nil"/>
              <w:left w:val="single" w:sz="8"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nil"/>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56" w:type="dxa"/>
            <w:gridSpan w:val="2"/>
            <w:tcBorders>
              <w:top w:val="single" w:sz="8" w:space="0" w:color="auto"/>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419" w:type="dxa"/>
            <w:gridSpan w:val="3"/>
            <w:tcBorders>
              <w:top w:val="single" w:sz="8" w:space="0" w:color="auto"/>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r>
      <w:tr w:rsidR="00182F6F" w:rsidRPr="003F00A9" w:rsidTr="006F7BEA">
        <w:trPr>
          <w:trHeight w:val="321"/>
        </w:trPr>
        <w:tc>
          <w:tcPr>
            <w:tcW w:w="1208" w:type="dxa"/>
            <w:tcBorders>
              <w:top w:val="nil"/>
              <w:left w:val="single" w:sz="8"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r w:rsidR="00C233D0">
              <w:rPr>
                <w:rFonts w:ascii="Times New Roman" w:eastAsia="Times New Roman" w:hAnsi="Times New Roman" w:cs="Times New Roman"/>
                <w:sz w:val="24"/>
                <w:szCs w:val="24"/>
                <w:lang w:eastAsia="es-CO"/>
              </w:rPr>
              <w:t>Toma de datos</w:t>
            </w:r>
          </w:p>
        </w:tc>
        <w:tc>
          <w:tcPr>
            <w:tcW w:w="1259"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r w:rsidR="00182F6F">
              <w:rPr>
                <w:rFonts w:ascii="Times New Roman" w:eastAsia="Times New Roman" w:hAnsi="Times New Roman" w:cs="Times New Roman"/>
                <w:sz w:val="24"/>
                <w:szCs w:val="24"/>
                <w:lang w:eastAsia="es-CO"/>
              </w:rPr>
              <w:t>Equipo</w:t>
            </w:r>
            <w:r w:rsidR="00C233D0">
              <w:rPr>
                <w:rFonts w:ascii="Times New Roman" w:eastAsia="Times New Roman" w:hAnsi="Times New Roman" w:cs="Times New Roman"/>
                <w:sz w:val="24"/>
                <w:szCs w:val="24"/>
                <w:lang w:eastAsia="es-CO"/>
              </w:rPr>
              <w:t xml:space="preserve"> </w:t>
            </w:r>
          </w:p>
        </w:tc>
        <w:tc>
          <w:tcPr>
            <w:tcW w:w="512"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w:t>
            </w:r>
          </w:p>
        </w:tc>
        <w:tc>
          <w:tcPr>
            <w:tcW w:w="398" w:type="dxa"/>
            <w:tcBorders>
              <w:top w:val="single" w:sz="4" w:space="0" w:color="auto"/>
              <w:left w:val="nil"/>
              <w:bottom w:val="single" w:sz="4" w:space="0" w:color="auto"/>
              <w:right w:val="single" w:sz="4" w:space="0" w:color="auto"/>
            </w:tcBorders>
            <w:shd w:val="clear" w:color="000000" w:fill="FF808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w:t>
            </w:r>
          </w:p>
        </w:tc>
        <w:tc>
          <w:tcPr>
            <w:tcW w:w="177" w:type="dxa"/>
            <w:tcBorders>
              <w:top w:val="nil"/>
              <w:left w:val="single" w:sz="4" w:space="0" w:color="auto"/>
              <w:bottom w:val="nil"/>
              <w:right w:val="single" w:sz="4" w:space="0" w:color="auto"/>
            </w:tcBorders>
            <w:shd w:val="diagCross"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7" w:type="dxa"/>
            <w:tcBorders>
              <w:top w:val="nil"/>
              <w:left w:val="single" w:sz="8"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41" w:type="dxa"/>
            <w:gridSpan w:val="2"/>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r>
      <w:tr w:rsidR="00182F6F" w:rsidRPr="003F00A9" w:rsidTr="006F7BEA">
        <w:trPr>
          <w:trHeight w:val="321"/>
        </w:trPr>
        <w:tc>
          <w:tcPr>
            <w:tcW w:w="1208" w:type="dxa"/>
            <w:tcBorders>
              <w:top w:val="nil"/>
              <w:left w:val="single" w:sz="8"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r w:rsidR="00C233D0">
              <w:rPr>
                <w:rFonts w:ascii="Times New Roman" w:eastAsia="Times New Roman" w:hAnsi="Times New Roman" w:cs="Times New Roman"/>
                <w:sz w:val="24"/>
                <w:szCs w:val="24"/>
                <w:lang w:eastAsia="es-CO"/>
              </w:rPr>
              <w:t>análisis</w:t>
            </w:r>
          </w:p>
        </w:tc>
        <w:tc>
          <w:tcPr>
            <w:tcW w:w="1259"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r w:rsidR="00182F6F">
              <w:rPr>
                <w:rFonts w:ascii="Times New Roman" w:eastAsia="Times New Roman" w:hAnsi="Times New Roman" w:cs="Times New Roman"/>
                <w:sz w:val="24"/>
                <w:szCs w:val="24"/>
                <w:lang w:eastAsia="es-CO"/>
              </w:rPr>
              <w:t xml:space="preserve">Equipo </w:t>
            </w:r>
          </w:p>
        </w:tc>
        <w:tc>
          <w:tcPr>
            <w:tcW w:w="512"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w:t>
            </w:r>
          </w:p>
        </w:tc>
        <w:tc>
          <w:tcPr>
            <w:tcW w:w="398" w:type="dxa"/>
            <w:tcBorders>
              <w:top w:val="single" w:sz="4" w:space="0" w:color="auto"/>
              <w:left w:val="nil"/>
              <w:bottom w:val="single" w:sz="4" w:space="0" w:color="auto"/>
              <w:right w:val="single" w:sz="4" w:space="0" w:color="auto"/>
            </w:tcBorders>
            <w:shd w:val="clear" w:color="000000" w:fill="FF808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w:t>
            </w:r>
          </w:p>
        </w:tc>
        <w:tc>
          <w:tcPr>
            <w:tcW w:w="177" w:type="dxa"/>
            <w:tcBorders>
              <w:top w:val="nil"/>
              <w:left w:val="single" w:sz="4" w:space="0" w:color="auto"/>
              <w:bottom w:val="nil"/>
              <w:right w:val="single" w:sz="4" w:space="0" w:color="auto"/>
            </w:tcBorders>
            <w:shd w:val="diagCross"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7" w:type="dxa"/>
            <w:tcBorders>
              <w:top w:val="nil"/>
              <w:left w:val="single" w:sz="8"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41" w:type="dxa"/>
            <w:gridSpan w:val="2"/>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r>
      <w:tr w:rsidR="00915155" w:rsidRPr="003F00A9" w:rsidTr="006F7BEA">
        <w:trPr>
          <w:trHeight w:val="321"/>
        </w:trPr>
        <w:tc>
          <w:tcPr>
            <w:tcW w:w="1208" w:type="dxa"/>
            <w:tcBorders>
              <w:top w:val="nil"/>
              <w:left w:val="single" w:sz="8" w:space="0" w:color="auto"/>
              <w:bottom w:val="single" w:sz="4" w:space="0" w:color="auto"/>
              <w:right w:val="single" w:sz="8" w:space="0" w:color="auto"/>
            </w:tcBorders>
            <w:shd w:val="clear" w:color="auto" w:fill="auto"/>
            <w:vAlign w:val="center"/>
            <w:hideMark/>
          </w:tcPr>
          <w:p w:rsidR="001D6087" w:rsidRPr="003F00A9" w:rsidRDefault="00C233D0" w:rsidP="003F00A9">
            <w:pPr>
              <w:spacing w:after="0" w:line="276"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Artículo y protocolo</w:t>
            </w:r>
          </w:p>
        </w:tc>
        <w:tc>
          <w:tcPr>
            <w:tcW w:w="1259"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r w:rsidR="00C233D0">
              <w:rPr>
                <w:rFonts w:ascii="Times New Roman" w:eastAsia="Times New Roman" w:hAnsi="Times New Roman" w:cs="Times New Roman"/>
                <w:sz w:val="24"/>
                <w:szCs w:val="24"/>
                <w:lang w:eastAsia="es-CO"/>
              </w:rPr>
              <w:t xml:space="preserve"> </w:t>
            </w:r>
            <w:r w:rsidR="00182F6F">
              <w:rPr>
                <w:rFonts w:ascii="Times New Roman" w:eastAsia="Times New Roman" w:hAnsi="Times New Roman" w:cs="Times New Roman"/>
                <w:sz w:val="24"/>
                <w:szCs w:val="24"/>
                <w:lang w:eastAsia="es-CO"/>
              </w:rPr>
              <w:t>Equipo</w:t>
            </w:r>
          </w:p>
        </w:tc>
        <w:tc>
          <w:tcPr>
            <w:tcW w:w="512"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w:t>
            </w:r>
          </w:p>
        </w:tc>
        <w:tc>
          <w:tcPr>
            <w:tcW w:w="398" w:type="dxa"/>
            <w:tcBorders>
              <w:top w:val="single" w:sz="4" w:space="0" w:color="auto"/>
              <w:left w:val="nil"/>
              <w:bottom w:val="single" w:sz="4" w:space="0" w:color="auto"/>
              <w:right w:val="single" w:sz="4" w:space="0" w:color="auto"/>
            </w:tcBorders>
            <w:shd w:val="clear" w:color="000000" w:fill="FF8080"/>
            <w:vAlign w:val="center"/>
            <w:hideMark/>
          </w:tcPr>
          <w:p w:rsidR="001D6087" w:rsidRPr="003F00A9" w:rsidRDefault="001D6087" w:rsidP="003F00A9">
            <w:pPr>
              <w:spacing w:after="0" w:line="276" w:lineRule="auto"/>
              <w:jc w:val="center"/>
              <w:rPr>
                <w:rFonts w:ascii="Times New Roman" w:eastAsia="Times New Roman" w:hAnsi="Times New Roman" w:cs="Times New Roman"/>
                <w:b/>
                <w:bCs/>
                <w:sz w:val="24"/>
                <w:szCs w:val="24"/>
                <w:lang w:eastAsia="es-CO"/>
              </w:rPr>
            </w:pPr>
            <w:r w:rsidRPr="003F00A9">
              <w:rPr>
                <w:rFonts w:ascii="Times New Roman" w:eastAsia="Times New Roman" w:hAnsi="Times New Roman" w:cs="Times New Roman"/>
                <w:b/>
                <w:bCs/>
                <w:sz w:val="24"/>
                <w:szCs w:val="24"/>
                <w:lang w:eastAsia="es-CO"/>
              </w:rPr>
              <w:t> </w:t>
            </w:r>
          </w:p>
        </w:tc>
        <w:tc>
          <w:tcPr>
            <w:tcW w:w="177" w:type="dxa"/>
            <w:tcBorders>
              <w:top w:val="nil"/>
              <w:left w:val="single" w:sz="4" w:space="0" w:color="auto"/>
              <w:bottom w:val="nil"/>
              <w:right w:val="single" w:sz="4" w:space="0" w:color="auto"/>
            </w:tcBorders>
            <w:shd w:val="diagCross" w:color="000000" w:fill="C0C0C0"/>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7" w:type="dxa"/>
            <w:tcBorders>
              <w:top w:val="nil"/>
              <w:left w:val="single" w:sz="8"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8"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20"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41" w:type="dxa"/>
            <w:gridSpan w:val="2"/>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178"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77"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nil"/>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nil"/>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24" w:type="dxa"/>
            <w:tcBorders>
              <w:top w:val="nil"/>
              <w:left w:val="single" w:sz="4" w:space="0" w:color="auto"/>
              <w:bottom w:val="single" w:sz="4" w:space="0" w:color="auto"/>
              <w:right w:val="single" w:sz="8" w:space="0" w:color="auto"/>
            </w:tcBorders>
            <w:shd w:val="clear" w:color="auto" w:fill="auto"/>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255" w:type="dxa"/>
            <w:tcBorders>
              <w:top w:val="nil"/>
              <w:left w:val="single" w:sz="4" w:space="0" w:color="auto"/>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05" w:type="dxa"/>
            <w:gridSpan w:val="2"/>
            <w:tcBorders>
              <w:top w:val="nil"/>
              <w:left w:val="nil"/>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nil"/>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c>
          <w:tcPr>
            <w:tcW w:w="373" w:type="dxa"/>
            <w:tcBorders>
              <w:top w:val="nil"/>
              <w:left w:val="single" w:sz="4" w:space="0" w:color="auto"/>
              <w:bottom w:val="single" w:sz="4" w:space="0" w:color="auto"/>
              <w:right w:val="single" w:sz="8" w:space="0" w:color="auto"/>
            </w:tcBorders>
            <w:shd w:val="clear" w:color="auto" w:fill="BFBFBF" w:themeFill="background1" w:themeFillShade="BF"/>
            <w:vAlign w:val="center"/>
            <w:hideMark/>
          </w:tcPr>
          <w:p w:rsidR="001D6087" w:rsidRPr="003F00A9" w:rsidRDefault="001D6087" w:rsidP="003F00A9">
            <w:pPr>
              <w:spacing w:after="0" w:line="276" w:lineRule="auto"/>
              <w:jc w:val="center"/>
              <w:rPr>
                <w:rFonts w:ascii="Times New Roman" w:eastAsia="Times New Roman" w:hAnsi="Times New Roman" w:cs="Times New Roman"/>
                <w:sz w:val="24"/>
                <w:szCs w:val="24"/>
                <w:lang w:eastAsia="es-CO"/>
              </w:rPr>
            </w:pPr>
            <w:r w:rsidRPr="003F00A9">
              <w:rPr>
                <w:rFonts w:ascii="Times New Roman" w:eastAsia="Times New Roman" w:hAnsi="Times New Roman" w:cs="Times New Roman"/>
                <w:sz w:val="24"/>
                <w:szCs w:val="24"/>
                <w:lang w:eastAsia="es-CO"/>
              </w:rPr>
              <w:t> </w:t>
            </w:r>
          </w:p>
        </w:tc>
      </w:tr>
    </w:tbl>
    <w:p w:rsidR="002A18AF" w:rsidRPr="00F94953" w:rsidRDefault="002A18AF" w:rsidP="003F00A9">
      <w:pPr>
        <w:spacing w:after="0" w:line="276" w:lineRule="auto"/>
        <w:rPr>
          <w:rFonts w:ascii="Times New Roman" w:eastAsia="Times New Roman" w:hAnsi="Times New Roman" w:cs="Times New Roman"/>
          <w:sz w:val="24"/>
          <w:szCs w:val="24"/>
          <w:lang w:eastAsia="es-CO"/>
        </w:rPr>
      </w:pPr>
    </w:p>
    <w:p w:rsidR="006F7BEA" w:rsidRPr="00F94953" w:rsidRDefault="006F7BEA" w:rsidP="003F00A9">
      <w:pPr>
        <w:spacing w:after="0" w:line="276" w:lineRule="auto"/>
        <w:rPr>
          <w:rFonts w:ascii="Times New Roman" w:eastAsia="Times New Roman" w:hAnsi="Times New Roman" w:cs="Times New Roman"/>
          <w:sz w:val="24"/>
          <w:szCs w:val="24"/>
          <w:lang w:eastAsia="es-CO"/>
        </w:rPr>
      </w:pPr>
    </w:p>
    <w:tbl>
      <w:tblPr>
        <w:tblpPr w:leftFromText="141" w:rightFromText="141" w:vertAnchor="page" w:horzAnchor="margin" w:tblpY="2431"/>
        <w:tblW w:w="14730" w:type="dxa"/>
        <w:shd w:val="clear" w:color="auto" w:fill="FFFFFF"/>
        <w:tblLook w:val="04A0" w:firstRow="1" w:lastRow="0" w:firstColumn="1" w:lastColumn="0" w:noHBand="0" w:noVBand="1"/>
      </w:tblPr>
      <w:tblGrid>
        <w:gridCol w:w="2454"/>
        <w:gridCol w:w="3635"/>
        <w:gridCol w:w="1273"/>
        <w:gridCol w:w="2454"/>
        <w:gridCol w:w="2454"/>
        <w:gridCol w:w="2460"/>
      </w:tblGrid>
      <w:tr w:rsidR="006F7BEA" w:rsidRPr="00F94953" w:rsidTr="00F94953">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Presupuesto</w:t>
            </w:r>
          </w:p>
        </w:tc>
      </w:tr>
      <w:tr w:rsidR="006F7BEA" w:rsidRPr="00F94953" w:rsidTr="006F7BEA">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Horas nómina</w:t>
            </w:r>
          </w:p>
        </w:tc>
      </w:tr>
      <w:tr w:rsidR="006F7BEA" w:rsidRPr="00F94953" w:rsidTr="00F94953">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Concepto</w:t>
            </w:r>
          </w:p>
        </w:tc>
        <w:tc>
          <w:tcPr>
            <w:tcW w:w="1234"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Nombre</w:t>
            </w:r>
          </w:p>
        </w:tc>
        <w:tc>
          <w:tcPr>
            <w:tcW w:w="432"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6F7BEA" w:rsidRPr="00F94953" w:rsidRDefault="006F7BEA" w:rsidP="006F7BEA">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94953">
              <w:rPr>
                <w:rFonts w:ascii="Times New Roman" w:eastAsia="Times New Roman" w:hAnsi="Times New Roman" w:cs="Times New Roman"/>
                <w:b/>
                <w:bCs/>
                <w:color w:val="222222"/>
                <w:sz w:val="24"/>
                <w:szCs w:val="24"/>
                <w:lang w:eastAsia="es-CO"/>
              </w:rPr>
              <w:t>Total ($)</w:t>
            </w:r>
          </w:p>
        </w:tc>
      </w:tr>
      <w:tr w:rsidR="006F7BEA" w:rsidTr="00F94953">
        <w:trPr>
          <w:trHeight w:val="464"/>
        </w:trPr>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Horas Nomina (Investigador Principal)</w:t>
            </w:r>
          </w:p>
        </w:tc>
        <w:tc>
          <w:tcPr>
            <w:tcW w:w="123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Jazmin Andrea Guerrero Zapata</w:t>
            </w:r>
          </w:p>
        </w:tc>
        <w:tc>
          <w:tcPr>
            <w:tcW w:w="4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4</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40</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p>
        </w:tc>
        <w:tc>
          <w:tcPr>
            <w:tcW w:w="8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8.837.499</w:t>
            </w:r>
          </w:p>
        </w:tc>
      </w:tr>
      <w:tr w:rsidR="006F7BEA" w:rsidTr="00F94953">
        <w:trPr>
          <w:trHeight w:val="464"/>
        </w:trPr>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Horas Nomina (coinvestigadores)</w:t>
            </w:r>
          </w:p>
        </w:tc>
        <w:tc>
          <w:tcPr>
            <w:tcW w:w="123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Erika Mayorga Sierra</w:t>
            </w:r>
          </w:p>
        </w:tc>
        <w:tc>
          <w:tcPr>
            <w:tcW w:w="43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1</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40</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p>
        </w:tc>
        <w:tc>
          <w:tcPr>
            <w:tcW w:w="8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F7BEA" w:rsidRPr="00C233D0" w:rsidRDefault="006F7BEA" w:rsidP="006F7BEA">
            <w:pPr>
              <w:spacing w:after="0" w:line="240" w:lineRule="auto"/>
              <w:jc w:val="center"/>
              <w:rPr>
                <w:rFonts w:ascii="Times New Roman" w:eastAsia="Times New Roman" w:hAnsi="Times New Roman" w:cs="Times New Roman"/>
                <w:color w:val="222222"/>
                <w:sz w:val="24"/>
                <w:szCs w:val="24"/>
                <w:lang w:eastAsia="es-CO"/>
              </w:rPr>
            </w:pPr>
            <w:r w:rsidRPr="00C233D0">
              <w:rPr>
                <w:rFonts w:ascii="Times New Roman" w:eastAsia="Times New Roman" w:hAnsi="Times New Roman" w:cs="Times New Roman"/>
                <w:color w:val="222222"/>
                <w:sz w:val="24"/>
                <w:szCs w:val="24"/>
                <w:lang w:eastAsia="es-CO"/>
              </w:rPr>
              <w:t>14.992.499</w:t>
            </w:r>
          </w:p>
        </w:tc>
      </w:tr>
    </w:tbl>
    <w:tbl>
      <w:tblPr>
        <w:tblStyle w:val="Tablaconcuadrcula"/>
        <w:tblpPr w:leftFromText="141" w:rightFromText="141" w:vertAnchor="text" w:horzAnchor="margin" w:tblpY="379"/>
        <w:tblW w:w="14748" w:type="dxa"/>
        <w:tblLayout w:type="fixed"/>
        <w:tblLook w:val="04A0" w:firstRow="1" w:lastRow="0" w:firstColumn="1" w:lastColumn="0" w:noHBand="0" w:noVBand="1"/>
      </w:tblPr>
      <w:tblGrid>
        <w:gridCol w:w="1124"/>
        <w:gridCol w:w="2106"/>
        <w:gridCol w:w="6830"/>
        <w:gridCol w:w="1275"/>
        <w:gridCol w:w="1843"/>
        <w:gridCol w:w="1570"/>
      </w:tblGrid>
      <w:tr w:rsidR="00F94953" w:rsidTr="00911DCA">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4953" w:rsidRDefault="00F94953" w:rsidP="00911DCA">
            <w:pPr>
              <w:ind w:left="-108" w:right="-108"/>
              <w:jc w:val="center"/>
              <w:rPr>
                <w:rFonts w:cstheme="minorHAnsi"/>
                <w:b/>
                <w:sz w:val="20"/>
                <w:szCs w:val="16"/>
              </w:rPr>
            </w:pPr>
            <w:r>
              <w:rPr>
                <w:rFonts w:cstheme="minorHAnsi"/>
                <w:b/>
                <w:sz w:val="16"/>
                <w:szCs w:val="16"/>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4953" w:rsidRDefault="00F94953" w:rsidP="00911DCA">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4953" w:rsidRDefault="00F94953" w:rsidP="00911DCA">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94953" w:rsidRDefault="00F94953" w:rsidP="00911DCA">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94953" w:rsidRDefault="00F94953" w:rsidP="00911DCA">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4953" w:rsidRDefault="00F94953" w:rsidP="00911DCA">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94953" w:rsidTr="00911DCA">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r>
              <w:rPr>
                <w:rFonts w:cstheme="minorHAnsi"/>
                <w:sz w:val="20"/>
                <w:szCs w:val="20"/>
              </w:rPr>
              <w:t>Análisis estadístico</w:t>
            </w: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16"/>
              </w:rPr>
            </w:pPr>
            <w:r>
              <w:rPr>
                <w:rFonts w:cstheme="minorHAnsi"/>
                <w:sz w:val="20"/>
                <w:szCs w:val="16"/>
              </w:rPr>
              <w:t>$ 1.000.000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16"/>
              </w:rPr>
            </w:pPr>
            <w:r>
              <w:rPr>
                <w:rFonts w:cstheme="minorHAnsi"/>
                <w:sz w:val="20"/>
                <w:szCs w:val="16"/>
              </w:rPr>
              <w:t>$ 0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16"/>
              </w:rPr>
            </w:pPr>
            <w:r>
              <w:rPr>
                <w:rFonts w:cstheme="minorHAnsi"/>
                <w:sz w:val="20"/>
                <w:szCs w:val="16"/>
              </w:rPr>
              <w:t>$ 0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16"/>
              </w:rPr>
            </w:pPr>
            <w:r>
              <w:rPr>
                <w:rFonts w:cstheme="minorHAnsi"/>
                <w:sz w:val="20"/>
                <w:szCs w:val="16"/>
              </w:rPr>
              <w:t>$ 0</w:t>
            </w:r>
          </w:p>
        </w:tc>
      </w:tr>
      <w:tr w:rsidR="00F94953" w:rsidTr="00911DCA">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16"/>
              </w:rPr>
            </w:pPr>
            <w:r>
              <w:rPr>
                <w:rFonts w:cstheme="minorHAnsi"/>
                <w:sz w:val="20"/>
                <w:szCs w:val="20"/>
              </w:rPr>
              <w:t>$  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r>
              <w:rPr>
                <w:rFonts w:cstheme="minorHAnsi"/>
                <w:sz w:val="20"/>
                <w:szCs w:val="20"/>
              </w:rPr>
              <w:t>$  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rPr>
                <w:rFonts w:cstheme="minorHAnsi"/>
                <w:sz w:val="20"/>
                <w:szCs w:val="20"/>
              </w:rPr>
            </w:pPr>
            <w:r>
              <w:rPr>
                <w:rFonts w:cstheme="minorHAnsi"/>
                <w:sz w:val="20"/>
                <w:szCs w:val="20"/>
              </w:rPr>
              <w:t xml:space="preserve">Libros </w:t>
            </w: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r>
              <w:rPr>
                <w:rFonts w:cstheme="minorHAnsi"/>
                <w:sz w:val="20"/>
                <w:szCs w:val="20"/>
              </w:rPr>
              <w:t>$1.000.000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20"/>
              </w:rPr>
            </w:pPr>
            <w:r>
              <w:rPr>
                <w:rFonts w:cstheme="minorHAnsi"/>
                <w:sz w:val="20"/>
                <w:szCs w:val="20"/>
              </w:rPr>
              <w:t>$ 0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20"/>
              </w:rPr>
            </w:pPr>
            <w:r>
              <w:rPr>
                <w:rFonts w:cstheme="minorHAnsi"/>
                <w:sz w:val="20"/>
                <w:szCs w:val="20"/>
              </w:rPr>
              <w:t>$ 0</w:t>
            </w:r>
          </w:p>
        </w:tc>
      </w:tr>
      <w:tr w:rsidR="00F94953" w:rsidTr="00911DC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16"/>
              </w:rPr>
            </w:pPr>
            <w:r>
              <w:rPr>
                <w:rFonts w:cstheme="minorHAnsi"/>
                <w:sz w:val="20"/>
                <w:szCs w:val="16"/>
              </w:rPr>
              <w:t>Traducción y publicación</w:t>
            </w:r>
          </w:p>
        </w:tc>
        <w:tc>
          <w:tcPr>
            <w:tcW w:w="1275"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94953" w:rsidRDefault="00F94953" w:rsidP="00911DCA">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94953" w:rsidRDefault="00F94953" w:rsidP="00911DCA">
            <w:pPr>
              <w:jc w:val="both"/>
              <w:rPr>
                <w:rFonts w:cstheme="minorHAnsi"/>
                <w:sz w:val="20"/>
                <w:szCs w:val="20"/>
              </w:rPr>
            </w:pPr>
            <w:r>
              <w:rPr>
                <w:rFonts w:cstheme="minorHAnsi"/>
                <w:sz w:val="20"/>
                <w:szCs w:val="20"/>
              </w:rPr>
              <w:t>$ 2.000.000</w:t>
            </w:r>
          </w:p>
        </w:tc>
      </w:tr>
      <w:tr w:rsidR="00F94953" w:rsidTr="00911DCA">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right"/>
              <w:rPr>
                <w:rFonts w:cstheme="minorHAnsi"/>
                <w:sz w:val="20"/>
                <w:szCs w:val="20"/>
              </w:rPr>
            </w:pPr>
            <w:r w:rsidRPr="00ED1717">
              <w:rPr>
                <w:rFonts w:cstheme="minorHAnsi"/>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rsidR="00F94953" w:rsidRDefault="00F94953" w:rsidP="00911DCA">
            <w:pPr>
              <w:jc w:val="both"/>
              <w:rPr>
                <w:rFonts w:cstheme="minorHAnsi"/>
                <w:sz w:val="20"/>
                <w:szCs w:val="20"/>
              </w:rPr>
            </w:pPr>
            <w:r>
              <w:rPr>
                <w:rFonts w:cstheme="minorHAnsi"/>
                <w:sz w:val="20"/>
                <w:szCs w:val="20"/>
              </w:rPr>
              <w:t>27.829.998</w:t>
            </w:r>
          </w:p>
        </w:tc>
      </w:tr>
    </w:tbl>
    <w:tbl>
      <w:tblPr>
        <w:tblW w:w="768" w:type="dxa"/>
        <w:tblInd w:w="8" w:type="dxa"/>
        <w:shd w:val="clear" w:color="auto" w:fill="FFFFFF"/>
        <w:tblLook w:val="04A0" w:firstRow="1" w:lastRow="0" w:firstColumn="1" w:lastColumn="0" w:noHBand="0" w:noVBand="1"/>
      </w:tblPr>
      <w:tblGrid>
        <w:gridCol w:w="768"/>
      </w:tblGrid>
      <w:tr w:rsidR="00ED1717" w:rsidRPr="003F00A9" w:rsidTr="00ED1717">
        <w:tc>
          <w:tcPr>
            <w:tcW w:w="0" w:type="auto"/>
            <w:shd w:val="clear" w:color="auto" w:fill="FFFFFF"/>
            <w:tcMar>
              <w:top w:w="15" w:type="dxa"/>
              <w:left w:w="15" w:type="dxa"/>
              <w:bottom w:w="15" w:type="dxa"/>
              <w:right w:w="15" w:type="dxa"/>
            </w:tcMar>
            <w:vAlign w:val="center"/>
            <w:hideMark/>
          </w:tcPr>
          <w:p w:rsidR="00ED1717" w:rsidRPr="003F00A9" w:rsidRDefault="00ED1717" w:rsidP="003F00A9">
            <w:pPr>
              <w:spacing w:after="0" w:line="276" w:lineRule="auto"/>
              <w:rPr>
                <w:rFonts w:ascii="Times New Roman" w:hAnsi="Times New Roman" w:cs="Times New Roman"/>
                <w:sz w:val="24"/>
                <w:szCs w:val="24"/>
                <w:lang w:eastAsia="es-CO"/>
              </w:rPr>
            </w:pPr>
          </w:p>
        </w:tc>
      </w:tr>
    </w:tbl>
    <w:p w:rsidR="002A18AF" w:rsidRPr="003F00A9" w:rsidRDefault="002A18AF" w:rsidP="003F00A9">
      <w:pPr>
        <w:spacing w:line="276" w:lineRule="auto"/>
        <w:rPr>
          <w:rFonts w:ascii="Times New Roman" w:hAnsi="Times New Roman" w:cs="Times New Roman"/>
          <w:sz w:val="24"/>
          <w:szCs w:val="24"/>
        </w:rPr>
      </w:pPr>
    </w:p>
    <w:p w:rsidR="00642463" w:rsidRPr="003F00A9" w:rsidRDefault="00642463" w:rsidP="003F00A9">
      <w:pPr>
        <w:spacing w:line="276" w:lineRule="auto"/>
        <w:jc w:val="center"/>
        <w:rPr>
          <w:rFonts w:ascii="Times New Roman" w:hAnsi="Times New Roman" w:cs="Times New Roman"/>
          <w:b/>
          <w:sz w:val="24"/>
          <w:szCs w:val="24"/>
          <w:lang w:val="es-ES"/>
        </w:rPr>
      </w:pPr>
    </w:p>
    <w:tbl>
      <w:tblPr>
        <w:tblW w:w="14983" w:type="dxa"/>
        <w:shd w:val="clear" w:color="auto" w:fill="FFFFFF"/>
        <w:tblLook w:val="04A0" w:firstRow="1" w:lastRow="0" w:firstColumn="1" w:lastColumn="0" w:noHBand="0" w:noVBand="1"/>
      </w:tblPr>
      <w:tblGrid>
        <w:gridCol w:w="14983"/>
      </w:tblGrid>
      <w:tr w:rsidR="00F94953" w:rsidTr="00911DCA">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94953" w:rsidRDefault="00F94953" w:rsidP="00911DC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Referencia bibliográficas</w:t>
            </w:r>
          </w:p>
        </w:tc>
      </w:tr>
      <w:tr w:rsidR="00F94953" w:rsidTr="00911DCA">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94953" w:rsidRPr="00BD46C8" w:rsidRDefault="00F94953" w:rsidP="00911DCA">
            <w:pPr>
              <w:autoSpaceDE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Bruce, V. &amp; Young, A. (1986). Understanding face recognition. </w:t>
            </w:r>
            <w:r w:rsidRPr="00BD46C8">
              <w:rPr>
                <w:rFonts w:ascii="Times New Roman" w:hAnsi="Times New Roman" w:cs="Times New Roman"/>
                <w:i/>
                <w:iCs/>
                <w:sz w:val="24"/>
                <w:szCs w:val="24"/>
                <w:lang w:val="en-US"/>
              </w:rPr>
              <w:t>British Journal of Psychology. 77</w:t>
            </w:r>
            <w:r w:rsidRPr="00BD46C8">
              <w:rPr>
                <w:rFonts w:ascii="Times New Roman" w:hAnsi="Times New Roman" w:cs="Times New Roman"/>
                <w:sz w:val="24"/>
                <w:szCs w:val="24"/>
                <w:lang w:val="en-US"/>
              </w:rPr>
              <w:t>.  305-327. DOI 10.1111/j.2044-</w:t>
            </w:r>
            <w:proofErr w:type="gramStart"/>
            <w:r w:rsidRPr="00BD46C8">
              <w:rPr>
                <w:rFonts w:ascii="Times New Roman" w:hAnsi="Times New Roman" w:cs="Times New Roman"/>
                <w:sz w:val="24"/>
                <w:szCs w:val="24"/>
                <w:lang w:val="en-US"/>
              </w:rPr>
              <w:t>8295.1986.tb</w:t>
            </w:r>
            <w:proofErr w:type="gramEnd"/>
            <w:r w:rsidRPr="00BD46C8">
              <w:rPr>
                <w:rFonts w:ascii="Times New Roman" w:hAnsi="Times New Roman" w:cs="Times New Roman"/>
                <w:sz w:val="24"/>
                <w:szCs w:val="24"/>
                <w:lang w:val="en-US"/>
              </w:rPr>
              <w:t xml:space="preserve">02199.x </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Chance, J., &amp; Goldstein, A. (1976). Recognition of faces and verbal labels. </w:t>
            </w:r>
            <w:r w:rsidRPr="00BD46C8">
              <w:rPr>
                <w:rFonts w:ascii="Times New Roman" w:hAnsi="Times New Roman" w:cs="Times New Roman"/>
                <w:i/>
                <w:sz w:val="24"/>
                <w:szCs w:val="24"/>
                <w:lang w:val="en-US"/>
              </w:rPr>
              <w:t xml:space="preserve">Bulletin of Psychonomic society. 7. </w:t>
            </w:r>
            <w:r w:rsidRPr="00BD46C8">
              <w:rPr>
                <w:rFonts w:ascii="Times New Roman" w:hAnsi="Times New Roman" w:cs="Times New Roman"/>
                <w:sz w:val="24"/>
                <w:szCs w:val="24"/>
                <w:lang w:val="en-US"/>
              </w:rPr>
              <w:t>4. 384-386</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lang w:val="en-US"/>
              </w:rPr>
              <w:t xml:space="preserve">Finger, K., &amp; Pezdek, K. (1999). The Effect of the Cognitive Interview on Face Identification Accuracy: Release </w:t>
            </w:r>
            <w:proofErr w:type="gramStart"/>
            <w:r w:rsidRPr="00BD46C8">
              <w:rPr>
                <w:rFonts w:ascii="Times New Roman" w:hAnsi="Times New Roman" w:cs="Times New Roman"/>
                <w:sz w:val="24"/>
                <w:szCs w:val="24"/>
                <w:lang w:val="en-US"/>
              </w:rPr>
              <w:t>From</w:t>
            </w:r>
            <w:proofErr w:type="gramEnd"/>
            <w:r w:rsidRPr="00BD46C8">
              <w:rPr>
                <w:rFonts w:ascii="Times New Roman" w:hAnsi="Times New Roman" w:cs="Times New Roman"/>
                <w:sz w:val="24"/>
                <w:szCs w:val="24"/>
                <w:lang w:val="en-US"/>
              </w:rPr>
              <w:t xml:space="preserve"> Verbal Overshadowing. </w:t>
            </w:r>
            <w:r w:rsidRPr="00BD46C8">
              <w:rPr>
                <w:rFonts w:ascii="Times New Roman" w:hAnsi="Times New Roman" w:cs="Times New Roman"/>
                <w:bCs/>
                <w:i/>
                <w:sz w:val="24"/>
                <w:szCs w:val="24"/>
              </w:rPr>
              <w:t xml:space="preserve">Journal of </w:t>
            </w:r>
            <w:r w:rsidRPr="00BD46C8">
              <w:rPr>
                <w:rFonts w:ascii="Times New Roman" w:hAnsi="Times New Roman" w:cs="Times New Roman"/>
                <w:i/>
                <w:sz w:val="24"/>
                <w:szCs w:val="24"/>
              </w:rPr>
              <w:t xml:space="preserve">Applied </w:t>
            </w:r>
            <w:r w:rsidRPr="00BD46C8">
              <w:rPr>
                <w:rFonts w:ascii="Times New Roman" w:hAnsi="Times New Roman" w:cs="Times New Roman"/>
                <w:bCs/>
                <w:i/>
                <w:sz w:val="24"/>
                <w:szCs w:val="24"/>
              </w:rPr>
              <w:t>Psychology.</w:t>
            </w:r>
            <w:r w:rsidRPr="00BD46C8">
              <w:rPr>
                <w:rFonts w:ascii="Times New Roman" w:hAnsi="Times New Roman" w:cs="Times New Roman"/>
                <w:sz w:val="24"/>
                <w:szCs w:val="24"/>
              </w:rPr>
              <w:t xml:space="preserve"> 84. 3. 340-348</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rPr>
              <w:t xml:space="preserve">Fiscalía General de la Nación. (2005). </w:t>
            </w:r>
            <w:r w:rsidRPr="00BD46C8">
              <w:rPr>
                <w:rFonts w:ascii="Times New Roman" w:hAnsi="Times New Roman" w:cs="Times New Roman"/>
                <w:i/>
                <w:sz w:val="24"/>
                <w:szCs w:val="24"/>
              </w:rPr>
              <w:t>Identificación especializada, cartilla de servicios.</w:t>
            </w:r>
            <w:r w:rsidRPr="00BD46C8">
              <w:rPr>
                <w:rFonts w:ascii="Times New Roman" w:hAnsi="Times New Roman" w:cs="Times New Roman"/>
                <w:sz w:val="24"/>
                <w:szCs w:val="24"/>
              </w:rPr>
              <w:t xml:space="preserve"> Imprenta Nacional de Colombia.</w:t>
            </w:r>
            <w:r w:rsidRPr="00BD46C8">
              <w:rPr>
                <w:rFonts w:ascii="Times New Roman" w:hAnsi="Times New Roman" w:cs="Times New Roman"/>
                <w:i/>
                <w:sz w:val="24"/>
                <w:szCs w:val="24"/>
              </w:rPr>
              <w:t xml:space="preserve"> </w:t>
            </w:r>
            <w:r w:rsidRPr="00BD46C8">
              <w:rPr>
                <w:rFonts w:ascii="Times New Roman" w:hAnsi="Times New Roman" w:cs="Times New Roman"/>
                <w:sz w:val="24"/>
                <w:szCs w:val="24"/>
              </w:rPr>
              <w:t>ISBN 958-97542-0-1</w:t>
            </w:r>
          </w:p>
          <w:p w:rsidR="00F94953" w:rsidRPr="00BD46C8" w:rsidRDefault="00F94953" w:rsidP="00911DCA">
            <w:pPr>
              <w:autoSpaceDE w:val="0"/>
              <w:adjustRightInd w:val="0"/>
              <w:spacing w:line="240" w:lineRule="auto"/>
              <w:ind w:left="709" w:hanging="709"/>
              <w:rPr>
                <w:rFonts w:ascii="Times New Roman" w:eastAsia="TimesNewRomanPSMT" w:hAnsi="Times New Roman" w:cs="Times New Roman"/>
                <w:sz w:val="24"/>
                <w:szCs w:val="24"/>
              </w:rPr>
            </w:pPr>
            <w:r w:rsidRPr="00BD46C8">
              <w:rPr>
                <w:rFonts w:ascii="Times New Roman" w:eastAsia="TimesNewRomanPSMT" w:hAnsi="Times New Roman" w:cs="Times New Roman"/>
                <w:sz w:val="24"/>
                <w:szCs w:val="24"/>
              </w:rPr>
              <w:t xml:space="preserve">Garrido, E., Masip. J. y Herrero, C. (2006). </w:t>
            </w:r>
            <w:r w:rsidRPr="00BD46C8">
              <w:rPr>
                <w:rFonts w:ascii="Times New Roman" w:eastAsia="TimesNewRomanPSMT" w:hAnsi="Times New Roman" w:cs="Times New Roman"/>
                <w:i/>
                <w:sz w:val="24"/>
                <w:szCs w:val="24"/>
              </w:rPr>
              <w:t>Psicología Jurídica.</w:t>
            </w:r>
            <w:r w:rsidRPr="00BD46C8">
              <w:rPr>
                <w:rFonts w:ascii="Times New Roman" w:eastAsia="TimesNewRomanPSMT" w:hAnsi="Times New Roman" w:cs="Times New Roman"/>
                <w:sz w:val="24"/>
                <w:szCs w:val="24"/>
              </w:rPr>
              <w:t xml:space="preserve"> Madrid: PEARSON EDUCACIÓN, S. A.</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Geiselman, R.E., Fisher, R.P., MacKinnon, D.P. &amp; Holland, H.L. (1986). Enhancement of eyewitness memory with the cognitive interview. </w:t>
            </w:r>
            <w:r w:rsidRPr="00BD46C8">
              <w:rPr>
                <w:rFonts w:ascii="Times New Roman" w:hAnsi="Times New Roman" w:cs="Times New Roman"/>
                <w:i/>
                <w:iCs/>
                <w:sz w:val="24"/>
                <w:szCs w:val="24"/>
                <w:lang w:val="en-US"/>
              </w:rPr>
              <w:t xml:space="preserve">American Journal of Psychology, 99, </w:t>
            </w:r>
            <w:r w:rsidRPr="00BD46C8">
              <w:rPr>
                <w:rFonts w:ascii="Times New Roman" w:hAnsi="Times New Roman" w:cs="Times New Roman"/>
                <w:sz w:val="24"/>
                <w:szCs w:val="24"/>
                <w:lang w:val="en-US"/>
              </w:rPr>
              <w:t>385-401.</w:t>
            </w:r>
          </w:p>
          <w:p w:rsidR="00F94953" w:rsidRPr="00BD46C8" w:rsidRDefault="00F94953" w:rsidP="00911DCA">
            <w:pPr>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rPr>
              <w:t>Godoy, V., &amp; Higueras, L. (2005). Aplicación forense de la entrevista cognitiva: descripción, evolución y situación actual. </w:t>
            </w:r>
            <w:r w:rsidRPr="00BD46C8">
              <w:rPr>
                <w:rFonts w:ascii="Times New Roman" w:hAnsi="Times New Roman" w:cs="Times New Roman"/>
                <w:i/>
                <w:sz w:val="24"/>
                <w:szCs w:val="24"/>
              </w:rPr>
              <w:t>Anuario de Psicologia Juridica</w:t>
            </w:r>
            <w:r w:rsidRPr="00BD46C8">
              <w:rPr>
                <w:rFonts w:ascii="Times New Roman" w:hAnsi="Times New Roman" w:cs="Times New Roman"/>
                <w:sz w:val="24"/>
                <w:szCs w:val="24"/>
              </w:rPr>
              <w:t>, </w:t>
            </w:r>
            <w:r w:rsidRPr="00BD46C8">
              <w:rPr>
                <w:rFonts w:ascii="Times New Roman" w:hAnsi="Times New Roman" w:cs="Times New Roman"/>
                <w:i/>
                <w:sz w:val="24"/>
                <w:szCs w:val="24"/>
              </w:rPr>
              <w:t>15</w:t>
            </w:r>
            <w:r w:rsidRPr="00BD46C8">
              <w:rPr>
                <w:rFonts w:ascii="Times New Roman" w:hAnsi="Times New Roman" w:cs="Times New Roman"/>
                <w:sz w:val="24"/>
                <w:szCs w:val="24"/>
              </w:rPr>
              <w:t>, 41-54.</w:t>
            </w:r>
          </w:p>
          <w:p w:rsidR="00F94953" w:rsidRPr="00BD46C8" w:rsidRDefault="00F94953" w:rsidP="00911DCA">
            <w:pPr>
              <w:autoSpaceDE w:val="0"/>
              <w:adjustRightInd w:val="0"/>
              <w:spacing w:line="240" w:lineRule="auto"/>
              <w:ind w:left="709" w:hanging="709"/>
              <w:rPr>
                <w:rFonts w:ascii="Times New Roman" w:hAnsi="Times New Roman" w:cs="Times New Roman"/>
                <w:i/>
                <w:sz w:val="24"/>
                <w:szCs w:val="24"/>
              </w:rPr>
            </w:pPr>
            <w:r w:rsidRPr="00BD46C8">
              <w:rPr>
                <w:rFonts w:ascii="Times New Roman" w:hAnsi="Times New Roman" w:cs="Times New Roman"/>
                <w:sz w:val="24"/>
                <w:szCs w:val="24"/>
              </w:rPr>
              <w:t xml:space="preserve">Guerrero, J., Ramírez, K. y Romero, S. (2015). Plataforma para el reconocimiento facial: aspectos de percepción y cognición social. </w:t>
            </w:r>
            <w:r w:rsidRPr="00BD46C8">
              <w:rPr>
                <w:rFonts w:ascii="Times New Roman" w:hAnsi="Times New Roman" w:cs="Times New Roman"/>
                <w:i/>
                <w:sz w:val="24"/>
                <w:szCs w:val="24"/>
              </w:rPr>
              <w:t xml:space="preserve">Memorias de las II Jornadas Costarricenses de Investigación en Computación e informática. 41-43. </w:t>
            </w:r>
          </w:p>
          <w:p w:rsidR="00F94953" w:rsidRPr="00BD46C8" w:rsidRDefault="00F94953" w:rsidP="00911DCA">
            <w:pPr>
              <w:autoSpaceDE w:val="0"/>
              <w:adjustRightInd w:val="0"/>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rPr>
              <w:t xml:space="preserve">Gutiérrez de Piñeres, C., Egea, G. y Espinosa, A. (2017). Testimonio y memoria: su efecto sobre análisis de credibilidad. En E. Norza y G. Egea (Eds), </w:t>
            </w:r>
            <w:proofErr w:type="gramStart"/>
            <w:r w:rsidRPr="00BD46C8">
              <w:rPr>
                <w:rFonts w:ascii="Times New Roman" w:hAnsi="Times New Roman" w:cs="Times New Roman"/>
                <w:sz w:val="24"/>
                <w:szCs w:val="24"/>
              </w:rPr>
              <w:t>Con-ciencia</w:t>
            </w:r>
            <w:proofErr w:type="gramEnd"/>
            <w:r w:rsidRPr="00BD46C8">
              <w:rPr>
                <w:rFonts w:ascii="Times New Roman" w:hAnsi="Times New Roman" w:cs="Times New Roman"/>
                <w:sz w:val="24"/>
                <w:szCs w:val="24"/>
              </w:rPr>
              <w:t xml:space="preserve"> criminal. Criminología, psicología jurídica y perfilación criminal. Bogotá: Manual Moderno.</w:t>
            </w:r>
          </w:p>
          <w:p w:rsidR="00F94953" w:rsidRPr="00BD46C8" w:rsidRDefault="00F94953" w:rsidP="00911DCA">
            <w:pPr>
              <w:autoSpaceDE w:val="0"/>
              <w:adjustRightInd w:val="0"/>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rPr>
              <w:t xml:space="preserve">Hernández, R., Fernández, C. y Baptista, P. (2010). </w:t>
            </w:r>
            <w:r w:rsidRPr="00BD46C8">
              <w:rPr>
                <w:rFonts w:ascii="Times New Roman" w:hAnsi="Times New Roman" w:cs="Times New Roman"/>
                <w:i/>
                <w:sz w:val="24"/>
                <w:szCs w:val="24"/>
              </w:rPr>
              <w:t xml:space="preserve">Metodología de la investigación. </w:t>
            </w:r>
            <w:r w:rsidRPr="00BD46C8">
              <w:rPr>
                <w:rFonts w:ascii="Times New Roman" w:hAnsi="Times New Roman" w:cs="Times New Roman"/>
                <w:sz w:val="24"/>
                <w:szCs w:val="24"/>
              </w:rPr>
              <w:t>5ta edición. McGraw Hill. México.</w:t>
            </w:r>
          </w:p>
          <w:p w:rsidR="00F94953" w:rsidRPr="00BD46C8" w:rsidRDefault="00F94953" w:rsidP="00911DCA">
            <w:pPr>
              <w:autoSpaceDE w:val="0"/>
              <w:adjustRightInd w:val="0"/>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rPr>
              <w:t xml:space="preserve">Loftus, E. y Ketchman, K. (2010). Juicio a la memoria. Testigos y falsos culpables. Barcelona: Alba editorial. </w:t>
            </w:r>
          </w:p>
          <w:p w:rsidR="00F94953" w:rsidRPr="00BD46C8" w:rsidRDefault="00F94953" w:rsidP="00911DCA">
            <w:pPr>
              <w:autoSpaceDE w:val="0"/>
              <w:adjustRightInd w:val="0"/>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rPr>
              <w:t xml:space="preserve">Lopera, R. (2000). Procesamiento de caras: bases neurológicas, trastornos y evaluación. </w:t>
            </w:r>
            <w:r w:rsidRPr="00BD46C8">
              <w:rPr>
                <w:rFonts w:ascii="Times New Roman" w:hAnsi="Times New Roman" w:cs="Times New Roman"/>
                <w:i/>
                <w:sz w:val="24"/>
                <w:szCs w:val="24"/>
              </w:rPr>
              <w:t xml:space="preserve">Revista de Neurología (30) </w:t>
            </w:r>
            <w:r w:rsidRPr="00BD46C8">
              <w:rPr>
                <w:rFonts w:ascii="Times New Roman" w:hAnsi="Times New Roman" w:cs="Times New Roman"/>
                <w:sz w:val="24"/>
                <w:szCs w:val="24"/>
              </w:rPr>
              <w:t>5 1-5</w:t>
            </w:r>
          </w:p>
          <w:p w:rsidR="00F94953" w:rsidRPr="00BD46C8" w:rsidRDefault="00F94953" w:rsidP="00911DCA">
            <w:pPr>
              <w:autoSpaceDE w:val="0"/>
              <w:adjustRightInd w:val="0"/>
              <w:spacing w:line="240" w:lineRule="auto"/>
              <w:ind w:left="709" w:hanging="709"/>
              <w:rPr>
                <w:rFonts w:ascii="Times New Roman" w:hAnsi="Times New Roman" w:cs="Times New Roman"/>
                <w:sz w:val="24"/>
                <w:szCs w:val="24"/>
              </w:rPr>
            </w:pPr>
            <w:r w:rsidRPr="00BD46C8">
              <w:rPr>
                <w:rFonts w:ascii="Times New Roman" w:hAnsi="Times New Roman" w:cs="Times New Roman"/>
                <w:sz w:val="24"/>
                <w:szCs w:val="24"/>
              </w:rPr>
              <w:t xml:space="preserve">Manzanero, A. L (2010). </w:t>
            </w:r>
            <w:r w:rsidRPr="00BD46C8">
              <w:rPr>
                <w:rFonts w:ascii="Times New Roman" w:hAnsi="Times New Roman" w:cs="Times New Roman"/>
                <w:i/>
                <w:sz w:val="24"/>
                <w:szCs w:val="24"/>
              </w:rPr>
              <w:t xml:space="preserve">Memoria de testigos. </w:t>
            </w:r>
            <w:r w:rsidRPr="00BD46C8">
              <w:rPr>
                <w:rFonts w:ascii="Times New Roman" w:hAnsi="Times New Roman" w:cs="Times New Roman"/>
                <w:sz w:val="24"/>
                <w:szCs w:val="24"/>
              </w:rPr>
              <w:t>Madrid: Pirámide</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Meissner, C., &amp; Brigham, J. (2001).  A meta-analysis of the verbal overshadowing effect in face identification. </w:t>
            </w:r>
            <w:r w:rsidRPr="00BD46C8">
              <w:rPr>
                <w:rFonts w:ascii="Times New Roman" w:hAnsi="Times New Roman" w:cs="Times New Roman"/>
                <w:i/>
                <w:sz w:val="24"/>
                <w:szCs w:val="24"/>
                <w:lang w:val="en-US"/>
              </w:rPr>
              <w:t>Appl. Cognit. Psychol</w:t>
            </w:r>
            <w:r w:rsidRPr="00BD46C8">
              <w:rPr>
                <w:rFonts w:ascii="Times New Roman" w:hAnsi="Times New Roman" w:cs="Times New Roman"/>
                <w:sz w:val="24"/>
                <w:szCs w:val="24"/>
                <w:lang w:val="en-US"/>
              </w:rPr>
              <w:t>. 15. 603-616</w:t>
            </w:r>
          </w:p>
          <w:p w:rsidR="00F94953" w:rsidRPr="00BD46C8" w:rsidRDefault="00F94953" w:rsidP="00911DCA">
            <w:pPr>
              <w:autoSpaceDE w:val="0"/>
              <w:autoSpaceDN w:val="0"/>
              <w:adjustRightInd w:val="0"/>
              <w:spacing w:line="240" w:lineRule="auto"/>
              <w:ind w:left="709" w:hanging="709"/>
              <w:jc w:val="both"/>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Mickes, L. (2016). The Effects of Verbal Descriptions on Eyewitness Memory: Implications for the Real-World. </w:t>
            </w:r>
            <w:r w:rsidRPr="00BD46C8">
              <w:rPr>
                <w:rFonts w:ascii="Times New Roman" w:hAnsi="Times New Roman" w:cs="Times New Roman"/>
                <w:i/>
                <w:sz w:val="24"/>
                <w:szCs w:val="24"/>
                <w:lang w:val="en-US"/>
              </w:rPr>
              <w:t>Journal of Applied Research in Memory and Cognition</w:t>
            </w:r>
            <w:r w:rsidRPr="00BD46C8">
              <w:rPr>
                <w:rFonts w:ascii="Times New Roman" w:hAnsi="Times New Roman" w:cs="Times New Roman"/>
                <w:sz w:val="24"/>
                <w:szCs w:val="24"/>
                <w:lang w:val="en-US"/>
              </w:rPr>
              <w:t>.5. 270–276</w:t>
            </w:r>
          </w:p>
          <w:p w:rsidR="00F94953" w:rsidRPr="0072386C" w:rsidRDefault="00F94953" w:rsidP="00911DCA">
            <w:pPr>
              <w:autoSpaceDE w:val="0"/>
              <w:autoSpaceDN w:val="0"/>
              <w:adjustRightInd w:val="0"/>
              <w:spacing w:line="240" w:lineRule="auto"/>
              <w:ind w:left="709" w:hanging="709"/>
              <w:jc w:val="both"/>
              <w:rPr>
                <w:rFonts w:ascii="Times New Roman" w:hAnsi="Times New Roman" w:cs="Times New Roman"/>
                <w:i/>
                <w:sz w:val="24"/>
                <w:szCs w:val="24"/>
              </w:rPr>
            </w:pPr>
            <w:r w:rsidRPr="0072386C">
              <w:rPr>
                <w:rFonts w:ascii="Times New Roman" w:hAnsi="Times New Roman" w:cs="Times New Roman"/>
                <w:sz w:val="24"/>
                <w:szCs w:val="24"/>
                <w:lang w:val="en-US"/>
              </w:rPr>
              <w:t xml:space="preserve">Mira, J. J &amp; Diges, M. (1991). </w:t>
            </w:r>
            <w:r w:rsidRPr="00167A96">
              <w:rPr>
                <w:rFonts w:ascii="Times New Roman" w:hAnsi="Times New Roman" w:cs="Times New Roman"/>
                <w:sz w:val="24"/>
                <w:szCs w:val="24"/>
              </w:rPr>
              <w:t xml:space="preserve">Psicología del testimonio: concepto, áreas de investigación y aplicabilidad de sus resultados. </w:t>
            </w:r>
            <w:r w:rsidRPr="0072386C">
              <w:rPr>
                <w:rFonts w:ascii="Times New Roman" w:hAnsi="Times New Roman" w:cs="Times New Roman"/>
                <w:i/>
                <w:sz w:val="24"/>
                <w:szCs w:val="24"/>
              </w:rPr>
              <w:t xml:space="preserve">Papeles del psicólogo. 48. </w:t>
            </w:r>
          </w:p>
          <w:p w:rsidR="00F94953" w:rsidRPr="00BD46C8" w:rsidRDefault="00F94953" w:rsidP="00911DCA">
            <w:pPr>
              <w:pStyle w:val="Ttulo1"/>
              <w:spacing w:after="200" w:line="240" w:lineRule="auto"/>
              <w:ind w:left="709" w:hanging="709"/>
              <w:rPr>
                <w:rFonts w:ascii="Times New Roman" w:hAnsi="Times New Roman" w:cs="Times New Roman"/>
                <w:b/>
                <w:i/>
                <w:color w:val="auto"/>
                <w:sz w:val="24"/>
                <w:szCs w:val="24"/>
                <w:lang w:val="en-US"/>
              </w:rPr>
            </w:pPr>
            <w:r w:rsidRPr="00167A96">
              <w:rPr>
                <w:rFonts w:ascii="Times New Roman" w:hAnsi="Times New Roman" w:cs="Times New Roman"/>
                <w:color w:val="auto"/>
                <w:sz w:val="24"/>
                <w:szCs w:val="24"/>
              </w:rPr>
              <w:lastRenderedPageBreak/>
              <w:t xml:space="preserve">Migueles, M., García-Bajos, E., &amp; Ibabe, I. (1999). </w:t>
            </w:r>
            <w:r w:rsidRPr="00BD46C8">
              <w:rPr>
                <w:rFonts w:ascii="Times New Roman" w:hAnsi="Times New Roman" w:cs="Times New Roman"/>
                <w:color w:val="auto"/>
                <w:sz w:val="24"/>
                <w:szCs w:val="24"/>
              </w:rPr>
              <w:t xml:space="preserve">Ensombrecimiento verbal de la descripción previa en la identificación de personas. </w:t>
            </w:r>
            <w:r w:rsidRPr="00BD46C8">
              <w:rPr>
                <w:rFonts w:ascii="Times New Roman" w:hAnsi="Times New Roman" w:cs="Times New Roman"/>
                <w:i/>
                <w:color w:val="auto"/>
                <w:sz w:val="24"/>
                <w:szCs w:val="24"/>
                <w:lang w:val="en-US"/>
              </w:rPr>
              <w:t xml:space="preserve">Estudios de psicología. 20. </w:t>
            </w:r>
            <w:r w:rsidRPr="00BD46C8">
              <w:rPr>
                <w:rFonts w:ascii="Times New Roman" w:hAnsi="Times New Roman" w:cs="Times New Roman"/>
                <w:color w:val="auto"/>
                <w:sz w:val="24"/>
                <w:szCs w:val="24"/>
                <w:lang w:val="en-US"/>
              </w:rPr>
              <w:t>62. 67-76</w:t>
            </w:r>
            <w:r w:rsidRPr="00BD46C8">
              <w:rPr>
                <w:rFonts w:ascii="Times New Roman" w:hAnsi="Times New Roman" w:cs="Times New Roman"/>
                <w:i/>
                <w:color w:val="auto"/>
                <w:sz w:val="24"/>
                <w:szCs w:val="24"/>
                <w:lang w:val="en-US"/>
              </w:rPr>
              <w:t xml:space="preserve"> </w:t>
            </w:r>
          </w:p>
          <w:p w:rsidR="00F94953" w:rsidRPr="0072386C" w:rsidRDefault="00F94953" w:rsidP="00911DCA">
            <w:pPr>
              <w:autoSpaceDE w:val="0"/>
              <w:autoSpaceDN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Milne, R. y Bull, R. (2002). Back to basics: a componential analysis of the original cognitive interview mnemonics with three age groups. </w:t>
            </w:r>
            <w:r w:rsidRPr="0072386C">
              <w:rPr>
                <w:rFonts w:ascii="Times New Roman" w:hAnsi="Times New Roman" w:cs="Times New Roman"/>
                <w:i/>
                <w:iCs/>
                <w:sz w:val="24"/>
                <w:szCs w:val="24"/>
                <w:lang w:val="en-US"/>
              </w:rPr>
              <w:t>Applied Cognitive Psychology, 16</w:t>
            </w:r>
            <w:r w:rsidRPr="0072386C">
              <w:rPr>
                <w:rFonts w:ascii="Times New Roman" w:hAnsi="Times New Roman" w:cs="Times New Roman"/>
                <w:sz w:val="24"/>
                <w:szCs w:val="24"/>
                <w:lang w:val="en-US"/>
              </w:rPr>
              <w:t>, 743-753.</w:t>
            </w:r>
          </w:p>
          <w:p w:rsidR="00F94953" w:rsidRPr="00BD46C8" w:rsidRDefault="00F94953" w:rsidP="00911DCA">
            <w:pPr>
              <w:spacing w:line="240" w:lineRule="auto"/>
              <w:jc w:val="both"/>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Montgomery, D. (2012). </w:t>
            </w:r>
            <w:r w:rsidRPr="00BD46C8">
              <w:rPr>
                <w:rFonts w:ascii="Times New Roman" w:hAnsi="Times New Roman" w:cs="Times New Roman"/>
                <w:i/>
                <w:sz w:val="24"/>
                <w:szCs w:val="24"/>
                <w:lang w:val="en-US"/>
              </w:rPr>
              <w:t>Design and Analysis of Experiments</w:t>
            </w:r>
            <w:r w:rsidRPr="00BD46C8">
              <w:rPr>
                <w:rFonts w:ascii="Times New Roman" w:hAnsi="Times New Roman" w:cs="Times New Roman"/>
                <w:sz w:val="24"/>
                <w:szCs w:val="24"/>
                <w:lang w:val="en-US"/>
              </w:rPr>
              <w:t>. 8</w:t>
            </w:r>
            <w:r w:rsidRPr="00BD46C8">
              <w:rPr>
                <w:rFonts w:ascii="Times New Roman" w:hAnsi="Times New Roman" w:cs="Times New Roman"/>
                <w:sz w:val="24"/>
                <w:szCs w:val="24"/>
                <w:vertAlign w:val="superscript"/>
                <w:lang w:val="en-US"/>
              </w:rPr>
              <w:t>th</w:t>
            </w:r>
            <w:r w:rsidRPr="00BD46C8">
              <w:rPr>
                <w:rFonts w:ascii="Times New Roman" w:hAnsi="Times New Roman" w:cs="Times New Roman"/>
                <w:sz w:val="24"/>
                <w:szCs w:val="24"/>
                <w:lang w:val="en-US"/>
              </w:rPr>
              <w:t xml:space="preserve"> Edition, Arizona State University.</w:t>
            </w:r>
          </w:p>
          <w:p w:rsidR="00F94953" w:rsidRPr="00BD46C8" w:rsidRDefault="00F94953" w:rsidP="00911DCA">
            <w:pPr>
              <w:spacing w:line="240" w:lineRule="auto"/>
              <w:ind w:left="709" w:hanging="709"/>
              <w:rPr>
                <w:rFonts w:ascii="Times New Roman" w:hAnsi="Times New Roman" w:cs="Times New Roman"/>
                <w:iCs/>
                <w:sz w:val="24"/>
                <w:szCs w:val="24"/>
              </w:rPr>
            </w:pPr>
            <w:r w:rsidRPr="00BD46C8">
              <w:rPr>
                <w:rFonts w:ascii="Times New Roman" w:hAnsi="Times New Roman" w:cs="Times New Roman"/>
                <w:iCs/>
                <w:sz w:val="24"/>
                <w:szCs w:val="24"/>
              </w:rPr>
              <w:t xml:space="preserve">Ovejero, A. (2009). </w:t>
            </w:r>
            <w:r w:rsidRPr="00BD46C8">
              <w:rPr>
                <w:rFonts w:ascii="Times New Roman" w:hAnsi="Times New Roman" w:cs="Times New Roman"/>
                <w:i/>
                <w:iCs/>
                <w:sz w:val="24"/>
                <w:szCs w:val="24"/>
              </w:rPr>
              <w:t>Fundamentos de psicología jurídica e investigación criminal.</w:t>
            </w:r>
            <w:r w:rsidRPr="00BD46C8">
              <w:rPr>
                <w:rFonts w:ascii="Times New Roman" w:hAnsi="Times New Roman" w:cs="Times New Roman"/>
                <w:iCs/>
                <w:sz w:val="24"/>
                <w:szCs w:val="24"/>
              </w:rPr>
              <w:t xml:space="preserve"> España: Ediciones Universidad de Salamanca.</w:t>
            </w:r>
          </w:p>
          <w:p w:rsidR="00F94953" w:rsidRPr="00BD46C8" w:rsidRDefault="00F94953" w:rsidP="00911DCA">
            <w:pPr>
              <w:spacing w:line="240" w:lineRule="auto"/>
              <w:ind w:left="709" w:hanging="709"/>
              <w:jc w:val="both"/>
              <w:rPr>
                <w:rStyle w:val="Hipervnculo"/>
                <w:rFonts w:ascii="Times New Roman" w:hAnsi="Times New Roman" w:cs="Times New Roman"/>
                <w:sz w:val="24"/>
                <w:szCs w:val="24"/>
              </w:rPr>
            </w:pPr>
            <w:r w:rsidRPr="00BD46C8">
              <w:rPr>
                <w:rFonts w:ascii="Times New Roman" w:hAnsi="Times New Roman" w:cs="Times New Roman"/>
                <w:sz w:val="24"/>
                <w:szCs w:val="24"/>
              </w:rPr>
              <w:t xml:space="preserve">República de Colombia. Congreso de la República. (2004, 31 de agosto). Ley 906 de 2004 por la cual se expide el Código de Procedimiento Penal. En Diario Oficial No. 45.658 [en línea]. Disponible en: </w:t>
            </w:r>
            <w:r w:rsidRPr="00BD46C8">
              <w:rPr>
                <w:rStyle w:val="Hipervnculo"/>
                <w:rFonts w:ascii="Times New Roman" w:hAnsi="Times New Roman" w:cs="Times New Roman"/>
                <w:sz w:val="24"/>
                <w:szCs w:val="24"/>
              </w:rPr>
              <w:t>http://www.secretariasenado.gov.co/senado/basedoc/ley_0906_2004_pr006.html#252</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 xml:space="preserve">Smith, H., &amp; Flowe, H. (2015).  ROC Analysis of the Verbal Overshadowing Effect: Testing the Effect of Verbalisation on Memory Sensitivity. </w:t>
            </w:r>
            <w:r w:rsidRPr="00BD46C8">
              <w:rPr>
                <w:rFonts w:ascii="Times New Roman" w:hAnsi="Times New Roman" w:cs="Times New Roman"/>
                <w:i/>
                <w:sz w:val="24"/>
                <w:szCs w:val="24"/>
                <w:lang w:val="en-US"/>
              </w:rPr>
              <w:t>Appl. Cognit. Psychol</w:t>
            </w:r>
            <w:r w:rsidRPr="00BD46C8">
              <w:rPr>
                <w:rFonts w:ascii="Times New Roman" w:hAnsi="Times New Roman" w:cs="Times New Roman"/>
                <w:sz w:val="24"/>
                <w:szCs w:val="24"/>
                <w:lang w:val="en-US"/>
              </w:rPr>
              <w:t>. 29, 159–168.</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Sporer, S.L., Kaminski, K.S., Davids, M.C. &amp; McQuiston, D. (2015) The verbal facilitation effect: re-reading person descriptions as a system variable to improve identification performance. Memory, DOI: 10.1080/09658211.2015.1106561.</w:t>
            </w:r>
          </w:p>
          <w:p w:rsidR="00F94953" w:rsidRPr="00BD46C8" w:rsidRDefault="00F94953" w:rsidP="00911DCA">
            <w:pPr>
              <w:autoSpaceDE w:val="0"/>
              <w:autoSpaceDN w:val="0"/>
              <w:adjustRightInd w:val="0"/>
              <w:spacing w:line="240" w:lineRule="auto"/>
              <w:ind w:left="709" w:hanging="709"/>
              <w:rPr>
                <w:rFonts w:ascii="Times New Roman" w:hAnsi="Times New Roman" w:cs="Times New Roman"/>
                <w:sz w:val="24"/>
                <w:szCs w:val="24"/>
                <w:lang w:val="en-US"/>
              </w:rPr>
            </w:pPr>
            <w:r w:rsidRPr="00BD46C8">
              <w:rPr>
                <w:rFonts w:ascii="Times New Roman" w:hAnsi="Times New Roman" w:cs="Times New Roman"/>
                <w:sz w:val="24"/>
                <w:szCs w:val="24"/>
                <w:lang w:val="en-US"/>
              </w:rPr>
              <w:t>Wells, G. L., Steblay, N. K., &amp; Dysart, J. E. (2015). Double-blind photo lineups using actual eyewitnesses: An experimental test of a sequential versus simultaneous lineup procedure. Law and Human Behavior, 39, 1–14.</w:t>
            </w:r>
          </w:p>
          <w:p w:rsidR="00F94953" w:rsidRPr="00BD46C8" w:rsidRDefault="00F94953" w:rsidP="00911DCA">
            <w:pPr>
              <w:spacing w:line="240" w:lineRule="auto"/>
              <w:ind w:left="709" w:hanging="709"/>
              <w:jc w:val="both"/>
              <w:rPr>
                <w:rStyle w:val="Hipervnculo"/>
                <w:rFonts w:ascii="Times New Roman" w:hAnsi="Times New Roman" w:cs="Times New Roman"/>
                <w:sz w:val="24"/>
                <w:szCs w:val="24"/>
                <w:shd w:val="clear" w:color="auto" w:fill="FFFFFF"/>
                <w:lang w:val="en-US"/>
              </w:rPr>
            </w:pPr>
            <w:r w:rsidRPr="00BD46C8">
              <w:rPr>
                <w:rFonts w:ascii="Times New Roman" w:hAnsi="Times New Roman" w:cs="Times New Roman"/>
                <w:sz w:val="24"/>
                <w:szCs w:val="24"/>
                <w:lang w:val="en-US"/>
              </w:rPr>
              <w:t xml:space="preserve">Wells, G., Memon, A., &amp; Penrod, S. (2006). Eyewitness evidence: improving its probative value. </w:t>
            </w:r>
            <w:r w:rsidRPr="00BD46C8">
              <w:rPr>
                <w:rFonts w:ascii="Times New Roman" w:hAnsi="Times New Roman" w:cs="Times New Roman"/>
                <w:i/>
                <w:sz w:val="24"/>
                <w:szCs w:val="24"/>
                <w:lang w:val="en-US"/>
              </w:rPr>
              <w:t xml:space="preserve">Psychol Sci Public Interest. 7. </w:t>
            </w:r>
            <w:r w:rsidRPr="00BD46C8">
              <w:rPr>
                <w:rFonts w:ascii="Times New Roman" w:hAnsi="Times New Roman" w:cs="Times New Roman"/>
                <w:sz w:val="24"/>
                <w:szCs w:val="24"/>
                <w:lang w:val="en-US"/>
              </w:rPr>
              <w:t xml:space="preserve">2. 45-75 doi </w:t>
            </w:r>
            <w:hyperlink r:id="rId15" w:tgtFrame="_blank" w:history="1">
              <w:r w:rsidRPr="00BD46C8">
                <w:rPr>
                  <w:rStyle w:val="Hipervnculo"/>
                  <w:rFonts w:ascii="Times New Roman" w:hAnsi="Times New Roman" w:cs="Times New Roman"/>
                  <w:sz w:val="24"/>
                  <w:szCs w:val="24"/>
                  <w:shd w:val="clear" w:color="auto" w:fill="FFFFFF"/>
                  <w:lang w:val="en-US"/>
                </w:rPr>
                <w:t>10.1111/j.1529-1006.</w:t>
              </w:r>
              <w:proofErr w:type="gramStart"/>
              <w:r w:rsidRPr="00BD46C8">
                <w:rPr>
                  <w:rStyle w:val="Hipervnculo"/>
                  <w:rFonts w:ascii="Times New Roman" w:hAnsi="Times New Roman" w:cs="Times New Roman"/>
                  <w:sz w:val="24"/>
                  <w:szCs w:val="24"/>
                  <w:shd w:val="clear" w:color="auto" w:fill="FFFFFF"/>
                  <w:lang w:val="en-US"/>
                </w:rPr>
                <w:t>2006.00027.x</w:t>
              </w:r>
              <w:proofErr w:type="gramEnd"/>
            </w:hyperlink>
          </w:p>
          <w:p w:rsidR="00F94953" w:rsidRDefault="00F94953" w:rsidP="00911DCA">
            <w:pPr>
              <w:autoSpaceDE w:val="0"/>
              <w:autoSpaceDN w:val="0"/>
              <w:adjustRightInd w:val="0"/>
              <w:spacing w:line="240" w:lineRule="auto"/>
              <w:ind w:left="709" w:hanging="709"/>
              <w:rPr>
                <w:rFonts w:ascii="Arial" w:eastAsia="Times New Roman" w:hAnsi="Arial" w:cs="Arial"/>
                <w:b/>
                <w:bCs/>
                <w:color w:val="222222"/>
                <w:sz w:val="24"/>
                <w:szCs w:val="24"/>
                <w:lang w:eastAsia="es-CO"/>
              </w:rPr>
            </w:pPr>
            <w:r w:rsidRPr="00BD46C8">
              <w:rPr>
                <w:rFonts w:ascii="Times New Roman" w:hAnsi="Times New Roman" w:cs="Times New Roman"/>
                <w:sz w:val="24"/>
                <w:szCs w:val="24"/>
                <w:lang w:val="en-US"/>
              </w:rPr>
              <w:t xml:space="preserve">Wogalter, M. S. (1996). Describing faces from memory: accuracy and effects on subsequent recognition performance. </w:t>
            </w:r>
            <w:r w:rsidRPr="00BD46C8">
              <w:rPr>
                <w:rFonts w:ascii="Times New Roman" w:hAnsi="Times New Roman" w:cs="Times New Roman"/>
                <w:i/>
                <w:sz w:val="24"/>
                <w:szCs w:val="24"/>
                <w:lang w:val="en-US"/>
              </w:rPr>
              <w:t xml:space="preserve">Proceedings of the human factors and ergonomics society. 40. </w:t>
            </w:r>
            <w:r w:rsidRPr="00BD46C8">
              <w:rPr>
                <w:rFonts w:ascii="Times New Roman" w:hAnsi="Times New Roman" w:cs="Times New Roman"/>
                <w:sz w:val="24"/>
                <w:szCs w:val="24"/>
                <w:lang w:val="en-US"/>
              </w:rPr>
              <w:t>536-540</w:t>
            </w:r>
          </w:p>
          <w:p w:rsidR="00F94953" w:rsidRDefault="00F94953" w:rsidP="00911DCA">
            <w:pPr>
              <w:rPr>
                <w:rFonts w:ascii="Arial" w:eastAsia="Times New Roman" w:hAnsi="Arial" w:cs="Arial"/>
                <w:b/>
                <w:bCs/>
                <w:color w:val="222222"/>
                <w:sz w:val="24"/>
                <w:szCs w:val="24"/>
                <w:lang w:eastAsia="es-CO"/>
              </w:rPr>
            </w:pPr>
          </w:p>
          <w:p w:rsidR="00F94953" w:rsidRDefault="00F94953" w:rsidP="00911DCA">
            <w:pPr>
              <w:rPr>
                <w:rFonts w:ascii="Arial" w:eastAsia="Times New Roman" w:hAnsi="Arial" w:cs="Arial"/>
                <w:b/>
                <w:bCs/>
                <w:color w:val="222222"/>
                <w:sz w:val="24"/>
                <w:szCs w:val="24"/>
                <w:lang w:eastAsia="es-CO"/>
              </w:rPr>
            </w:pPr>
          </w:p>
          <w:p w:rsidR="00F94953" w:rsidRDefault="00F94953" w:rsidP="00911DCA">
            <w:pPr>
              <w:rPr>
                <w:rFonts w:ascii="Arial" w:eastAsia="Times New Roman" w:hAnsi="Arial" w:cs="Arial"/>
                <w:b/>
                <w:bCs/>
                <w:color w:val="222222"/>
                <w:sz w:val="24"/>
                <w:szCs w:val="24"/>
                <w:lang w:eastAsia="es-CO"/>
              </w:rPr>
            </w:pPr>
          </w:p>
          <w:p w:rsidR="00F94953" w:rsidRDefault="00F94953" w:rsidP="00911DCA">
            <w:pPr>
              <w:rPr>
                <w:rFonts w:ascii="Arial" w:eastAsia="Times New Roman" w:hAnsi="Arial" w:cs="Arial"/>
                <w:b/>
                <w:bCs/>
                <w:color w:val="222222"/>
                <w:sz w:val="24"/>
                <w:szCs w:val="24"/>
                <w:lang w:eastAsia="es-CO"/>
              </w:rPr>
            </w:pPr>
            <w:bookmarkStart w:id="1" w:name="_GoBack"/>
            <w:bookmarkEnd w:id="1"/>
          </w:p>
        </w:tc>
      </w:tr>
    </w:tbl>
    <w:p w:rsidR="00642463" w:rsidRPr="003F00A9" w:rsidRDefault="00642463" w:rsidP="003F00A9">
      <w:pPr>
        <w:spacing w:line="276" w:lineRule="auto"/>
        <w:jc w:val="center"/>
        <w:rPr>
          <w:rFonts w:ascii="Times New Roman" w:hAnsi="Times New Roman" w:cs="Times New Roman"/>
          <w:b/>
          <w:sz w:val="24"/>
          <w:szCs w:val="24"/>
          <w:lang w:val="es-ES"/>
        </w:rPr>
      </w:pPr>
    </w:p>
    <w:sectPr w:rsidR="00642463" w:rsidRPr="003F00A9" w:rsidSect="00265B89">
      <w:headerReference w:type="even" r:id="rId16"/>
      <w:headerReference w:type="default" r:id="rId17"/>
      <w:footerReference w:type="default" r:id="rId18"/>
      <w:headerReference w:type="first" r:id="rId19"/>
      <w:footerReference w:type="first" r:id="rId20"/>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106F" w:rsidRDefault="0092106F" w:rsidP="00F14D0D">
      <w:pPr>
        <w:spacing w:after="0" w:line="240" w:lineRule="auto"/>
      </w:pPr>
      <w:r>
        <w:separator/>
      </w:r>
    </w:p>
  </w:endnote>
  <w:endnote w:type="continuationSeparator" w:id="0">
    <w:p w:rsidR="0092106F" w:rsidRDefault="0092106F"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TimesNewRomanPSMT">
    <w:altName w:val="Yu Gothic"/>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E3B" w:rsidRDefault="002B6E3B">
    <w:pPr>
      <w:pStyle w:val="Piedepgina"/>
    </w:pPr>
    <w:r w:rsidRPr="00ED1717">
      <w:rPr>
        <w:noProof/>
        <w:lang w:eastAsia="es-CO"/>
      </w:rPr>
      <w:drawing>
        <wp:anchor distT="0" distB="0" distL="114300" distR="114300" simplePos="0" relativeHeight="251688960" behindDoc="0" locked="0" layoutInCell="1" allowOverlap="1" wp14:anchorId="7DEFBFC1" wp14:editId="719C529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E3B" w:rsidRDefault="002B6E3B">
    <w:pPr>
      <w:pStyle w:val="Piedepgina"/>
    </w:pPr>
    <w:r>
      <w:rPr>
        <w:noProof/>
        <w:lang w:eastAsia="es-CO"/>
      </w:rPr>
      <w:drawing>
        <wp:anchor distT="0" distB="0" distL="114300" distR="114300" simplePos="0" relativeHeight="251679744" behindDoc="0" locked="0" layoutInCell="1" allowOverlap="1" wp14:anchorId="1B6510E0" wp14:editId="0F451BAC">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106F" w:rsidRDefault="0092106F" w:rsidP="00F14D0D">
      <w:pPr>
        <w:spacing w:after="0" w:line="240" w:lineRule="auto"/>
      </w:pPr>
      <w:r>
        <w:separator/>
      </w:r>
    </w:p>
  </w:footnote>
  <w:footnote w:type="continuationSeparator" w:id="0">
    <w:p w:rsidR="0092106F" w:rsidRDefault="0092106F" w:rsidP="00F1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E3B" w:rsidRDefault="002B6E3B">
    <w:pPr>
      <w:pStyle w:val="Encabezado"/>
    </w:pPr>
    <w:r>
      <w:rPr>
        <w:noProof/>
      </w:rPr>
      <w:pict w14:anchorId="48C0A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E3B" w:rsidRDefault="002B6E3B"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432BB353" wp14:editId="7E8B5688">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6E3B" w:rsidRDefault="002B6E3B" w:rsidP="004F1944">
    <w:pPr>
      <w:pStyle w:val="Encabezado"/>
      <w:jc w:val="right"/>
      <w:rPr>
        <w:sz w:val="14"/>
        <w:szCs w:val="16"/>
        <w:lang w:val="es-ES"/>
      </w:rPr>
    </w:pPr>
  </w:p>
  <w:p w:rsidR="002B6E3B" w:rsidRPr="004F1944" w:rsidRDefault="002B6E3B"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2</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6</w:t>
    </w:r>
    <w:r w:rsidRPr="006930C8">
      <w:rPr>
        <w:b/>
        <w:bCs/>
        <w:sz w:val="14"/>
        <w:szCs w:val="16"/>
      </w:rPr>
      <w:fldChar w:fldCharType="end"/>
    </w:r>
    <w:r>
      <w:rPr>
        <w:noProof/>
        <w:lang w:eastAsia="es-CO"/>
      </w:rPr>
      <w:pict w14:anchorId="28236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36580"/>
      <w:docPartObj>
        <w:docPartGallery w:val="Page Numbers (Top of Page)"/>
        <w:docPartUnique/>
      </w:docPartObj>
    </w:sdtPr>
    <w:sdtEndPr>
      <w:rPr>
        <w:b/>
      </w:rPr>
    </w:sdtEndPr>
    <w:sdtContent>
      <w:p w:rsidR="002B6E3B" w:rsidRDefault="002B6E3B"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0840B03" wp14:editId="24A737ED">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6E3B" w:rsidRDefault="002B6E3B"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6</w:t>
        </w:r>
        <w:r w:rsidRPr="006930C8">
          <w:rPr>
            <w:b/>
            <w:bCs/>
            <w:sz w:val="14"/>
            <w:szCs w:val="16"/>
          </w:rPr>
          <w:fldChar w:fldCharType="end"/>
        </w: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rsidR="002B6E3B" w:rsidRPr="00A34F4E" w:rsidRDefault="002B6E3B" w:rsidP="00A34F4E">
    <w:pPr>
      <w:pStyle w:val="Encabezado"/>
      <w:jc w:val="right"/>
      <w:rPr>
        <w:sz w:val="14"/>
        <w:szCs w:val="16"/>
      </w:rPr>
    </w:pPr>
    <w:r>
      <w:rPr>
        <w:noProof/>
      </w:rPr>
      <w:pict w14:anchorId="22AFA7BF">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3887FF4"/>
    <w:multiLevelType w:val="multilevel"/>
    <w:tmpl w:val="EFC4F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0" w:nlCheck="1" w:checkStyle="0"/>
  <w:activeWritingStyle w:appName="MSWord" w:lang="es-ES" w:vendorID="64" w:dllVersion="0" w:nlCheck="1" w:checkStyle="0"/>
  <w:activeWritingStyle w:appName="MSWord" w:lang="en-US" w:vendorID="64" w:dllVersion="0" w:nlCheck="1" w:checkStyle="0"/>
  <w:proofState w:grammar="clean"/>
  <w:defaultTabStop w:val="708"/>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0D"/>
    <w:rsid w:val="00005BF8"/>
    <w:rsid w:val="00005D34"/>
    <w:rsid w:val="00061113"/>
    <w:rsid w:val="000720B3"/>
    <w:rsid w:val="0009117E"/>
    <w:rsid w:val="000A1F3D"/>
    <w:rsid w:val="000C2604"/>
    <w:rsid w:val="000D4132"/>
    <w:rsid w:val="00141983"/>
    <w:rsid w:val="00182F6F"/>
    <w:rsid w:val="00194D98"/>
    <w:rsid w:val="001C6852"/>
    <w:rsid w:val="001C71E1"/>
    <w:rsid w:val="001D6087"/>
    <w:rsid w:val="001F6D20"/>
    <w:rsid w:val="00251442"/>
    <w:rsid w:val="00251825"/>
    <w:rsid w:val="002652B5"/>
    <w:rsid w:val="00265B89"/>
    <w:rsid w:val="00280851"/>
    <w:rsid w:val="0028198F"/>
    <w:rsid w:val="002A18AF"/>
    <w:rsid w:val="002B1A55"/>
    <w:rsid w:val="002B6E3B"/>
    <w:rsid w:val="002B7187"/>
    <w:rsid w:val="002C3E46"/>
    <w:rsid w:val="002F21F2"/>
    <w:rsid w:val="00311E44"/>
    <w:rsid w:val="00343306"/>
    <w:rsid w:val="0036247F"/>
    <w:rsid w:val="00387219"/>
    <w:rsid w:val="003A22B3"/>
    <w:rsid w:val="003D2DF8"/>
    <w:rsid w:val="003F00A9"/>
    <w:rsid w:val="00403605"/>
    <w:rsid w:val="00463522"/>
    <w:rsid w:val="004A0718"/>
    <w:rsid w:val="004D6E9B"/>
    <w:rsid w:val="004E4FE4"/>
    <w:rsid w:val="004F1944"/>
    <w:rsid w:val="00515B61"/>
    <w:rsid w:val="00535D0F"/>
    <w:rsid w:val="00565FE6"/>
    <w:rsid w:val="0058167B"/>
    <w:rsid w:val="00582B5F"/>
    <w:rsid w:val="00583222"/>
    <w:rsid w:val="005C6AF4"/>
    <w:rsid w:val="005D3A79"/>
    <w:rsid w:val="005D7AC3"/>
    <w:rsid w:val="005F02F0"/>
    <w:rsid w:val="006021B7"/>
    <w:rsid w:val="0061319F"/>
    <w:rsid w:val="00617F7C"/>
    <w:rsid w:val="00642463"/>
    <w:rsid w:val="0067092C"/>
    <w:rsid w:val="00676308"/>
    <w:rsid w:val="006930C8"/>
    <w:rsid w:val="00694B49"/>
    <w:rsid w:val="006D59B8"/>
    <w:rsid w:val="006E3336"/>
    <w:rsid w:val="006F4699"/>
    <w:rsid w:val="006F7BEA"/>
    <w:rsid w:val="007002B4"/>
    <w:rsid w:val="00712F55"/>
    <w:rsid w:val="00737531"/>
    <w:rsid w:val="0076408E"/>
    <w:rsid w:val="00767012"/>
    <w:rsid w:val="00794EE7"/>
    <w:rsid w:val="007E1E78"/>
    <w:rsid w:val="008A1390"/>
    <w:rsid w:val="008C1647"/>
    <w:rsid w:val="008D2ED2"/>
    <w:rsid w:val="008D47D0"/>
    <w:rsid w:val="008D6920"/>
    <w:rsid w:val="009021D0"/>
    <w:rsid w:val="009038BA"/>
    <w:rsid w:val="00915155"/>
    <w:rsid w:val="0092106F"/>
    <w:rsid w:val="00922517"/>
    <w:rsid w:val="00924CCC"/>
    <w:rsid w:val="00942724"/>
    <w:rsid w:val="00944309"/>
    <w:rsid w:val="0099314B"/>
    <w:rsid w:val="009974C6"/>
    <w:rsid w:val="009A4138"/>
    <w:rsid w:val="009C1711"/>
    <w:rsid w:val="009D2CE3"/>
    <w:rsid w:val="009F368A"/>
    <w:rsid w:val="00A04BC7"/>
    <w:rsid w:val="00A34F4E"/>
    <w:rsid w:val="00A512B6"/>
    <w:rsid w:val="00AC47BF"/>
    <w:rsid w:val="00B00682"/>
    <w:rsid w:val="00B2385F"/>
    <w:rsid w:val="00B35FB6"/>
    <w:rsid w:val="00B6632E"/>
    <w:rsid w:val="00B66D74"/>
    <w:rsid w:val="00B705C7"/>
    <w:rsid w:val="00BB19D9"/>
    <w:rsid w:val="00BB1DE8"/>
    <w:rsid w:val="00C15915"/>
    <w:rsid w:val="00C17434"/>
    <w:rsid w:val="00C233D0"/>
    <w:rsid w:val="00C4364A"/>
    <w:rsid w:val="00C46EE5"/>
    <w:rsid w:val="00C5405E"/>
    <w:rsid w:val="00C57E95"/>
    <w:rsid w:val="00C65B97"/>
    <w:rsid w:val="00C7499F"/>
    <w:rsid w:val="00CB03E7"/>
    <w:rsid w:val="00CB1DDB"/>
    <w:rsid w:val="00CC77C3"/>
    <w:rsid w:val="00D05F45"/>
    <w:rsid w:val="00D07C22"/>
    <w:rsid w:val="00D11105"/>
    <w:rsid w:val="00D2386B"/>
    <w:rsid w:val="00D540AA"/>
    <w:rsid w:val="00D90853"/>
    <w:rsid w:val="00DC124D"/>
    <w:rsid w:val="00DE419F"/>
    <w:rsid w:val="00E034DF"/>
    <w:rsid w:val="00E41954"/>
    <w:rsid w:val="00E55B73"/>
    <w:rsid w:val="00E6008D"/>
    <w:rsid w:val="00E65262"/>
    <w:rsid w:val="00E75BAD"/>
    <w:rsid w:val="00E762C6"/>
    <w:rsid w:val="00EA042A"/>
    <w:rsid w:val="00EA5619"/>
    <w:rsid w:val="00EC5323"/>
    <w:rsid w:val="00ED1717"/>
    <w:rsid w:val="00ED205E"/>
    <w:rsid w:val="00EE52EF"/>
    <w:rsid w:val="00F14D0D"/>
    <w:rsid w:val="00F243E8"/>
    <w:rsid w:val="00F34710"/>
    <w:rsid w:val="00F55938"/>
    <w:rsid w:val="00F94953"/>
    <w:rsid w:val="00FA5249"/>
    <w:rsid w:val="00FB33BC"/>
    <w:rsid w:val="00FC2DA2"/>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8BE66EE"/>
  <w15:chartTrackingRefBased/>
  <w15:docId w15:val="{31F155E0-AC98-48EF-99BE-C4E14B4B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7434"/>
  </w:style>
  <w:style w:type="paragraph" w:styleId="Ttulo1">
    <w:name w:val="heading 1"/>
    <w:basedOn w:val="Normal"/>
    <w:next w:val="Normal"/>
    <w:link w:val="Ttulo1Car"/>
    <w:uiPriority w:val="9"/>
    <w:qFormat/>
    <w:rsid w:val="003F00A9"/>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5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paragraph" w:styleId="HTMLconformatoprevio">
    <w:name w:val="HTML Preformatted"/>
    <w:basedOn w:val="Normal"/>
    <w:link w:val="HTMLconformatoprevioCar"/>
    <w:uiPriority w:val="99"/>
    <w:unhideWhenUsed/>
    <w:rsid w:val="003F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rsid w:val="003F00A9"/>
    <w:rPr>
      <w:rFonts w:ascii="Courier New" w:eastAsia="Times New Roman" w:hAnsi="Courier New" w:cs="Courier New"/>
      <w:sz w:val="20"/>
      <w:szCs w:val="20"/>
      <w:lang w:eastAsia="es-CO"/>
    </w:rPr>
  </w:style>
  <w:style w:type="character" w:customStyle="1" w:styleId="apple-converted-space">
    <w:name w:val="apple-converted-space"/>
    <w:basedOn w:val="Fuentedeprrafopredeter"/>
    <w:rsid w:val="003F00A9"/>
  </w:style>
  <w:style w:type="character" w:customStyle="1" w:styleId="Ttulo1Car">
    <w:name w:val="Título 1 Car"/>
    <w:basedOn w:val="Fuentedeprrafopredeter"/>
    <w:link w:val="Ttulo1"/>
    <w:uiPriority w:val="9"/>
    <w:rsid w:val="003F00A9"/>
    <w:rPr>
      <w:rFonts w:asciiTheme="majorHAnsi" w:eastAsiaTheme="majorEastAsia" w:hAnsiTheme="majorHAnsi" w:cstheme="majorBidi"/>
      <w:color w:val="2E74B5" w:themeColor="accent1" w:themeShade="BF"/>
      <w:sz w:val="32"/>
      <w:szCs w:val="3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376707484">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1137301" TargetMode="External"/><Relationship Id="rId13" Type="http://schemas.openxmlformats.org/officeDocument/2006/relationships/hyperlink" Target="https://scholar.google.com/citations?user=HBgECD8AAAAJ&amp;hl=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rcid.org/0000-0002-0229-8627"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nti.colciencias.gov.co:8081/cvlac/visualizador/generarCurriculoCv.do?cod_rh=0001407687" TargetMode="External"/><Relationship Id="rId5" Type="http://schemas.openxmlformats.org/officeDocument/2006/relationships/webSettings" Target="webSettings.xml"/><Relationship Id="rId15" Type="http://schemas.openxmlformats.org/officeDocument/2006/relationships/hyperlink" Target="https://doi.org/10.1111/j.1529-1006.2006.00027.x" TargetMode="External"/><Relationship Id="rId10" Type="http://schemas.openxmlformats.org/officeDocument/2006/relationships/hyperlink" Target="https://scholar.google.es/citations?hl=es&amp;pli=1&amp;user=aa2wx2QAAAAJ"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orcid.org/0000-0001-7129-2459" TargetMode="External"/><Relationship Id="rId14" Type="http://schemas.openxmlformats.org/officeDocument/2006/relationships/hyperlink" Target="javascript:XslPostBack('ctl00$ctl00$MainContentArea$MainContentArea$xslResults','ThesaurusLink','LinkTarget%7CauthorityList%24LinkTerm%7CDE%2B%2522Witnesses%2522');"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1B58F-3195-4B98-A209-E03AF4CE8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5527</Words>
  <Characters>30404</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Jazmin Andrea Guerrero Zapata</cp:lastModifiedBy>
  <cp:revision>2</cp:revision>
  <cp:lastPrinted>2019-05-21T14:57:00Z</cp:lastPrinted>
  <dcterms:created xsi:type="dcterms:W3CDTF">2019-08-09T04:03:00Z</dcterms:created>
  <dcterms:modified xsi:type="dcterms:W3CDTF">2019-08-09T04:03:00Z</dcterms:modified>
</cp:coreProperties>
</file>