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0C774" w14:textId="77777777" w:rsidR="008255C5" w:rsidRPr="008C143A" w:rsidRDefault="008255C5" w:rsidP="008255C5">
      <w:pPr>
        <w:pStyle w:val="Parte1"/>
        <w:rPr>
          <w:color w:val="auto"/>
        </w:rPr>
      </w:pPr>
      <w:bookmarkStart w:id="0" w:name="_Toc511588032"/>
      <w:bookmarkStart w:id="1" w:name="_Toc423854822"/>
      <w:bookmarkStart w:id="2" w:name="_Toc21376988"/>
      <w:r w:rsidRPr="008C143A">
        <w:rPr>
          <w:color w:val="auto"/>
        </w:rPr>
        <w:t xml:space="preserve">SECCIÓN  2 </w:t>
      </w:r>
    </w:p>
    <w:p w14:paraId="7EA07691" w14:textId="77777777" w:rsidR="008255C5" w:rsidRPr="008C143A" w:rsidRDefault="008255C5" w:rsidP="008255C5">
      <w:pPr>
        <w:pStyle w:val="Parte1"/>
        <w:rPr>
          <w:color w:val="auto"/>
        </w:rPr>
      </w:pPr>
      <w:r w:rsidRPr="008C143A">
        <w:rPr>
          <w:color w:val="auto"/>
        </w:rPr>
        <w:t>TEMAS COMPLEMENTARIOS</w:t>
      </w:r>
      <w:bookmarkEnd w:id="0"/>
      <w:bookmarkEnd w:id="1"/>
      <w:bookmarkEnd w:id="2"/>
    </w:p>
    <w:p w14:paraId="6CF1992D" w14:textId="77777777" w:rsidR="008255C5" w:rsidRPr="00A2258D" w:rsidRDefault="008255C5" w:rsidP="008255C5">
      <w:pPr>
        <w:spacing w:after="160" w:line="259" w:lineRule="auto"/>
        <w:rPr>
          <w:rFonts w:ascii="Times New Roman" w:eastAsia="Times New Roman" w:hAnsi="Times New Roman" w:cs="Times New Roman"/>
          <w:color w:val="000000"/>
          <w:sz w:val="20"/>
          <w:szCs w:val="20"/>
          <w:lang w:val="es-ES_tradnl" w:eastAsia="es-ES"/>
        </w:rPr>
      </w:pPr>
      <w:r w:rsidRPr="00A2258D">
        <w:rPr>
          <w:rFonts w:ascii="Times New Roman" w:eastAsia="Times New Roman" w:hAnsi="Times New Roman" w:cs="Times New Roman"/>
          <w:color w:val="000000"/>
          <w:sz w:val="20"/>
          <w:szCs w:val="20"/>
          <w:lang w:val="es-ES_tradnl" w:eastAsia="es-ES"/>
        </w:rPr>
        <w:br w:type="page"/>
      </w:r>
    </w:p>
    <w:p w14:paraId="0B8E40F9" w14:textId="77777777" w:rsidR="008255C5" w:rsidRPr="00A2258D" w:rsidRDefault="008255C5" w:rsidP="008255C5">
      <w:pPr>
        <w:pStyle w:val="Captulos"/>
      </w:pPr>
      <w:bookmarkStart w:id="3" w:name="_Toc511588034"/>
      <w:bookmarkStart w:id="4" w:name="_Toc423854823"/>
      <w:bookmarkStart w:id="5" w:name="_Toc21376989"/>
      <w:r w:rsidRPr="00A2258D">
        <w:lastRenderedPageBreak/>
        <w:t>CAPÍTULO 7. Evaluación de competencias en el Área Contable, de la Contaduría Pública profesional: Conceptos.</w:t>
      </w:r>
      <w:bookmarkEnd w:id="3"/>
      <w:bookmarkEnd w:id="4"/>
      <w:bookmarkEnd w:id="5"/>
    </w:p>
    <w:p w14:paraId="6B5F3A0A" w14:textId="77777777" w:rsidR="008255C5" w:rsidRPr="00A2258D" w:rsidRDefault="008255C5" w:rsidP="008255C5">
      <w:pPr>
        <w:pStyle w:val="Captulos"/>
      </w:pPr>
    </w:p>
    <w:p w14:paraId="3F428A91" w14:textId="77777777" w:rsidR="008255C5" w:rsidRPr="00A2258D" w:rsidRDefault="008255C5" w:rsidP="008255C5">
      <w:pPr>
        <w:spacing w:after="0"/>
        <w:jc w:val="right"/>
        <w:rPr>
          <w:rStyle w:val="Ancladenotaalpie"/>
          <w:rFonts w:ascii="Times New Roman" w:hAnsi="Times New Roman"/>
          <w:i/>
          <w:sz w:val="24"/>
          <w:szCs w:val="24"/>
          <w:lang w:eastAsia="zh-CN"/>
        </w:rPr>
      </w:pPr>
      <w:r w:rsidRPr="00A2258D">
        <w:rPr>
          <w:rStyle w:val="Ancladenotaalpie"/>
          <w:rFonts w:ascii="Times New Roman" w:hAnsi="Times New Roman"/>
          <w:i/>
          <w:sz w:val="24"/>
          <w:szCs w:val="24"/>
          <w:lang w:eastAsia="zh-CN"/>
        </w:rPr>
        <w:t>Oscar Yamith Duque Cruz</w:t>
      </w:r>
      <w:r w:rsidRPr="00A2258D">
        <w:rPr>
          <w:rStyle w:val="Refdenotaalpie"/>
          <w:rFonts w:ascii="Times New Roman" w:hAnsi="Times New Roman"/>
          <w:i/>
          <w:sz w:val="20"/>
          <w:szCs w:val="20"/>
          <w:lang w:eastAsia="zh-CN"/>
        </w:rPr>
        <w:footnoteReference w:id="1"/>
      </w:r>
    </w:p>
    <w:p w14:paraId="76CABD1B" w14:textId="77777777" w:rsidR="008255C5" w:rsidRPr="00A2258D" w:rsidRDefault="008255C5" w:rsidP="008255C5">
      <w:pPr>
        <w:spacing w:after="0"/>
        <w:jc w:val="right"/>
        <w:rPr>
          <w:rStyle w:val="Ancladenotaalpie"/>
          <w:rFonts w:ascii="Times New Roman" w:hAnsi="Times New Roman"/>
          <w:i/>
          <w:sz w:val="24"/>
          <w:szCs w:val="24"/>
          <w:lang w:eastAsia="zh-CN"/>
        </w:rPr>
      </w:pPr>
      <w:r w:rsidRPr="00A2258D">
        <w:rPr>
          <w:rStyle w:val="Ancladenotaalpie"/>
          <w:rFonts w:ascii="Times New Roman" w:hAnsi="Times New Roman"/>
          <w:i/>
          <w:sz w:val="24"/>
          <w:szCs w:val="24"/>
          <w:lang w:eastAsia="zh-CN"/>
        </w:rPr>
        <w:t>Gabriel Moreno</w:t>
      </w:r>
      <w:r w:rsidRPr="00A2258D">
        <w:rPr>
          <w:rStyle w:val="Refdenotaalpie"/>
          <w:rFonts w:ascii="Times New Roman" w:hAnsi="Times New Roman"/>
          <w:i/>
          <w:sz w:val="24"/>
          <w:szCs w:val="24"/>
          <w:lang w:eastAsia="zh-CN"/>
        </w:rPr>
        <w:footnoteReference w:id="2"/>
      </w:r>
    </w:p>
    <w:p w14:paraId="5AC5AC3E" w14:textId="77777777" w:rsidR="008255C5" w:rsidRPr="00A2258D" w:rsidRDefault="008255C5" w:rsidP="008255C5">
      <w:pPr>
        <w:spacing w:after="0"/>
        <w:rPr>
          <w:rFonts w:ascii="Times New Roman" w:hAnsi="Times New Roman"/>
          <w:b/>
          <w:sz w:val="24"/>
          <w:szCs w:val="24"/>
        </w:rPr>
      </w:pPr>
    </w:p>
    <w:p w14:paraId="6C6DB50A" w14:textId="77777777" w:rsidR="008255C5" w:rsidRPr="00A2258D" w:rsidRDefault="008255C5" w:rsidP="008255C5">
      <w:pPr>
        <w:spacing w:after="160" w:line="259" w:lineRule="auto"/>
        <w:rPr>
          <w:rFonts w:ascii="Times New Roman" w:hAnsi="Times New Roman"/>
          <w:b/>
          <w:sz w:val="24"/>
          <w:szCs w:val="24"/>
        </w:rPr>
      </w:pPr>
      <w:r w:rsidRPr="00A2258D">
        <w:rPr>
          <w:rFonts w:ascii="Times New Roman" w:hAnsi="Times New Roman"/>
          <w:b/>
          <w:sz w:val="24"/>
          <w:szCs w:val="24"/>
        </w:rPr>
        <w:br w:type="page"/>
      </w:r>
    </w:p>
    <w:p w14:paraId="47C73DC3" w14:textId="77777777" w:rsidR="008255C5" w:rsidRPr="00A2258D" w:rsidRDefault="008255C5" w:rsidP="008255C5">
      <w:pPr>
        <w:spacing w:after="0"/>
        <w:rPr>
          <w:rFonts w:ascii="Times New Roman" w:hAnsi="Times New Roman"/>
          <w:b/>
          <w:sz w:val="24"/>
          <w:szCs w:val="24"/>
        </w:rPr>
      </w:pPr>
      <w:r w:rsidRPr="00A2258D">
        <w:rPr>
          <w:rFonts w:ascii="Times New Roman" w:hAnsi="Times New Roman"/>
          <w:b/>
          <w:sz w:val="24"/>
          <w:szCs w:val="24"/>
        </w:rPr>
        <w:lastRenderedPageBreak/>
        <w:t>Introducción.</w:t>
      </w:r>
    </w:p>
    <w:p w14:paraId="419948DE" w14:textId="77777777" w:rsidR="008255C5" w:rsidRPr="00A2258D" w:rsidRDefault="008255C5" w:rsidP="008255C5">
      <w:pPr>
        <w:spacing w:after="0"/>
        <w:jc w:val="both"/>
      </w:pPr>
    </w:p>
    <w:p w14:paraId="308D3D1F"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 xml:space="preserve">La formación es una tarea permanente que requiere entre otros aspectos, la articulación entre los diferentes procesos, como por ejemplo la enseñanza con la evaluación; sin embargo, ello que pareciera evidente no siempre se cumple y es así como se observa por ejemplo que en términos de realidad se revisan y utilizan nuevas didácticas, pero que, al evaluar, la concepción y metodologías utilizadas no son correspondientes. Así, el interés en este </w:t>
      </w:r>
      <w:proofErr w:type="gramStart"/>
      <w:r w:rsidRPr="00A2258D">
        <w:rPr>
          <w:rFonts w:ascii="Times New Roman" w:hAnsi="Times New Roman"/>
          <w:sz w:val="24"/>
          <w:szCs w:val="24"/>
        </w:rPr>
        <w:t>capítulo,</w:t>
      </w:r>
      <w:proofErr w:type="gramEnd"/>
      <w:r w:rsidRPr="00A2258D">
        <w:rPr>
          <w:rFonts w:ascii="Times New Roman" w:hAnsi="Times New Roman"/>
          <w:sz w:val="24"/>
          <w:szCs w:val="24"/>
        </w:rPr>
        <w:t xml:space="preserve"> es el de realizar una revisión teórico-conceptual acerca de la evaluación de competencias en el área contable.</w:t>
      </w:r>
    </w:p>
    <w:p w14:paraId="356EAB40" w14:textId="77777777" w:rsidR="008255C5" w:rsidRPr="00A2258D" w:rsidRDefault="008255C5" w:rsidP="008255C5">
      <w:pPr>
        <w:spacing w:after="0"/>
        <w:jc w:val="both"/>
      </w:pPr>
      <w:r w:rsidRPr="00A2258D">
        <w:rPr>
          <w:rFonts w:ascii="Times New Roman" w:hAnsi="Times New Roman"/>
          <w:sz w:val="24"/>
          <w:szCs w:val="24"/>
        </w:rPr>
        <w:t xml:space="preserve"> </w:t>
      </w:r>
    </w:p>
    <w:p w14:paraId="71AC79AF"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 xml:space="preserve">De esta forma, se realiza inicialmente una revisión conceptual de pedagogía, dado que es este el concepto que atraviesa todo el quehacer </w:t>
      </w:r>
      <w:proofErr w:type="gramStart"/>
      <w:r w:rsidRPr="00A2258D">
        <w:rPr>
          <w:rFonts w:ascii="Times New Roman" w:hAnsi="Times New Roman"/>
          <w:sz w:val="24"/>
          <w:szCs w:val="24"/>
        </w:rPr>
        <w:t>educativo,</w:t>
      </w:r>
      <w:proofErr w:type="gramEnd"/>
      <w:r w:rsidRPr="00A2258D">
        <w:rPr>
          <w:rFonts w:ascii="Times New Roman" w:hAnsi="Times New Roman"/>
          <w:sz w:val="24"/>
          <w:szCs w:val="24"/>
        </w:rPr>
        <w:t xml:space="preserve"> es el que integra la reflexión respecto a él; posteriormente se revisa lo que es la formación del contador público desde el enfoque de competencias. </w:t>
      </w:r>
    </w:p>
    <w:p w14:paraId="00C51AB3" w14:textId="77777777" w:rsidR="008255C5" w:rsidRPr="00A2258D" w:rsidRDefault="008255C5" w:rsidP="008255C5">
      <w:pPr>
        <w:spacing w:after="0"/>
        <w:jc w:val="both"/>
        <w:rPr>
          <w:rFonts w:ascii="Times New Roman" w:hAnsi="Times New Roman"/>
          <w:sz w:val="24"/>
          <w:szCs w:val="24"/>
        </w:rPr>
      </w:pPr>
    </w:p>
    <w:p w14:paraId="249DFCB3"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 xml:space="preserve">Adelante en este capítulo, se referencia </w:t>
      </w:r>
      <w:r w:rsidRPr="00A2258D">
        <w:rPr>
          <w:rFonts w:ascii="Times New Roman" w:hAnsi="Times New Roman"/>
          <w:i/>
          <w:iCs/>
          <w:sz w:val="24"/>
          <w:szCs w:val="24"/>
        </w:rPr>
        <w:t>evaluación</w:t>
      </w:r>
      <w:r w:rsidRPr="00A2258D">
        <w:rPr>
          <w:rFonts w:ascii="Times New Roman" w:hAnsi="Times New Roman"/>
          <w:sz w:val="24"/>
          <w:szCs w:val="24"/>
        </w:rPr>
        <w:t>, como concepto marco de este trabajo, y que incluye  evaluación del aprendizaje en la contaduría pública profesional, en términos de cómo se define en el marco de la normatividad internacional de la educación en contaduría; este concepto de evaluación a su vez deriva en el de evaluación de competencias y dentro de ella, la auténtica, partiendo de la premisa que esta sería la que mejor interpretaría el deber ser de la evaluación en el área contable, en la formación del contador público profesional.</w:t>
      </w:r>
    </w:p>
    <w:p w14:paraId="5BF4374B" w14:textId="77777777" w:rsidR="008255C5" w:rsidRPr="00A2258D" w:rsidRDefault="008255C5" w:rsidP="008255C5">
      <w:pPr>
        <w:spacing w:after="0"/>
        <w:jc w:val="both"/>
      </w:pPr>
    </w:p>
    <w:p w14:paraId="42FA1C8A"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 xml:space="preserve">Y para finalizar, se realiza un bosquejo de diferentes tipos de evaluación de competencias, como por ejemplo la hetero, </w:t>
      </w:r>
      <w:proofErr w:type="spellStart"/>
      <w:r w:rsidRPr="00A2258D">
        <w:rPr>
          <w:rFonts w:ascii="Times New Roman" w:hAnsi="Times New Roman"/>
          <w:sz w:val="24"/>
          <w:szCs w:val="24"/>
        </w:rPr>
        <w:t>co</w:t>
      </w:r>
      <w:proofErr w:type="spellEnd"/>
      <w:r w:rsidRPr="00A2258D">
        <w:rPr>
          <w:rFonts w:ascii="Times New Roman" w:hAnsi="Times New Roman"/>
          <w:sz w:val="24"/>
          <w:szCs w:val="24"/>
        </w:rPr>
        <w:t xml:space="preserve"> y autoevaluación, cada una de ellas definida y las implicaciones, todo ello para terminar en diferentes metodologías de evaluación auténtica, especialmente lo atinente a las rúbricas o matrices de valoración. </w:t>
      </w:r>
    </w:p>
    <w:p w14:paraId="1025A5AA" w14:textId="77777777" w:rsidR="008255C5" w:rsidRPr="00A2258D" w:rsidRDefault="008255C5" w:rsidP="008255C5">
      <w:pPr>
        <w:spacing w:after="0"/>
        <w:jc w:val="both"/>
      </w:pPr>
    </w:p>
    <w:p w14:paraId="0F5121D5" w14:textId="77777777" w:rsidR="008255C5" w:rsidRPr="00A2258D" w:rsidRDefault="008255C5" w:rsidP="008255C5">
      <w:pPr>
        <w:spacing w:after="0"/>
        <w:rPr>
          <w:rFonts w:ascii="Times New Roman" w:hAnsi="Times New Roman"/>
          <w:b/>
          <w:sz w:val="24"/>
          <w:szCs w:val="24"/>
        </w:rPr>
      </w:pPr>
      <w:r w:rsidRPr="00A2258D">
        <w:rPr>
          <w:rFonts w:ascii="Times New Roman" w:hAnsi="Times New Roman"/>
          <w:b/>
          <w:sz w:val="24"/>
          <w:szCs w:val="24"/>
        </w:rPr>
        <w:t>Breve revisión conceptual de Pedagogía.</w:t>
      </w:r>
    </w:p>
    <w:p w14:paraId="368BAF43" w14:textId="77777777" w:rsidR="008255C5" w:rsidRPr="00A2258D" w:rsidRDefault="008255C5" w:rsidP="008255C5">
      <w:pPr>
        <w:spacing w:after="0"/>
        <w:jc w:val="both"/>
        <w:rPr>
          <w:rFonts w:ascii="Times New Roman" w:hAnsi="Times New Roman"/>
          <w:b/>
          <w:sz w:val="24"/>
          <w:szCs w:val="24"/>
        </w:rPr>
      </w:pPr>
    </w:p>
    <w:p w14:paraId="27CF70BD" w14:textId="77777777" w:rsidR="008255C5" w:rsidRPr="00A2258D" w:rsidRDefault="008255C5" w:rsidP="008255C5">
      <w:pPr>
        <w:spacing w:after="0"/>
        <w:jc w:val="both"/>
        <w:rPr>
          <w:rFonts w:ascii="Times New Roman" w:hAnsi="Times New Roman"/>
          <w:noProof/>
          <w:sz w:val="24"/>
          <w:szCs w:val="24"/>
        </w:rPr>
      </w:pPr>
      <w:r w:rsidRPr="00A2258D">
        <w:rPr>
          <w:rFonts w:ascii="Times New Roman" w:hAnsi="Times New Roman"/>
          <w:sz w:val="24"/>
          <w:szCs w:val="24"/>
        </w:rPr>
        <w:t xml:space="preserve">Algunos escritos indican que a partir de Comenio (siglo XVII) empieza a existir una disciplina llamada </w:t>
      </w:r>
      <w:r w:rsidRPr="00A2258D">
        <w:rPr>
          <w:rFonts w:ascii="Times New Roman" w:hAnsi="Times New Roman"/>
          <w:b/>
          <w:sz w:val="24"/>
          <w:szCs w:val="24"/>
        </w:rPr>
        <w:t>pedagogía</w:t>
      </w:r>
      <w:r w:rsidRPr="00A2258D">
        <w:rPr>
          <w:rFonts w:ascii="Times New Roman" w:hAnsi="Times New Roman"/>
          <w:sz w:val="24"/>
          <w:szCs w:val="24"/>
        </w:rPr>
        <w:t>. Desde los antiguos imperios de Grecia y Roma se daba gran importancia al cuidado del cuerpo de los niños y jóvenes, con tal disciplina que pudieran desempeñarse correctamente en el ejercicio militar (</w:t>
      </w:r>
      <w:proofErr w:type="spellStart"/>
      <w:r w:rsidRPr="00A2258D">
        <w:rPr>
          <w:rFonts w:ascii="Times New Roman" w:hAnsi="Times New Roman"/>
          <w:sz w:val="24"/>
          <w:szCs w:val="24"/>
        </w:rPr>
        <w:t>Paidos</w:t>
      </w:r>
      <w:proofErr w:type="spellEnd"/>
      <w:r w:rsidRPr="00A2258D">
        <w:rPr>
          <w:rFonts w:ascii="Times New Roman" w:hAnsi="Times New Roman"/>
          <w:sz w:val="24"/>
          <w:szCs w:val="24"/>
        </w:rPr>
        <w:t xml:space="preserve">: Niño; </w:t>
      </w:r>
      <w:proofErr w:type="spellStart"/>
      <w:r w:rsidRPr="00A2258D">
        <w:rPr>
          <w:rFonts w:ascii="Times New Roman" w:hAnsi="Times New Roman"/>
          <w:sz w:val="24"/>
          <w:szCs w:val="24"/>
        </w:rPr>
        <w:t>Ago</w:t>
      </w:r>
      <w:proofErr w:type="spellEnd"/>
      <w:r w:rsidRPr="00A2258D">
        <w:rPr>
          <w:rFonts w:ascii="Times New Roman" w:hAnsi="Times New Roman"/>
          <w:sz w:val="24"/>
          <w:szCs w:val="24"/>
        </w:rPr>
        <w:t>: Conducir-Esclavo encargado de llevar de la mano a los niños). En tiempo de los griegos la educación deportiva tuvo gran auge, ahondando en lo filológico, la lengua, la retórica y la elocuencia, así pues, la educación era un privilegio de unos pocos: La nobleza. Los ideales de Homero</w:t>
      </w:r>
      <w:r w:rsidRPr="00A2258D">
        <w:rPr>
          <w:rStyle w:val="Refdenotaalpie"/>
          <w:rFonts w:ascii="Times New Roman" w:hAnsi="Times New Roman"/>
          <w:sz w:val="24"/>
          <w:szCs w:val="24"/>
        </w:rPr>
        <w:footnoteReference w:id="3"/>
      </w:r>
      <w:r w:rsidRPr="00A2258D">
        <w:rPr>
          <w:rFonts w:ascii="Times New Roman" w:hAnsi="Times New Roman"/>
          <w:sz w:val="24"/>
          <w:szCs w:val="24"/>
        </w:rPr>
        <w:t xml:space="preserve"> lo convertirían en el educador de Grecia, con el concepto de </w:t>
      </w:r>
      <w:proofErr w:type="spellStart"/>
      <w:r w:rsidRPr="00A2258D">
        <w:rPr>
          <w:rFonts w:ascii="Times New Roman" w:hAnsi="Times New Roman"/>
          <w:i/>
          <w:sz w:val="24"/>
          <w:szCs w:val="24"/>
          <w:u w:val="single"/>
        </w:rPr>
        <w:t>areté</w:t>
      </w:r>
      <w:proofErr w:type="spellEnd"/>
      <w:r w:rsidRPr="00A2258D">
        <w:rPr>
          <w:rFonts w:ascii="Times New Roman" w:hAnsi="Times New Roman"/>
          <w:sz w:val="24"/>
          <w:szCs w:val="24"/>
        </w:rPr>
        <w:t xml:space="preserve">, que se podría resumir en la excelencia o perfección y en la virtud, como el vigor y la fuerza en el obrar. Entonces para esta época, el hombre educado poseía un conjunto de características fundamentales a las </w:t>
      </w:r>
      <w:r w:rsidRPr="00A2258D">
        <w:rPr>
          <w:rFonts w:ascii="Times New Roman" w:hAnsi="Times New Roman"/>
          <w:sz w:val="24"/>
          <w:szCs w:val="24"/>
        </w:rPr>
        <w:lastRenderedPageBreak/>
        <w:t xml:space="preserve">cuales sólo tenían acceso algunas personas: Elocuencia, honor, fuerza y gloria, aspectos que se contraponen al tipo de hombre que anteriormente se designaba en Grecia y que posteriormente, se contrapondría al hombre Romano: El </w:t>
      </w:r>
      <w:proofErr w:type="spellStart"/>
      <w:r w:rsidRPr="00A2258D">
        <w:rPr>
          <w:rFonts w:ascii="Times New Roman" w:hAnsi="Times New Roman"/>
          <w:i/>
          <w:sz w:val="24"/>
          <w:szCs w:val="24"/>
        </w:rPr>
        <w:t>vir</w:t>
      </w:r>
      <w:proofErr w:type="spellEnd"/>
      <w:r w:rsidRPr="00A2258D">
        <w:rPr>
          <w:rFonts w:ascii="Times New Roman" w:hAnsi="Times New Roman"/>
          <w:i/>
          <w:sz w:val="24"/>
          <w:szCs w:val="24"/>
        </w:rPr>
        <w:t xml:space="preserve"> bonus</w:t>
      </w:r>
      <w:r w:rsidRPr="00A2258D">
        <w:rPr>
          <w:rFonts w:ascii="Times New Roman" w:hAnsi="Times New Roman"/>
          <w:sz w:val="24"/>
          <w:szCs w:val="24"/>
        </w:rPr>
        <w:t xml:space="preserve"> de Roma era, honesto, virtuoso, piadoso, patriota, muy distinto al irresponsable Aquiles</w:t>
      </w:r>
      <w:r w:rsidRPr="00A2258D">
        <w:rPr>
          <w:rFonts w:ascii="Times New Roman" w:hAnsi="Times New Roman"/>
          <w:noProof/>
          <w:sz w:val="24"/>
          <w:szCs w:val="24"/>
        </w:rPr>
        <w:t>.  (Fraboschi, 2002)</w:t>
      </w:r>
    </w:p>
    <w:p w14:paraId="5C24BC81" w14:textId="77777777" w:rsidR="008255C5" w:rsidRPr="00A2258D" w:rsidRDefault="008255C5" w:rsidP="008255C5">
      <w:pPr>
        <w:spacing w:after="0"/>
        <w:jc w:val="both"/>
        <w:rPr>
          <w:rFonts w:ascii="Times New Roman" w:hAnsi="Times New Roman"/>
          <w:noProof/>
          <w:sz w:val="24"/>
          <w:szCs w:val="24"/>
        </w:rPr>
      </w:pPr>
    </w:p>
    <w:p w14:paraId="08608366"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noProof/>
          <w:sz w:val="24"/>
          <w:szCs w:val="24"/>
        </w:rPr>
        <w:t xml:space="preserve">Así mismo, Fraboschi (2002) señala que en </w:t>
      </w:r>
      <w:r w:rsidRPr="00A2258D">
        <w:rPr>
          <w:rFonts w:ascii="Times New Roman" w:hAnsi="Times New Roman"/>
          <w:sz w:val="24"/>
          <w:szCs w:val="24"/>
        </w:rPr>
        <w:t xml:space="preserve">Atenas se forja un ciudadano perfecto, en función de las leyes y se presenta como una norma educativa, donde el Estado es el educador. Esto da a entender, </w:t>
      </w:r>
      <w:r w:rsidRPr="00A2258D">
        <w:rPr>
          <w:rFonts w:ascii="Times New Roman" w:hAnsi="Times New Roman"/>
          <w:i/>
          <w:sz w:val="24"/>
          <w:szCs w:val="24"/>
        </w:rPr>
        <w:t>grosso modo</w:t>
      </w:r>
      <w:r w:rsidRPr="00A2258D">
        <w:rPr>
          <w:rFonts w:ascii="Times New Roman" w:hAnsi="Times New Roman"/>
          <w:sz w:val="24"/>
          <w:szCs w:val="24"/>
        </w:rPr>
        <w:t>, que para poder interpretar un estilo pedagógico se debe tener en cuenta su asociación con el contexto de cada época y a la concepción, que, en dicho período, se tenía de pedagogía. La pedagogía, era entendida como educación, asociada a la formación integral que se vería reflejada en la formación del niño (</w:t>
      </w:r>
      <w:proofErr w:type="spellStart"/>
      <w:r w:rsidRPr="00A2258D">
        <w:rPr>
          <w:rFonts w:ascii="Times New Roman" w:hAnsi="Times New Roman"/>
          <w:sz w:val="24"/>
          <w:szCs w:val="24"/>
        </w:rPr>
        <w:t>paidós</w:t>
      </w:r>
      <w:proofErr w:type="spellEnd"/>
      <w:r w:rsidRPr="00A2258D">
        <w:rPr>
          <w:rFonts w:ascii="Times New Roman" w:hAnsi="Times New Roman"/>
          <w:sz w:val="24"/>
          <w:szCs w:val="24"/>
        </w:rPr>
        <w:t xml:space="preserve">). En este sentido, los </w:t>
      </w:r>
      <w:r w:rsidRPr="00A2258D">
        <w:rPr>
          <w:rFonts w:ascii="Times New Roman" w:hAnsi="Times New Roman"/>
          <w:i/>
          <w:sz w:val="24"/>
          <w:szCs w:val="24"/>
        </w:rPr>
        <w:t>sofistas</w:t>
      </w:r>
      <w:r w:rsidRPr="00A2258D">
        <w:rPr>
          <w:rStyle w:val="Refdenotaalpie"/>
          <w:rFonts w:ascii="Times New Roman" w:hAnsi="Times New Roman"/>
          <w:i/>
          <w:sz w:val="24"/>
          <w:szCs w:val="24"/>
        </w:rPr>
        <w:footnoteReference w:id="4"/>
      </w:r>
      <w:r w:rsidRPr="00A2258D">
        <w:rPr>
          <w:rFonts w:ascii="Times New Roman" w:hAnsi="Times New Roman"/>
          <w:sz w:val="24"/>
          <w:szCs w:val="24"/>
        </w:rPr>
        <w:t xml:space="preserve"> se fundamentarán en la retórica y la filosofía, fuente del saber que se va construyendo alrededor y acerca del hombre, del mundo, del conocimiento y que cuestiona el obrar del mismo hombre. El arte de la discusión (dialéctica), los ideales de Sócrates (con su interés antropocéntrico) y el posterior encuentro de lo clásico con la educación cristiana en San Agustín; dan a entender un largo trasegar de la pedagogía como ciencia, arte o modo de vida del hombre de cada época. Esto conllevó a que la formación del cristiano se enmarcara en un remoto plan de estudios que: Fortalezca la fe y halle la verdad. </w:t>
      </w:r>
    </w:p>
    <w:p w14:paraId="799D8E0F" w14:textId="77777777" w:rsidR="008255C5" w:rsidRPr="00A2258D" w:rsidRDefault="008255C5" w:rsidP="008255C5">
      <w:pPr>
        <w:spacing w:after="0"/>
        <w:jc w:val="both"/>
        <w:rPr>
          <w:rFonts w:ascii="Times New Roman" w:hAnsi="Times New Roman"/>
          <w:sz w:val="24"/>
          <w:szCs w:val="24"/>
        </w:rPr>
      </w:pPr>
    </w:p>
    <w:p w14:paraId="2C5FC385"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 xml:space="preserve">En la Edad Media aparece la educación para el trabajo, donde el aprendiz realiza tareas y poco a poco su maestro va dando sus más íntimos secretos del oficio. En esta época aparecen las universidades, donde inicialmente el alumno se hace lector y luego junto al maestro va avanzando en su saber, pasando por la memorización como pilar fundamental traído de los griegos y luego el enciclopedismo usado hasta la actualidad. Lo anterior hace entender, que, </w:t>
      </w:r>
      <w:proofErr w:type="gramStart"/>
      <w:r w:rsidRPr="00A2258D">
        <w:rPr>
          <w:rFonts w:ascii="Times New Roman" w:hAnsi="Times New Roman"/>
          <w:sz w:val="24"/>
          <w:szCs w:val="24"/>
        </w:rPr>
        <w:t>de acuerdo al</w:t>
      </w:r>
      <w:proofErr w:type="gramEnd"/>
      <w:r w:rsidRPr="00A2258D">
        <w:rPr>
          <w:rFonts w:ascii="Times New Roman" w:hAnsi="Times New Roman"/>
          <w:sz w:val="24"/>
          <w:szCs w:val="24"/>
        </w:rPr>
        <w:t xml:space="preserve"> conjunto de elementos históricos, sociales, económicos y políticos, se piensa y se crea todo un concepto de educación, de pedagogía y de currículo más claro, para la época señalada. La pedagogía moderna se va enmarcando en la generación de inventos y descubrimientos, ya que propiciaron cambios en el pensamiento filosófico y científico, dando más fuerza a la formación del juicio, a la autonomía por encima de la heteronomía. </w:t>
      </w:r>
    </w:p>
    <w:p w14:paraId="70DC98B5" w14:textId="77777777" w:rsidR="008255C5" w:rsidRPr="00A2258D" w:rsidRDefault="008255C5" w:rsidP="008255C5">
      <w:pPr>
        <w:spacing w:after="0"/>
        <w:jc w:val="both"/>
        <w:rPr>
          <w:rFonts w:ascii="Times New Roman" w:hAnsi="Times New Roman"/>
          <w:sz w:val="24"/>
          <w:szCs w:val="24"/>
        </w:rPr>
      </w:pPr>
    </w:p>
    <w:p w14:paraId="59DB5E53"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 xml:space="preserve">De acuerdo con lo anterior, se puede inferir que la pedagogía abarca distintos campos: humanistas, científicos, técnicos, culturales, sociales; que mediante un proceso logran formar al ser humano como un agente de cambio en determinada sociedad y respondiendo a las perspectivas globales de la actualidad. </w:t>
      </w:r>
      <w:r w:rsidRPr="00A2258D">
        <w:rPr>
          <w:rFonts w:ascii="Times New Roman" w:hAnsi="Times New Roman"/>
          <w:noProof/>
          <w:sz w:val="24"/>
          <w:szCs w:val="24"/>
        </w:rPr>
        <w:t>Durkheim (1925)</w:t>
      </w:r>
      <w:r w:rsidRPr="00A2258D">
        <w:rPr>
          <w:rFonts w:ascii="Times New Roman" w:hAnsi="Times New Roman"/>
          <w:sz w:val="24"/>
          <w:szCs w:val="24"/>
        </w:rPr>
        <w:t xml:space="preserve">, sociólogo francés, señala que educar es socializar la nueva generación; la pedagogía no es un arte o una ciencia, porque no es un sistema de prácticas organizadas, sino de ideas de manera relativa hacia esas prácticas; es un conjunto de teorías y ella tiene por objeto guiar la conducta. Así pues, define entonces la importancia de la teoría y la práctica para la pedagogía, que designa una actividad para un hecho que está en estudio: </w:t>
      </w:r>
    </w:p>
    <w:p w14:paraId="4FBE78AF" w14:textId="77777777" w:rsidR="008255C5" w:rsidRPr="00A2258D" w:rsidRDefault="008255C5" w:rsidP="008255C5">
      <w:pPr>
        <w:spacing w:after="0"/>
        <w:jc w:val="both"/>
        <w:rPr>
          <w:rFonts w:ascii="Times New Roman" w:hAnsi="Times New Roman"/>
          <w:sz w:val="24"/>
          <w:szCs w:val="24"/>
        </w:rPr>
      </w:pPr>
    </w:p>
    <w:p w14:paraId="5928A5F1"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 xml:space="preserve">- El hecho pedagógico conformado por el trabajo pedagógico, como unidad funcional de tareas, de competencias, de saberes. Docente y discente, maestro y aprendiz, adulto y niño, saber y aprendizaje, institución y clase. Lo anterior es lo que permite que la pedagogía tenga vida, que sea observable. El desarrollo de lo pedagógico es tanto del docente como del estudiante. Muy distinto este concepto de la </w:t>
      </w:r>
      <w:r w:rsidRPr="00A2258D">
        <w:rPr>
          <w:rFonts w:ascii="Times New Roman" w:hAnsi="Times New Roman"/>
          <w:i/>
          <w:sz w:val="24"/>
          <w:szCs w:val="24"/>
        </w:rPr>
        <w:t>Lectio</w:t>
      </w:r>
      <w:r w:rsidRPr="00A2258D">
        <w:rPr>
          <w:rStyle w:val="Refdenotaalpie"/>
          <w:rFonts w:ascii="Times New Roman" w:hAnsi="Times New Roman"/>
          <w:i/>
          <w:sz w:val="24"/>
          <w:szCs w:val="24"/>
        </w:rPr>
        <w:footnoteReference w:id="5"/>
      </w:r>
      <w:r w:rsidRPr="00A2258D">
        <w:rPr>
          <w:rFonts w:ascii="Times New Roman" w:hAnsi="Times New Roman"/>
          <w:sz w:val="24"/>
          <w:szCs w:val="24"/>
        </w:rPr>
        <w:t xml:space="preserve">, más bien se acerca a la </w:t>
      </w:r>
      <w:proofErr w:type="spellStart"/>
      <w:r w:rsidRPr="00A2258D">
        <w:rPr>
          <w:rFonts w:ascii="Times New Roman" w:hAnsi="Times New Roman"/>
          <w:i/>
          <w:sz w:val="24"/>
          <w:szCs w:val="24"/>
        </w:rPr>
        <w:t>Disputatio</w:t>
      </w:r>
      <w:proofErr w:type="spellEnd"/>
      <w:r w:rsidRPr="00A2258D">
        <w:rPr>
          <w:rStyle w:val="Refdenotaalpie"/>
          <w:rFonts w:ascii="Times New Roman" w:hAnsi="Times New Roman"/>
          <w:i/>
          <w:sz w:val="24"/>
          <w:szCs w:val="24"/>
        </w:rPr>
        <w:footnoteReference w:id="6"/>
      </w:r>
      <w:r w:rsidRPr="00A2258D">
        <w:rPr>
          <w:rFonts w:ascii="Times New Roman" w:hAnsi="Times New Roman"/>
          <w:sz w:val="24"/>
          <w:szCs w:val="24"/>
        </w:rPr>
        <w:t>, donde se enfrenta el pensamiento del docente y del alumno. Entonces ejercer la pedagogía se explicaría como situarse en la lógica de una acción en contexto.</w:t>
      </w:r>
    </w:p>
    <w:p w14:paraId="0772FCA0"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 xml:space="preserve">- El estudio pedagógico tiene por objeto la representación pensada y del hacer se pasa al cómo hacer y al por qué hacer. Entonces la actividad pedagógica se define por el conjunto de pensar y hacer. </w:t>
      </w:r>
    </w:p>
    <w:p w14:paraId="61523315" w14:textId="77777777" w:rsidR="008255C5" w:rsidRPr="00A2258D" w:rsidRDefault="008255C5" w:rsidP="008255C5">
      <w:pPr>
        <w:spacing w:after="0"/>
        <w:jc w:val="both"/>
        <w:rPr>
          <w:rFonts w:ascii="Times New Roman" w:hAnsi="Times New Roman"/>
          <w:sz w:val="24"/>
          <w:szCs w:val="24"/>
        </w:rPr>
      </w:pPr>
      <w:r w:rsidRPr="00A2258D">
        <w:rPr>
          <w:rFonts w:ascii="Times New Roman" w:hAnsi="Times New Roman"/>
          <w:sz w:val="24"/>
          <w:szCs w:val="24"/>
        </w:rPr>
        <w:t>Para concluir esta breve revisión de la pedagogía como concepto, es importante decir que ella, debe estar considerada como un saber profesional con total información, que requiere de conocimientos teóricos y prácticos. Ahora bien, es también la institución, como un establecimiento que propende y permite el desarrollo de la actividad pedagógica. Es entonces: Toda actividad que tienda a facilitar la acomodación del individuo a su entorno, a su medio y en este sentido no solamente es la escuela quien ejerce pedagogía, sino todos aquellos organismos y formas de actividad que controlan la sociedad. La pedagogía se ocupa de los fines de la educación, de buscar los por qué y para qué se educa (proceso educativo), dependiendo de la cultura que lo rodea: Técnico, burgués, noble</w:t>
      </w:r>
      <w:r w:rsidRPr="00A2258D">
        <w:rPr>
          <w:rFonts w:ascii="Times New Roman" w:hAnsi="Times New Roman"/>
          <w:noProof/>
          <w:sz w:val="24"/>
          <w:szCs w:val="24"/>
        </w:rPr>
        <w:t xml:space="preserve"> (Jaramillo, 1996)</w:t>
      </w:r>
      <w:r w:rsidRPr="00A2258D">
        <w:rPr>
          <w:rFonts w:ascii="Times New Roman" w:hAnsi="Times New Roman"/>
          <w:sz w:val="24"/>
          <w:szCs w:val="24"/>
        </w:rPr>
        <w:t>.</w:t>
      </w:r>
    </w:p>
    <w:p w14:paraId="5C54B78E" w14:textId="3BEDF432" w:rsidR="008255C5" w:rsidRDefault="008255C5">
      <w:pPr>
        <w:spacing w:after="160" w:line="259" w:lineRule="auto"/>
      </w:pPr>
      <w:r>
        <w:br w:type="page"/>
      </w:r>
    </w:p>
    <w:p w14:paraId="3B405DA4" w14:textId="77777777" w:rsidR="008255C5" w:rsidRPr="00A2258D" w:rsidRDefault="008255C5" w:rsidP="008255C5">
      <w:pPr>
        <w:spacing w:after="0"/>
        <w:rPr>
          <w:rFonts w:ascii="Times New Roman" w:hAnsi="Times New Roman"/>
          <w:b/>
          <w:sz w:val="24"/>
          <w:szCs w:val="24"/>
        </w:rPr>
      </w:pPr>
      <w:r w:rsidRPr="00A2258D">
        <w:rPr>
          <w:rFonts w:ascii="Times New Roman" w:hAnsi="Times New Roman"/>
          <w:b/>
          <w:sz w:val="24"/>
          <w:szCs w:val="24"/>
        </w:rPr>
        <w:lastRenderedPageBreak/>
        <w:t>Referencias bibliográficas.</w:t>
      </w:r>
    </w:p>
    <w:p w14:paraId="2F55404F"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Agencia Nacional de Evaluación de la Calidad y Acreditación-ANECA. (2005). </w:t>
      </w:r>
      <w:r w:rsidRPr="00A2258D">
        <w:rPr>
          <w:rFonts w:ascii="Times New Roman" w:hAnsi="Times New Roman"/>
          <w:i/>
          <w:iCs/>
          <w:noProof/>
          <w:sz w:val="24"/>
          <w:szCs w:val="24"/>
        </w:rPr>
        <w:t>Libro Blanco. Título de grado en economía y empresa.</w:t>
      </w:r>
      <w:r w:rsidRPr="00A2258D">
        <w:rPr>
          <w:rFonts w:ascii="Times New Roman" w:hAnsi="Times New Roman"/>
          <w:noProof/>
          <w:sz w:val="24"/>
          <w:szCs w:val="24"/>
        </w:rPr>
        <w:t xml:space="preserve"> Recuperado el 10 de 12 de 2015, de http://www.ub.edu/cubac/sites/default/files/economia_y_empresa.pdf</w:t>
      </w:r>
    </w:p>
    <w:p w14:paraId="7490E778"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Agencia Nacional de Evaluación de la Calidad y Acreditación-ANECA. (2013). </w:t>
      </w:r>
      <w:r w:rsidRPr="00A2258D">
        <w:rPr>
          <w:rFonts w:ascii="Times New Roman" w:hAnsi="Times New Roman"/>
          <w:i/>
          <w:iCs/>
          <w:noProof/>
          <w:sz w:val="24"/>
          <w:szCs w:val="24"/>
        </w:rPr>
        <w:t>Guía de apoyo para la redacción, puesta en práctica y evaluación de los resultados de aprendizaje.</w:t>
      </w:r>
      <w:r w:rsidRPr="00A2258D">
        <w:rPr>
          <w:rFonts w:ascii="Times New Roman" w:hAnsi="Times New Roman"/>
          <w:noProof/>
          <w:sz w:val="24"/>
          <w:szCs w:val="24"/>
        </w:rPr>
        <w:t xml:space="preserve"> Recuperado el 12 de 03 de 2016, de http://www.aneca.es/Sala-de-prensa/Noticias/2013/ANECA-presenta-la-Guia-para-la-redaccion-y-evaluacion-de-los-resultados-del-aprendizaje</w:t>
      </w:r>
    </w:p>
    <w:p w14:paraId="760CDF73"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Barragán, R. (2005). El Portafolio. Metodología de evaluación y aprendizaje de cara al Nuevo Espacio de Educación Superior. </w:t>
      </w:r>
      <w:r w:rsidRPr="00A2258D">
        <w:rPr>
          <w:rFonts w:ascii="Times New Roman" w:hAnsi="Times New Roman"/>
          <w:i/>
          <w:iCs/>
          <w:noProof/>
          <w:sz w:val="24"/>
          <w:szCs w:val="24"/>
        </w:rPr>
        <w:t>Revista Latinoamericana de Tecnología Educativa. , 4</w:t>
      </w:r>
      <w:r w:rsidRPr="00A2258D">
        <w:rPr>
          <w:rFonts w:ascii="Times New Roman" w:hAnsi="Times New Roman"/>
          <w:noProof/>
          <w:sz w:val="24"/>
          <w:szCs w:val="24"/>
        </w:rPr>
        <w:t>(1).</w:t>
      </w:r>
    </w:p>
    <w:p w14:paraId="66E53E87"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Bautista R. (2015). </w:t>
      </w:r>
      <w:r w:rsidRPr="00A2258D">
        <w:rPr>
          <w:rFonts w:ascii="Times New Roman" w:hAnsi="Times New Roman"/>
          <w:i/>
          <w:iCs/>
          <w:noProof/>
          <w:sz w:val="24"/>
          <w:szCs w:val="24"/>
        </w:rPr>
        <w:t>Orientación pedagógica para la aplicación de las Normas Internacionales de Información Financiera y la Norma Internacional de Información Financiera para las Pymes. .</w:t>
      </w:r>
      <w:r w:rsidRPr="00A2258D">
        <w:rPr>
          <w:rFonts w:ascii="Times New Roman" w:hAnsi="Times New Roman"/>
          <w:noProof/>
          <w:sz w:val="24"/>
          <w:szCs w:val="24"/>
        </w:rPr>
        <w:t xml:space="preserve"> Bogotá: Consejo Técnico de la Contaduría Pública.</w:t>
      </w:r>
    </w:p>
    <w:p w14:paraId="039CB5B6"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Blanco, L. . (1996). </w:t>
      </w:r>
      <w:r w:rsidRPr="00A2258D">
        <w:rPr>
          <w:rFonts w:ascii="Times New Roman" w:hAnsi="Times New Roman"/>
          <w:i/>
          <w:iCs/>
          <w:noProof/>
          <w:sz w:val="24"/>
          <w:szCs w:val="24"/>
        </w:rPr>
        <w:t>La evaluación educativa, más proceso que producto. .</w:t>
      </w:r>
      <w:r w:rsidRPr="00A2258D">
        <w:rPr>
          <w:rFonts w:ascii="Times New Roman" w:hAnsi="Times New Roman"/>
          <w:noProof/>
          <w:sz w:val="24"/>
          <w:szCs w:val="24"/>
        </w:rPr>
        <w:t xml:space="preserve"> Lleida: Edictions de la Universitat de Lleida.</w:t>
      </w:r>
    </w:p>
    <w:p w14:paraId="2DF3B37A"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Cano, M. (2008). La evaluación por competencias en la educación superior. </w:t>
      </w:r>
      <w:r w:rsidRPr="00A2258D">
        <w:rPr>
          <w:rFonts w:ascii="Times New Roman" w:hAnsi="Times New Roman"/>
          <w:i/>
          <w:iCs/>
          <w:noProof/>
          <w:sz w:val="24"/>
          <w:szCs w:val="24"/>
        </w:rPr>
        <w:t>Profesorado Revista de currículum y formación del profesorado</w:t>
      </w:r>
      <w:r w:rsidRPr="00A2258D">
        <w:rPr>
          <w:rFonts w:ascii="Times New Roman" w:hAnsi="Times New Roman"/>
          <w:noProof/>
          <w:sz w:val="24"/>
          <w:szCs w:val="24"/>
        </w:rPr>
        <w:t>, 1-16. Recuperado el 2016 de 03 de 22, de http://www.ugr.es/~recfpro/rev123COL1.pdf</w:t>
      </w:r>
    </w:p>
    <w:p w14:paraId="7939172C"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Consejo de Normas Internacionales de Formación en Contaduría-Federación Internacional de Contadores (International Federation of Accountants/IFAC). (2008). </w:t>
      </w:r>
      <w:r w:rsidRPr="00A2258D">
        <w:rPr>
          <w:rFonts w:ascii="Times New Roman" w:hAnsi="Times New Roman"/>
          <w:i/>
          <w:iCs/>
          <w:noProof/>
          <w:sz w:val="24"/>
          <w:szCs w:val="24"/>
        </w:rPr>
        <w:t>Manual de los pronunciamientos internacionales de formación.</w:t>
      </w:r>
      <w:r w:rsidRPr="00A2258D">
        <w:rPr>
          <w:rFonts w:ascii="Times New Roman" w:hAnsi="Times New Roman"/>
          <w:noProof/>
          <w:sz w:val="24"/>
          <w:szCs w:val="24"/>
        </w:rPr>
        <w:t xml:space="preserve"> Traducido por el Banco Mundial.</w:t>
      </w:r>
    </w:p>
    <w:p w14:paraId="1E3AFA9B"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Díaz, A. (Abril-Junio de 1993). Problemas y retos de la evaluación educativa. (U. D. Caldas., Ed.) </w:t>
      </w:r>
      <w:r w:rsidRPr="00A2258D">
        <w:rPr>
          <w:rFonts w:ascii="Times New Roman" w:hAnsi="Times New Roman"/>
          <w:i/>
          <w:iCs/>
          <w:noProof/>
          <w:sz w:val="24"/>
          <w:szCs w:val="24"/>
        </w:rPr>
        <w:t>Revista Educación y Cultura.</w:t>
      </w:r>
      <w:r w:rsidRPr="00A2258D">
        <w:rPr>
          <w:rFonts w:ascii="Times New Roman" w:hAnsi="Times New Roman"/>
          <w:noProof/>
          <w:sz w:val="24"/>
          <w:szCs w:val="24"/>
        </w:rPr>
        <w:t>(1).</w:t>
      </w:r>
    </w:p>
    <w:p w14:paraId="57ACDD74"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Díaz, F. (2005). </w:t>
      </w:r>
      <w:r w:rsidRPr="00A2258D">
        <w:rPr>
          <w:rFonts w:ascii="Times New Roman" w:hAnsi="Times New Roman"/>
          <w:i/>
          <w:iCs/>
          <w:noProof/>
          <w:sz w:val="24"/>
          <w:szCs w:val="24"/>
        </w:rPr>
        <w:t>Enseñanza Situada: Vínculo entre la escuela y la vida.</w:t>
      </w:r>
      <w:r w:rsidRPr="00A2258D">
        <w:rPr>
          <w:rFonts w:ascii="Times New Roman" w:hAnsi="Times New Roman"/>
          <w:noProof/>
          <w:sz w:val="24"/>
          <w:szCs w:val="24"/>
        </w:rPr>
        <w:t xml:space="preserve"> México: McGraw-Hill.</w:t>
      </w:r>
    </w:p>
    <w:p w14:paraId="1DB8A07B"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Durkheim, E. (1925). </w:t>
      </w:r>
      <w:r w:rsidRPr="00A2258D">
        <w:rPr>
          <w:rFonts w:ascii="Times New Roman" w:hAnsi="Times New Roman"/>
          <w:i/>
          <w:iCs/>
          <w:noProof/>
          <w:sz w:val="24"/>
          <w:szCs w:val="24"/>
        </w:rPr>
        <w:t>L´éducation morale.</w:t>
      </w:r>
      <w:r w:rsidRPr="00A2258D">
        <w:rPr>
          <w:rFonts w:ascii="Times New Roman" w:hAnsi="Times New Roman"/>
          <w:noProof/>
          <w:sz w:val="24"/>
          <w:szCs w:val="24"/>
        </w:rPr>
        <w:t xml:space="preserve"> París: Alcan.</w:t>
      </w:r>
    </w:p>
    <w:p w14:paraId="4EF15364"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Fernández, S. (2011). La autoevaluación como estrategia de aprendizaje. </w:t>
      </w:r>
      <w:r w:rsidRPr="00A2258D">
        <w:rPr>
          <w:rFonts w:ascii="Times New Roman" w:hAnsi="Times New Roman"/>
          <w:i/>
          <w:iCs/>
          <w:noProof/>
          <w:sz w:val="24"/>
          <w:szCs w:val="24"/>
        </w:rPr>
        <w:t>Marco Revista de Didáctica Ele.</w:t>
      </w:r>
      <w:r w:rsidRPr="00A2258D">
        <w:rPr>
          <w:rFonts w:ascii="Times New Roman" w:hAnsi="Times New Roman"/>
          <w:noProof/>
          <w:sz w:val="24"/>
          <w:szCs w:val="24"/>
        </w:rPr>
        <w:t>(13), 1-15.</w:t>
      </w:r>
    </w:p>
    <w:p w14:paraId="1B1912D3"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Fraboschi, A. (2002). </w:t>
      </w:r>
      <w:r w:rsidRPr="00A2258D">
        <w:rPr>
          <w:rFonts w:ascii="Times New Roman" w:hAnsi="Times New Roman"/>
          <w:i/>
          <w:iCs/>
          <w:noProof/>
          <w:sz w:val="24"/>
          <w:szCs w:val="24"/>
        </w:rPr>
        <w:t>Historia General de la Educación.</w:t>
      </w:r>
      <w:r w:rsidRPr="00A2258D">
        <w:rPr>
          <w:rFonts w:ascii="Times New Roman" w:hAnsi="Times New Roman"/>
          <w:noProof/>
          <w:sz w:val="24"/>
          <w:szCs w:val="24"/>
        </w:rPr>
        <w:t xml:space="preserve"> Buenos Aires: Universidad Católica de Argentina.</w:t>
      </w:r>
    </w:p>
    <w:p w14:paraId="2BF3E6EB"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González, M. (2011). Estilos de aprendizaje: Su influencia para aprender a aprender. </w:t>
      </w:r>
      <w:r w:rsidRPr="00A2258D">
        <w:rPr>
          <w:rFonts w:ascii="Times New Roman" w:hAnsi="Times New Roman"/>
          <w:i/>
          <w:iCs/>
          <w:noProof/>
          <w:sz w:val="24"/>
          <w:szCs w:val="24"/>
        </w:rPr>
        <w:t>Estilos de aprendizaje, 7</w:t>
      </w:r>
      <w:r w:rsidRPr="00A2258D">
        <w:rPr>
          <w:rFonts w:ascii="Times New Roman" w:hAnsi="Times New Roman"/>
          <w:noProof/>
          <w:sz w:val="24"/>
          <w:szCs w:val="24"/>
        </w:rPr>
        <w:t>(7), 1-10.</w:t>
      </w:r>
    </w:p>
    <w:p w14:paraId="46EE9D09"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Jaramillo, J. (1996). </w:t>
      </w:r>
      <w:r w:rsidRPr="00A2258D">
        <w:rPr>
          <w:rFonts w:ascii="Times New Roman" w:hAnsi="Times New Roman"/>
          <w:i/>
          <w:iCs/>
          <w:noProof/>
          <w:sz w:val="24"/>
          <w:szCs w:val="24"/>
        </w:rPr>
        <w:t>Historia de la Pedagogía como historia de la cultura.</w:t>
      </w:r>
      <w:r w:rsidRPr="00A2258D">
        <w:rPr>
          <w:rFonts w:ascii="Times New Roman" w:hAnsi="Times New Roman"/>
          <w:noProof/>
          <w:sz w:val="24"/>
          <w:szCs w:val="24"/>
        </w:rPr>
        <w:t xml:space="preserve"> Bogotá: Fondo universitario nacional.</w:t>
      </w:r>
    </w:p>
    <w:p w14:paraId="4B0B500A"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Larrañaga, R. (2009). </w:t>
      </w:r>
      <w:r w:rsidRPr="00A2258D">
        <w:rPr>
          <w:rFonts w:ascii="Times New Roman" w:hAnsi="Times New Roman"/>
          <w:i/>
          <w:iCs/>
          <w:noProof/>
          <w:sz w:val="24"/>
          <w:szCs w:val="24"/>
        </w:rPr>
        <w:t>Proceso de evaluación.</w:t>
      </w:r>
      <w:r w:rsidRPr="00A2258D">
        <w:rPr>
          <w:rFonts w:ascii="Times New Roman" w:hAnsi="Times New Roman"/>
          <w:noProof/>
          <w:sz w:val="24"/>
          <w:szCs w:val="24"/>
        </w:rPr>
        <w:t xml:space="preserve"> Santa Fe (Argentina): El Cid Editor.</w:t>
      </w:r>
    </w:p>
    <w:p w14:paraId="0C0A6D72"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Margalef, L. (2005). Los retos de la evaluación auténtica en la enseñanza universitaria: coherencia epistemológica y metodológica. (P. U. Valparaíso-Chile, Ed.) </w:t>
      </w:r>
      <w:r w:rsidRPr="00A2258D">
        <w:rPr>
          <w:rFonts w:ascii="Times New Roman" w:hAnsi="Times New Roman"/>
          <w:i/>
          <w:iCs/>
          <w:noProof/>
          <w:sz w:val="24"/>
          <w:szCs w:val="24"/>
        </w:rPr>
        <w:t>Perspectiva Educacional, Formación de Profesores</w:t>
      </w:r>
      <w:r w:rsidRPr="00A2258D">
        <w:rPr>
          <w:rFonts w:ascii="Times New Roman" w:hAnsi="Times New Roman"/>
          <w:noProof/>
          <w:sz w:val="24"/>
          <w:szCs w:val="24"/>
        </w:rPr>
        <w:t>(45), 25-44.</w:t>
      </w:r>
    </w:p>
    <w:p w14:paraId="071571C7"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lastRenderedPageBreak/>
        <w:t xml:space="preserve">Martínez, G. (2002). El rediseño curricular contable. Entre lo profesional y lo disciplinar. </w:t>
      </w:r>
      <w:r w:rsidRPr="00A2258D">
        <w:rPr>
          <w:rFonts w:ascii="Times New Roman" w:hAnsi="Times New Roman"/>
          <w:i/>
          <w:iCs/>
          <w:noProof/>
          <w:sz w:val="24"/>
          <w:szCs w:val="24"/>
        </w:rPr>
        <w:t>C. C. C-Cinco, Del Hacer al Saber Realidades y perspectivas de la educación contable en Colombia</w:t>
      </w:r>
      <w:r w:rsidRPr="00A2258D">
        <w:rPr>
          <w:rFonts w:ascii="Times New Roman" w:hAnsi="Times New Roman"/>
          <w:noProof/>
          <w:sz w:val="24"/>
          <w:szCs w:val="24"/>
        </w:rPr>
        <w:t>, 113-160.</w:t>
      </w:r>
    </w:p>
    <w:p w14:paraId="5CBA9E15"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Matos, Y. (Mayo-Agosto de 2008). La observación, discusión y demostración: técnicas de investigación en el aula. (U. P. Libertador, Ed.) </w:t>
      </w:r>
      <w:r w:rsidRPr="00A2258D">
        <w:rPr>
          <w:rFonts w:ascii="Times New Roman" w:hAnsi="Times New Roman"/>
          <w:i/>
          <w:iCs/>
          <w:noProof/>
          <w:sz w:val="24"/>
          <w:szCs w:val="24"/>
        </w:rPr>
        <w:t>Laurus, Revista de Educación, 14</w:t>
      </w:r>
      <w:r w:rsidRPr="00A2258D">
        <w:rPr>
          <w:rFonts w:ascii="Times New Roman" w:hAnsi="Times New Roman"/>
          <w:noProof/>
          <w:sz w:val="24"/>
          <w:szCs w:val="24"/>
        </w:rPr>
        <w:t>(27), 33-52.</w:t>
      </w:r>
    </w:p>
    <w:p w14:paraId="7E4F6DB5"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Ministerio de Educación de Guatemala. (06 de 2010). </w:t>
      </w:r>
      <w:r w:rsidRPr="00A2258D">
        <w:rPr>
          <w:rFonts w:ascii="Times New Roman" w:hAnsi="Times New Roman"/>
          <w:i/>
          <w:iCs/>
          <w:noProof/>
          <w:sz w:val="24"/>
          <w:szCs w:val="24"/>
        </w:rPr>
        <w:t>El currículo organizado en competencias. Evaluación de los Aprendizajes.</w:t>
      </w:r>
      <w:r w:rsidRPr="00A2258D">
        <w:rPr>
          <w:rFonts w:ascii="Times New Roman" w:hAnsi="Times New Roman"/>
          <w:noProof/>
          <w:sz w:val="24"/>
          <w:szCs w:val="24"/>
        </w:rPr>
        <w:t xml:space="preserve"> Recuperado el 10 de 04 de 2016, de Evaluación de los aprendizajes. Junio de 2010. http://uvg.edu.gt/educacion/maestros-innovadores/documentos/evaluacion/Evaluacion.pdf</w:t>
      </w:r>
    </w:p>
    <w:p w14:paraId="4830B00A"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Monereo, C. (2012). La enseñanza auténtica de competencias profesionales. Un proyecto de aprendizaje recíproco Instituto-Universidad. (E. Universidad de Granada, Ed.) </w:t>
      </w:r>
      <w:r w:rsidRPr="00A2258D">
        <w:rPr>
          <w:rFonts w:ascii="Times New Roman" w:hAnsi="Times New Roman"/>
          <w:i/>
          <w:iCs/>
          <w:noProof/>
          <w:sz w:val="24"/>
          <w:szCs w:val="24"/>
        </w:rPr>
        <w:t>Revista de Curriculum y formación del profesorado, 16</w:t>
      </w:r>
      <w:r w:rsidRPr="00A2258D">
        <w:rPr>
          <w:rFonts w:ascii="Times New Roman" w:hAnsi="Times New Roman"/>
          <w:noProof/>
          <w:sz w:val="24"/>
          <w:szCs w:val="24"/>
        </w:rPr>
        <w:t>(1), 79-101.</w:t>
      </w:r>
    </w:p>
    <w:p w14:paraId="0EDE5012"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Morales, P. (1995). La evaluación académica: conceptos y planteamientos básicos. En U. d. Deusto., </w:t>
      </w:r>
      <w:r w:rsidRPr="00A2258D">
        <w:rPr>
          <w:rFonts w:ascii="Times New Roman" w:hAnsi="Times New Roman"/>
          <w:i/>
          <w:iCs/>
          <w:noProof/>
          <w:sz w:val="24"/>
          <w:szCs w:val="24"/>
        </w:rPr>
        <w:t>Cuadernos Monográficos No. 2.</w:t>
      </w:r>
      <w:r w:rsidRPr="00A2258D">
        <w:rPr>
          <w:rFonts w:ascii="Times New Roman" w:hAnsi="Times New Roman"/>
          <w:noProof/>
          <w:sz w:val="24"/>
          <w:szCs w:val="24"/>
        </w:rPr>
        <w:t xml:space="preserve"> Bilbao: Universidad de Deusto.</w:t>
      </w:r>
    </w:p>
    <w:p w14:paraId="01B26D41"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Novak, J. Cañas, A. (2006). </w:t>
      </w:r>
      <w:r w:rsidRPr="00A2258D">
        <w:rPr>
          <w:rFonts w:ascii="Times New Roman" w:hAnsi="Times New Roman"/>
          <w:i/>
          <w:iCs/>
          <w:noProof/>
          <w:sz w:val="24"/>
          <w:szCs w:val="24"/>
        </w:rPr>
        <w:t>La teoría subyacente a los mapas conceptuales y a cómo construirlos.</w:t>
      </w:r>
      <w:r w:rsidRPr="00A2258D">
        <w:rPr>
          <w:rFonts w:ascii="Times New Roman" w:hAnsi="Times New Roman"/>
          <w:noProof/>
          <w:sz w:val="24"/>
          <w:szCs w:val="24"/>
        </w:rPr>
        <w:t xml:space="preserve"> Recuperado el 10 de 12 de 2015, de http://cmap.ihmc.us/docs/pdf/TeoriaSubyacenteMapasConceptuales.pdf</w:t>
      </w:r>
    </w:p>
    <w:p w14:paraId="3515F842"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Perera, A. (Enero-Abril de 2011). La coevaluación como metodología complementaria de la evaluación del aprendizaje. Análisis y reflexión en las aulas universitarias. </w:t>
      </w:r>
      <w:r w:rsidRPr="00A2258D">
        <w:rPr>
          <w:rFonts w:ascii="Times New Roman" w:hAnsi="Times New Roman"/>
          <w:i/>
          <w:iCs/>
          <w:noProof/>
          <w:sz w:val="24"/>
          <w:szCs w:val="24"/>
        </w:rPr>
        <w:t>Revista de Educación</w:t>
      </w:r>
      <w:r w:rsidRPr="00A2258D">
        <w:rPr>
          <w:rFonts w:ascii="Times New Roman" w:hAnsi="Times New Roman"/>
          <w:noProof/>
          <w:sz w:val="24"/>
          <w:szCs w:val="24"/>
        </w:rPr>
        <w:t>(351), 719-764.</w:t>
      </w:r>
    </w:p>
    <w:p w14:paraId="26E1C4D0"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Polo, M. (2009). El currículo del Siglo XXI en las instituciones de Educación Superior: ¿Hacia un currículo global? (U. C. Venezuela., Ed.) </w:t>
      </w:r>
      <w:r w:rsidRPr="00A2258D">
        <w:rPr>
          <w:rFonts w:ascii="Times New Roman" w:hAnsi="Times New Roman"/>
          <w:i/>
          <w:iCs/>
          <w:noProof/>
          <w:sz w:val="24"/>
          <w:szCs w:val="24"/>
        </w:rPr>
        <w:t>Docencia Universitaria, X</w:t>
      </w:r>
      <w:r w:rsidRPr="00A2258D">
        <w:rPr>
          <w:rFonts w:ascii="Times New Roman" w:hAnsi="Times New Roman"/>
          <w:noProof/>
          <w:sz w:val="24"/>
          <w:szCs w:val="24"/>
        </w:rPr>
        <w:t>(2), 79-97.</w:t>
      </w:r>
    </w:p>
    <w:p w14:paraId="3E4818F5"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Restrepo, B. (2013). Informes teóricos de la evaluación por competencias: trazabilidad histórica del concepto. (U. d. Antioquia, Ed.) </w:t>
      </w:r>
      <w:r w:rsidRPr="00A2258D">
        <w:rPr>
          <w:rFonts w:ascii="Times New Roman" w:hAnsi="Times New Roman"/>
          <w:i/>
          <w:iCs/>
          <w:noProof/>
          <w:sz w:val="24"/>
          <w:szCs w:val="24"/>
        </w:rPr>
        <w:t>Uni-Pluri/versidad, 13</w:t>
      </w:r>
      <w:r w:rsidRPr="00A2258D">
        <w:rPr>
          <w:rFonts w:ascii="Times New Roman" w:hAnsi="Times New Roman"/>
          <w:noProof/>
          <w:sz w:val="24"/>
          <w:szCs w:val="24"/>
        </w:rPr>
        <w:t>(2), 14-23.</w:t>
      </w:r>
    </w:p>
    <w:p w14:paraId="6EF24E16"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Rueda, M. (2012). </w:t>
      </w:r>
      <w:r w:rsidRPr="00A2258D">
        <w:rPr>
          <w:rFonts w:ascii="Times New Roman" w:hAnsi="Times New Roman"/>
          <w:i/>
          <w:iCs/>
          <w:noProof/>
          <w:sz w:val="24"/>
          <w:szCs w:val="24"/>
        </w:rPr>
        <w:t>La evaluación educativa: análisis de sus prácticas.</w:t>
      </w:r>
      <w:r w:rsidRPr="00A2258D">
        <w:rPr>
          <w:rFonts w:ascii="Times New Roman" w:hAnsi="Times New Roman"/>
          <w:noProof/>
          <w:sz w:val="24"/>
          <w:szCs w:val="24"/>
        </w:rPr>
        <w:t xml:space="preserve"> México: Díaz de Santos.</w:t>
      </w:r>
    </w:p>
    <w:p w14:paraId="60AA8F16"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Suárez, P. (2004). </w:t>
      </w:r>
      <w:r w:rsidRPr="00A2258D">
        <w:rPr>
          <w:rFonts w:ascii="Times New Roman" w:hAnsi="Times New Roman"/>
          <w:i/>
          <w:iCs/>
          <w:noProof/>
          <w:sz w:val="24"/>
          <w:szCs w:val="24"/>
        </w:rPr>
        <w:t>La teoría del aprendizaje significativo.</w:t>
      </w:r>
      <w:r w:rsidRPr="00A2258D">
        <w:rPr>
          <w:rFonts w:ascii="Times New Roman" w:hAnsi="Times New Roman"/>
          <w:noProof/>
          <w:sz w:val="24"/>
          <w:szCs w:val="24"/>
        </w:rPr>
        <w:t xml:space="preserve"> Recuperado el 10 de 03 de 2016, de http://cmc.ihmc.us/papers/cmc2004-290.pdf)</w:t>
      </w:r>
    </w:p>
    <w:p w14:paraId="0A402AD1"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Vallejo, M. (2014). La evaluación auténtica de los procesos educativos. </w:t>
      </w:r>
      <w:r w:rsidRPr="00A2258D">
        <w:rPr>
          <w:rFonts w:ascii="Times New Roman" w:hAnsi="Times New Roman"/>
          <w:i/>
          <w:iCs/>
          <w:noProof/>
          <w:sz w:val="24"/>
          <w:szCs w:val="24"/>
        </w:rPr>
        <w:t>Revista Iberoamericana de Educación.</w:t>
      </w:r>
      <w:r w:rsidRPr="00A2258D">
        <w:rPr>
          <w:rFonts w:ascii="Times New Roman" w:hAnsi="Times New Roman"/>
          <w:noProof/>
          <w:sz w:val="24"/>
          <w:szCs w:val="24"/>
        </w:rPr>
        <w:t>(64), 11-25.</w:t>
      </w:r>
    </w:p>
    <w:p w14:paraId="5AB75603" w14:textId="77777777" w:rsidR="008255C5" w:rsidRPr="00A2258D" w:rsidRDefault="008255C5" w:rsidP="008255C5">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Valverde, J. (2012). Modelos de evaluación por competencias a través de un sistema de gestión de aprendizaje. </w:t>
      </w:r>
      <w:r w:rsidRPr="00A2258D">
        <w:rPr>
          <w:rFonts w:ascii="Times New Roman" w:hAnsi="Times New Roman"/>
          <w:i/>
          <w:iCs/>
          <w:noProof/>
          <w:sz w:val="24"/>
          <w:szCs w:val="24"/>
        </w:rPr>
        <w:t>Revista Iberoamericana de Educación</w:t>
      </w:r>
      <w:r w:rsidRPr="00A2258D">
        <w:rPr>
          <w:rFonts w:ascii="Times New Roman" w:hAnsi="Times New Roman"/>
          <w:noProof/>
          <w:sz w:val="24"/>
          <w:szCs w:val="24"/>
        </w:rPr>
        <w:t>(60), 51-62.</w:t>
      </w:r>
    </w:p>
    <w:p w14:paraId="466B92DF" w14:textId="77777777" w:rsidR="008255C5" w:rsidRPr="00A2258D" w:rsidRDefault="008255C5" w:rsidP="008255C5">
      <w:pPr>
        <w:pStyle w:val="Bibliografa"/>
        <w:spacing w:after="0"/>
        <w:ind w:left="720" w:hanging="720"/>
        <w:jc w:val="both"/>
        <w:rPr>
          <w:rFonts w:ascii="Times New Roman" w:hAnsi="Times New Roman"/>
          <w:noProof/>
          <w:sz w:val="24"/>
          <w:szCs w:val="24"/>
        </w:rPr>
      </w:pPr>
      <w:bookmarkStart w:id="6" w:name="_Toc14075226"/>
      <w:r w:rsidRPr="00A2258D">
        <w:rPr>
          <w:rFonts w:ascii="Times New Roman" w:hAnsi="Times New Roman"/>
          <w:noProof/>
          <w:sz w:val="24"/>
          <w:szCs w:val="24"/>
        </w:rPr>
        <w:t>Westbrook, R. (1993). John Dewey. (U. O. Educación., Ed.) Perspectivas: Revista trimestral de educación comparada., 23(1-2), 289-305 .</w:t>
      </w:r>
      <w:bookmarkEnd w:id="6"/>
    </w:p>
    <w:p w14:paraId="32BDED2B" w14:textId="77777777" w:rsidR="0036010A" w:rsidRDefault="0036010A"/>
    <w:sectPr w:rsidR="0036010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2DD93" w14:textId="77777777" w:rsidR="00B8375C" w:rsidRDefault="00B8375C" w:rsidP="008255C5">
      <w:pPr>
        <w:spacing w:after="0" w:line="240" w:lineRule="auto"/>
      </w:pPr>
      <w:r>
        <w:separator/>
      </w:r>
    </w:p>
  </w:endnote>
  <w:endnote w:type="continuationSeparator" w:id="0">
    <w:p w14:paraId="24D9D75C" w14:textId="77777777" w:rsidR="00B8375C" w:rsidRDefault="00B8375C" w:rsidP="00825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7AB17" w14:textId="77777777" w:rsidR="00B8375C" w:rsidRDefault="00B8375C" w:rsidP="008255C5">
      <w:pPr>
        <w:spacing w:after="0" w:line="240" w:lineRule="auto"/>
      </w:pPr>
      <w:r>
        <w:separator/>
      </w:r>
    </w:p>
  </w:footnote>
  <w:footnote w:type="continuationSeparator" w:id="0">
    <w:p w14:paraId="68B80396" w14:textId="77777777" w:rsidR="00B8375C" w:rsidRDefault="00B8375C" w:rsidP="008255C5">
      <w:pPr>
        <w:spacing w:after="0" w:line="240" w:lineRule="auto"/>
      </w:pPr>
      <w:r>
        <w:continuationSeparator/>
      </w:r>
    </w:p>
  </w:footnote>
  <w:footnote w:id="1">
    <w:p w14:paraId="297E85DF" w14:textId="77777777" w:rsidR="008255C5" w:rsidRPr="00535ACD" w:rsidRDefault="008255C5" w:rsidP="008255C5">
      <w:pPr>
        <w:pStyle w:val="Notaalpie"/>
        <w:spacing w:after="0" w:line="240" w:lineRule="auto"/>
        <w:jc w:val="both"/>
        <w:rPr>
          <w:rFonts w:ascii="Times New Roman" w:hAnsi="Times New Roman"/>
          <w:sz w:val="20"/>
          <w:szCs w:val="20"/>
        </w:rPr>
      </w:pPr>
      <w:r w:rsidRPr="00535ACD">
        <w:rPr>
          <w:rStyle w:val="Refdenotaalpie"/>
          <w:rFonts w:ascii="Times New Roman" w:hAnsi="Times New Roman"/>
          <w:sz w:val="20"/>
          <w:szCs w:val="20"/>
        </w:rPr>
        <w:footnoteRef/>
      </w:r>
      <w:r w:rsidRPr="00535ACD">
        <w:rPr>
          <w:rFonts w:ascii="Times New Roman" w:hAnsi="Times New Roman"/>
          <w:sz w:val="20"/>
          <w:szCs w:val="20"/>
        </w:rPr>
        <w:t xml:space="preserve"> Administrador de Empresas egresado de la Universidad Antonio Nariño. Magíster en Educación de la Universidad Santo Tomás. Docente e investigador universitario. Asistente Académico Universidad de La Salle.</w:t>
      </w:r>
      <w:r w:rsidRPr="00535ACD">
        <w:rPr>
          <w:rFonts w:ascii="Times New Roman" w:hAnsi="Times New Roman"/>
          <w:color w:val="auto"/>
          <w:sz w:val="20"/>
          <w:szCs w:val="20"/>
        </w:rPr>
        <w:t xml:space="preserve"> Correo electrónico: </w:t>
      </w:r>
      <w:hyperlink r:id="rId1" w:history="1">
        <w:r w:rsidRPr="00535ACD">
          <w:rPr>
            <w:rStyle w:val="Hipervnculo"/>
            <w:rFonts w:ascii="Times New Roman" w:hAnsi="Times New Roman"/>
            <w:color w:val="000000" w:themeColor="text1"/>
            <w:sz w:val="20"/>
            <w:szCs w:val="20"/>
          </w:rPr>
          <w:t>oyduque@lasalle.edu.co</w:t>
        </w:r>
      </w:hyperlink>
    </w:p>
  </w:footnote>
  <w:footnote w:id="2">
    <w:p w14:paraId="75E27C4C" w14:textId="77777777" w:rsidR="008255C5" w:rsidRPr="00535ACD" w:rsidRDefault="008255C5" w:rsidP="008255C5">
      <w:pPr>
        <w:pStyle w:val="Textonotapie"/>
        <w:spacing w:after="0" w:line="240" w:lineRule="auto"/>
        <w:jc w:val="both"/>
        <w:rPr>
          <w:rFonts w:ascii="Times New Roman" w:hAnsi="Times New Roman" w:cs="Times New Roman"/>
          <w:sz w:val="20"/>
          <w:szCs w:val="20"/>
          <w:lang w:val="es-ES"/>
        </w:rPr>
      </w:pPr>
      <w:r w:rsidRPr="00535ACD">
        <w:rPr>
          <w:rStyle w:val="Refdenotaalpie"/>
          <w:rFonts w:ascii="Times New Roman" w:hAnsi="Times New Roman" w:cs="Times New Roman"/>
          <w:sz w:val="20"/>
          <w:szCs w:val="20"/>
        </w:rPr>
        <w:footnoteRef/>
      </w:r>
      <w:r w:rsidRPr="00535ACD">
        <w:rPr>
          <w:rFonts w:ascii="Times New Roman" w:hAnsi="Times New Roman" w:cs="Times New Roman"/>
          <w:sz w:val="20"/>
          <w:szCs w:val="20"/>
        </w:rPr>
        <w:t xml:space="preserve"> </w:t>
      </w:r>
      <w:r w:rsidRPr="00535ACD">
        <w:rPr>
          <w:rFonts w:ascii="Times New Roman" w:hAnsi="Times New Roman" w:cs="Times New Roman"/>
          <w:sz w:val="20"/>
          <w:szCs w:val="20"/>
          <w:lang w:val="es-ES"/>
        </w:rPr>
        <w:t>Psicólogo. Especialista en Administración de Empresas y en Docencia Universitaria. Magister en Calidad y Gestión Integral. Docente e investigador universitario. Correo: gabrielmoreno@usantotomas.edu.co</w:t>
      </w:r>
    </w:p>
  </w:footnote>
  <w:footnote w:id="3">
    <w:p w14:paraId="0CC769F9" w14:textId="77777777" w:rsidR="008255C5" w:rsidRPr="00331E66" w:rsidRDefault="008255C5" w:rsidP="008255C5">
      <w:pPr>
        <w:pStyle w:val="Textonotapie"/>
        <w:spacing w:after="0" w:line="240" w:lineRule="auto"/>
        <w:rPr>
          <w:rFonts w:ascii="Times New Roman" w:hAnsi="Times New Roman" w:cs="Times New Roman"/>
          <w:sz w:val="20"/>
          <w:szCs w:val="20"/>
        </w:rPr>
      </w:pPr>
      <w:r w:rsidRPr="00331E66">
        <w:rPr>
          <w:rStyle w:val="Refdenotaalpie"/>
          <w:rFonts w:ascii="Times New Roman" w:hAnsi="Times New Roman" w:cs="Times New Roman"/>
          <w:sz w:val="20"/>
          <w:szCs w:val="20"/>
        </w:rPr>
        <w:footnoteRef/>
      </w:r>
      <w:r w:rsidRPr="00331E66">
        <w:rPr>
          <w:rFonts w:ascii="Times New Roman" w:hAnsi="Times New Roman" w:cs="Times New Roman"/>
          <w:sz w:val="20"/>
          <w:szCs w:val="20"/>
        </w:rPr>
        <w:t xml:space="preserve"> Poeta épico griego, autor entre otras obras de la Ilíada y la Odisea.</w:t>
      </w:r>
    </w:p>
  </w:footnote>
  <w:footnote w:id="4">
    <w:p w14:paraId="59391A65" w14:textId="77777777" w:rsidR="008255C5" w:rsidRPr="00331E66" w:rsidRDefault="008255C5" w:rsidP="008255C5">
      <w:pPr>
        <w:pStyle w:val="Textonotapie"/>
        <w:spacing w:after="0" w:line="240" w:lineRule="auto"/>
        <w:rPr>
          <w:rFonts w:ascii="Times New Roman" w:hAnsi="Times New Roman" w:cs="Times New Roman"/>
          <w:sz w:val="20"/>
          <w:szCs w:val="20"/>
        </w:rPr>
      </w:pPr>
      <w:r w:rsidRPr="00331E66">
        <w:rPr>
          <w:rStyle w:val="Refdenotaalpie"/>
          <w:rFonts w:ascii="Times New Roman" w:hAnsi="Times New Roman" w:cs="Times New Roman"/>
          <w:sz w:val="20"/>
          <w:szCs w:val="20"/>
        </w:rPr>
        <w:footnoteRef/>
      </w:r>
      <w:r w:rsidRPr="00331E66">
        <w:rPr>
          <w:rFonts w:ascii="Times New Roman" w:hAnsi="Times New Roman" w:cs="Times New Roman"/>
          <w:sz w:val="20"/>
          <w:szCs w:val="20"/>
        </w:rPr>
        <w:t xml:space="preserve"> Nombre indicado en la </w:t>
      </w:r>
      <w:hyperlink r:id="rId2" w:tooltip="Grecia" w:history="1">
        <w:r w:rsidRPr="00331E66">
          <w:rPr>
            <w:rFonts w:ascii="Times New Roman" w:hAnsi="Times New Roman" w:cs="Times New Roman"/>
            <w:sz w:val="20"/>
            <w:szCs w:val="20"/>
          </w:rPr>
          <w:t>Grecia</w:t>
        </w:r>
      </w:hyperlink>
      <w:r w:rsidRPr="00331E66">
        <w:rPr>
          <w:rFonts w:ascii="Times New Roman" w:hAnsi="Times New Roman" w:cs="Times New Roman"/>
          <w:sz w:val="20"/>
          <w:szCs w:val="20"/>
        </w:rPr>
        <w:t> clásica a aquella profesión dedicada a enseñar la sabiduría.</w:t>
      </w:r>
    </w:p>
  </w:footnote>
  <w:footnote w:id="5">
    <w:p w14:paraId="7EB68395" w14:textId="77777777" w:rsidR="008255C5" w:rsidRPr="00331E66" w:rsidRDefault="008255C5" w:rsidP="008255C5">
      <w:pPr>
        <w:pStyle w:val="Textonotapie"/>
        <w:spacing w:after="0"/>
        <w:rPr>
          <w:rFonts w:ascii="Times New Roman" w:hAnsi="Times New Roman" w:cs="Times New Roman"/>
          <w:sz w:val="20"/>
          <w:szCs w:val="20"/>
        </w:rPr>
      </w:pPr>
      <w:r w:rsidRPr="00331E66">
        <w:rPr>
          <w:rStyle w:val="Refdenotaalpie"/>
          <w:rFonts w:ascii="Times New Roman" w:hAnsi="Times New Roman" w:cs="Times New Roman"/>
          <w:sz w:val="20"/>
          <w:szCs w:val="20"/>
        </w:rPr>
        <w:footnoteRef/>
      </w:r>
      <w:r w:rsidRPr="00331E66">
        <w:rPr>
          <w:rFonts w:ascii="Times New Roman" w:hAnsi="Times New Roman" w:cs="Times New Roman"/>
          <w:sz w:val="20"/>
          <w:szCs w:val="20"/>
        </w:rPr>
        <w:t xml:space="preserve"> Una forma de recitar las lecturas de las </w:t>
      </w:r>
      <w:hyperlink r:id="rId3" w:tooltip="Sagradas Escrituras" w:history="1">
        <w:r w:rsidRPr="00331E66">
          <w:rPr>
            <w:rFonts w:ascii="Times New Roman" w:hAnsi="Times New Roman" w:cs="Times New Roman"/>
            <w:sz w:val="20"/>
            <w:szCs w:val="20"/>
          </w:rPr>
          <w:t>Sagradas Escrituras</w:t>
        </w:r>
      </w:hyperlink>
      <w:r w:rsidRPr="00331E66">
        <w:rPr>
          <w:rFonts w:ascii="Times New Roman" w:hAnsi="Times New Roman" w:cs="Times New Roman"/>
          <w:sz w:val="20"/>
          <w:szCs w:val="20"/>
        </w:rPr>
        <w:t>.</w:t>
      </w:r>
    </w:p>
  </w:footnote>
  <w:footnote w:id="6">
    <w:p w14:paraId="3AE2E4BD" w14:textId="77777777" w:rsidR="008255C5" w:rsidRPr="00331E66" w:rsidRDefault="008255C5" w:rsidP="008255C5">
      <w:pPr>
        <w:pStyle w:val="Textonotapie"/>
        <w:spacing w:after="0"/>
        <w:rPr>
          <w:sz w:val="20"/>
          <w:szCs w:val="20"/>
        </w:rPr>
      </w:pPr>
      <w:r w:rsidRPr="00331E66">
        <w:rPr>
          <w:rStyle w:val="Refdenotaalpie"/>
          <w:rFonts w:ascii="Times New Roman" w:hAnsi="Times New Roman" w:cs="Times New Roman"/>
          <w:sz w:val="20"/>
          <w:szCs w:val="20"/>
        </w:rPr>
        <w:footnoteRef/>
      </w:r>
      <w:r w:rsidRPr="00331E66">
        <w:rPr>
          <w:rFonts w:ascii="Times New Roman" w:hAnsi="Times New Roman" w:cs="Times New Roman"/>
          <w:sz w:val="20"/>
          <w:szCs w:val="20"/>
        </w:rPr>
        <w:t xml:space="preserve"> Técnica universitaria de la Edad Media para realizar exámenes y para debatir.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C5"/>
    <w:rsid w:val="002B42FB"/>
    <w:rsid w:val="0036010A"/>
    <w:rsid w:val="00503218"/>
    <w:rsid w:val="008255C5"/>
    <w:rsid w:val="00883B3B"/>
    <w:rsid w:val="00B8375C"/>
    <w:rsid w:val="00E10473"/>
    <w:rsid w:val="00EF5BB2"/>
    <w:rsid w:val="00FF7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9939"/>
  <w15:chartTrackingRefBased/>
  <w15:docId w15:val="{0265FD73-ED79-4EAC-B7F1-BA2226C5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5C5"/>
    <w:pPr>
      <w:spacing w:after="200" w:line="276" w:lineRule="auto"/>
    </w:pPr>
    <w:rPr>
      <w:rFonts w:ascii="Arial" w:hAnsi="Arial" w:cs="Arial"/>
      <w:u w:color="000000"/>
    </w:rPr>
  </w:style>
  <w:style w:type="paragraph" w:styleId="Ttulo1">
    <w:name w:val="heading 1"/>
    <w:basedOn w:val="Normal"/>
    <w:next w:val="Normal"/>
    <w:link w:val="Ttulo1Car"/>
    <w:uiPriority w:val="9"/>
    <w:qFormat/>
    <w:rsid w:val="008255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qFormat/>
    <w:rsid w:val="008255C5"/>
    <w:rPr>
      <w:rFonts w:ascii="Calibri" w:eastAsia="Calibri" w:hAnsi="Calibri" w:cs="Calibri"/>
      <w:color w:val="000000"/>
      <w:sz w:val="24"/>
      <w:szCs w:val="24"/>
      <w:lang w:val="es-ES_tradnl" w:eastAsia="es-ES"/>
    </w:rPr>
  </w:style>
  <w:style w:type="character" w:customStyle="1" w:styleId="TextonotapieCar">
    <w:name w:val="Texto nota pie Car"/>
    <w:basedOn w:val="Fuentedeprrafopredeter"/>
    <w:link w:val="Textonotapie"/>
    <w:uiPriority w:val="99"/>
    <w:qFormat/>
    <w:rsid w:val="008255C5"/>
    <w:rPr>
      <w:rFonts w:ascii="Calibri" w:eastAsia="Calibri" w:hAnsi="Calibri" w:cs="Calibri"/>
      <w:color w:val="000000"/>
      <w:sz w:val="24"/>
      <w:szCs w:val="24"/>
      <w:u w:color="000000"/>
      <w:lang w:val="es-ES_tradnl" w:eastAsia="es-ES"/>
    </w:rPr>
  </w:style>
  <w:style w:type="character" w:styleId="Refdenotaalpie">
    <w:name w:val="footnote reference"/>
    <w:uiPriority w:val="99"/>
    <w:unhideWhenUsed/>
    <w:qFormat/>
    <w:rsid w:val="008255C5"/>
    <w:rPr>
      <w:vertAlign w:val="superscript"/>
    </w:rPr>
  </w:style>
  <w:style w:type="character" w:styleId="Hipervnculo">
    <w:name w:val="Hyperlink"/>
    <w:uiPriority w:val="99"/>
    <w:unhideWhenUsed/>
    <w:rsid w:val="008255C5"/>
    <w:rPr>
      <w:color w:val="0000FF"/>
      <w:u w:val="single"/>
    </w:rPr>
  </w:style>
  <w:style w:type="character" w:customStyle="1" w:styleId="Ancladenotaalpie">
    <w:name w:val="Ancla de nota al pie"/>
    <w:rsid w:val="008255C5"/>
    <w:rPr>
      <w:vertAlign w:val="superscript"/>
    </w:rPr>
  </w:style>
  <w:style w:type="paragraph" w:customStyle="1" w:styleId="Notaalpie">
    <w:name w:val="Nota al pie"/>
    <w:basedOn w:val="Normal"/>
    <w:rsid w:val="008255C5"/>
    <w:pPr>
      <w:spacing w:after="160" w:line="259" w:lineRule="auto"/>
    </w:pPr>
    <w:rPr>
      <w:rFonts w:ascii="Calibri" w:eastAsia="Calibri" w:hAnsi="Calibri" w:cs="Times New Roman"/>
      <w:color w:val="00000A"/>
    </w:rPr>
  </w:style>
  <w:style w:type="paragraph" w:customStyle="1" w:styleId="Parte1">
    <w:name w:val="Parte 1"/>
    <w:basedOn w:val="Ttulo1"/>
    <w:qFormat/>
    <w:rsid w:val="008255C5"/>
    <w:pPr>
      <w:spacing w:before="0" w:line="360" w:lineRule="auto"/>
      <w:jc w:val="right"/>
    </w:pPr>
    <w:rPr>
      <w:rFonts w:ascii="Times New Roman" w:eastAsia="Cambria" w:hAnsi="Times New Roman" w:cs="Times New Roman"/>
      <w:b/>
      <w:color w:val="FF0000"/>
      <w:sz w:val="44"/>
      <w:szCs w:val="24"/>
      <w:lang w:val="es-ES_tradnl" w:eastAsia="es-ES"/>
    </w:rPr>
  </w:style>
  <w:style w:type="paragraph" w:customStyle="1" w:styleId="Captulos">
    <w:name w:val="Capítulos"/>
    <w:basedOn w:val="Normal"/>
    <w:qFormat/>
    <w:rsid w:val="008255C5"/>
    <w:pPr>
      <w:spacing w:after="0"/>
      <w:jc w:val="right"/>
      <w:outlineLvl w:val="0"/>
    </w:pPr>
    <w:rPr>
      <w:rFonts w:ascii="Times New Roman" w:eastAsia="Calibri" w:hAnsi="Times New Roman" w:cs="Times New Roman"/>
      <w:b/>
      <w:color w:val="000000"/>
      <w:sz w:val="36"/>
      <w:szCs w:val="24"/>
      <w:lang w:val="es-ES_tradnl" w:eastAsia="es-ES"/>
    </w:rPr>
  </w:style>
  <w:style w:type="character" w:customStyle="1" w:styleId="Ttulo1Car">
    <w:name w:val="Título 1 Car"/>
    <w:basedOn w:val="Fuentedeprrafopredeter"/>
    <w:link w:val="Ttulo1"/>
    <w:uiPriority w:val="9"/>
    <w:rsid w:val="008255C5"/>
    <w:rPr>
      <w:rFonts w:asciiTheme="majorHAnsi" w:eastAsiaTheme="majorEastAsia" w:hAnsiTheme="majorHAnsi" w:cstheme="majorBidi"/>
      <w:color w:val="2F5496" w:themeColor="accent1" w:themeShade="BF"/>
      <w:sz w:val="32"/>
      <w:szCs w:val="32"/>
      <w:u w:color="000000"/>
    </w:rPr>
  </w:style>
  <w:style w:type="paragraph" w:styleId="Bibliografa">
    <w:name w:val="Bibliography"/>
    <w:basedOn w:val="Normal"/>
    <w:next w:val="Normal"/>
    <w:uiPriority w:val="37"/>
    <w:semiHidden/>
    <w:unhideWhenUsed/>
    <w:rsid w:val="00825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es.wikipedia.org/wiki/Sagradas_Escrituras" TargetMode="External"/><Relationship Id="rId2" Type="http://schemas.openxmlformats.org/officeDocument/2006/relationships/hyperlink" Target="https://es.wikipedia.org/wiki/Grecia" TargetMode="External"/><Relationship Id="rId1" Type="http://schemas.openxmlformats.org/officeDocument/2006/relationships/hyperlink" Target="mailto:oyduque@lasalle.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1967</Words>
  <Characters>10824</Characters>
  <Application>Microsoft Office Word</Application>
  <DocSecurity>0</DocSecurity>
  <Lines>90</Lines>
  <Paragraphs>25</Paragraphs>
  <ScaleCrop>false</ScaleCrop>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Andrés Díaz Jiménez</dc:creator>
  <cp:keywords/>
  <dc:description/>
  <cp:lastModifiedBy>Michael Andrés Díaz Jiménez</cp:lastModifiedBy>
  <cp:revision>1</cp:revision>
  <dcterms:created xsi:type="dcterms:W3CDTF">2020-07-06T22:52:00Z</dcterms:created>
  <dcterms:modified xsi:type="dcterms:W3CDTF">2020-07-06T22:53:00Z</dcterms:modified>
</cp:coreProperties>
</file>