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3A31" w:rsidRPr="00033A31" w:rsidRDefault="00033A31" w:rsidP="00033A31">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033A31">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33A31" w:rsidRPr="00033A31" w:rsidTr="00033A31">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Lugar de ejecución</w:t>
            </w:r>
          </w:p>
        </w:tc>
      </w:tr>
      <w:tr w:rsidR="00033A31" w:rsidRPr="00033A31" w:rsidTr="00033A31">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El Principio De Igualdad Y No Discriminación Asociado Al Género, La Edad Y La Discapacidad</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10 Meses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Bogotá</w:t>
            </w: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033A31" w:rsidRPr="00033A31" w:rsidTr="00033A31">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 xml:space="preserve">Enlace </w:t>
            </w:r>
            <w:proofErr w:type="spellStart"/>
            <w:r w:rsidRPr="00033A31">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Enlace Google Académico</w:t>
            </w:r>
          </w:p>
        </w:tc>
      </w:tr>
      <w:tr w:rsidR="00033A31" w:rsidRPr="00033A31" w:rsidTr="0032116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p>
        </w:tc>
      </w:tr>
    </w:tbl>
    <w:p w:rsidR="00033A31" w:rsidRPr="00033A31" w:rsidRDefault="00033A31" w:rsidP="00033A31">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033A31" w:rsidRPr="00033A31" w:rsidTr="00033A31">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Grupo de investigación</w:t>
            </w:r>
          </w:p>
        </w:tc>
      </w:tr>
      <w:tr w:rsidR="00033A31" w:rsidRPr="00033A31" w:rsidTr="00033A31">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Maestría en Derechos Humanos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Estudios críticos en derecho, derechos humanos, derecho internacional humanitario, justicia, prudencia y paz - Virtualidad y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Investigación socio humanística del derecho</w:t>
            </w: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033A31" w:rsidRPr="00033A31" w:rsidTr="00033A31">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 xml:space="preserve">Enlace </w:t>
            </w:r>
            <w:proofErr w:type="spellStart"/>
            <w:r w:rsidRPr="00033A31">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Enlace Google Académico</w:t>
            </w:r>
          </w:p>
        </w:tc>
      </w:tr>
      <w:tr w:rsidR="00033A31" w:rsidRPr="00033A31" w:rsidTr="0032116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p>
        </w:tc>
      </w:tr>
    </w:tbl>
    <w:p w:rsidR="00033A31" w:rsidRPr="00033A31" w:rsidRDefault="00033A31" w:rsidP="00033A31">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033A31" w:rsidRPr="00033A31" w:rsidTr="00033A31">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Grupo de investigación</w:t>
            </w:r>
          </w:p>
        </w:tc>
      </w:tr>
      <w:tr w:rsidR="00033A31" w:rsidRPr="00033A31" w:rsidTr="00033A31">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Maestría en Derechos Humanos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 xml:space="preserve">Estudios críticos en derecho, derechos humanos, derecho internacional humanitario, justicia, </w:t>
            </w:r>
            <w:r w:rsidRPr="00033A31">
              <w:rPr>
                <w:rFonts w:ascii="Helvetica" w:eastAsia="Times New Roman" w:hAnsi="Helvetica" w:cs="Helvetica"/>
                <w:color w:val="222222"/>
                <w:sz w:val="24"/>
                <w:szCs w:val="24"/>
                <w:lang w:eastAsia="es-CO"/>
              </w:rPr>
              <w:lastRenderedPageBreak/>
              <w:t>prudencia y paz - Virtualidad y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lastRenderedPageBreak/>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Investigación socio humanística del derecho</w:t>
            </w: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033A31" w:rsidRPr="00033A31" w:rsidTr="00033A31">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Palabras clave</w:t>
            </w:r>
          </w:p>
        </w:tc>
      </w:tr>
      <w:tr w:rsidR="00033A31" w:rsidRPr="00033A31" w:rsidTr="00033A31">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both"/>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El proyecto está orientado a desarrollar piezas audiovisuales de corta duración sobre temas clave asociados al principio de igualdad y no discriminación, de tal forma que se ofrezca al público información pertinente y puntual sobre cuatro aspectos: 1. Elementos generales del principio de la igualdad y la no discriminación; 2. El enfoque de género; 3. El enfoque de edad asociado a niños, niñas y adolescentes y; 4. El enfoque de discapacidad. En relación con esos cuatro ejes temáticos se realizarán videos cortos que profundizarán en conceptos básicos, casos hito resueltos al nivel de la jurisprudencia internacional, casos hito resueltos en las instancias nacionales y retos y propuestas para su fortalecimiento en situaciones concretas.</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both"/>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Igualdad, discriminación, género, infancia, discapacidad.</w:t>
            </w: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Planteamiento del problema y pregunta de investigación</w:t>
            </w:r>
          </w:p>
        </w:tc>
      </w:tr>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both"/>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 xml:space="preserve">La materialización efectiva del principio de igualdad y no discriminación frente a poblaciones históricamente discriminadas supone la formación y socialización de conceptos básicos y herramientas de actuación, que permitan evidenciar y transformar los estereotipos y prejuicios sociales que soportan relaciones de poder nocivas para dichos grupos. En tal sentido, ¿La producción de piezas audiovisuales de corta duración </w:t>
            </w:r>
            <w:proofErr w:type="gramStart"/>
            <w:r w:rsidRPr="00033A31">
              <w:rPr>
                <w:rFonts w:ascii="Helvetica" w:eastAsia="Times New Roman" w:hAnsi="Helvetica" w:cs="Helvetica"/>
                <w:color w:val="222222"/>
                <w:sz w:val="24"/>
                <w:szCs w:val="24"/>
                <w:lang w:eastAsia="es-CO"/>
              </w:rPr>
              <w:t>pueden</w:t>
            </w:r>
            <w:proofErr w:type="gramEnd"/>
            <w:r w:rsidRPr="00033A31">
              <w:rPr>
                <w:rFonts w:ascii="Helvetica" w:eastAsia="Times New Roman" w:hAnsi="Helvetica" w:cs="Helvetica"/>
                <w:color w:val="222222"/>
                <w:sz w:val="24"/>
                <w:szCs w:val="24"/>
                <w:lang w:eastAsia="es-CO"/>
              </w:rPr>
              <w:t xml:space="preserve"> servir como mecanismo que aporte a divulgar conceptos básicos y herramientas de actuación que contribuyan a la superación de la desigualdad en razón del género, la edad y la discapacidad?</w:t>
            </w: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Justificación</w:t>
            </w:r>
          </w:p>
        </w:tc>
      </w:tr>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both"/>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 xml:space="preserve">El proyecto parte de la premisa de que a pesar de la garantía formal de derechos para todas las personas, existen sujetos que por su pertenencia a ciertos grupos poblacionales que poseen situaciones o condiciones específicas, enfrentan diversas formas de discriminación histórica que impiden el ejercicio real de sus derechos. Particularmente en Colombia se observa una brecha considerable entre el reconocimiento de derechos y el ejercicio de estos para las mujeres, los niños, las niñas y los jóvenes, las personas adultas mayores, las poblaciones indígenas y afrocolombianas y otras </w:t>
            </w:r>
            <w:proofErr w:type="spellStart"/>
            <w:r w:rsidRPr="00033A31">
              <w:rPr>
                <w:rFonts w:ascii="Helvetica" w:eastAsia="Times New Roman" w:hAnsi="Helvetica" w:cs="Helvetica"/>
                <w:color w:val="222222"/>
                <w:sz w:val="24"/>
                <w:szCs w:val="24"/>
                <w:lang w:eastAsia="es-CO"/>
              </w:rPr>
              <w:t>mínorias</w:t>
            </w:r>
            <w:proofErr w:type="spellEnd"/>
            <w:r w:rsidRPr="00033A31">
              <w:rPr>
                <w:rFonts w:ascii="Helvetica" w:eastAsia="Times New Roman" w:hAnsi="Helvetica" w:cs="Helvetica"/>
                <w:color w:val="222222"/>
                <w:sz w:val="24"/>
                <w:szCs w:val="24"/>
                <w:lang w:eastAsia="es-CO"/>
              </w:rPr>
              <w:t xml:space="preserve"> étnicas, las poblaciones de orientaciones sexuales, identidades de género y diversidades corporales diferentes a la heterosexual, </w:t>
            </w:r>
            <w:proofErr w:type="spellStart"/>
            <w:r w:rsidRPr="00033A31">
              <w:rPr>
                <w:rFonts w:ascii="Helvetica" w:eastAsia="Times New Roman" w:hAnsi="Helvetica" w:cs="Helvetica"/>
                <w:color w:val="222222"/>
                <w:sz w:val="24"/>
                <w:szCs w:val="24"/>
                <w:lang w:eastAsia="es-CO"/>
              </w:rPr>
              <w:t>cisgénero</w:t>
            </w:r>
            <w:proofErr w:type="spellEnd"/>
            <w:r w:rsidRPr="00033A31">
              <w:rPr>
                <w:rFonts w:ascii="Helvetica" w:eastAsia="Times New Roman" w:hAnsi="Helvetica" w:cs="Helvetica"/>
                <w:color w:val="222222"/>
                <w:sz w:val="24"/>
                <w:szCs w:val="24"/>
                <w:lang w:eastAsia="es-CO"/>
              </w:rPr>
              <w:t xml:space="preserve"> y sexual estándar (LGTBI) y las personas con discapacidad, entre otros </w:t>
            </w:r>
            <w:r w:rsidRPr="00033A31">
              <w:rPr>
                <w:rFonts w:ascii="Helvetica" w:eastAsia="Times New Roman" w:hAnsi="Helvetica" w:cs="Helvetica"/>
                <w:color w:val="222222"/>
                <w:sz w:val="24"/>
                <w:szCs w:val="24"/>
                <w:lang w:eastAsia="es-CO"/>
              </w:rPr>
              <w:lastRenderedPageBreak/>
              <w:t xml:space="preserve">grupos. Entre estas poblaciones, se ven más afectadas en la garantía de sus derechos, aquellas que presentan situaciones de vulnerabilidad o aquellas que evidencian la intersección de múltiples discriminaciones. Actualmente, en el marco de la defensa de los derechos humanos en Colombia, la categoría “enfoques diferenciales” es común y aceptadamente utilizada, no obstante, su uso es </w:t>
            </w:r>
            <w:proofErr w:type="spellStart"/>
            <w:r w:rsidRPr="00033A31">
              <w:rPr>
                <w:rFonts w:ascii="Helvetica" w:eastAsia="Times New Roman" w:hAnsi="Helvetica" w:cs="Helvetica"/>
                <w:color w:val="222222"/>
                <w:sz w:val="24"/>
                <w:szCs w:val="24"/>
                <w:lang w:eastAsia="es-CO"/>
              </w:rPr>
              <w:t>aún</w:t>
            </w:r>
            <w:proofErr w:type="spellEnd"/>
            <w:r w:rsidRPr="00033A31">
              <w:rPr>
                <w:rFonts w:ascii="Helvetica" w:eastAsia="Times New Roman" w:hAnsi="Helvetica" w:cs="Helvetica"/>
                <w:color w:val="222222"/>
                <w:sz w:val="24"/>
                <w:szCs w:val="24"/>
                <w:lang w:eastAsia="es-CO"/>
              </w:rPr>
              <w:t xml:space="preserve"> meramente retórico. Esto es en parte debido a dos elementos: i. la falta de delimitación clara sobre su contenido y alcance y ii. </w:t>
            </w:r>
            <w:proofErr w:type="gramStart"/>
            <w:r w:rsidRPr="00033A31">
              <w:rPr>
                <w:rFonts w:ascii="Helvetica" w:eastAsia="Times New Roman" w:hAnsi="Helvetica" w:cs="Helvetica"/>
                <w:color w:val="222222"/>
                <w:sz w:val="24"/>
                <w:szCs w:val="24"/>
                <w:lang w:eastAsia="es-CO"/>
              </w:rPr>
              <w:t>la</w:t>
            </w:r>
            <w:proofErr w:type="gramEnd"/>
            <w:r w:rsidRPr="00033A31">
              <w:rPr>
                <w:rFonts w:ascii="Helvetica" w:eastAsia="Times New Roman" w:hAnsi="Helvetica" w:cs="Helvetica"/>
                <w:color w:val="222222"/>
                <w:sz w:val="24"/>
                <w:szCs w:val="24"/>
                <w:lang w:eastAsia="es-CO"/>
              </w:rPr>
              <w:t xml:space="preserve"> ausencia de mecanismos que permitan dar el paso de categorías de análisis a herramienta aplicable para superar las situaciones que comprometan los derechos humanos de las personas vinculadas a esos enfoques. Las debilidades en la aplicación práctica de estos enfoques han generado pocos resultados satisfactorios en materia de garantía de derechos y en muchos casos han ocasionado un efecto perverso en el acceso a las políticas públicas por la fragmentación de la atención a las personas y poblaciones que deben ser protegidas por el Estado.</w:t>
            </w: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Objetivo general</w:t>
            </w:r>
          </w:p>
        </w:tc>
      </w:tr>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both"/>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 xml:space="preserve">Contribuir a garantizar el ejercicio y protección de los derechos humanos de las poblaciones históricamente discriminadas, ofreciendo información cualificada sobre contenidos básicos, </w:t>
            </w:r>
            <w:proofErr w:type="gramStart"/>
            <w:r w:rsidRPr="00033A31">
              <w:rPr>
                <w:rFonts w:ascii="Helvetica" w:eastAsia="Times New Roman" w:hAnsi="Helvetica" w:cs="Helvetica"/>
                <w:color w:val="222222"/>
                <w:sz w:val="24"/>
                <w:szCs w:val="24"/>
                <w:lang w:eastAsia="es-CO"/>
              </w:rPr>
              <w:t>casos hito</w:t>
            </w:r>
            <w:proofErr w:type="gramEnd"/>
            <w:r w:rsidRPr="00033A31">
              <w:rPr>
                <w:rFonts w:ascii="Helvetica" w:eastAsia="Times New Roman" w:hAnsi="Helvetica" w:cs="Helvetica"/>
                <w:color w:val="222222"/>
                <w:sz w:val="24"/>
                <w:szCs w:val="24"/>
                <w:lang w:eastAsia="es-CO"/>
              </w:rPr>
              <w:t xml:space="preserve"> y propuestas, a fin de fortalecer acciones que permitan la superación de la inequidad y la discriminación que las afectan.</w:t>
            </w: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Objetivos específicos</w:t>
            </w:r>
          </w:p>
        </w:tc>
      </w:tr>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both"/>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 Aportar al debate teórico práctico en torno a las aproximaciones analíticas que es necesario considerar a la hora de garantizar y proteger los derechos de las poblaciones históricamente discriminadas asociadas al género, la edad y la discapacidad. • Construir piezas audiovisuales de corta duración que de manera pedagógica contribuyan a divulgar información técnica desde el principio de la igualdad y la no discriminación, sobre los derechos asociados al género, la edad y la discapacidad. • Realizar análisis situacionales a problemáticas de derechos humanos que afectan a las poblaciones históricamente discriminadas que permitan generar recomendaciones normativas y de política pública.</w:t>
            </w: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Marco teórico</w:t>
            </w:r>
          </w:p>
        </w:tc>
      </w:tr>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both"/>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El archivo adjunto es: MARCO TEÓRICO.pdf</w:t>
            </w: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Metodología</w:t>
            </w:r>
          </w:p>
        </w:tc>
      </w:tr>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both"/>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 xml:space="preserve">A la luz del Módulo 56 de la Facultad de Derecho, la producción de piezas audiovisuales de corta duración será el resultado de la investigación socio-jurídica que realizarán las docentes sobre la aplicación y garantía del principio de igualdad y no discriminación (como norma), sobre los derechos de las mujeres y personas LGBTI, niños, niñas y adolescentes y personas con discapacidad en diferentes esferas de su vida. Este </w:t>
            </w:r>
            <w:r w:rsidRPr="00033A31">
              <w:rPr>
                <w:rFonts w:ascii="Helvetica" w:eastAsia="Times New Roman" w:hAnsi="Helvetica" w:cs="Helvetica"/>
                <w:color w:val="222222"/>
                <w:sz w:val="24"/>
                <w:szCs w:val="24"/>
                <w:lang w:eastAsia="es-CO"/>
              </w:rPr>
              <w:lastRenderedPageBreak/>
              <w:t>abordaje implica la investigación de conceptos, normas, jurisprudencia y casos reales sobre ejes temáticos concretos que serán plasmados en las piezas audiovisuales.</w:t>
            </w: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33A31" w:rsidRPr="00033A31" w:rsidTr="00033A31">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Resultados esperados</w:t>
            </w:r>
          </w:p>
        </w:tc>
      </w:tr>
      <w:tr w:rsidR="00033A31" w:rsidRPr="00033A31" w:rsidTr="00033A31">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Cantidad</w:t>
            </w:r>
          </w:p>
        </w:tc>
      </w:tr>
      <w:tr w:rsidR="00033A31" w:rsidRPr="00033A31" w:rsidTr="00033A31">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0</w:t>
            </w:r>
          </w:p>
        </w:tc>
      </w:tr>
      <w:tr w:rsidR="00033A31" w:rsidRPr="00033A31" w:rsidTr="00033A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1</w:t>
            </w:r>
          </w:p>
        </w:tc>
      </w:tr>
      <w:tr w:rsidR="00033A31" w:rsidRPr="00033A31" w:rsidTr="00033A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4</w:t>
            </w:r>
          </w:p>
        </w:tc>
      </w:tr>
      <w:tr w:rsidR="00033A31" w:rsidRPr="00033A31" w:rsidTr="00033A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0</w:t>
            </w:r>
          </w:p>
        </w:tc>
      </w:tr>
      <w:tr w:rsidR="00033A31" w:rsidRPr="00033A31" w:rsidTr="00033A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0</w:t>
            </w:r>
          </w:p>
        </w:tc>
      </w:tr>
      <w:tr w:rsidR="00033A31" w:rsidRPr="00033A31" w:rsidTr="00033A31">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0</w:t>
            </w:r>
          </w:p>
        </w:tc>
      </w:tr>
      <w:tr w:rsidR="00033A31" w:rsidRPr="00033A31" w:rsidTr="00033A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0</w:t>
            </w:r>
          </w:p>
        </w:tc>
      </w:tr>
      <w:tr w:rsidR="00033A31" w:rsidRPr="00033A31" w:rsidTr="00033A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0</w:t>
            </w:r>
          </w:p>
        </w:tc>
      </w:tr>
      <w:tr w:rsidR="00033A31" w:rsidRPr="00033A31" w:rsidTr="00033A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0</w:t>
            </w:r>
          </w:p>
        </w:tc>
      </w:tr>
      <w:tr w:rsidR="00033A31" w:rsidRPr="00033A31" w:rsidTr="00033A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0</w:t>
            </w:r>
          </w:p>
        </w:tc>
      </w:tr>
      <w:tr w:rsidR="00033A31" w:rsidRPr="00033A31" w:rsidTr="00033A31">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Apropiación social del conocim</w:t>
            </w:r>
            <w:r w:rsidR="00993621">
              <w:rPr>
                <w:rFonts w:ascii="Helvetica" w:eastAsia="Times New Roman" w:hAnsi="Helvetica" w:cs="Helvetica"/>
                <w:color w:val="222222"/>
                <w:sz w:val="24"/>
                <w:szCs w:val="24"/>
                <w:lang w:eastAsia="es-CO"/>
              </w:rPr>
              <w:t>i</w:t>
            </w:r>
            <w:r w:rsidRPr="00033A31">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0</w:t>
            </w:r>
          </w:p>
        </w:tc>
      </w:tr>
      <w:tr w:rsidR="00033A31" w:rsidRPr="00033A31" w:rsidTr="00033A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4</w:t>
            </w:r>
          </w:p>
        </w:tc>
      </w:tr>
      <w:tr w:rsidR="00033A31" w:rsidRPr="00033A31" w:rsidTr="00033A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Gestión del conocim</w:t>
            </w:r>
            <w:r w:rsidR="00993621">
              <w:rPr>
                <w:rFonts w:ascii="Helvetica" w:eastAsia="Times New Roman" w:hAnsi="Helvetica" w:cs="Helvetica"/>
                <w:color w:val="222222"/>
                <w:sz w:val="24"/>
                <w:szCs w:val="24"/>
                <w:lang w:eastAsia="es-CO"/>
              </w:rPr>
              <w:t>i</w:t>
            </w:r>
            <w:r w:rsidRPr="00033A31">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1</w:t>
            </w:r>
          </w:p>
        </w:tc>
      </w:tr>
      <w:tr w:rsidR="00033A31" w:rsidRPr="00033A31" w:rsidTr="00033A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0</w:t>
            </w:r>
          </w:p>
        </w:tc>
      </w:tr>
      <w:tr w:rsidR="00033A31" w:rsidRPr="00033A31" w:rsidTr="00033A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1</w:t>
            </w:r>
          </w:p>
        </w:tc>
      </w:tr>
      <w:tr w:rsidR="00033A31" w:rsidRPr="00033A31" w:rsidTr="00033A31">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p>
        </w:tc>
      </w:tr>
      <w:tr w:rsidR="00033A31" w:rsidRPr="00033A31" w:rsidTr="00033A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4</w:t>
            </w:r>
          </w:p>
        </w:tc>
      </w:tr>
      <w:tr w:rsidR="00033A31" w:rsidRPr="00033A31" w:rsidTr="00033A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p>
        </w:tc>
      </w:tr>
      <w:tr w:rsidR="00033A31" w:rsidRPr="00033A31" w:rsidTr="00033A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 xml:space="preserve">Proyectos de </w:t>
            </w:r>
            <w:proofErr w:type="spellStart"/>
            <w:r w:rsidRPr="00033A31">
              <w:rPr>
                <w:rFonts w:ascii="Helvetica" w:eastAsia="Times New Roman" w:hAnsi="Helvetica" w:cs="Helvetica"/>
                <w:color w:val="222222"/>
                <w:sz w:val="24"/>
                <w:szCs w:val="24"/>
                <w:lang w:eastAsia="es-CO"/>
              </w:rPr>
              <w:t>ID+i</w:t>
            </w:r>
            <w:proofErr w:type="spellEnd"/>
            <w:r w:rsidRPr="00033A31">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p>
        </w:tc>
      </w:tr>
      <w:tr w:rsidR="00033A31" w:rsidRPr="00033A31" w:rsidTr="00033A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lastRenderedPageBreak/>
              <w:t>Contribución del proyecto al cumplimiento con la misión institucional</w:t>
            </w:r>
          </w:p>
        </w:tc>
      </w:tr>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both"/>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El proyecto aporta al logro de la misión institucional porque busca contribuir a la formación integral de sus integrantes en temas relevantes para la sociedad (como la garantía de igualdad para todas las personas), brindando conceptos e información práctica que permita a quienes se beneficien de las piezas audiovisuales contribuir a superar la desigualdad a la que se ven abocadas las mujeres, personas LGBTI, niñas y niños y personas con discapacidad. Todo lo anterior desde una mirada ética y crítica.</w:t>
            </w: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 xml:space="preserve">Líneas del PIM con las </w:t>
            </w:r>
            <w:proofErr w:type="spellStart"/>
            <w:r w:rsidRPr="00033A31">
              <w:rPr>
                <w:rFonts w:ascii="Arial" w:eastAsia="Times New Roman" w:hAnsi="Arial" w:cs="Arial"/>
                <w:b/>
                <w:bCs/>
                <w:color w:val="222222"/>
                <w:sz w:val="24"/>
                <w:szCs w:val="24"/>
                <w:lang w:eastAsia="es-CO"/>
              </w:rPr>
              <w:t>qye</w:t>
            </w:r>
            <w:proofErr w:type="spellEnd"/>
            <w:r w:rsidRPr="00033A31">
              <w:rPr>
                <w:rFonts w:ascii="Arial" w:eastAsia="Times New Roman" w:hAnsi="Arial" w:cs="Arial"/>
                <w:b/>
                <w:bCs/>
                <w:color w:val="222222"/>
                <w:sz w:val="24"/>
                <w:szCs w:val="24"/>
                <w:lang w:eastAsia="es-CO"/>
              </w:rPr>
              <w:t xml:space="preserve"> vincula el proyecto</w:t>
            </w:r>
          </w:p>
        </w:tc>
      </w:tr>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both"/>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2. Compromiso con el proyecto educativo</w:t>
            </w:r>
            <w:r w:rsidRPr="00033A31">
              <w:rPr>
                <w:rFonts w:ascii="Helvetica" w:eastAsia="Times New Roman" w:hAnsi="Helvetica" w:cs="Helvetica"/>
                <w:color w:val="222222"/>
                <w:sz w:val="24"/>
                <w:szCs w:val="24"/>
                <w:lang w:eastAsia="es-CO"/>
              </w:rPr>
              <w:br/>
              <w:t>5. Personas que transforman sociedad</w:t>
            </w: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Acciones del Plan General de Desarrollo 2016-2019 con el que se articula el proyecto</w:t>
            </w:r>
          </w:p>
        </w:tc>
      </w:tr>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both"/>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2. Compromiso con el proyecto educativo 5. Personas que transforman sociedad</w:t>
            </w: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033A31" w:rsidRPr="00033A31" w:rsidTr="00033A31">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FODEIN</w:t>
            </w:r>
          </w:p>
        </w:tc>
      </w:tr>
      <w:tr w:rsidR="00033A31" w:rsidRPr="00033A31" w:rsidTr="00033A31">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Total ($)</w:t>
            </w:r>
          </w:p>
        </w:tc>
      </w:tr>
      <w:tr w:rsidR="00033A31" w:rsidRPr="00033A31" w:rsidTr="0032116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46</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$ 1.081.956</w:t>
            </w:r>
          </w:p>
        </w:tc>
      </w:tr>
      <w:tr w:rsidR="00033A31" w:rsidRPr="00033A31" w:rsidTr="0032116D">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tcPr>
          <w:p w:rsidR="00033A31" w:rsidRPr="00033A31" w:rsidRDefault="00033A31" w:rsidP="00033A31">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33A31" w:rsidRPr="00033A31" w:rsidRDefault="00033A31" w:rsidP="00033A31">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33A31" w:rsidRPr="00033A31" w:rsidRDefault="00033A31" w:rsidP="00033A31">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33A31" w:rsidRPr="00033A31" w:rsidRDefault="00033A31" w:rsidP="00033A31">
            <w:pPr>
              <w:spacing w:beforeAutospacing="1" w:after="0" w:afterAutospacing="1" w:line="240" w:lineRule="auto"/>
              <w:jc w:val="center"/>
              <w:rPr>
                <w:rFonts w:ascii="Times New Roman" w:eastAsia="Times New Roman" w:hAnsi="Times New Roman" w:cs="Times New Roman"/>
                <w:sz w:val="20"/>
                <w:szCs w:val="20"/>
                <w:lang w:eastAsia="es-CO"/>
              </w:rPr>
            </w:pPr>
          </w:p>
        </w:tc>
      </w:tr>
      <w:tr w:rsidR="00033A31" w:rsidRPr="00033A31" w:rsidTr="0032116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46</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$ 1.081.956</w:t>
            </w: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33A31" w:rsidRPr="00033A31" w:rsidTr="00033A31">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Total ($)</w:t>
            </w:r>
          </w:p>
        </w:tc>
      </w:tr>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Servicios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Requerimos del apoyo de la Universidad para la producción técnica de las piezas audiovisuales. Una vez las piezas sean producidas, haremos un coloquio de socialización de las mismas.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$ 11.600.000</w:t>
            </w:r>
          </w:p>
        </w:tc>
      </w:tr>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Autospacing="1" w:after="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$ 13.763.912</w:t>
            </w:r>
          </w:p>
        </w:tc>
        <w:tc>
          <w:tcPr>
            <w:tcW w:w="0" w:type="auto"/>
            <w:shd w:val="clear" w:color="auto" w:fill="FFFFFF"/>
            <w:vAlign w:val="center"/>
            <w:hideMark/>
          </w:tcPr>
          <w:p w:rsidR="00033A31" w:rsidRPr="00033A31" w:rsidRDefault="00033A31" w:rsidP="00033A31">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033A31" w:rsidRPr="00033A31" w:rsidTr="00033A31">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CONTRAPARTIDA EXTERNA</w:t>
            </w:r>
          </w:p>
        </w:tc>
      </w:tr>
      <w:tr w:rsidR="00033A31" w:rsidRPr="00033A31" w:rsidTr="00033A31">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lastRenderedPageBreak/>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Total</w:t>
            </w:r>
          </w:p>
        </w:tc>
      </w:tr>
      <w:tr w:rsidR="00033A31" w:rsidRPr="00033A31" w:rsidTr="00033A31">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033A31" w:rsidRPr="00033A31" w:rsidRDefault="00033A31" w:rsidP="00033A31">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33A31" w:rsidRPr="00033A31" w:rsidRDefault="00033A31" w:rsidP="00033A31">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33A31" w:rsidRPr="00033A31" w:rsidRDefault="00033A31" w:rsidP="00033A31">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33A31" w:rsidRPr="00033A31" w:rsidRDefault="00033A31" w:rsidP="00033A31">
            <w:pPr>
              <w:spacing w:beforeAutospacing="1" w:after="0" w:afterAutospacing="1" w:line="240" w:lineRule="auto"/>
              <w:jc w:val="center"/>
              <w:rPr>
                <w:rFonts w:ascii="Times New Roman" w:eastAsia="Times New Roman" w:hAnsi="Times New Roman" w:cs="Times New Roman"/>
                <w:sz w:val="20"/>
                <w:szCs w:val="20"/>
                <w:lang w:eastAsia="es-CO"/>
              </w:rPr>
            </w:pPr>
          </w:p>
        </w:tc>
      </w:tr>
      <w:tr w:rsidR="00033A31" w:rsidRPr="00033A31" w:rsidTr="00033A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w:t>
            </w: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33A31" w:rsidRPr="00033A31" w:rsidTr="00033A31">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Total</w:t>
            </w:r>
          </w:p>
        </w:tc>
      </w:tr>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w:t>
            </w:r>
          </w:p>
        </w:tc>
      </w:tr>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Autospacing="1" w:after="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w:t>
            </w:r>
          </w:p>
        </w:tc>
        <w:tc>
          <w:tcPr>
            <w:tcW w:w="0" w:type="auto"/>
            <w:shd w:val="clear" w:color="auto" w:fill="FFFFFF"/>
            <w:vAlign w:val="center"/>
            <w:hideMark/>
          </w:tcPr>
          <w:p w:rsidR="00033A31" w:rsidRPr="00033A31" w:rsidRDefault="00033A31" w:rsidP="00033A31">
            <w:pPr>
              <w:spacing w:beforeAutospacing="1" w:after="0" w:afterAutospacing="1" w:line="240" w:lineRule="auto"/>
              <w:jc w:val="center"/>
              <w:rPr>
                <w:rFonts w:ascii="Times New Roman" w:eastAsia="Times New Roman" w:hAnsi="Times New Roman" w:cs="Times New Roman"/>
                <w:sz w:val="20"/>
                <w:szCs w:val="20"/>
                <w:lang w:eastAsia="es-CO"/>
              </w:rPr>
            </w:pPr>
          </w:p>
        </w:tc>
      </w:tr>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Autospacing="1" w:after="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b/>
                <w:bCs/>
                <w:color w:val="222222"/>
                <w:sz w:val="24"/>
                <w:szCs w:val="24"/>
                <w:lang w:eastAsia="es-CO"/>
              </w:rPr>
              <w:t>$ 13.763.912</w:t>
            </w:r>
          </w:p>
        </w:tc>
        <w:tc>
          <w:tcPr>
            <w:tcW w:w="0" w:type="auto"/>
            <w:shd w:val="clear" w:color="auto" w:fill="FFFFFF"/>
            <w:vAlign w:val="center"/>
            <w:hideMark/>
          </w:tcPr>
          <w:p w:rsidR="00033A31" w:rsidRPr="00033A31" w:rsidRDefault="00033A31" w:rsidP="00033A31">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033A31" w:rsidRPr="00033A31" w:rsidTr="00033A31">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CRONOGRAMA</w:t>
            </w:r>
          </w:p>
        </w:tc>
      </w:tr>
      <w:tr w:rsidR="00033A31" w:rsidRPr="00033A31" w:rsidTr="00033A31">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Fecha Fin</w:t>
            </w:r>
          </w:p>
        </w:tc>
      </w:tr>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Investigación docente</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Mes 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center"/>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Mes 2</w:t>
            </w: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Posibles evaluadores</w:t>
            </w:r>
          </w:p>
        </w:tc>
      </w:tr>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Referencia(s)</w:t>
            </w:r>
          </w:p>
        </w:tc>
      </w:tr>
      <w:tr w:rsidR="00033A31" w:rsidRPr="00033A31" w:rsidTr="00033A3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033A31" w:rsidRPr="00033A31" w:rsidRDefault="00033A31" w:rsidP="00033A3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4744"/>
        <w:gridCol w:w="768"/>
      </w:tblGrid>
      <w:tr w:rsidR="00033A31" w:rsidRPr="00033A31" w:rsidTr="00033A31">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33A31" w:rsidRPr="00033A31" w:rsidRDefault="00033A31" w:rsidP="00033A31">
            <w:pPr>
              <w:spacing w:before="100" w:beforeAutospacing="1" w:after="100" w:afterAutospacing="1" w:line="240" w:lineRule="auto"/>
              <w:jc w:val="center"/>
              <w:rPr>
                <w:rFonts w:ascii="Arial" w:eastAsia="Times New Roman" w:hAnsi="Arial" w:cs="Arial"/>
                <w:b/>
                <w:bCs/>
                <w:color w:val="222222"/>
                <w:sz w:val="24"/>
                <w:szCs w:val="24"/>
                <w:lang w:eastAsia="es-CO"/>
              </w:rPr>
            </w:pPr>
            <w:r w:rsidRPr="00033A31">
              <w:rPr>
                <w:rFonts w:ascii="Arial" w:eastAsia="Times New Roman" w:hAnsi="Arial" w:cs="Arial"/>
                <w:b/>
                <w:bCs/>
                <w:color w:val="222222"/>
                <w:sz w:val="24"/>
                <w:szCs w:val="24"/>
                <w:lang w:eastAsia="es-CO"/>
              </w:rPr>
              <w:t>Documentos adjuntos</w:t>
            </w:r>
          </w:p>
        </w:tc>
      </w:tr>
      <w:tr w:rsidR="00033A31" w:rsidRPr="00033A31" w:rsidTr="0032116D">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033A31" w:rsidRPr="00033A31" w:rsidRDefault="00033A31" w:rsidP="00033A31">
            <w:pPr>
              <w:spacing w:after="0" w:line="240" w:lineRule="auto"/>
              <w:jc w:val="both"/>
              <w:rPr>
                <w:rFonts w:ascii="Helvetica" w:eastAsia="Times New Roman" w:hAnsi="Helvetica" w:cs="Helvetica"/>
                <w:color w:val="222222"/>
                <w:sz w:val="24"/>
                <w:szCs w:val="24"/>
                <w:lang w:eastAsia="es-CO"/>
              </w:rPr>
            </w:pPr>
            <w:bookmarkStart w:id="0" w:name="_GoBack"/>
            <w:bookmarkEnd w:id="0"/>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both"/>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Acta de Comité N°7.pdf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33A31" w:rsidRPr="00033A31" w:rsidRDefault="00033A31" w:rsidP="00033A31">
            <w:pPr>
              <w:spacing w:after="0" w:line="240" w:lineRule="auto"/>
              <w:jc w:val="both"/>
              <w:rPr>
                <w:rFonts w:ascii="Helvetica" w:eastAsia="Times New Roman" w:hAnsi="Helvetica" w:cs="Helvetica"/>
                <w:color w:val="222222"/>
                <w:sz w:val="24"/>
                <w:szCs w:val="24"/>
                <w:lang w:eastAsia="es-CO"/>
              </w:rPr>
            </w:pPr>
            <w:r w:rsidRPr="00033A31">
              <w:rPr>
                <w:rFonts w:ascii="Helvetica" w:eastAsia="Times New Roman" w:hAnsi="Helvetica" w:cs="Helvetica"/>
                <w:color w:val="222222"/>
                <w:sz w:val="24"/>
                <w:szCs w:val="24"/>
                <w:lang w:eastAsia="es-CO"/>
              </w:rPr>
              <w:t>Anexo 2. Liliana Chaparro.pdf</w:t>
            </w:r>
          </w:p>
        </w:tc>
        <w:tc>
          <w:tcPr>
            <w:tcW w:w="0" w:type="auto"/>
            <w:shd w:val="clear" w:color="auto" w:fill="FFFFFF"/>
            <w:vAlign w:val="center"/>
            <w:hideMark/>
          </w:tcPr>
          <w:p w:rsidR="00033A31" w:rsidRPr="00033A31" w:rsidRDefault="00033A31" w:rsidP="00033A31">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8530AF" w:rsidRDefault="008530AF"/>
    <w:sectPr w:rsidR="008530AF" w:rsidSect="00033A31">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00002FF" w:usb1="4000ACFF" w:usb2="00000001" w:usb3="00000000" w:csb0="0000019F" w:csb1="00000000"/>
  </w:font>
  <w:font w:name="Times New Roman">
    <w:altName w:val="Times New Roman PSMT"/>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A31"/>
    <w:rsid w:val="00033A31"/>
    <w:rsid w:val="0032116D"/>
    <w:rsid w:val="008530AF"/>
    <w:rsid w:val="0099362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97CA6F-F7F0-4045-8F2F-23B36D3AF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033A3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33A31"/>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033A3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812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6</Pages>
  <Words>1354</Words>
  <Characters>7451</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4</cp:revision>
  <dcterms:created xsi:type="dcterms:W3CDTF">2018-08-23T16:10:00Z</dcterms:created>
  <dcterms:modified xsi:type="dcterms:W3CDTF">2018-09-18T20:06:00Z</dcterms:modified>
</cp:coreProperties>
</file>