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4C77" w:rsidRDefault="00DC4C77">
      <w:pPr>
        <w:widowControl w:val="0"/>
        <w:pBdr>
          <w:top w:val="nil"/>
          <w:left w:val="nil"/>
          <w:bottom w:val="nil"/>
          <w:right w:val="nil"/>
          <w:between w:val="nil"/>
        </w:pBdr>
        <w:spacing w:after="0" w:line="276" w:lineRule="auto"/>
      </w:pPr>
    </w:p>
    <w:p w:rsidR="00DC4C77" w:rsidRDefault="00515BE7">
      <w:pPr>
        <w:jc w:val="center"/>
        <w:rPr>
          <w:rFonts w:ascii="Arial" w:eastAsia="Arial" w:hAnsi="Arial" w:cs="Arial"/>
          <w:b/>
          <w:sz w:val="24"/>
          <w:szCs w:val="24"/>
        </w:rPr>
      </w:pPr>
      <w:r>
        <w:rPr>
          <w:rFonts w:ascii="Arial" w:eastAsia="Arial" w:hAnsi="Arial" w:cs="Arial"/>
          <w:b/>
          <w:sz w:val="24"/>
          <w:szCs w:val="24"/>
        </w:rPr>
        <w:t>DECIMOQUINTA CONVOCATORIA PARA EL FOMENTO DE LA INVESTIGACIÓN Y LA INNOVACIÓN 2020</w:t>
      </w:r>
    </w:p>
    <w:tbl>
      <w:tblPr>
        <w:tblStyle w:val="a"/>
        <w:tblW w:w="14983" w:type="dxa"/>
        <w:tblInd w:w="0" w:type="dxa"/>
        <w:tblLayout w:type="fixed"/>
        <w:tblLook w:val="0400" w:firstRow="0" w:lastRow="0" w:firstColumn="0" w:lastColumn="0" w:noHBand="0" w:noVBand="1"/>
      </w:tblPr>
      <w:tblGrid>
        <w:gridCol w:w="2259"/>
        <w:gridCol w:w="12724"/>
      </w:tblGrid>
      <w:tr w:rsidR="00DC4C77">
        <w:tc>
          <w:tcPr>
            <w:tcW w:w="14983" w:type="dxa"/>
            <w:gridSpan w:val="2"/>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Título del proyecto</w:t>
            </w:r>
          </w:p>
        </w:tc>
      </w:tr>
      <w:tr w:rsidR="00DC4C77">
        <w:tc>
          <w:tcPr>
            <w:tcW w:w="14983" w:type="dxa"/>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B004B">
            <w:pPr>
              <w:spacing w:after="0" w:line="240" w:lineRule="auto"/>
              <w:jc w:val="center"/>
              <w:rPr>
                <w:rFonts w:ascii="Arial" w:eastAsia="Arial" w:hAnsi="Arial" w:cs="Arial"/>
                <w:sz w:val="24"/>
                <w:szCs w:val="24"/>
              </w:rPr>
            </w:pPr>
            <w:r>
              <w:rPr>
                <w:rFonts w:ascii="Arial" w:eastAsia="Arial" w:hAnsi="Arial" w:cs="Arial"/>
                <w:sz w:val="24"/>
                <w:szCs w:val="24"/>
              </w:rPr>
              <w:t>Las gramáticas de la educación para la paz, imaginarios sociales, subjetividades y prácticas desde el territorio.</w:t>
            </w:r>
          </w:p>
        </w:tc>
      </w:tr>
      <w:tr w:rsidR="00DC4C77">
        <w:tc>
          <w:tcPr>
            <w:tcW w:w="2259"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sz w:val="24"/>
                <w:szCs w:val="24"/>
              </w:rPr>
              <w:t>Campo de acción</w:t>
            </w:r>
          </w:p>
        </w:tc>
        <w:tc>
          <w:tcPr>
            <w:tcW w:w="12724" w:type="dxa"/>
            <w:tcBorders>
              <w:top w:val="single" w:sz="6" w:space="0" w:color="DDDDDD"/>
              <w:left w:val="single" w:sz="6" w:space="0" w:color="DDDDDD"/>
              <w:bottom w:val="single" w:sz="6" w:space="0" w:color="DDDDDD"/>
              <w:right w:val="single" w:sz="6" w:space="0" w:color="DDDDDD"/>
            </w:tcBorders>
            <w:shd w:val="clear" w:color="auto" w:fill="F2F2F2"/>
            <w:vAlign w:val="center"/>
          </w:tcPr>
          <w:p w:rsidR="00DC4C77" w:rsidRDefault="00515BE7">
            <w:pPr>
              <w:spacing w:line="240" w:lineRule="auto"/>
              <w:jc w:val="center"/>
              <w:rPr>
                <w:rFonts w:ascii="Arial" w:eastAsia="Arial" w:hAnsi="Arial" w:cs="Arial"/>
                <w:b/>
                <w:color w:val="222222"/>
                <w:sz w:val="24"/>
                <w:szCs w:val="24"/>
              </w:rPr>
            </w:pPr>
            <w:proofErr w:type="spellStart"/>
            <w:r>
              <w:rPr>
                <w:rFonts w:ascii="Arial" w:eastAsia="Arial" w:hAnsi="Arial" w:cs="Arial"/>
                <w:b/>
                <w:color w:val="222222"/>
                <w:sz w:val="24"/>
                <w:szCs w:val="24"/>
              </w:rPr>
              <w:t>Transdisciplinariedad</w:t>
            </w:r>
            <w:proofErr w:type="spellEnd"/>
            <w:r>
              <w:rPr>
                <w:rFonts w:ascii="Arial" w:eastAsia="Arial" w:hAnsi="Arial" w:cs="Arial"/>
                <w:b/>
                <w:color w:val="222222"/>
                <w:sz w:val="24"/>
                <w:szCs w:val="24"/>
              </w:rPr>
              <w:t xml:space="preserve"> - Aporte al PIM</w:t>
            </w:r>
          </w:p>
        </w:tc>
      </w:tr>
      <w:tr w:rsidR="00DC4C77">
        <w:tc>
          <w:tcPr>
            <w:tcW w:w="225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color w:val="222222"/>
                <w:sz w:val="24"/>
                <w:szCs w:val="24"/>
              </w:rPr>
            </w:pPr>
            <w:r>
              <w:rPr>
                <w:rFonts w:ascii="Arial" w:eastAsia="Arial" w:hAnsi="Arial" w:cs="Arial"/>
                <w:color w:val="222222"/>
                <w:sz w:val="24"/>
                <w:szCs w:val="24"/>
              </w:rPr>
              <w:t>Sociedad</w:t>
            </w:r>
          </w:p>
        </w:tc>
        <w:tc>
          <w:tcPr>
            <w:tcW w:w="12724" w:type="dxa"/>
            <w:tcBorders>
              <w:top w:val="single" w:sz="6" w:space="0" w:color="DDDDDD"/>
              <w:left w:val="single" w:sz="6" w:space="0" w:color="DDDDDD"/>
              <w:bottom w:val="single" w:sz="6" w:space="0" w:color="DDDDDD"/>
              <w:right w:val="single" w:sz="6" w:space="0" w:color="DDDDDD"/>
            </w:tcBorders>
            <w:shd w:val="clear" w:color="auto" w:fill="FFFFFF"/>
            <w:vAlign w:val="center"/>
          </w:tcPr>
          <w:p w:rsidR="00DC4C77" w:rsidRDefault="00515BE7">
            <w:pPr>
              <w:spacing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Este trabajo se adhiere como un apoyo al plan integral </w:t>
            </w:r>
            <w:proofErr w:type="spellStart"/>
            <w:r>
              <w:rPr>
                <w:rFonts w:ascii="Arial" w:eastAsia="Arial" w:hAnsi="Arial" w:cs="Arial"/>
                <w:color w:val="222222"/>
                <w:sz w:val="24"/>
                <w:szCs w:val="24"/>
              </w:rPr>
              <w:t>multicampus</w:t>
            </w:r>
            <w:proofErr w:type="spellEnd"/>
            <w:r>
              <w:rPr>
                <w:rFonts w:ascii="Arial" w:eastAsia="Arial" w:hAnsi="Arial" w:cs="Arial"/>
                <w:color w:val="222222"/>
                <w:sz w:val="24"/>
                <w:szCs w:val="24"/>
              </w:rPr>
              <w:t xml:space="preserve"> en la línea tres del PIM “Proyección social e investigación pertinentes” puesto que se enfoca en la dinamización de la promoción humana y la transformación social responsable en ambientes de justicia social y paz desde escenarios socioeducativos en el territorio. La necesidad de contribuir en la construcción de paz a partir de las </w:t>
            </w:r>
            <w:r>
              <w:rPr>
                <w:rFonts w:ascii="Arial" w:eastAsia="Arial" w:hAnsi="Arial" w:cs="Arial"/>
                <w:sz w:val="24"/>
                <w:szCs w:val="24"/>
              </w:rPr>
              <w:t>gramáticas, imaginarios y representaciones sociales en torno a la reconciliación y paz sigue siendo un llamado para que la USTA continúe aportando a los contextos actuales, lo cual es parte de su naturaleza. Asimismo. como apoyo al plan general de desarrollo de la USTA, esta investigación ayudará a “potenciar espacios académicos que trabajen la cátedra de paz en USTA Colombia (Numeral 3.2.1 p.57) brindando propuestas pedagógicas a partir de las gramáticas e imaginarios y representaciones sociales que fortalecerán el proceso académico desde la universidad, y posibilitará maneras de reflexionar en relación a la acción de la</w:t>
            </w:r>
            <w:r>
              <w:rPr>
                <w:rFonts w:ascii="Arial" w:eastAsia="Arial" w:hAnsi="Arial" w:cs="Arial"/>
                <w:color w:val="222222"/>
                <w:sz w:val="24"/>
                <w:szCs w:val="24"/>
              </w:rPr>
              <w:t>s distintas narrativas de paz, llevando éstas a la práctica en comunidades desde el actuar, es decir, desde acciones transformadoras mediadas o impulsadas por la pedagogía como elemento esencial de aprendizaje.</w:t>
            </w:r>
          </w:p>
        </w:tc>
      </w:tr>
      <w:tr w:rsidR="00DC4C77">
        <w:tc>
          <w:tcPr>
            <w:tcW w:w="14983" w:type="dxa"/>
            <w:gridSpan w:val="2"/>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Articulación con funciones sustantivas y el sector social y productivo</w:t>
            </w:r>
          </w:p>
        </w:tc>
      </w:tr>
      <w:tr w:rsidR="00DC4C77">
        <w:tc>
          <w:tcPr>
            <w:tcW w:w="14983" w:type="dxa"/>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both"/>
              <w:rPr>
                <w:rFonts w:ascii="Arial" w:eastAsia="Arial" w:hAnsi="Arial" w:cs="Arial"/>
                <w:b/>
                <w:color w:val="222222"/>
                <w:sz w:val="24"/>
                <w:szCs w:val="24"/>
              </w:rPr>
            </w:pPr>
            <w:r>
              <w:rPr>
                <w:rFonts w:ascii="Arial" w:eastAsia="Arial" w:hAnsi="Arial" w:cs="Arial"/>
                <w:color w:val="222222"/>
                <w:sz w:val="24"/>
                <w:szCs w:val="24"/>
              </w:rPr>
              <w:t xml:space="preserve">En este proyecto se pretende dinamizar las funciones sustantivas de la USTA, teniendo en cuenta que en lo concerniente a la docencia se busca articular el ejercicio de aula en el desarrollo del pensamiento crítico, la imaginación creativa y sensibilidad moral desde las cátedras de Cultura Teológica y la Cátedra de Paz “Dominique Piré” para sensibilizar a la comunidad educativa en las dimensiones ético – políticas de la construcción de paz en Colombia. En cuanto a la investigación con pertinencia social, este proyecto de acuerdo al PROIN, USTA sostiene que es fundamental establecer </w:t>
            </w:r>
            <w:r>
              <w:rPr>
                <w:rFonts w:ascii="Arial" w:eastAsia="Arial" w:hAnsi="Arial" w:cs="Arial"/>
                <w:i/>
                <w:color w:val="222222"/>
                <w:sz w:val="24"/>
                <w:szCs w:val="24"/>
              </w:rPr>
              <w:t>“Condiciones de aportar soluciones a la problemática y necesidades de la sociedad y del país” (Cf. Estatuto Orgánico, 7; Proyecto Educativo Institucional, 5.2; Política curricular, 3.1.2</w:t>
            </w:r>
            <w:r>
              <w:rPr>
                <w:rFonts w:ascii="Arial" w:eastAsia="Arial" w:hAnsi="Arial" w:cs="Arial"/>
                <w:color w:val="222222"/>
                <w:sz w:val="24"/>
                <w:szCs w:val="24"/>
              </w:rPr>
              <w:t xml:space="preserve">; </w:t>
            </w:r>
            <w:r>
              <w:rPr>
                <w:rFonts w:ascii="Arial" w:eastAsia="Arial" w:hAnsi="Arial" w:cs="Arial"/>
                <w:i/>
                <w:color w:val="222222"/>
                <w:sz w:val="24"/>
                <w:szCs w:val="24"/>
              </w:rPr>
              <w:t xml:space="preserve">Plan de Desarrollo 5.1). </w:t>
            </w:r>
            <w:r>
              <w:rPr>
                <w:rFonts w:ascii="Arial" w:eastAsia="Arial" w:hAnsi="Arial" w:cs="Arial"/>
                <w:color w:val="222222"/>
                <w:sz w:val="24"/>
                <w:szCs w:val="24"/>
              </w:rPr>
              <w:t xml:space="preserve">Por ello, esta propuesta pretende dinamizar la línea 4 (Educación de Calidad) y 16 (Paz, justicia e instituciones sólidas) de los Objetivos de Desarrollo Sostenible (ODS) propuestos por el PNUD, que a su vez responden a las líneas del PIM en lo que se refiere a la promoción humana y la transformación social responsable en ambientes de justicia social y paz. También hace parte del proyecto planteado el énfasis que se le da a la responsabilidad social universitaria teniendo en cuenta lo que enuncia El mismo documento mencionado en el numeral 3.4 “Incrementar la producción investigativa con impacto regional, nacional e internacional”, de la línea 3 “Proyección social e investigación pertinentes”, lo cual se cumple con los productos propuestos. </w:t>
            </w:r>
          </w:p>
        </w:tc>
      </w:tr>
      <w:tr w:rsidR="00DC4C77">
        <w:tc>
          <w:tcPr>
            <w:tcW w:w="2259"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b/>
                <w:color w:val="222222"/>
                <w:sz w:val="24"/>
                <w:szCs w:val="24"/>
              </w:rPr>
            </w:pPr>
            <w:r>
              <w:rPr>
                <w:rFonts w:ascii="Arial" w:eastAsia="Arial" w:hAnsi="Arial" w:cs="Arial"/>
                <w:b/>
                <w:color w:val="222222"/>
                <w:sz w:val="24"/>
                <w:szCs w:val="24"/>
              </w:rPr>
              <w:t>Grupo de investigación</w:t>
            </w:r>
          </w:p>
        </w:tc>
        <w:tc>
          <w:tcPr>
            <w:tcW w:w="12724" w:type="dxa"/>
            <w:tcBorders>
              <w:top w:val="single" w:sz="6" w:space="0" w:color="DDDDDD"/>
              <w:left w:val="single" w:sz="6" w:space="0" w:color="DDDDDD"/>
              <w:bottom w:val="single" w:sz="6" w:space="0" w:color="DDDDDD"/>
              <w:right w:val="single" w:sz="6" w:space="0" w:color="DDDDDD"/>
            </w:tcBorders>
            <w:shd w:val="clear" w:color="auto" w:fill="F2F2F2"/>
            <w:vAlign w:val="center"/>
          </w:tcPr>
          <w:p w:rsidR="00DC4C77" w:rsidRDefault="00515BE7">
            <w:pPr>
              <w:spacing w:after="0" w:line="240" w:lineRule="auto"/>
              <w:jc w:val="center"/>
              <w:rPr>
                <w:rFonts w:ascii="Arial" w:eastAsia="Arial" w:hAnsi="Arial" w:cs="Arial"/>
                <w:b/>
                <w:color w:val="222222"/>
                <w:sz w:val="24"/>
                <w:szCs w:val="24"/>
              </w:rPr>
            </w:pPr>
            <w:r>
              <w:rPr>
                <w:rFonts w:ascii="Arial" w:eastAsia="Arial" w:hAnsi="Arial" w:cs="Arial"/>
                <w:b/>
                <w:color w:val="222222"/>
                <w:sz w:val="24"/>
                <w:szCs w:val="24"/>
              </w:rPr>
              <w:t>Línea de investigación en la que se inscribe el proyecto</w:t>
            </w:r>
          </w:p>
        </w:tc>
      </w:tr>
      <w:tr w:rsidR="00DC4C77" w:rsidRPr="007E2586">
        <w:tc>
          <w:tcPr>
            <w:tcW w:w="14983" w:type="dxa"/>
            <w:gridSpan w:val="2"/>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Pr="007E2586" w:rsidRDefault="00515BE7">
            <w:pPr>
              <w:spacing w:after="0" w:line="240" w:lineRule="auto"/>
              <w:jc w:val="center"/>
              <w:rPr>
                <w:rFonts w:ascii="Arial" w:eastAsia="Arial" w:hAnsi="Arial" w:cs="Arial"/>
                <w:color w:val="222222"/>
                <w:sz w:val="24"/>
                <w:szCs w:val="24"/>
                <w:lang w:val="pt-BR"/>
              </w:rPr>
            </w:pPr>
            <w:proofErr w:type="spellStart"/>
            <w:r w:rsidRPr="007E2586">
              <w:rPr>
                <w:rFonts w:ascii="Arial" w:eastAsia="Arial" w:hAnsi="Arial" w:cs="Arial"/>
                <w:color w:val="222222"/>
                <w:sz w:val="24"/>
                <w:szCs w:val="24"/>
                <w:lang w:val="pt-BR"/>
              </w:rPr>
              <w:lastRenderedPageBreak/>
              <w:t>Aletheia</w:t>
            </w:r>
            <w:proofErr w:type="spellEnd"/>
            <w:r w:rsidRPr="007E2586">
              <w:rPr>
                <w:rFonts w:ascii="Arial" w:eastAsia="Arial" w:hAnsi="Arial" w:cs="Arial"/>
                <w:color w:val="222222"/>
                <w:sz w:val="24"/>
                <w:szCs w:val="24"/>
                <w:lang w:val="pt-BR"/>
              </w:rPr>
              <w:t xml:space="preserve"> -                                                                 </w:t>
            </w:r>
            <w:proofErr w:type="gramStart"/>
            <w:r w:rsidRPr="007E2586">
              <w:rPr>
                <w:rFonts w:ascii="Arial" w:eastAsia="Arial" w:hAnsi="Arial" w:cs="Arial"/>
                <w:color w:val="222222"/>
                <w:sz w:val="24"/>
                <w:szCs w:val="24"/>
                <w:lang w:val="pt-BR"/>
              </w:rPr>
              <w:t xml:space="preserve"> Memoria</w:t>
            </w:r>
            <w:proofErr w:type="gramEnd"/>
            <w:r w:rsidRPr="007E2586">
              <w:rPr>
                <w:rFonts w:ascii="Arial" w:eastAsia="Arial" w:hAnsi="Arial" w:cs="Arial"/>
                <w:color w:val="222222"/>
                <w:sz w:val="24"/>
                <w:szCs w:val="24"/>
                <w:lang w:val="pt-BR"/>
              </w:rPr>
              <w:t xml:space="preserve">, </w:t>
            </w:r>
            <w:proofErr w:type="spellStart"/>
            <w:r w:rsidRPr="007E2586">
              <w:rPr>
                <w:rFonts w:ascii="Arial" w:eastAsia="Arial" w:hAnsi="Arial" w:cs="Arial"/>
                <w:color w:val="222222"/>
                <w:sz w:val="24"/>
                <w:szCs w:val="24"/>
                <w:lang w:val="pt-BR"/>
              </w:rPr>
              <w:t>historia</w:t>
            </w:r>
            <w:proofErr w:type="spellEnd"/>
            <w:r w:rsidRPr="007E2586">
              <w:rPr>
                <w:rFonts w:ascii="Arial" w:eastAsia="Arial" w:hAnsi="Arial" w:cs="Arial"/>
                <w:color w:val="222222"/>
                <w:sz w:val="24"/>
                <w:szCs w:val="24"/>
                <w:lang w:val="pt-BR"/>
              </w:rPr>
              <w:t xml:space="preserve"> e identidades</w:t>
            </w:r>
          </w:p>
        </w:tc>
      </w:tr>
    </w:tbl>
    <w:p w:rsidR="00DC4C77" w:rsidRPr="007E2586" w:rsidRDefault="00DC4C77">
      <w:pPr>
        <w:spacing w:after="0" w:line="240" w:lineRule="auto"/>
        <w:rPr>
          <w:rFonts w:ascii="Arial" w:eastAsia="Arial" w:hAnsi="Arial" w:cs="Arial"/>
          <w:sz w:val="24"/>
          <w:szCs w:val="24"/>
          <w:lang w:val="pt-BR"/>
        </w:rPr>
      </w:pPr>
    </w:p>
    <w:tbl>
      <w:tblPr>
        <w:tblStyle w:val="a0"/>
        <w:tblW w:w="14734" w:type="dxa"/>
        <w:tblInd w:w="0" w:type="dxa"/>
        <w:tblLayout w:type="fixed"/>
        <w:tblLook w:val="0400" w:firstRow="0" w:lastRow="0" w:firstColumn="0" w:lastColumn="0" w:noHBand="0" w:noVBand="1"/>
      </w:tblPr>
      <w:tblGrid>
        <w:gridCol w:w="2454"/>
        <w:gridCol w:w="4341"/>
        <w:gridCol w:w="3828"/>
        <w:gridCol w:w="4111"/>
      </w:tblGrid>
      <w:tr w:rsidR="00DC4C77">
        <w:trPr>
          <w:trHeight w:val="500"/>
        </w:trPr>
        <w:tc>
          <w:tcPr>
            <w:tcW w:w="2454"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Nombre del Investigador principal</w:t>
            </w:r>
          </w:p>
        </w:tc>
        <w:tc>
          <w:tcPr>
            <w:tcW w:w="4341"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 xml:space="preserve">Enlace </w:t>
            </w:r>
            <w:proofErr w:type="spellStart"/>
            <w:r>
              <w:rPr>
                <w:rFonts w:ascii="Arial" w:eastAsia="Arial" w:hAnsi="Arial" w:cs="Arial"/>
                <w:b/>
                <w:color w:val="222222"/>
                <w:sz w:val="24"/>
                <w:szCs w:val="24"/>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Enlace Google Académico</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rPr>
                <w:rFonts w:ascii="Arial" w:eastAsia="Arial" w:hAnsi="Arial" w:cs="Arial"/>
                <w:color w:val="222222"/>
                <w:sz w:val="24"/>
                <w:szCs w:val="24"/>
              </w:rPr>
            </w:pPr>
            <w:r>
              <w:rPr>
                <w:rFonts w:ascii="Arial" w:eastAsia="Arial" w:hAnsi="Arial" w:cs="Arial"/>
                <w:color w:val="222222"/>
                <w:sz w:val="24"/>
                <w:szCs w:val="24"/>
              </w:rPr>
              <w:t>Andrés Felipe Rivera Gómez</w:t>
            </w: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line="240" w:lineRule="auto"/>
              <w:rPr>
                <w:rFonts w:ascii="Arial" w:eastAsia="Arial" w:hAnsi="Arial" w:cs="Arial"/>
                <w:color w:val="222222"/>
                <w:sz w:val="24"/>
                <w:szCs w:val="24"/>
              </w:rPr>
            </w:pPr>
            <w:hyperlink r:id="rId9" w:history="1">
              <w:r w:rsidRPr="00741BBD">
                <w:rPr>
                  <w:rStyle w:val="Hipervnculo"/>
                  <w:rFonts w:ascii="Arial" w:eastAsia="Arial" w:hAnsi="Arial" w:cs="Arial"/>
                  <w:sz w:val="24"/>
                  <w:szCs w:val="24"/>
                </w:rPr>
                <w:t>http://scienti.colciencias.gov.co:8081/cvlac/visualizador/generarCurriculoCv.do?cod_rh=0000065481</w:t>
              </w:r>
            </w:hyperlink>
            <w:r>
              <w:rPr>
                <w:rFonts w:ascii="Arial" w:eastAsia="Arial" w:hAnsi="Arial" w:cs="Arial"/>
                <w:color w:val="222222"/>
                <w:sz w:val="24"/>
                <w:szCs w:val="24"/>
              </w:rPr>
              <w:t xml:space="preserve"> </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line="240" w:lineRule="auto"/>
              <w:rPr>
                <w:rFonts w:ascii="Arial" w:eastAsia="Arial" w:hAnsi="Arial" w:cs="Arial"/>
                <w:color w:val="222222"/>
                <w:sz w:val="24"/>
                <w:szCs w:val="24"/>
              </w:rPr>
            </w:pPr>
            <w:hyperlink r:id="rId10" w:history="1">
              <w:r w:rsidRPr="00741BBD">
                <w:rPr>
                  <w:rStyle w:val="Hipervnculo"/>
                  <w:rFonts w:ascii="Arial" w:eastAsia="Arial" w:hAnsi="Arial" w:cs="Arial"/>
                  <w:sz w:val="24"/>
                  <w:szCs w:val="24"/>
                </w:rPr>
                <w:t>https://orcid.org/0000-0001-8949-696X</w:t>
              </w:r>
            </w:hyperlink>
            <w:r>
              <w:rPr>
                <w:rFonts w:ascii="Arial" w:eastAsia="Arial" w:hAnsi="Arial" w:cs="Arial"/>
                <w:color w:val="222222"/>
                <w:sz w:val="24"/>
                <w:szCs w:val="24"/>
              </w:rPr>
              <w:t xml:space="preserve"> </w:t>
            </w: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line="240" w:lineRule="auto"/>
              <w:jc w:val="both"/>
              <w:rPr>
                <w:rFonts w:ascii="Arial" w:eastAsia="Arial" w:hAnsi="Arial" w:cs="Arial"/>
                <w:color w:val="222222"/>
                <w:sz w:val="24"/>
                <w:szCs w:val="24"/>
              </w:rPr>
            </w:pPr>
            <w:hyperlink r:id="rId11" w:history="1">
              <w:r w:rsidRPr="00741BBD">
                <w:rPr>
                  <w:rStyle w:val="Hipervnculo"/>
                  <w:rFonts w:ascii="Arial" w:eastAsia="Arial" w:hAnsi="Arial" w:cs="Arial"/>
                  <w:sz w:val="24"/>
                  <w:szCs w:val="24"/>
                </w:rPr>
                <w:t>https://scholar.google.com/citations?user=XgLYUXoAAAAJ&amp;hl=es</w:t>
              </w:r>
            </w:hyperlink>
            <w:r>
              <w:rPr>
                <w:rFonts w:ascii="Arial" w:eastAsia="Arial" w:hAnsi="Arial" w:cs="Arial"/>
                <w:color w:val="222222"/>
                <w:sz w:val="24"/>
                <w:szCs w:val="24"/>
              </w:rPr>
              <w:t xml:space="preserve"> </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División</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Facultad</w:t>
            </w:r>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Programa</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Grupo de investigación</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line="240" w:lineRule="auto"/>
              <w:jc w:val="center"/>
              <w:rPr>
                <w:rFonts w:ascii="Arial" w:eastAsia="Arial" w:hAnsi="Arial" w:cs="Arial"/>
                <w:b/>
                <w:color w:val="222222"/>
                <w:sz w:val="24"/>
                <w:szCs w:val="24"/>
              </w:rPr>
            </w:pP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rPr>
                <w:rFonts w:ascii="Arial" w:eastAsia="Arial" w:hAnsi="Arial" w:cs="Arial"/>
                <w:color w:val="222222"/>
                <w:sz w:val="24"/>
                <w:szCs w:val="24"/>
              </w:rPr>
            </w:pPr>
            <w:r>
              <w:rPr>
                <w:rFonts w:ascii="Arial" w:eastAsia="Arial" w:hAnsi="Arial" w:cs="Arial"/>
                <w:color w:val="222222"/>
                <w:sz w:val="24"/>
                <w:szCs w:val="24"/>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line="240" w:lineRule="auto"/>
              <w:jc w:val="center"/>
              <w:rPr>
                <w:rFonts w:ascii="Arial" w:eastAsia="Arial" w:hAnsi="Arial" w:cs="Arial"/>
                <w:b/>
                <w:color w:val="222222"/>
                <w:sz w:val="24"/>
                <w:szCs w:val="24"/>
              </w:rPr>
            </w:pP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color w:val="222222"/>
                <w:sz w:val="24"/>
                <w:szCs w:val="24"/>
              </w:rPr>
            </w:pPr>
            <w:proofErr w:type="spellStart"/>
            <w:r>
              <w:rPr>
                <w:rFonts w:ascii="Arial" w:eastAsia="Arial" w:hAnsi="Arial" w:cs="Arial"/>
                <w:color w:val="222222"/>
                <w:sz w:val="24"/>
                <w:szCs w:val="24"/>
              </w:rPr>
              <w:t>Aletheia</w:t>
            </w:r>
            <w:proofErr w:type="spellEnd"/>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 xml:space="preserve">Nombre del Co-investigador </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 xml:space="preserve">Enlace </w:t>
            </w:r>
            <w:proofErr w:type="spellStart"/>
            <w:r>
              <w:rPr>
                <w:rFonts w:ascii="Arial" w:eastAsia="Arial" w:hAnsi="Arial" w:cs="Arial"/>
                <w:b/>
                <w:color w:val="222222"/>
                <w:sz w:val="24"/>
                <w:szCs w:val="24"/>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Enlace Google Académico</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color w:val="222222"/>
                <w:sz w:val="24"/>
                <w:szCs w:val="24"/>
              </w:rPr>
            </w:pPr>
            <w:r>
              <w:rPr>
                <w:rFonts w:ascii="Arial" w:eastAsia="Arial" w:hAnsi="Arial" w:cs="Arial"/>
                <w:color w:val="222222"/>
                <w:sz w:val="24"/>
                <w:szCs w:val="24"/>
              </w:rPr>
              <w:t xml:space="preserve">Elkin </w:t>
            </w:r>
            <w:proofErr w:type="spellStart"/>
            <w:r>
              <w:rPr>
                <w:rFonts w:ascii="Arial" w:eastAsia="Arial" w:hAnsi="Arial" w:cs="Arial"/>
                <w:color w:val="222222"/>
                <w:sz w:val="24"/>
                <w:szCs w:val="24"/>
              </w:rPr>
              <w:t>Aleixi</w:t>
            </w:r>
            <w:proofErr w:type="spellEnd"/>
            <w:r>
              <w:rPr>
                <w:rFonts w:ascii="Arial" w:eastAsia="Arial" w:hAnsi="Arial" w:cs="Arial"/>
                <w:color w:val="222222"/>
                <w:sz w:val="24"/>
                <w:szCs w:val="24"/>
              </w:rPr>
              <w:t xml:space="preserve"> Ballesteros Guerrero</w:t>
            </w: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line="240" w:lineRule="auto"/>
              <w:rPr>
                <w:rFonts w:ascii="Arial" w:eastAsia="Arial" w:hAnsi="Arial" w:cs="Arial"/>
                <w:color w:val="222222"/>
                <w:sz w:val="24"/>
                <w:szCs w:val="24"/>
              </w:rPr>
            </w:pPr>
            <w:hyperlink r:id="rId12" w:history="1">
              <w:r w:rsidRPr="00741BBD">
                <w:rPr>
                  <w:rStyle w:val="Hipervnculo"/>
                  <w:rFonts w:ascii="Arial" w:eastAsia="Arial" w:hAnsi="Arial" w:cs="Arial"/>
                  <w:sz w:val="24"/>
                  <w:szCs w:val="24"/>
                </w:rPr>
                <w:t>http://scienti.colciencias.gov.co:8081/cvlac/visualizador/generarCurriculoCv.do?cod_rh=0001572250</w:t>
              </w:r>
            </w:hyperlink>
            <w:r>
              <w:rPr>
                <w:rFonts w:ascii="Arial" w:eastAsia="Arial" w:hAnsi="Arial" w:cs="Arial"/>
                <w:color w:val="222222"/>
                <w:sz w:val="24"/>
                <w:szCs w:val="24"/>
              </w:rPr>
              <w:t xml:space="preserve"> </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line="240" w:lineRule="auto"/>
              <w:rPr>
                <w:rFonts w:ascii="Arial" w:eastAsia="Arial" w:hAnsi="Arial" w:cs="Arial"/>
                <w:color w:val="222222"/>
                <w:sz w:val="24"/>
                <w:szCs w:val="24"/>
              </w:rPr>
            </w:pPr>
            <w:hyperlink r:id="rId13" w:history="1">
              <w:r w:rsidRPr="00741BBD">
                <w:rPr>
                  <w:rStyle w:val="Hipervnculo"/>
                  <w:rFonts w:ascii="Arial" w:eastAsia="Arial" w:hAnsi="Arial" w:cs="Arial"/>
                  <w:sz w:val="24"/>
                  <w:szCs w:val="24"/>
                </w:rPr>
                <w:t>https://orcid.org/0000-0003-0196-2677</w:t>
              </w:r>
            </w:hyperlink>
            <w:r>
              <w:rPr>
                <w:rFonts w:ascii="Arial" w:eastAsia="Arial" w:hAnsi="Arial" w:cs="Arial"/>
                <w:color w:val="222222"/>
                <w:sz w:val="24"/>
                <w:szCs w:val="24"/>
              </w:rPr>
              <w:t xml:space="preserve"> </w:t>
            </w: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line="240" w:lineRule="auto"/>
              <w:rPr>
                <w:rFonts w:ascii="Arial" w:eastAsia="Arial" w:hAnsi="Arial" w:cs="Arial"/>
                <w:color w:val="222222"/>
                <w:sz w:val="24"/>
                <w:szCs w:val="24"/>
              </w:rPr>
            </w:pPr>
            <w:hyperlink r:id="rId14" w:history="1">
              <w:r w:rsidRPr="00741BBD">
                <w:rPr>
                  <w:rStyle w:val="Hipervnculo"/>
                  <w:rFonts w:ascii="Arial" w:eastAsia="Arial" w:hAnsi="Arial" w:cs="Arial"/>
                  <w:sz w:val="24"/>
                  <w:szCs w:val="24"/>
                </w:rPr>
                <w:t>https://scholar.google.es/citations?user=mzKyBTwAAAAJ&amp;hl=es</w:t>
              </w:r>
            </w:hyperlink>
            <w:r>
              <w:rPr>
                <w:rFonts w:ascii="Arial" w:eastAsia="Arial" w:hAnsi="Arial" w:cs="Arial"/>
                <w:color w:val="222222"/>
                <w:sz w:val="24"/>
                <w:szCs w:val="24"/>
              </w:rPr>
              <w:t xml:space="preserve"> </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División</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Facultad</w:t>
            </w:r>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Programa</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Grupo de investigación</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line="240" w:lineRule="auto"/>
              <w:jc w:val="center"/>
              <w:rPr>
                <w:rFonts w:ascii="Arial" w:eastAsia="Arial" w:hAnsi="Arial" w:cs="Arial"/>
                <w:b/>
                <w:color w:val="222222"/>
                <w:sz w:val="24"/>
                <w:szCs w:val="24"/>
              </w:rPr>
            </w:pP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rPr>
                <w:rFonts w:ascii="Arial" w:eastAsia="Arial" w:hAnsi="Arial" w:cs="Arial"/>
                <w:b/>
                <w:color w:val="222222"/>
                <w:sz w:val="24"/>
                <w:szCs w:val="24"/>
              </w:rPr>
            </w:pPr>
            <w:r>
              <w:rPr>
                <w:rFonts w:ascii="Arial" w:eastAsia="Arial" w:hAnsi="Arial" w:cs="Arial"/>
                <w:color w:val="222222"/>
                <w:sz w:val="24"/>
                <w:szCs w:val="24"/>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line="240" w:lineRule="auto"/>
              <w:jc w:val="center"/>
              <w:rPr>
                <w:rFonts w:ascii="Arial" w:eastAsia="Arial" w:hAnsi="Arial" w:cs="Arial"/>
                <w:b/>
                <w:color w:val="222222"/>
                <w:sz w:val="24"/>
                <w:szCs w:val="24"/>
              </w:rPr>
            </w:pP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proofErr w:type="spellStart"/>
            <w:r>
              <w:rPr>
                <w:rFonts w:ascii="Arial" w:eastAsia="Arial" w:hAnsi="Arial" w:cs="Arial"/>
                <w:color w:val="222222"/>
                <w:sz w:val="24"/>
                <w:szCs w:val="24"/>
              </w:rPr>
              <w:t>Aletheia</w:t>
            </w:r>
            <w:proofErr w:type="spellEnd"/>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 xml:space="preserve">Nombre del Co-investigador </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 xml:space="preserve">Enlace </w:t>
            </w:r>
            <w:proofErr w:type="spellStart"/>
            <w:r>
              <w:rPr>
                <w:rFonts w:ascii="Arial" w:eastAsia="Arial" w:hAnsi="Arial" w:cs="Arial"/>
                <w:b/>
                <w:color w:val="222222"/>
                <w:sz w:val="24"/>
                <w:szCs w:val="24"/>
              </w:rPr>
              <w:t>CvLAC</w:t>
            </w:r>
            <w:proofErr w:type="spellEnd"/>
          </w:p>
        </w:tc>
        <w:tc>
          <w:tcPr>
            <w:tcW w:w="3828"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Enlace ORCID</w:t>
            </w:r>
          </w:p>
        </w:tc>
        <w:tc>
          <w:tcPr>
            <w:tcW w:w="4111"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Enlace Google Académico</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 xml:space="preserve">Andrés Ricardo </w:t>
            </w:r>
            <w:proofErr w:type="spellStart"/>
            <w:r>
              <w:rPr>
                <w:rFonts w:ascii="Arial" w:eastAsia="Arial" w:hAnsi="Arial" w:cs="Arial"/>
                <w:color w:val="222222"/>
                <w:sz w:val="24"/>
                <w:szCs w:val="24"/>
              </w:rPr>
              <w:t>Inampués</w:t>
            </w:r>
            <w:proofErr w:type="spellEnd"/>
            <w:r>
              <w:rPr>
                <w:rFonts w:ascii="Arial" w:eastAsia="Arial" w:hAnsi="Arial" w:cs="Arial"/>
                <w:color w:val="222222"/>
                <w:sz w:val="24"/>
                <w:szCs w:val="24"/>
              </w:rPr>
              <w:t xml:space="preserve"> Borda</w:t>
            </w: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7E2586">
            <w:pPr>
              <w:spacing w:after="0" w:line="240" w:lineRule="auto"/>
              <w:rPr>
                <w:rFonts w:ascii="Arial" w:eastAsia="Arial" w:hAnsi="Arial" w:cs="Arial"/>
                <w:color w:val="222222"/>
                <w:sz w:val="24"/>
                <w:szCs w:val="24"/>
              </w:rPr>
            </w:pPr>
            <w:hyperlink r:id="rId15">
              <w:r w:rsidR="00515BE7">
                <w:rPr>
                  <w:rFonts w:ascii="Arial" w:eastAsia="Arial" w:hAnsi="Arial" w:cs="Arial"/>
                  <w:color w:val="0563C1"/>
                  <w:sz w:val="24"/>
                  <w:szCs w:val="24"/>
                  <w:u w:val="single"/>
                </w:rPr>
                <w:t>http://scienti.colciencias.gov.co:8081/cvlac/visualizador/generarCurriculoCv.do</w:t>
              </w:r>
            </w:hyperlink>
            <w:proofErr w:type="gramStart"/>
            <w:r w:rsidR="00515BE7">
              <w:rPr>
                <w:rFonts w:ascii="Arial" w:eastAsia="Arial" w:hAnsi="Arial" w:cs="Arial"/>
                <w:color w:val="222222"/>
                <w:sz w:val="24"/>
                <w:szCs w:val="24"/>
              </w:rPr>
              <w:t>?</w:t>
            </w:r>
            <w:proofErr w:type="gramEnd"/>
          </w:p>
          <w:p w:rsidR="00DC4C77" w:rsidRDefault="00515BE7">
            <w:pPr>
              <w:spacing w:after="0" w:line="240" w:lineRule="auto"/>
              <w:rPr>
                <w:rFonts w:ascii="Arial" w:eastAsia="Arial" w:hAnsi="Arial" w:cs="Arial"/>
                <w:color w:val="222222"/>
                <w:sz w:val="24"/>
                <w:szCs w:val="24"/>
              </w:rPr>
            </w:pPr>
            <w:proofErr w:type="spellStart"/>
            <w:r>
              <w:rPr>
                <w:rFonts w:ascii="Arial" w:eastAsia="Arial" w:hAnsi="Arial" w:cs="Arial"/>
                <w:color w:val="222222"/>
                <w:sz w:val="24"/>
                <w:szCs w:val="24"/>
              </w:rPr>
              <w:t>cod_rh</w:t>
            </w:r>
            <w:proofErr w:type="spellEnd"/>
            <w:r>
              <w:rPr>
                <w:rFonts w:ascii="Arial" w:eastAsia="Arial" w:hAnsi="Arial" w:cs="Arial"/>
                <w:color w:val="222222"/>
                <w:sz w:val="24"/>
                <w:szCs w:val="24"/>
              </w:rPr>
              <w:t>=0000013619</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after="0" w:line="240" w:lineRule="auto"/>
              <w:rPr>
                <w:rFonts w:ascii="Arial" w:eastAsia="Arial" w:hAnsi="Arial" w:cs="Arial"/>
                <w:color w:val="222222"/>
                <w:sz w:val="24"/>
                <w:szCs w:val="24"/>
              </w:rPr>
            </w:pPr>
            <w:hyperlink r:id="rId16" w:history="1">
              <w:r w:rsidRPr="00741BBD">
                <w:rPr>
                  <w:rStyle w:val="Hipervnculo"/>
                  <w:rFonts w:ascii="Arial" w:eastAsia="Arial" w:hAnsi="Arial" w:cs="Arial"/>
                  <w:sz w:val="24"/>
                  <w:szCs w:val="24"/>
                </w:rPr>
                <w:t>https://orcid.org/0000-0001-5503-672X</w:t>
              </w:r>
            </w:hyperlink>
            <w:r>
              <w:rPr>
                <w:rFonts w:ascii="Arial" w:eastAsia="Arial" w:hAnsi="Arial" w:cs="Arial"/>
                <w:color w:val="222222"/>
                <w:sz w:val="24"/>
                <w:szCs w:val="24"/>
              </w:rPr>
              <w:t xml:space="preserve"> </w:t>
            </w: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F40FD0">
            <w:pPr>
              <w:spacing w:after="0" w:line="240" w:lineRule="auto"/>
              <w:rPr>
                <w:rFonts w:ascii="Arial" w:eastAsia="Arial" w:hAnsi="Arial" w:cs="Arial"/>
                <w:color w:val="222222"/>
                <w:sz w:val="24"/>
                <w:szCs w:val="24"/>
              </w:rPr>
            </w:pPr>
            <w:hyperlink r:id="rId17" w:history="1">
              <w:r w:rsidRPr="00741BBD">
                <w:rPr>
                  <w:rStyle w:val="Hipervnculo"/>
                  <w:rFonts w:ascii="Arial" w:eastAsia="Arial" w:hAnsi="Arial" w:cs="Arial"/>
                  <w:sz w:val="24"/>
                  <w:szCs w:val="24"/>
                </w:rPr>
                <w:t>https://scholar.google.com/citations?user=lJnRfNgAAAAJ&amp;hl=es</w:t>
              </w:r>
            </w:hyperlink>
            <w:r>
              <w:rPr>
                <w:rFonts w:ascii="Arial" w:eastAsia="Arial" w:hAnsi="Arial" w:cs="Arial"/>
                <w:color w:val="222222"/>
                <w:sz w:val="24"/>
                <w:szCs w:val="24"/>
              </w:rPr>
              <w:t xml:space="preserve"> </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División</w:t>
            </w: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Facultad</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Programa</w:t>
            </w: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Grupo de investigación</w:t>
            </w:r>
          </w:p>
        </w:tc>
      </w:tr>
      <w:tr w:rsidR="00DC4C77">
        <w:trPr>
          <w:trHeight w:val="520"/>
        </w:trPr>
        <w:tc>
          <w:tcPr>
            <w:tcW w:w="2454"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line="240" w:lineRule="auto"/>
              <w:jc w:val="center"/>
              <w:rPr>
                <w:rFonts w:ascii="Arial" w:eastAsia="Arial" w:hAnsi="Arial" w:cs="Arial"/>
                <w:b/>
                <w:color w:val="222222"/>
                <w:sz w:val="24"/>
                <w:szCs w:val="24"/>
              </w:rPr>
            </w:pPr>
          </w:p>
        </w:tc>
        <w:tc>
          <w:tcPr>
            <w:tcW w:w="434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rPr>
                <w:rFonts w:ascii="Arial" w:eastAsia="Arial" w:hAnsi="Arial" w:cs="Arial"/>
                <w:color w:val="222222"/>
                <w:sz w:val="24"/>
                <w:szCs w:val="24"/>
              </w:rPr>
            </w:pPr>
            <w:r>
              <w:rPr>
                <w:rFonts w:ascii="Arial" w:eastAsia="Arial" w:hAnsi="Arial" w:cs="Arial"/>
                <w:color w:val="222222"/>
                <w:sz w:val="24"/>
                <w:szCs w:val="24"/>
              </w:rPr>
              <w:t>Departamento de Humanidades y Formación Integral</w:t>
            </w:r>
          </w:p>
        </w:tc>
        <w:tc>
          <w:tcPr>
            <w:tcW w:w="382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line="240" w:lineRule="auto"/>
              <w:jc w:val="center"/>
              <w:rPr>
                <w:rFonts w:ascii="Arial" w:eastAsia="Arial" w:hAnsi="Arial" w:cs="Arial"/>
                <w:b/>
                <w:color w:val="222222"/>
                <w:sz w:val="24"/>
                <w:szCs w:val="24"/>
              </w:rPr>
            </w:pPr>
          </w:p>
        </w:tc>
        <w:tc>
          <w:tcPr>
            <w:tcW w:w="4111"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line="240" w:lineRule="auto"/>
              <w:jc w:val="center"/>
              <w:rPr>
                <w:rFonts w:ascii="Arial" w:eastAsia="Arial" w:hAnsi="Arial" w:cs="Arial"/>
                <w:color w:val="222222"/>
                <w:sz w:val="24"/>
                <w:szCs w:val="24"/>
              </w:rPr>
            </w:pPr>
            <w:proofErr w:type="spellStart"/>
            <w:r>
              <w:rPr>
                <w:rFonts w:ascii="Arial" w:eastAsia="Arial" w:hAnsi="Arial" w:cs="Arial"/>
                <w:color w:val="222222"/>
                <w:sz w:val="24"/>
                <w:szCs w:val="24"/>
              </w:rPr>
              <w:t>Aletheia</w:t>
            </w:r>
            <w:proofErr w:type="spellEnd"/>
          </w:p>
        </w:tc>
      </w:tr>
    </w:tbl>
    <w:p w:rsidR="00DC4C77" w:rsidRDefault="00DC4C77">
      <w:pPr>
        <w:spacing w:after="0" w:line="240" w:lineRule="auto"/>
        <w:rPr>
          <w:rFonts w:ascii="Arial" w:eastAsia="Arial" w:hAnsi="Arial" w:cs="Arial"/>
          <w:sz w:val="24"/>
          <w:szCs w:val="24"/>
        </w:rPr>
      </w:pPr>
    </w:p>
    <w:tbl>
      <w:tblPr>
        <w:tblStyle w:val="a1"/>
        <w:tblW w:w="14983" w:type="dxa"/>
        <w:tblInd w:w="0" w:type="dxa"/>
        <w:tblLayout w:type="fixed"/>
        <w:tblLook w:val="0400" w:firstRow="0" w:lastRow="0" w:firstColumn="0" w:lastColumn="0" w:noHBand="0" w:noVBand="1"/>
      </w:tblPr>
      <w:tblGrid>
        <w:gridCol w:w="11048"/>
        <w:gridCol w:w="3935"/>
      </w:tblGrid>
      <w:tr w:rsidR="00DC4C77">
        <w:tc>
          <w:tcPr>
            <w:tcW w:w="11048"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Resumen de la propuesta</w:t>
            </w:r>
          </w:p>
        </w:tc>
        <w:tc>
          <w:tcPr>
            <w:tcW w:w="3935"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Palabras clave</w:t>
            </w:r>
          </w:p>
        </w:tc>
      </w:tr>
      <w:tr w:rsidR="00DC4C77">
        <w:tc>
          <w:tcPr>
            <w:tcW w:w="11048"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both"/>
              <w:rPr>
                <w:rFonts w:ascii="Arial" w:eastAsia="Arial" w:hAnsi="Arial" w:cs="Arial"/>
                <w:sz w:val="24"/>
                <w:szCs w:val="24"/>
              </w:rPr>
            </w:pPr>
            <w:r>
              <w:rPr>
                <w:rFonts w:ascii="Arial" w:eastAsia="Arial" w:hAnsi="Arial" w:cs="Arial"/>
                <w:sz w:val="24"/>
                <w:szCs w:val="24"/>
              </w:rPr>
              <w:t>Este proyecto busca analizar las prácticas de la construcción del enemigo y la estigmatización del  otro en las prácticas y discursos que circulan en una institución educativa a partir del análisis de los imaginarios sociales, como aporte a los retos y desafíos que se tienen en la esfera cultural colombiana para el posconflicto.  Es así que desde la práctica educativa del Instituto Técnico Integrado de Trinidad, en Casanare se espera desarrollar en un primer momento un diagnóstico de acuerdo a la metodología de trabajo etnográfico (IA); en un segundo momento, establecer las prácticas  e imaginarios sociales sobre el enemigo y la no estigmatización que desatan modos de ser y de hace en las esferas de la educación para la paz; y en un tercer espacio configurar pedagogías y didácticas de la paz que se adhieran a los diferentes esfuerzos que en Colombia, a partir de los territorios, propenden la superación de la dialéctica amigo-enemigo o el imaginario constitutivo que fortalece los procesos de una vida digna.  En este aspecto, como apropiación social de conocimiento, se presentará una estrategia pedagógica como capacitación y aporte a las instituciones para el fomento de una cultura de paz desde la pedagogía.</w:t>
            </w:r>
          </w:p>
        </w:tc>
        <w:tc>
          <w:tcPr>
            <w:tcW w:w="393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both"/>
              <w:rPr>
                <w:rFonts w:ascii="Arial" w:eastAsia="Arial" w:hAnsi="Arial" w:cs="Arial"/>
                <w:color w:val="222222"/>
                <w:sz w:val="24"/>
                <w:szCs w:val="24"/>
              </w:rPr>
            </w:pPr>
            <w:r w:rsidRPr="00F40FD0">
              <w:rPr>
                <w:rFonts w:ascii="Arial" w:eastAsia="Arial" w:hAnsi="Arial" w:cs="Arial"/>
                <w:sz w:val="24"/>
                <w:szCs w:val="24"/>
              </w:rPr>
              <w:t>Imaginarios sociales, educación para la paz y territorio</w:t>
            </w:r>
            <w:r w:rsidR="007E2586" w:rsidRPr="00F40FD0">
              <w:rPr>
                <w:rFonts w:ascii="Arial" w:eastAsia="Arial" w:hAnsi="Arial" w:cs="Arial"/>
                <w:sz w:val="24"/>
                <w:szCs w:val="24"/>
              </w:rPr>
              <w:t>, estigmatización, enemigo</w:t>
            </w:r>
            <w:r w:rsidRPr="00F40FD0">
              <w:rPr>
                <w:rFonts w:ascii="Arial" w:eastAsia="Arial" w:hAnsi="Arial" w:cs="Arial"/>
                <w:sz w:val="24"/>
                <w:szCs w:val="24"/>
              </w:rPr>
              <w:t>.</w:t>
            </w:r>
          </w:p>
        </w:tc>
      </w:tr>
    </w:tbl>
    <w:p w:rsidR="00DC4C77" w:rsidRDefault="00DC4C77">
      <w:pPr>
        <w:spacing w:after="0" w:line="240" w:lineRule="auto"/>
        <w:rPr>
          <w:rFonts w:ascii="Arial" w:eastAsia="Arial" w:hAnsi="Arial" w:cs="Arial"/>
          <w:sz w:val="24"/>
          <w:szCs w:val="24"/>
        </w:rPr>
      </w:pPr>
    </w:p>
    <w:tbl>
      <w:tblPr>
        <w:tblStyle w:val="a2"/>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Problema de investigación</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both"/>
              <w:rPr>
                <w:rFonts w:ascii="Arial" w:eastAsia="Arial" w:hAnsi="Arial" w:cs="Arial"/>
                <w:sz w:val="24"/>
                <w:szCs w:val="24"/>
              </w:rPr>
            </w:pPr>
            <w:r>
              <w:rPr>
                <w:rFonts w:ascii="Arial" w:eastAsia="Arial" w:hAnsi="Arial" w:cs="Arial"/>
                <w:color w:val="222222"/>
                <w:sz w:val="24"/>
                <w:szCs w:val="24"/>
              </w:rPr>
              <w:t xml:space="preserve">En Colombia, desde hace unos años atrás ha habido una mayor preocupación por la construcción de paz que urge en todo el territorio. A raíz de ello, comienzan a surgir diferentes reflexiones, construcciones teóricas e intervenciones de diferentes entes tanto educativos, gubernamentales y no gubernamentales sobre temas de paz, de manera especial los que se refieren directamente a la educación para la paz, donde incluso, se dan las cátedras de paz, de las cuales la USTA es su pionera. No obstante, con el pasar del tiempo, como resultado del momento coyuntural que ha vivido este país, a raíz de los acuerdos finales de la Habana, incluso, se ha estado teorizando la paz, que si bien es un ejercicio necesario, no es suficiente, sobre todo porque algunas de las reflexiones e investigaciones que han surgido se han dado de manera vertical, o “desde arriba”, siendo las víctimas de la violencia quienes han sido sujetos pasivos de investigación sin tener una mayor participación en la misma. </w:t>
            </w:r>
            <w:r>
              <w:rPr>
                <w:rFonts w:ascii="Arial" w:eastAsia="Arial" w:hAnsi="Arial" w:cs="Arial"/>
                <w:sz w:val="24"/>
                <w:szCs w:val="24"/>
              </w:rPr>
              <w:t>En el campo de educación para la paz, de acuerdo a la revisión de literatura especializada (</w:t>
            </w:r>
            <w:proofErr w:type="spellStart"/>
            <w:r>
              <w:rPr>
                <w:rFonts w:ascii="Arial" w:eastAsia="Arial" w:hAnsi="Arial" w:cs="Arial"/>
                <w:sz w:val="24"/>
                <w:szCs w:val="24"/>
              </w:rPr>
              <w:t>Chaux</w:t>
            </w:r>
            <w:proofErr w:type="spellEnd"/>
            <w:r>
              <w:rPr>
                <w:rFonts w:ascii="Arial" w:eastAsia="Arial" w:hAnsi="Arial" w:cs="Arial"/>
                <w:sz w:val="24"/>
                <w:szCs w:val="24"/>
              </w:rPr>
              <w:t xml:space="preserve">, 2010; Centro de Memoria histórica, 2013, </w:t>
            </w:r>
            <w:proofErr w:type="spellStart"/>
            <w:r>
              <w:rPr>
                <w:rFonts w:ascii="Arial" w:eastAsia="Arial" w:hAnsi="Arial" w:cs="Arial"/>
                <w:sz w:val="24"/>
                <w:szCs w:val="24"/>
              </w:rPr>
              <w:t>Lederach</w:t>
            </w:r>
            <w:proofErr w:type="spellEnd"/>
            <w:r>
              <w:rPr>
                <w:rFonts w:ascii="Arial" w:eastAsia="Arial" w:hAnsi="Arial" w:cs="Arial"/>
                <w:sz w:val="24"/>
                <w:szCs w:val="24"/>
              </w:rPr>
              <w:t xml:space="preserve">, 2011; </w:t>
            </w:r>
            <w:proofErr w:type="spellStart"/>
            <w:r>
              <w:rPr>
                <w:rFonts w:ascii="Arial" w:eastAsia="Arial" w:hAnsi="Arial" w:cs="Arial"/>
                <w:sz w:val="24"/>
                <w:szCs w:val="24"/>
              </w:rPr>
              <w:t>Exteberria</w:t>
            </w:r>
            <w:proofErr w:type="spellEnd"/>
            <w:r>
              <w:rPr>
                <w:rFonts w:ascii="Arial" w:eastAsia="Arial" w:hAnsi="Arial" w:cs="Arial"/>
                <w:sz w:val="24"/>
                <w:szCs w:val="24"/>
              </w:rPr>
              <w:t xml:space="preserve">, 2011,  Martha N. Bello, 2008; Unesco, 2007, entre otros) las temáticas abordadas giran sobre la educación en Derechos Humanos, la resolución positiva de conflictos, la democracia participativa, la convivencia </w:t>
            </w:r>
            <w:r w:rsidR="00015BEE">
              <w:rPr>
                <w:rFonts w:ascii="Arial" w:eastAsia="Arial" w:hAnsi="Arial" w:cs="Arial"/>
                <w:sz w:val="24"/>
                <w:szCs w:val="24"/>
              </w:rPr>
              <w:t>pacífica</w:t>
            </w:r>
            <w:r>
              <w:rPr>
                <w:rFonts w:ascii="Arial" w:eastAsia="Arial" w:hAnsi="Arial" w:cs="Arial"/>
                <w:sz w:val="24"/>
                <w:szCs w:val="24"/>
              </w:rPr>
              <w:t xml:space="preserve">, la memoria histórica desde enfoques diferenciales, la relación con los valores, el civismo, la educación ambiental, el acompañamiento psicosocial, la estética, el arte, el deporte, la literatura como herramientas pedagógicas para transformar los conflictos e implementar nuevos modelos de cultura de paz. Pero, es importante, dada las tensiones sociopolíticas actuales, donde se muestran cada día la muerte de líderes sociales, el fenómeno de la migración, las polarizaciones y pasiones en el campo de la participación política, asumir algunas fuentes que alimentan en las relaciones subjetivas e imaginarios sociales, nuevas reproducciones simbólicas del conflicto que se difumina en diferentes </w:t>
            </w:r>
            <w:r>
              <w:rPr>
                <w:rFonts w:ascii="Arial" w:eastAsia="Arial" w:hAnsi="Arial" w:cs="Arial"/>
                <w:sz w:val="24"/>
                <w:szCs w:val="24"/>
              </w:rPr>
              <w:lastRenderedPageBreak/>
              <w:t xml:space="preserve">escenarios. En efecto, al segundo informe sobre el estado efectivo de implementación del acuerdo de paz en Colombia (2016-2018) del Instituto </w:t>
            </w:r>
            <w:proofErr w:type="spellStart"/>
            <w:r>
              <w:rPr>
                <w:rFonts w:ascii="Arial" w:eastAsia="Arial" w:hAnsi="Arial" w:cs="Arial"/>
                <w:sz w:val="24"/>
                <w:szCs w:val="24"/>
              </w:rPr>
              <w:t>Kroc</w:t>
            </w:r>
            <w:proofErr w:type="spellEnd"/>
            <w:r>
              <w:rPr>
                <w:rFonts w:ascii="Arial" w:eastAsia="Arial" w:hAnsi="Arial" w:cs="Arial"/>
                <w:sz w:val="24"/>
                <w:szCs w:val="24"/>
              </w:rPr>
              <w:t xml:space="preserve"> de la Universidad de </w:t>
            </w:r>
            <w:proofErr w:type="spellStart"/>
            <w:r>
              <w:rPr>
                <w:rFonts w:ascii="Arial" w:eastAsia="Arial" w:hAnsi="Arial" w:cs="Arial"/>
                <w:sz w:val="24"/>
                <w:szCs w:val="24"/>
              </w:rPr>
              <w:t>Notre</w:t>
            </w:r>
            <w:proofErr w:type="spellEnd"/>
            <w:r>
              <w:rPr>
                <w:rFonts w:ascii="Arial" w:eastAsia="Arial" w:hAnsi="Arial" w:cs="Arial"/>
                <w:sz w:val="24"/>
                <w:szCs w:val="24"/>
              </w:rPr>
              <w:t xml:space="preserve"> Dame (2018) es necesario construir relaciones de confianza entre el Estado y la sociedad, avanzar en diferentes estrategias que promuevan la reconciliación, la convivencia y la no estigmatización (p. 83) entre otras recomendaciones, pero, ante los informes presentados por organizaciones internacionales (ONU-DDHH; Human </w:t>
            </w:r>
            <w:proofErr w:type="spellStart"/>
            <w:r>
              <w:rPr>
                <w:rFonts w:ascii="Arial" w:eastAsia="Arial" w:hAnsi="Arial" w:cs="Arial"/>
                <w:sz w:val="24"/>
                <w:szCs w:val="24"/>
              </w:rPr>
              <w:t>Rights</w:t>
            </w:r>
            <w:proofErr w:type="spellEnd"/>
            <w:r>
              <w:rPr>
                <w:rFonts w:ascii="Arial" w:eastAsia="Arial" w:hAnsi="Arial" w:cs="Arial"/>
                <w:sz w:val="24"/>
                <w:szCs w:val="24"/>
              </w:rPr>
              <w:t xml:space="preserve"> </w:t>
            </w:r>
            <w:proofErr w:type="spellStart"/>
            <w:r>
              <w:rPr>
                <w:rFonts w:ascii="Arial" w:eastAsia="Arial" w:hAnsi="Arial" w:cs="Arial"/>
                <w:sz w:val="24"/>
                <w:szCs w:val="24"/>
              </w:rPr>
              <w:t>Watch</w:t>
            </w:r>
            <w:proofErr w:type="spellEnd"/>
            <w:r>
              <w:rPr>
                <w:rFonts w:ascii="Arial" w:eastAsia="Arial" w:hAnsi="Arial" w:cs="Arial"/>
                <w:sz w:val="24"/>
                <w:szCs w:val="24"/>
              </w:rPr>
              <w:t>) y los mismos informes del comisionado de paz en Colombia (2018), si bien hay avances importantes en la implementación, no obstante,  se muestra el aumento de la violencia en los territorios, generada por lógicas que son alimentadas, entre otras variables,  por la estigmatización y una recurrente señalización al otro como fuente del mal. Aún se sigue mostrando que los discursos de homologación de líderes sociales con ideologías afines a los grupos armados ilegales, o la relación directa de estos con funcionarios estatales, o la violencia horizontal producida por relaciones intersubjetivas que se permean en una distorsión del otro, llevan a grandes desafíos para la tran</w:t>
            </w:r>
            <w:r w:rsidR="00015BEE">
              <w:rPr>
                <w:rFonts w:ascii="Arial" w:eastAsia="Arial" w:hAnsi="Arial" w:cs="Arial"/>
                <w:sz w:val="24"/>
                <w:szCs w:val="24"/>
              </w:rPr>
              <w:t>sformación de modelos violentos.</w:t>
            </w:r>
            <w:r>
              <w:rPr>
                <w:rFonts w:ascii="Arial" w:eastAsia="Arial" w:hAnsi="Arial" w:cs="Arial"/>
                <w:sz w:val="24"/>
                <w:szCs w:val="24"/>
              </w:rPr>
              <w:t xml:space="preserve"> Aún queda pendiente una reflexión ético-pedagógica sobre las dinámicas que construyen el</w:t>
            </w:r>
            <w:r>
              <w:rPr>
                <w:rFonts w:ascii="Arial" w:eastAsia="Arial" w:hAnsi="Arial" w:cs="Arial"/>
                <w:i/>
                <w:sz w:val="24"/>
                <w:szCs w:val="24"/>
              </w:rPr>
              <w:t xml:space="preserve"> lugar</w:t>
            </w:r>
            <w:r>
              <w:rPr>
                <w:rFonts w:ascii="Arial" w:eastAsia="Arial" w:hAnsi="Arial" w:cs="Arial"/>
                <w:sz w:val="24"/>
                <w:szCs w:val="24"/>
              </w:rPr>
              <w:t xml:space="preserve"> del </w:t>
            </w:r>
            <w:r>
              <w:rPr>
                <w:rFonts w:ascii="Arial" w:eastAsia="Arial" w:hAnsi="Arial" w:cs="Arial"/>
                <w:i/>
                <w:sz w:val="24"/>
                <w:szCs w:val="24"/>
              </w:rPr>
              <w:t xml:space="preserve">otro </w:t>
            </w:r>
            <w:r>
              <w:rPr>
                <w:rFonts w:ascii="Arial" w:eastAsia="Arial" w:hAnsi="Arial" w:cs="Arial"/>
                <w:sz w:val="24"/>
                <w:szCs w:val="24"/>
              </w:rPr>
              <w:t>en contextos educativos que potencie la construcción de lo político y lo público. El enemigo como un</w:t>
            </w:r>
            <w:r>
              <w:rPr>
                <w:rFonts w:ascii="Arial" w:eastAsia="Arial" w:hAnsi="Arial" w:cs="Arial"/>
                <w:i/>
                <w:sz w:val="24"/>
                <w:szCs w:val="24"/>
              </w:rPr>
              <w:t xml:space="preserve"> otro no </w:t>
            </w:r>
            <w:r>
              <w:rPr>
                <w:rFonts w:ascii="Arial" w:eastAsia="Arial" w:hAnsi="Arial" w:cs="Arial"/>
                <w:sz w:val="24"/>
                <w:szCs w:val="24"/>
              </w:rPr>
              <w:t xml:space="preserve">es un obstáculo para cualquier sociedad que busque la paz y la reconciliación, “el enemigo es un </w:t>
            </w:r>
            <w:r>
              <w:rPr>
                <w:rFonts w:ascii="Arial" w:eastAsia="Arial" w:hAnsi="Arial" w:cs="Arial"/>
                <w:i/>
                <w:sz w:val="24"/>
                <w:szCs w:val="24"/>
              </w:rPr>
              <w:t>otro</w:t>
            </w:r>
            <w:r>
              <w:rPr>
                <w:rFonts w:ascii="Arial" w:eastAsia="Arial" w:hAnsi="Arial" w:cs="Arial"/>
                <w:sz w:val="24"/>
                <w:szCs w:val="24"/>
              </w:rPr>
              <w:t xml:space="preserve">, que representa la negación del propio modo de existencia de las instituciones y de la sociedad” </w:t>
            </w:r>
            <w:r>
              <w:rPr>
                <w:rFonts w:ascii="Arial" w:eastAsia="Arial" w:hAnsi="Arial" w:cs="Arial"/>
                <w:i/>
                <w:sz w:val="24"/>
                <w:szCs w:val="24"/>
              </w:rPr>
              <w:t xml:space="preserve">(Cf. </w:t>
            </w:r>
            <w:r>
              <w:rPr>
                <w:rFonts w:ascii="Arial" w:eastAsia="Arial" w:hAnsi="Arial" w:cs="Arial"/>
                <w:sz w:val="24"/>
                <w:szCs w:val="24"/>
              </w:rPr>
              <w:t>Medina, 2018, p. 99)</w:t>
            </w:r>
          </w:p>
          <w:p w:rsidR="00DC4C77" w:rsidRDefault="00515BE7" w:rsidP="00EB5437">
            <w:pPr>
              <w:spacing w:after="0" w:line="240" w:lineRule="auto"/>
              <w:jc w:val="both"/>
              <w:rPr>
                <w:rFonts w:ascii="Arial" w:eastAsia="Arial" w:hAnsi="Arial" w:cs="Arial"/>
                <w:sz w:val="24"/>
                <w:szCs w:val="24"/>
              </w:rPr>
            </w:pPr>
            <w:r>
              <w:rPr>
                <w:rFonts w:ascii="Arial" w:eastAsia="Arial" w:hAnsi="Arial" w:cs="Arial"/>
                <w:color w:val="222222"/>
                <w:sz w:val="24"/>
                <w:szCs w:val="24"/>
              </w:rPr>
              <w:t>Por esta razón, la propuesta, “</w:t>
            </w:r>
            <w:r w:rsidR="00015BEE">
              <w:rPr>
                <w:rFonts w:ascii="Arial" w:eastAsia="Arial" w:hAnsi="Arial" w:cs="Arial"/>
                <w:sz w:val="24"/>
                <w:szCs w:val="24"/>
              </w:rPr>
              <w:t>Las gramáticas de la educación para la paz, imaginarios sociales, subjetividades y prácticas desde el territorio.</w:t>
            </w:r>
            <w:r>
              <w:rPr>
                <w:rFonts w:ascii="Arial" w:eastAsia="Arial" w:hAnsi="Arial" w:cs="Arial"/>
                <w:sz w:val="24"/>
                <w:szCs w:val="24"/>
              </w:rPr>
              <w:t xml:space="preserve">”, busca precisamente realizar un ejercicio que analice prácticas educativas en el territorio desde los imaginarios que constituyen las lógicas del otro como enemigo y la estigmatización, así como las experiencias que transforman esas prácticas en escenarios </w:t>
            </w:r>
            <w:r w:rsidR="00EB5437">
              <w:rPr>
                <w:rFonts w:ascii="Arial" w:eastAsia="Arial" w:hAnsi="Arial" w:cs="Arial"/>
                <w:sz w:val="24"/>
                <w:szCs w:val="24"/>
              </w:rPr>
              <w:t>reco</w:t>
            </w:r>
            <w:r w:rsidR="00015BEE">
              <w:rPr>
                <w:rFonts w:ascii="Arial" w:eastAsia="Arial" w:hAnsi="Arial" w:cs="Arial"/>
                <w:sz w:val="24"/>
                <w:szCs w:val="24"/>
              </w:rPr>
              <w:t>nocimiento</w:t>
            </w:r>
            <w:r>
              <w:rPr>
                <w:rFonts w:ascii="Arial" w:eastAsia="Arial" w:hAnsi="Arial" w:cs="Arial"/>
                <w:sz w:val="24"/>
                <w:szCs w:val="24"/>
              </w:rPr>
              <w:t>. Por esto, la pregunta que guiará este proyecto de investigación:</w:t>
            </w:r>
            <w:r>
              <w:rPr>
                <w:rFonts w:ascii="Arial" w:eastAsia="Arial" w:hAnsi="Arial" w:cs="Arial"/>
                <w:color w:val="9900FF"/>
                <w:sz w:val="24"/>
                <w:szCs w:val="24"/>
              </w:rPr>
              <w:t xml:space="preserve"> </w:t>
            </w:r>
            <w:r>
              <w:rPr>
                <w:rFonts w:ascii="Arial" w:eastAsia="Arial" w:hAnsi="Arial" w:cs="Arial"/>
                <w:sz w:val="24"/>
                <w:szCs w:val="24"/>
              </w:rPr>
              <w:t>¿Cuáles son las prácticas e imaginario</w:t>
            </w:r>
            <w:r w:rsidR="00EB5437">
              <w:rPr>
                <w:rFonts w:ascii="Arial" w:eastAsia="Arial" w:hAnsi="Arial" w:cs="Arial"/>
                <w:sz w:val="24"/>
                <w:szCs w:val="24"/>
              </w:rPr>
              <w:t>s sociales que pueden llevar a</w:t>
            </w:r>
            <w:r>
              <w:rPr>
                <w:rFonts w:ascii="Arial" w:eastAsia="Arial" w:hAnsi="Arial" w:cs="Arial"/>
                <w:sz w:val="24"/>
                <w:szCs w:val="24"/>
              </w:rPr>
              <w:t xml:space="preserve"> </w:t>
            </w:r>
            <w:r w:rsidR="00EB5437">
              <w:rPr>
                <w:rFonts w:ascii="Arial" w:eastAsia="Arial" w:hAnsi="Arial" w:cs="Arial"/>
                <w:sz w:val="24"/>
                <w:szCs w:val="24"/>
              </w:rPr>
              <w:t>un</w:t>
            </w:r>
            <w:r>
              <w:rPr>
                <w:rFonts w:ascii="Arial" w:eastAsia="Arial" w:hAnsi="Arial" w:cs="Arial"/>
                <w:sz w:val="24"/>
                <w:szCs w:val="24"/>
              </w:rPr>
              <w:t>a construcción del enemigo y la estigmatización del otro en el Instituto Técnico Integrado de Trinidad, Casanare con el fin de de</w:t>
            </w:r>
            <w:r w:rsidR="00ED6A6E">
              <w:rPr>
                <w:rFonts w:ascii="Arial" w:eastAsia="Arial" w:hAnsi="Arial" w:cs="Arial"/>
                <w:sz w:val="24"/>
                <w:szCs w:val="24"/>
              </w:rPr>
              <w:t>-</w:t>
            </w:r>
            <w:r>
              <w:rPr>
                <w:rFonts w:ascii="Arial" w:eastAsia="Arial" w:hAnsi="Arial" w:cs="Arial"/>
                <w:sz w:val="24"/>
                <w:szCs w:val="24"/>
              </w:rPr>
              <w:t>construir los procesos de reproducción cultural desde la educación para la paz?</w:t>
            </w:r>
          </w:p>
        </w:tc>
      </w:tr>
    </w:tbl>
    <w:p w:rsidR="00DC4C77" w:rsidRDefault="00DC4C77">
      <w:pPr>
        <w:spacing w:after="0" w:line="240" w:lineRule="auto"/>
        <w:rPr>
          <w:rFonts w:ascii="Arial" w:eastAsia="Arial" w:hAnsi="Arial" w:cs="Arial"/>
          <w:sz w:val="24"/>
          <w:szCs w:val="24"/>
        </w:rPr>
      </w:pPr>
    </w:p>
    <w:tbl>
      <w:tblPr>
        <w:tblStyle w:val="a3"/>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Justificación</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t>Si bien es cierto que pensar un país como Colombia 100% pacífico es utópico, más lo será hacerlo sin contar con las personas de todos los lugares que así lo desean. Por ello, esta investigación es una apuesta por contribuir a comunidades pertenecientes a esta institución edu</w:t>
            </w:r>
            <w:r w:rsidR="00015BEE" w:rsidRPr="00F40FD0">
              <w:rPr>
                <w:rFonts w:ascii="Arial" w:eastAsia="Arial" w:hAnsi="Arial" w:cs="Arial"/>
                <w:sz w:val="24"/>
                <w:szCs w:val="24"/>
              </w:rPr>
              <w:t>cativa que ha sido seleccionada</w:t>
            </w:r>
            <w:r w:rsidRPr="00F40FD0">
              <w:rPr>
                <w:rFonts w:ascii="Arial" w:eastAsia="Arial" w:hAnsi="Arial" w:cs="Arial"/>
                <w:sz w:val="24"/>
                <w:szCs w:val="24"/>
              </w:rPr>
              <w:t xml:space="preserve"> por sus particularidades y complejidades sociales que amerita un apoyo desde la academia para mejorar y fortalecer procesos en educación para la paz. Particularmente se analizarán las producciones culturales en cuanto a la construcción del enemigo y las estigmatizaciones que nacen desde los procesos educativos, tanto en sus reproducciones simbólicas, como en la de-construcción de estos factores; es decir, se busca analizar cómo se producen y se alimentan los imaginarios sobre las prácticas que nutren las lógicas de juzgamiento y señalamiento en comunidades, pero  también la agencia cultural que potencia nuevas relaciones para detener los ciclos de persecuciones o distorsiones del otro en la comunidad. </w:t>
            </w:r>
          </w:p>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t>Obtener la paz exige que haya una educación para la misma; y una educación para la paz debe hacerse en construcción lo cual demanda abrirse a lo que se ha querido llamar “unas gramáticas de la dec</w:t>
            </w:r>
            <w:r w:rsidR="00015BEE" w:rsidRPr="00F40FD0">
              <w:rPr>
                <w:rFonts w:ascii="Arial" w:eastAsia="Arial" w:hAnsi="Arial" w:cs="Arial"/>
                <w:sz w:val="24"/>
                <w:szCs w:val="24"/>
              </w:rPr>
              <w:t>onstrucción del enemigo” lo que a su vez</w:t>
            </w:r>
            <w:r w:rsidRPr="00F40FD0">
              <w:rPr>
                <w:rFonts w:ascii="Arial" w:eastAsia="Arial" w:hAnsi="Arial" w:cs="Arial"/>
                <w:sz w:val="24"/>
                <w:szCs w:val="24"/>
              </w:rPr>
              <w:t xml:space="preserve"> involucra a los sujetos de los territorios y su posición frente a lo que para ellos puede ayudar y lograr una educación para la paz que les responda directamente a sus necesidades y proyecciones.</w:t>
            </w:r>
          </w:p>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t xml:space="preserve">Gracias a la expresión: “Gramáticas de la deconstrucción del enemigo”, es que se puede tener presente los imaginarios sociales, dado que es a partir de lo que piensa, profesa y habla una comunidad en específico, que se llega a conocer diferentes formas como algunos han estado edificando sus propios contextos pacíficos. </w:t>
            </w:r>
          </w:p>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lastRenderedPageBreak/>
              <w:t>Lo anterior, sumado a la experiencia y apertura de los investigadores, ayuda a que los aportes de cada población puedan ser considerados para proponer nuevos elementos y herramientas que se sumen a la educación para la paz, la cual, si bien es cierto, debe implementarse en todos los territorios, también tiene pensarse como respuesta a necesidades muy particulares puesto que las experiencias y narrativas siempre serán diferentes en cada región; esto, teniendo también presente el Decreto 885 del 26 de mayo de 2017 por medio del cual se crea el Consejo Nacional de Paz, Reconciliación y Convivencia y, donde, en su artículo 3° establece la necesidad de contar con la población civil para que se busque la paz a partir de una cultura de reconciliación, tolerancia, convivencia y no estigmatización. De ahí lo que se quiere realizar en el Instituto Técnico de Trinidad, Casanare y que puede no solamente ser novedoso, sino además, provechoso en torno a lo que invita el Estado Colombiano a través del documento enunciado.</w:t>
            </w:r>
          </w:p>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t xml:space="preserve">Este proyecto, pensado por docentes de la Universidad Santo Tomás y por personas pertenecientes a la comunidad del Departamento mencionado, tiende a beneficiar no sólo a algunas poblaciones, sino también a la comunidad tomasina dado que el ejercicio a realizar se articula perfectamente con las funciones sustantivas de este claustro. </w:t>
            </w:r>
          </w:p>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t>En primer lugar se tiene la docencia, función desde la cual se involucra al cuerpo docente, algunos de sus trabajos relacionados con el tema de investigación y el apoyo de algunos estudiantes que se han querido involucrar con el tema a desarrollar. En segundo lugar, se da una relación con la función de la investigación debido a que se tendrá presente el método Investigación Acción (IA). Asimismo, se encuentra una inevitable relación con la proyección social debido al trabajo y al impacto que se quiere dar con la comunidad educativa a trabajar.</w:t>
            </w:r>
          </w:p>
          <w:p w:rsidR="00DC4C77" w:rsidRPr="00F40FD0" w:rsidRDefault="00ED6A6E">
            <w:pPr>
              <w:spacing w:after="0" w:line="240" w:lineRule="auto"/>
              <w:jc w:val="both"/>
              <w:rPr>
                <w:rFonts w:ascii="Arial" w:eastAsia="Arial" w:hAnsi="Arial" w:cs="Arial"/>
                <w:sz w:val="24"/>
                <w:szCs w:val="24"/>
              </w:rPr>
            </w:pPr>
            <w:r>
              <w:rPr>
                <w:rFonts w:ascii="Arial" w:eastAsia="Arial" w:hAnsi="Arial" w:cs="Arial"/>
                <w:sz w:val="24"/>
                <w:szCs w:val="24"/>
              </w:rPr>
              <w:t>Igualmente,</w:t>
            </w:r>
            <w:r w:rsidR="00515BE7" w:rsidRPr="00F40FD0">
              <w:rPr>
                <w:rFonts w:ascii="Arial" w:eastAsia="Arial" w:hAnsi="Arial" w:cs="Arial"/>
                <w:sz w:val="24"/>
                <w:szCs w:val="24"/>
              </w:rPr>
              <w:t xml:space="preserve"> este trabajo se justifica como un apoyo al plan integral </w:t>
            </w:r>
            <w:proofErr w:type="spellStart"/>
            <w:r w:rsidR="00515BE7" w:rsidRPr="00F40FD0">
              <w:rPr>
                <w:rFonts w:ascii="Arial" w:eastAsia="Arial" w:hAnsi="Arial" w:cs="Arial"/>
                <w:sz w:val="24"/>
                <w:szCs w:val="24"/>
              </w:rPr>
              <w:t>multicampus</w:t>
            </w:r>
            <w:proofErr w:type="spellEnd"/>
            <w:r w:rsidR="00515BE7" w:rsidRPr="00F40FD0">
              <w:rPr>
                <w:rFonts w:ascii="Arial" w:eastAsia="Arial" w:hAnsi="Arial" w:cs="Arial"/>
                <w:sz w:val="24"/>
                <w:szCs w:val="24"/>
              </w:rPr>
              <w:t xml:space="preserve"> en la línea tres del PIM “Proyección social e investigación pertinentes” por lo que se enfoca en esa dinamización de la promoción humana y la transformación social responsable en ambientes de justicia social y paz. La necesidad de contribuir en la construcción de paz a partir de nuevos modelos pedagógicos de reconciliación y paz sigue siendo un llamado para que la USTA siga transformando los contextos actuales, lo cual es parte de su naturaleza.</w:t>
            </w:r>
          </w:p>
          <w:p w:rsidR="00DC4C77" w:rsidRPr="00F40FD0" w:rsidRDefault="00515BE7">
            <w:pPr>
              <w:spacing w:after="0" w:line="240" w:lineRule="auto"/>
              <w:jc w:val="both"/>
              <w:rPr>
                <w:rFonts w:ascii="Arial" w:eastAsia="Arial" w:hAnsi="Arial" w:cs="Arial"/>
                <w:sz w:val="24"/>
                <w:szCs w:val="24"/>
              </w:rPr>
            </w:pPr>
            <w:r w:rsidRPr="00F40FD0">
              <w:rPr>
                <w:rFonts w:ascii="Arial" w:eastAsia="Arial" w:hAnsi="Arial" w:cs="Arial"/>
                <w:sz w:val="24"/>
                <w:szCs w:val="24"/>
              </w:rPr>
              <w:t>Y finalmente, como apoyo al plan general de desarrollo de la USTA, esta investigación ayudará a “potenciar espacios académicos que trabajen la cátedra de paz en USTA Colombia (Numeral 3.2.1 p.57) brindando propuestas pedagógicas exitosas que fortalecerán el proceso académico desde la universidad, y posibilitará maneras de reflexionar en relación a la acción de las distintas narrativas de paz, llevando éstas a la práctica en comunidades desde el actuar, es decir, desde acciones transformadoras mediadas o impulsadas por la pedagogía como elemento esencial de aprendizaje.</w:t>
            </w:r>
          </w:p>
          <w:p w:rsidR="00DC4C77" w:rsidRDefault="00515BE7">
            <w:pPr>
              <w:spacing w:after="0" w:line="240" w:lineRule="auto"/>
              <w:jc w:val="both"/>
              <w:rPr>
                <w:rFonts w:ascii="Arial" w:eastAsia="Arial" w:hAnsi="Arial" w:cs="Arial"/>
                <w:color w:val="222222"/>
                <w:sz w:val="24"/>
                <w:szCs w:val="24"/>
              </w:rPr>
            </w:pPr>
            <w:r w:rsidRPr="00F40FD0">
              <w:rPr>
                <w:rFonts w:ascii="Arial" w:eastAsia="Arial" w:hAnsi="Arial" w:cs="Arial"/>
                <w:sz w:val="24"/>
                <w:szCs w:val="24"/>
              </w:rPr>
              <w:t xml:space="preserve">Esto último también corresponde a la apropiación social del conocimiento y prácticas desde los territorios. </w:t>
            </w:r>
          </w:p>
        </w:tc>
      </w:tr>
    </w:tbl>
    <w:p w:rsidR="00DC4C77" w:rsidRDefault="00DC4C77">
      <w:pPr>
        <w:spacing w:after="0" w:line="240" w:lineRule="auto"/>
        <w:rPr>
          <w:rFonts w:ascii="Arial" w:eastAsia="Arial" w:hAnsi="Arial" w:cs="Arial"/>
          <w:sz w:val="24"/>
          <w:szCs w:val="24"/>
        </w:rPr>
      </w:pPr>
    </w:p>
    <w:tbl>
      <w:tblPr>
        <w:tblStyle w:val="a4"/>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Objetivo general</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rsidP="00ED6A6E">
            <w:pPr>
              <w:spacing w:after="0" w:line="240" w:lineRule="auto"/>
              <w:jc w:val="both"/>
              <w:rPr>
                <w:rFonts w:ascii="Arial" w:eastAsia="Arial" w:hAnsi="Arial" w:cs="Arial"/>
                <w:sz w:val="24"/>
                <w:szCs w:val="24"/>
              </w:rPr>
            </w:pPr>
            <w:r>
              <w:rPr>
                <w:rFonts w:ascii="Arial" w:eastAsia="Arial" w:hAnsi="Arial" w:cs="Arial"/>
                <w:sz w:val="24"/>
                <w:szCs w:val="24"/>
              </w:rPr>
              <w:t>Identificar las prácticas e imaginario</w:t>
            </w:r>
            <w:r w:rsidR="00ED6A6E">
              <w:rPr>
                <w:rFonts w:ascii="Arial" w:eastAsia="Arial" w:hAnsi="Arial" w:cs="Arial"/>
                <w:sz w:val="24"/>
                <w:szCs w:val="24"/>
              </w:rPr>
              <w:t>s sociales que pueden llevar a un</w:t>
            </w:r>
            <w:r>
              <w:rPr>
                <w:rFonts w:ascii="Arial" w:eastAsia="Arial" w:hAnsi="Arial" w:cs="Arial"/>
                <w:sz w:val="24"/>
                <w:szCs w:val="24"/>
              </w:rPr>
              <w:t>a construcción del enemigo y la estigmatización del otro en el Instituto Técnico Integrado de Trinidad, Casanare con el fin de de</w:t>
            </w:r>
            <w:r w:rsidR="00ED6A6E">
              <w:rPr>
                <w:rFonts w:ascii="Arial" w:eastAsia="Arial" w:hAnsi="Arial" w:cs="Arial"/>
                <w:sz w:val="24"/>
                <w:szCs w:val="24"/>
              </w:rPr>
              <w:t>-</w:t>
            </w:r>
            <w:r>
              <w:rPr>
                <w:rFonts w:ascii="Arial" w:eastAsia="Arial" w:hAnsi="Arial" w:cs="Arial"/>
                <w:sz w:val="24"/>
                <w:szCs w:val="24"/>
              </w:rPr>
              <w:t>construir los procesos de reproducción cultural desde la educación para la paz.</w:t>
            </w:r>
          </w:p>
        </w:tc>
      </w:tr>
    </w:tbl>
    <w:p w:rsidR="00DC4C77" w:rsidRDefault="00DC4C77">
      <w:pPr>
        <w:spacing w:after="0" w:line="240" w:lineRule="auto"/>
        <w:rPr>
          <w:rFonts w:ascii="Arial" w:eastAsia="Arial" w:hAnsi="Arial" w:cs="Arial"/>
          <w:sz w:val="24"/>
          <w:szCs w:val="24"/>
        </w:rPr>
      </w:pPr>
    </w:p>
    <w:tbl>
      <w:tblPr>
        <w:tblStyle w:val="a5"/>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Objetivos específicos</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both"/>
              <w:rPr>
                <w:rFonts w:ascii="Arial" w:eastAsia="Arial" w:hAnsi="Arial" w:cs="Arial"/>
                <w:sz w:val="24"/>
                <w:szCs w:val="24"/>
              </w:rPr>
            </w:pPr>
            <w:r>
              <w:rPr>
                <w:rFonts w:ascii="Arial" w:eastAsia="Arial" w:hAnsi="Arial" w:cs="Arial"/>
                <w:sz w:val="24"/>
                <w:szCs w:val="24"/>
              </w:rPr>
              <w:t>1. Analizar desde un ejercicio teórico-documental los imaginarios sociales sobre la construcción del enemigo y  estigmatización del otro.</w:t>
            </w:r>
          </w:p>
          <w:p w:rsidR="00DC4C77" w:rsidRDefault="00515BE7">
            <w:pPr>
              <w:spacing w:after="0" w:line="240" w:lineRule="auto"/>
              <w:jc w:val="both"/>
              <w:rPr>
                <w:rFonts w:ascii="Arial" w:eastAsia="Arial" w:hAnsi="Arial" w:cs="Arial"/>
                <w:sz w:val="24"/>
                <w:szCs w:val="24"/>
              </w:rPr>
            </w:pPr>
            <w:r>
              <w:rPr>
                <w:rFonts w:ascii="Arial" w:eastAsia="Arial" w:hAnsi="Arial" w:cs="Arial"/>
                <w:sz w:val="24"/>
                <w:szCs w:val="24"/>
              </w:rPr>
              <w:t>2. Identificar las prácticas e imaginarios sociales y estigmatización en el Instituto Técnico Integrado de Trinidad, Casanare.</w:t>
            </w:r>
          </w:p>
          <w:p w:rsidR="00DC4C77" w:rsidRDefault="00515BE7">
            <w:pPr>
              <w:spacing w:after="0" w:line="240" w:lineRule="auto"/>
              <w:jc w:val="both"/>
              <w:rPr>
                <w:rFonts w:ascii="Arial" w:eastAsia="Arial" w:hAnsi="Arial" w:cs="Arial"/>
                <w:sz w:val="24"/>
                <w:szCs w:val="24"/>
              </w:rPr>
            </w:pPr>
            <w:r>
              <w:rPr>
                <w:rFonts w:ascii="Arial" w:eastAsia="Arial" w:hAnsi="Arial" w:cs="Arial"/>
                <w:sz w:val="24"/>
                <w:szCs w:val="24"/>
              </w:rPr>
              <w:lastRenderedPageBreak/>
              <w:t>3. Implementar una estrategia pedagógica de paz para prevenir la estigmatización y promover la convivencia pacífica en el Instituto Técnico Integrado de Trinidad, Casanare.</w:t>
            </w:r>
          </w:p>
        </w:tc>
      </w:tr>
    </w:tbl>
    <w:p w:rsidR="00DC4C77" w:rsidRDefault="00DC4C77">
      <w:pPr>
        <w:spacing w:after="0" w:line="240" w:lineRule="auto"/>
        <w:rPr>
          <w:rFonts w:ascii="Arial" w:eastAsia="Arial" w:hAnsi="Arial" w:cs="Arial"/>
          <w:sz w:val="24"/>
          <w:szCs w:val="24"/>
        </w:rPr>
      </w:pPr>
    </w:p>
    <w:tbl>
      <w:tblPr>
        <w:tblStyle w:val="a6"/>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Estado del arte y marco conceptual</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both"/>
              <w:rPr>
                <w:rFonts w:ascii="Arial" w:eastAsia="Arial" w:hAnsi="Arial" w:cs="Arial"/>
                <w:b/>
                <w:color w:val="9900FF"/>
                <w:sz w:val="24"/>
                <w:szCs w:val="24"/>
              </w:rPr>
            </w:pPr>
            <w:r>
              <w:rPr>
                <w:rFonts w:ascii="Arial" w:eastAsia="Arial" w:hAnsi="Arial" w:cs="Arial"/>
                <w:b/>
                <w:sz w:val="24"/>
                <w:szCs w:val="24"/>
              </w:rPr>
              <w:t>Imaginarios sociales en la construcción del enemigo y la estigmatización</w:t>
            </w:r>
            <w:r>
              <w:rPr>
                <w:rFonts w:ascii="Arial" w:eastAsia="Arial" w:hAnsi="Arial" w:cs="Arial"/>
                <w:b/>
                <w:color w:val="9900FF"/>
                <w:sz w:val="24"/>
                <w:szCs w:val="24"/>
              </w:rPr>
              <w:t xml:space="preserve">. </w:t>
            </w:r>
          </w:p>
          <w:p w:rsidR="00DC4C77" w:rsidRDefault="00515BE7">
            <w:pPr>
              <w:spacing w:after="0" w:line="240" w:lineRule="auto"/>
              <w:jc w:val="both"/>
              <w:rPr>
                <w:rFonts w:ascii="Arial" w:eastAsia="Arial" w:hAnsi="Arial" w:cs="Arial"/>
                <w:sz w:val="24"/>
                <w:szCs w:val="24"/>
              </w:rPr>
            </w:pPr>
            <w:r>
              <w:rPr>
                <w:rFonts w:ascii="Arial" w:eastAsia="Arial" w:hAnsi="Arial" w:cs="Arial"/>
                <w:sz w:val="24"/>
                <w:szCs w:val="24"/>
              </w:rPr>
              <w:t xml:space="preserve">Uno de los campos más interesantes que se han producido en las ciencias sociales y humanas en los últimos años ha sido el desarrollo de las teorías de representaciones e imaginarios sociales. Si bien ambas categorías son diferentes, algunos autores </w:t>
            </w:r>
            <w:proofErr w:type="spellStart"/>
            <w:r>
              <w:rPr>
                <w:rFonts w:ascii="Arial" w:eastAsia="Arial" w:hAnsi="Arial" w:cs="Arial"/>
                <w:sz w:val="24"/>
                <w:szCs w:val="24"/>
              </w:rPr>
              <w:t>Moscovici</w:t>
            </w:r>
            <w:proofErr w:type="spellEnd"/>
            <w:r>
              <w:rPr>
                <w:rFonts w:ascii="Arial" w:eastAsia="Arial" w:hAnsi="Arial" w:cs="Arial"/>
                <w:sz w:val="24"/>
                <w:szCs w:val="24"/>
              </w:rPr>
              <w:t xml:space="preserve">, S. (1999; 2007)  </w:t>
            </w:r>
            <w:proofErr w:type="spellStart"/>
            <w:r>
              <w:rPr>
                <w:rFonts w:ascii="Arial" w:eastAsia="Arial" w:hAnsi="Arial" w:cs="Arial"/>
                <w:sz w:val="24"/>
                <w:szCs w:val="24"/>
              </w:rPr>
              <w:t>Castoriadis</w:t>
            </w:r>
            <w:proofErr w:type="spellEnd"/>
            <w:r>
              <w:rPr>
                <w:rFonts w:ascii="Arial" w:eastAsia="Arial" w:hAnsi="Arial" w:cs="Arial"/>
                <w:sz w:val="24"/>
                <w:szCs w:val="24"/>
              </w:rPr>
              <w:t xml:space="preserve">, C. (1989; 1997); (Pintos, J. 1995); (Jiménez, A. 2004);   trazan puentes, analogías o diferencias conceptuales y de aplicación metodológica. En esta investigación, se tendrá como punto de referencia los imaginarios sociales, tal como se han venido trabajando en el contexto colombiano, apoyados por autores como Armando Silva (2014),  Pintos, J. (1995) las líneas argumentativas que han influido en Colombia de Cornelius </w:t>
            </w:r>
            <w:proofErr w:type="spellStart"/>
            <w:r>
              <w:rPr>
                <w:rFonts w:ascii="Arial" w:eastAsia="Arial" w:hAnsi="Arial" w:cs="Arial"/>
                <w:sz w:val="24"/>
                <w:szCs w:val="24"/>
              </w:rPr>
              <w:t>Castoriadis</w:t>
            </w:r>
            <w:proofErr w:type="spellEnd"/>
            <w:r>
              <w:rPr>
                <w:rFonts w:ascii="Arial" w:eastAsia="Arial" w:hAnsi="Arial" w:cs="Arial"/>
                <w:sz w:val="24"/>
                <w:szCs w:val="24"/>
              </w:rPr>
              <w:t xml:space="preserve"> y los trabajos de Aliaga, F., Lily M., Uribe,  C. (2018)  aplicados como metodología en el área de pedagogía, Castillo, X. L. (2014)  Aguilera-Martínez y otros (2015) Murcia Peña, N. (2012).</w:t>
            </w:r>
          </w:p>
          <w:p w:rsidR="00DC4C77" w:rsidRDefault="00515BE7">
            <w:pPr>
              <w:jc w:val="both"/>
              <w:rPr>
                <w:rFonts w:ascii="Arial" w:eastAsia="Arial" w:hAnsi="Arial" w:cs="Arial"/>
                <w:sz w:val="24"/>
                <w:szCs w:val="24"/>
              </w:rPr>
            </w:pPr>
            <w:r>
              <w:rPr>
                <w:rFonts w:ascii="Arial" w:eastAsia="Arial" w:hAnsi="Arial" w:cs="Arial"/>
                <w:sz w:val="24"/>
                <w:szCs w:val="24"/>
              </w:rPr>
              <w:t xml:space="preserve">Los imaginarios sociales se conciben como horizontes de sentido, que no obstante, “no son representaciones, sino en cierta forma esquemas de representación. Estructuran en cada instante la experiencia social y engendran tanto comportamientos como imágenes “reales”. Su realidad es la de los principios de organización social cuya entera y cabal realidad se evoca con complacencia” (Pintos, 1995). El espacio de análisis teórico, permite profundizar que la </w:t>
            </w:r>
            <w:r>
              <w:rPr>
                <w:rFonts w:ascii="Arial" w:eastAsia="Arial" w:hAnsi="Arial" w:cs="Arial"/>
                <w:color w:val="000000"/>
                <w:sz w:val="24"/>
                <w:szCs w:val="24"/>
              </w:rPr>
              <w:t xml:space="preserve">imaginación en los seres humanos tiene la propiedad de potenciar el pensamiento creativo y desarrollar modos de relación, según lo que percibe por los sentidos. Por tanto, los imaginarios constituyen las construcciones de las comunidades donde expresan sus relaciones simbólicas desde el sujeto, las instituciones y la historia. Las reinterpretaciones y nuevas formas de relaciones pueden promocionar nuevos estadios de organización social. Ahora bien, en el campo de la educación, existe un horizonte de posibilidades para explorar esas significaciones y construcciones </w:t>
            </w:r>
            <w:proofErr w:type="spellStart"/>
            <w:r>
              <w:rPr>
                <w:rFonts w:ascii="Arial" w:eastAsia="Arial" w:hAnsi="Arial" w:cs="Arial"/>
                <w:color w:val="000000"/>
                <w:sz w:val="24"/>
                <w:szCs w:val="24"/>
              </w:rPr>
              <w:t>identitarias</w:t>
            </w:r>
            <w:proofErr w:type="spellEnd"/>
            <w:r>
              <w:rPr>
                <w:rFonts w:ascii="Arial" w:eastAsia="Arial" w:hAnsi="Arial" w:cs="Arial"/>
                <w:color w:val="000000"/>
                <w:sz w:val="24"/>
                <w:szCs w:val="24"/>
              </w:rPr>
              <w:t xml:space="preserve"> que se tejen en la efervescencia de la llamada cátedra de paz. En efecto, en los últimos años han surgido innumerables propuestas para su implementación (</w:t>
            </w:r>
            <w:proofErr w:type="spellStart"/>
            <w:r>
              <w:rPr>
                <w:rFonts w:ascii="Arial" w:eastAsia="Arial" w:hAnsi="Arial" w:cs="Arial"/>
                <w:color w:val="000000"/>
                <w:sz w:val="24"/>
                <w:szCs w:val="24"/>
              </w:rPr>
              <w:t>Redepaz</w:t>
            </w:r>
            <w:proofErr w:type="spellEnd"/>
            <w:r>
              <w:rPr>
                <w:rFonts w:ascii="Arial" w:eastAsia="Arial" w:hAnsi="Arial" w:cs="Arial"/>
                <w:color w:val="000000"/>
                <w:sz w:val="24"/>
                <w:szCs w:val="24"/>
              </w:rPr>
              <w:t xml:space="preserve">, 2015, Naciones Unidas, 2005, Red de educación para la paz, 2009) así como producción académica mostrando alcances, metodologías, relaciones y didácticas. Es importante hacer un ejercicio interdisciplinar donde se pueda avanzar en la comprensión y aplicación desde los territorios; es decir, desde las mismas realidades concretas de los sujetos en el quehacer educativo. De esta manera, se puede establecer mucho mejor, una incidencia para la transformación social y que permitirá modelos de producción para un nuevo orden cultural.  </w:t>
            </w:r>
            <w:r>
              <w:rPr>
                <w:rFonts w:ascii="Arial" w:eastAsia="Arial" w:hAnsi="Arial" w:cs="Arial"/>
                <w:sz w:val="24"/>
                <w:szCs w:val="24"/>
              </w:rPr>
              <w:t xml:space="preserve">Desde este escenario, pensar las lógicas y modelos que permiten dinamizar la construcción de enemigos en una sociedad evidencia cómo se da la estigmatización y, por ende, la concepción del otro como barrera y obstáculo que debe ser sacado del medio ya sea por señalamiento o a través de la fuerza, generando así una rivalidad que tiene como fin fortalecer el odio de un grupo en contra de quienes han sido señalados como figuras negativas que dañan de alguna manera el orden social. La construcción acerca del enemigo comienza con la creación de imaginarios sociales que llevan directamente a la estigmatización y posteriormente al odio y el surgimiento de enemistades que terminan en conflictos, muchos de ellos, violentos. De ahí la necesidad de estudiar estos fenómenos de tal manera que después de conocerlos se haga una deconstrucción de tales imaginarios para recuperar la visión del otro desde una alteridad. Se entiende por deconstrucción, según J. </w:t>
            </w:r>
            <w:proofErr w:type="spellStart"/>
            <w:r>
              <w:rPr>
                <w:rFonts w:ascii="Arial" w:eastAsia="Arial" w:hAnsi="Arial" w:cs="Arial"/>
                <w:sz w:val="24"/>
                <w:szCs w:val="24"/>
              </w:rPr>
              <w:t>Derridá</w:t>
            </w:r>
            <w:proofErr w:type="spellEnd"/>
            <w:r>
              <w:rPr>
                <w:rFonts w:ascii="Arial" w:eastAsia="Arial" w:hAnsi="Arial" w:cs="Arial"/>
                <w:sz w:val="24"/>
                <w:szCs w:val="24"/>
              </w:rPr>
              <w:t xml:space="preserve"> y René </w:t>
            </w:r>
            <w:proofErr w:type="spellStart"/>
            <w:r>
              <w:rPr>
                <w:rFonts w:ascii="Arial" w:eastAsia="Arial" w:hAnsi="Arial" w:cs="Arial"/>
                <w:sz w:val="24"/>
                <w:szCs w:val="24"/>
              </w:rPr>
              <w:t>Girard</w:t>
            </w:r>
            <w:proofErr w:type="spellEnd"/>
            <w:r>
              <w:rPr>
                <w:rFonts w:ascii="Arial" w:eastAsia="Arial" w:hAnsi="Arial" w:cs="Arial"/>
                <w:sz w:val="24"/>
                <w:szCs w:val="24"/>
              </w:rPr>
              <w:t xml:space="preserve"> (2004), como el ejercicio para mostrar las </w:t>
            </w:r>
            <w:proofErr w:type="spellStart"/>
            <w:r>
              <w:rPr>
                <w:rFonts w:ascii="Arial" w:eastAsia="Arial" w:hAnsi="Arial" w:cs="Arial"/>
                <w:sz w:val="24"/>
                <w:szCs w:val="24"/>
              </w:rPr>
              <w:t>invisibilizaciones</w:t>
            </w:r>
            <w:proofErr w:type="spellEnd"/>
            <w:r>
              <w:rPr>
                <w:rFonts w:ascii="Arial" w:eastAsia="Arial" w:hAnsi="Arial" w:cs="Arial"/>
                <w:sz w:val="24"/>
                <w:szCs w:val="24"/>
              </w:rPr>
              <w:t xml:space="preserve"> sociales, exclusiones y legitimaciones que han llevado a la expulsión y creación del otro como inhumano y </w:t>
            </w:r>
            <w:r>
              <w:rPr>
                <w:rFonts w:ascii="Arial" w:eastAsia="Arial" w:hAnsi="Arial" w:cs="Arial"/>
                <w:sz w:val="24"/>
                <w:szCs w:val="24"/>
              </w:rPr>
              <w:lastRenderedPageBreak/>
              <w:t xml:space="preserve">por lo tanto un enemigo a mis intereses; </w:t>
            </w:r>
            <w:proofErr w:type="spellStart"/>
            <w:r>
              <w:rPr>
                <w:rFonts w:ascii="Arial" w:eastAsia="Arial" w:hAnsi="Arial" w:cs="Arial"/>
                <w:sz w:val="24"/>
                <w:szCs w:val="24"/>
              </w:rPr>
              <w:t>Derridá</w:t>
            </w:r>
            <w:proofErr w:type="spellEnd"/>
            <w:r>
              <w:rPr>
                <w:rFonts w:ascii="Arial" w:eastAsia="Arial" w:hAnsi="Arial" w:cs="Arial"/>
                <w:sz w:val="24"/>
                <w:szCs w:val="24"/>
              </w:rPr>
              <w:t xml:space="preserve">, indica: “Hay que entender este término, no en el sentido de disolver o de destruir, sino analizar las estructuras sedimentadas que forman el elemento discursivo, la </w:t>
            </w:r>
            <w:proofErr w:type="spellStart"/>
            <w:r>
              <w:rPr>
                <w:rFonts w:ascii="Arial" w:eastAsia="Arial" w:hAnsi="Arial" w:cs="Arial"/>
                <w:sz w:val="24"/>
                <w:szCs w:val="24"/>
              </w:rPr>
              <w:t>discursividad</w:t>
            </w:r>
            <w:proofErr w:type="spellEnd"/>
            <w:r>
              <w:rPr>
                <w:rFonts w:ascii="Arial" w:eastAsia="Arial" w:hAnsi="Arial" w:cs="Arial"/>
                <w:sz w:val="24"/>
                <w:szCs w:val="24"/>
              </w:rPr>
              <w:t xml:space="preserve"> filosófica en la que pensamos”.</w:t>
            </w:r>
          </w:p>
          <w:p w:rsidR="00DC4C77" w:rsidRDefault="00515BE7">
            <w:pPr>
              <w:spacing w:after="0" w:line="240" w:lineRule="auto"/>
              <w:jc w:val="both"/>
              <w:rPr>
                <w:rFonts w:ascii="Arial" w:eastAsia="Arial" w:hAnsi="Arial" w:cs="Arial"/>
                <w:b/>
                <w:color w:val="222222"/>
                <w:sz w:val="24"/>
                <w:szCs w:val="24"/>
              </w:rPr>
            </w:pPr>
            <w:r>
              <w:rPr>
                <w:rFonts w:ascii="Arial" w:eastAsia="Arial" w:hAnsi="Arial" w:cs="Arial"/>
                <w:b/>
                <w:color w:val="222222"/>
                <w:sz w:val="24"/>
                <w:szCs w:val="24"/>
              </w:rPr>
              <w:t>Las gramáticas de la educación para la paz.</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El concepto “gramáticas” corresponde a la capacidad que tienen las personas de construir y manejar sus relatos (Museo casa de la memoria, 2017); no es solamente contar algo, sino todo lo que hace parte de la historia que se cuenta y el manejo que se le da a la misma. Siendo esto así, al referirse a las gramáticas de la educación para la paz se refiere a esas diferentes narrativas que se han construido alrededor de una educación para la paz, lo cual puede incluir tópicos como el de memoria histórica, educación ambiental, resolución de conflictos, DD.HH y convivencia ciudadana entre otros.</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Este tópico es fundamental en el marco de una educación para la paz, dado que busca llegar directamente a experiencias de personas que han encontrado la posibilidad de contribuir a la consecución de la paz desde realidades concretas y que lejos de caer en teorizaciones sobre salidas utópicas de cada conflicto, se espera evidenciar cómo es posible la paz desde prácticas concretas positivas que le han aunado su parte a la construcción de paz.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Hablar de unas gramáticas de la educación para la paz implica también una despolitización de la última, donde ya no sean los planes de gobierno y los proyectos los que establezcan los derroteros de aquella, todo lo contrario, si se va a plantear cualquier propuesta, deberá hacerse “desde abajo”, es decir desde los relatos y las experiencias de aquellos que en sus cotidianidades han establecido una ruta de vida diferente para alcanzar un mundo más vivible y más pacífico. (Arias, 2015, p. 430)</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Las gramáticas de la educación para la paz involucran diversos elementos que tienen que ver con, inicialmente, las historias y prácticas de aquellos que buscan la paz desde una educación para la lograr la misma, así como aquellos que conforman los diferentes grupos de trabajo con quienes </w:t>
            </w:r>
            <w:r w:rsidR="00ED6A6E">
              <w:rPr>
                <w:rFonts w:ascii="Arial" w:eastAsia="Arial" w:hAnsi="Arial" w:cs="Arial"/>
                <w:color w:val="222222"/>
                <w:sz w:val="24"/>
                <w:szCs w:val="24"/>
              </w:rPr>
              <w:t>se desarrollan dichas prácticas</w:t>
            </w:r>
            <w:r>
              <w:rPr>
                <w:rFonts w:ascii="Arial" w:eastAsia="Arial" w:hAnsi="Arial" w:cs="Arial"/>
                <w:color w:val="222222"/>
                <w:sz w:val="24"/>
                <w:szCs w:val="24"/>
              </w:rPr>
              <w:t>. Será gracias a las narrativas de las personas que hacen parte de estos entornos, las que permitirán conocer diferentes elementos que muchas veces se pierden de vista debido a su simpleza y naturaleza de lo ocurrido, olvidándose que cada vivencia, conflicto, solución a este último, personas involucradas, ambiente, contexto, situación personal, familiar, social, religiosa y demás, termina siendo fundamental para comprender mejor cómo la verdadera paz nace desde la rutina y las relaciones que se dan en el día a día. Es allí donde se puede materializar, más que en un gran proyecto y un gran texto que logre un gran reconocimiento.</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A partir de las gramáticas de la educación para la paz, se pueden obtener además, otras experiencias exitosas que iluminen otros ambientes donde sea necesario pensar cómo lograr la paz. Cada relato puede arrojar nuevas estrategias; evidenciar quiénes pueden ser líderes; qué proyectos se podrían implementar; qué se puede hacer y qué se debe evitar; se pueden construir cajas de herramientas; se pueden generar vínculos; conformar grupos focales; identificar nuevas problemáticas; crear redes conversacionales; y así, una variedad de propuestas que sean incluso más posibles de materializar debido a que partirán desde las mismas narrativas de aquellos que conocen mejor cada situación y, que a su vez, se han arriesgado a ser más propositivos pese a las situaciones de violencia vividas, que en algunas ocasiones alcanzan a desesperanzar o a generar desidia debido al panorama tan negativo que envuelve la realidad de cada uno de los territorios. Si bien las gramáticas de la educación para la paz abarcan las diferentes experiencias sobre la construcción de paz, sigue siendo fundamental, lo que acontece directamente en la academia, donde también surgen otras narrativas en el plano educativo, de ahí la necesidad de indagar un poco sobre esas didácticas aplicadas en el aula donde se evidencien algunas metodologías exitosas en torno a la construcción de pedagogías de paz.</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lastRenderedPageBreak/>
              <w:t xml:space="preserve">En la medida en que se agudizan las reflexiones sobre la construcción de paz, se va descubriendo la necesidad de ahondar más en experiencias vividas por los sujetos que han estado involucrados en la situación a la cual se quiere referir; de ahí la necesidad de enfocarse sobre las gramáticas de la educación para la paz. Esto último teniendo en cuenta lo que Alfredo </w:t>
            </w:r>
            <w:proofErr w:type="spellStart"/>
            <w:r>
              <w:rPr>
                <w:rFonts w:ascii="Arial" w:eastAsia="Arial" w:hAnsi="Arial" w:cs="Arial"/>
                <w:color w:val="222222"/>
                <w:sz w:val="24"/>
                <w:szCs w:val="24"/>
              </w:rPr>
              <w:t>Ghiso</w:t>
            </w:r>
            <w:proofErr w:type="spellEnd"/>
            <w:r>
              <w:rPr>
                <w:rFonts w:ascii="Arial" w:eastAsia="Arial" w:hAnsi="Arial" w:cs="Arial"/>
                <w:color w:val="222222"/>
                <w:sz w:val="24"/>
                <w:szCs w:val="24"/>
              </w:rPr>
              <w:t xml:space="preserve"> (2013) sostiene acerca de la necesidad de pasar de los cánones investigativos a unas gramáticas que presenten la forma como los sujetos construyen y desarrollan su conocimiento. (p.3) Si bien el autor se está refiriendo a la investigación en la educación, su postulado evidencia la necesidad de que exista una construcción desde abajo, es decir, desde las gramáticas de los sujetos.</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Desde esta perspectiva, es fundamental hacer un bosquejo sobre diferentes experiencias que desde hace unos pocos años hasta nuestro tiempo, se han dado en el marco de la educación para la paz. Una de estas experiencias puede ser la que se comenzó a construir en el año 2014 bajo la guía de la “Red de educación para la paz y los derechos humanos”, donde, en el “primer encuentro sobre educación para la paz y los derechos humanos en los territorios”, apoy</w:t>
            </w:r>
            <w:r w:rsidR="00ED6A6E">
              <w:rPr>
                <w:rFonts w:ascii="Arial" w:eastAsia="Arial" w:hAnsi="Arial" w:cs="Arial"/>
                <w:color w:val="222222"/>
                <w:sz w:val="24"/>
                <w:szCs w:val="24"/>
              </w:rPr>
              <w:t>ados también por el PNUD, entendieron</w:t>
            </w:r>
            <w:r>
              <w:rPr>
                <w:rFonts w:ascii="Arial" w:eastAsia="Arial" w:hAnsi="Arial" w:cs="Arial"/>
                <w:color w:val="222222"/>
                <w:sz w:val="24"/>
                <w:szCs w:val="24"/>
              </w:rPr>
              <w:t xml:space="preserve"> que para que exista una sociedad en paz es fundamental establecer una cultura de paz impulsada a su vez por una educación integral que contemple una educación para la paz tanto territorial como nacional; algo que sólo se logrará a partir de una educación de calidad. (</w:t>
            </w:r>
            <w:proofErr w:type="spellStart"/>
            <w:r>
              <w:rPr>
                <w:rFonts w:ascii="Arial" w:eastAsia="Arial" w:hAnsi="Arial" w:cs="Arial"/>
                <w:color w:val="222222"/>
                <w:sz w:val="24"/>
                <w:szCs w:val="24"/>
              </w:rPr>
              <w:t>Rededupaz</w:t>
            </w:r>
            <w:proofErr w:type="spellEnd"/>
            <w:r>
              <w:rPr>
                <w:rFonts w:ascii="Arial" w:eastAsia="Arial" w:hAnsi="Arial" w:cs="Arial"/>
                <w:color w:val="222222"/>
                <w:sz w:val="24"/>
                <w:szCs w:val="24"/>
              </w:rPr>
              <w:t>, 2019, pp. 9 - 15). Esto contempla a su vez, atender lo rural, y por ende, hacer eco y responder la pregunta ¿Cómo debe ser esa educación rural para la paz? (</w:t>
            </w:r>
            <w:proofErr w:type="spellStart"/>
            <w:r>
              <w:rPr>
                <w:rFonts w:ascii="Arial" w:eastAsia="Arial" w:hAnsi="Arial" w:cs="Arial"/>
                <w:color w:val="222222"/>
                <w:sz w:val="24"/>
                <w:szCs w:val="24"/>
              </w:rPr>
              <w:t>Rededupaz</w:t>
            </w:r>
            <w:proofErr w:type="spellEnd"/>
            <w:r>
              <w:rPr>
                <w:rFonts w:ascii="Arial" w:eastAsia="Arial" w:hAnsi="Arial" w:cs="Arial"/>
                <w:color w:val="222222"/>
                <w:sz w:val="24"/>
                <w:szCs w:val="24"/>
              </w:rPr>
              <w:t>, 2019, p. 38) Igualmente, se contempló en dicho encuentro la necesidad de atender el proceso de escolarización y formación de los excombatientes, parte fundamental para la reintegración de los mismos a una vida más productiva y provechosa para ellos mismos y para la sociedad (</w:t>
            </w:r>
            <w:proofErr w:type="spellStart"/>
            <w:r>
              <w:rPr>
                <w:rFonts w:ascii="Arial" w:eastAsia="Arial" w:hAnsi="Arial" w:cs="Arial"/>
                <w:color w:val="222222"/>
                <w:sz w:val="24"/>
                <w:szCs w:val="24"/>
              </w:rPr>
              <w:t>Rededupaz</w:t>
            </w:r>
            <w:proofErr w:type="spellEnd"/>
            <w:r>
              <w:rPr>
                <w:rFonts w:ascii="Arial" w:eastAsia="Arial" w:hAnsi="Arial" w:cs="Arial"/>
                <w:color w:val="222222"/>
                <w:sz w:val="24"/>
                <w:szCs w:val="24"/>
              </w:rPr>
              <w:t xml:space="preserve">, 2019, p. 32).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Lo anterior también concuerda con el testimonio que dio Rodrigo Pérez </w:t>
            </w:r>
            <w:proofErr w:type="spellStart"/>
            <w:r>
              <w:rPr>
                <w:rFonts w:ascii="Arial" w:eastAsia="Arial" w:hAnsi="Arial" w:cs="Arial"/>
                <w:color w:val="222222"/>
                <w:sz w:val="24"/>
                <w:szCs w:val="24"/>
              </w:rPr>
              <w:t>Alzate</w:t>
            </w:r>
            <w:proofErr w:type="spellEnd"/>
            <w:r>
              <w:rPr>
                <w:rFonts w:ascii="Arial" w:eastAsia="Arial" w:hAnsi="Arial" w:cs="Arial"/>
                <w:color w:val="222222"/>
                <w:sz w:val="24"/>
                <w:szCs w:val="24"/>
              </w:rPr>
              <w:t>, “Alias Bolívar” en el “I Foro por la paz” realizado en la Universidad Santo Tomás</w:t>
            </w:r>
            <w:r w:rsidR="00ED6A6E">
              <w:rPr>
                <w:rFonts w:ascii="Arial" w:eastAsia="Arial" w:hAnsi="Arial" w:cs="Arial"/>
                <w:color w:val="222222"/>
                <w:sz w:val="24"/>
                <w:szCs w:val="24"/>
              </w:rPr>
              <w:t>,</w:t>
            </w:r>
            <w:r>
              <w:rPr>
                <w:rFonts w:ascii="Arial" w:eastAsia="Arial" w:hAnsi="Arial" w:cs="Arial"/>
                <w:color w:val="222222"/>
                <w:sz w:val="24"/>
                <w:szCs w:val="24"/>
              </w:rPr>
              <w:t xml:space="preserve"> Sede Central, quien agradeció profundamente a la USTA, Seccional Medellín, dado que fue por el acompaña</w:t>
            </w:r>
            <w:r w:rsidR="00ED6A6E">
              <w:rPr>
                <w:rFonts w:ascii="Arial" w:eastAsia="Arial" w:hAnsi="Arial" w:cs="Arial"/>
                <w:color w:val="222222"/>
                <w:sz w:val="24"/>
                <w:szCs w:val="24"/>
              </w:rPr>
              <w:t>miento de é</w:t>
            </w:r>
            <w:r>
              <w:rPr>
                <w:rFonts w:ascii="Arial" w:eastAsia="Arial" w:hAnsi="Arial" w:cs="Arial"/>
                <w:color w:val="222222"/>
                <w:sz w:val="24"/>
                <w:szCs w:val="24"/>
              </w:rPr>
              <w:t>sta que él y otros compañeros pudieron reconstruir sus vidas a partir de una formación universitaria. (Pérez, 2018)</w:t>
            </w:r>
          </w:p>
          <w:p w:rsidR="00DC4C77" w:rsidRDefault="00515BE7">
            <w:pPr>
              <w:spacing w:after="0" w:line="240" w:lineRule="auto"/>
              <w:jc w:val="both"/>
              <w:rPr>
                <w:rFonts w:ascii="Arial" w:eastAsia="Arial" w:hAnsi="Arial" w:cs="Arial"/>
                <w:color w:val="222222"/>
                <w:sz w:val="24"/>
                <w:szCs w:val="24"/>
              </w:rPr>
            </w:pPr>
            <w:proofErr w:type="spellStart"/>
            <w:r>
              <w:rPr>
                <w:rFonts w:ascii="Arial" w:eastAsia="Arial" w:hAnsi="Arial" w:cs="Arial"/>
                <w:color w:val="222222"/>
                <w:sz w:val="24"/>
                <w:szCs w:val="24"/>
              </w:rPr>
              <w:t>Jaqueira</w:t>
            </w:r>
            <w:proofErr w:type="spellEnd"/>
            <w:r>
              <w:rPr>
                <w:rFonts w:ascii="Arial" w:eastAsia="Arial" w:hAnsi="Arial" w:cs="Arial"/>
                <w:color w:val="222222"/>
                <w:sz w:val="24"/>
                <w:szCs w:val="24"/>
              </w:rPr>
              <w:t xml:space="preserve"> y otros autores relacionan la educación para la paz – esto desde lo que plantean las UN – con una cultura para la paz, razón por la cual, dentro de sus prácticas docentes, descubrieron que a partir del juego motor y cooperativo podrían educar y lograr relaciones pacíficas; un gran aporte al establecimiento de dicha cultura de paz. (</w:t>
            </w:r>
            <w:proofErr w:type="spellStart"/>
            <w:r>
              <w:rPr>
                <w:rFonts w:ascii="Arial" w:eastAsia="Arial" w:hAnsi="Arial" w:cs="Arial"/>
                <w:color w:val="222222"/>
                <w:sz w:val="24"/>
                <w:szCs w:val="24"/>
              </w:rPr>
              <w:t>Jaqueira</w:t>
            </w:r>
            <w:proofErr w:type="spellEnd"/>
            <w:r>
              <w:rPr>
                <w:rFonts w:ascii="Arial" w:eastAsia="Arial" w:hAnsi="Arial" w:cs="Arial"/>
                <w:color w:val="222222"/>
                <w:sz w:val="24"/>
                <w:szCs w:val="24"/>
              </w:rPr>
              <w:t xml:space="preserve">, </w:t>
            </w:r>
            <w:proofErr w:type="spellStart"/>
            <w:r>
              <w:rPr>
                <w:rFonts w:ascii="Arial" w:eastAsia="Arial" w:hAnsi="Arial" w:cs="Arial"/>
                <w:color w:val="222222"/>
                <w:sz w:val="24"/>
                <w:szCs w:val="24"/>
              </w:rPr>
              <w:t>Lavega</w:t>
            </w:r>
            <w:proofErr w:type="spellEnd"/>
            <w:r>
              <w:rPr>
                <w:rFonts w:ascii="Arial" w:eastAsia="Arial" w:hAnsi="Arial" w:cs="Arial"/>
                <w:color w:val="222222"/>
                <w:sz w:val="24"/>
                <w:szCs w:val="24"/>
              </w:rPr>
              <w:t>, &amp; al, 2014, p. 3)</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Por su parte, Pascual (2019) sostiene que el concepto de “Cultura de paz” integra una serie de valores impulsados a partir de la “cultura” y la “educación”, gracias a los cuales será posible propiciar una nueva ética de reciprocidad, responsabilidad solidaria centrada en el diálogo, la conciliación y los derechos humanos. (p. 4)</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En lo que respecta a la posición de Evelyn Cerdas, una educación para la paz es un proceso y un reto que se debe ir construyendo a partir de la vivencia de los derechos humanos, sobre todo el de la dignidad humana. Esto se puede materializar en prácticas no violentas por parte de los sujetos (Cerdas, 2015, p. 136)</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Finalmente, Aguilar y Castañón en un ejercicio de investigación realizado en el Municipio de Sucre, Venezuela, añaden que para la propiciación de una cultura de paz es de suma importancia una educación en todos los niveles de la vida (Familiar, escolar, público, </w:t>
            </w:r>
            <w:proofErr w:type="spellStart"/>
            <w:r>
              <w:rPr>
                <w:rFonts w:ascii="Arial" w:eastAsia="Arial" w:hAnsi="Arial" w:cs="Arial"/>
                <w:color w:val="222222"/>
                <w:sz w:val="24"/>
                <w:szCs w:val="24"/>
              </w:rPr>
              <w:t>guvernamental</w:t>
            </w:r>
            <w:proofErr w:type="spellEnd"/>
            <w:r>
              <w:rPr>
                <w:rFonts w:ascii="Arial" w:eastAsia="Arial" w:hAnsi="Arial" w:cs="Arial"/>
                <w:color w:val="222222"/>
                <w:sz w:val="24"/>
                <w:szCs w:val="24"/>
              </w:rPr>
              <w:t xml:space="preserve">, etc.) (Aguilar &amp; Castañón, 2014, p. 85) Como resultado de esta práctica, las autoras afirman que fue fundamental para la construcción de espacios de paz, tener presente aspectos como educar con el ejemplo; dialogar y manejar una comunicación asertiva; hacer más </w:t>
            </w:r>
            <w:proofErr w:type="spellStart"/>
            <w:r>
              <w:rPr>
                <w:rFonts w:ascii="Arial" w:eastAsia="Arial" w:hAnsi="Arial" w:cs="Arial"/>
                <w:color w:val="222222"/>
                <w:sz w:val="24"/>
                <w:szCs w:val="24"/>
              </w:rPr>
              <w:t>vivenciables</w:t>
            </w:r>
            <w:proofErr w:type="spellEnd"/>
            <w:r>
              <w:rPr>
                <w:rFonts w:ascii="Arial" w:eastAsia="Arial" w:hAnsi="Arial" w:cs="Arial"/>
                <w:color w:val="222222"/>
                <w:sz w:val="24"/>
                <w:szCs w:val="24"/>
              </w:rPr>
              <w:t xml:space="preserve"> los valores morales; realizar talleres con padres de familia; entre otros. Los cambios fueron evidentes y la inclusión de una cultura de paz en el ambiente educativo fue la herramienta exitosa para la misma (Aguilar &amp; Castañón, 2014, pp. 89 - 90)</w:t>
            </w:r>
          </w:p>
          <w:p w:rsidR="00DC4C77" w:rsidRDefault="00DC4C77">
            <w:pPr>
              <w:spacing w:after="0" w:line="240" w:lineRule="auto"/>
              <w:jc w:val="both"/>
              <w:rPr>
                <w:rFonts w:ascii="Arial" w:eastAsia="Arial" w:hAnsi="Arial" w:cs="Arial"/>
                <w:color w:val="222222"/>
                <w:sz w:val="24"/>
                <w:szCs w:val="24"/>
              </w:rPr>
            </w:pP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Didácticas aplicadas al aula</w:t>
            </w:r>
            <w:r>
              <w:rPr>
                <w:rFonts w:ascii="Arial" w:eastAsia="Arial" w:hAnsi="Arial" w:cs="Arial"/>
                <w:color w:val="222222"/>
                <w:sz w:val="24"/>
                <w:szCs w:val="24"/>
              </w:rPr>
              <w:t>.</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lastRenderedPageBreak/>
              <w:t xml:space="preserve">El sistema educativo colombiano define mediante la Ley General de Educación 115 de febrero 8 de 1994 que: “La educación es un proceso de formación permanente, personal, cultural y social que se fundamenta en una concepción integral de la persona humana, de su dignidad, de sus derechos y de sus deberes.” (Ministerio de Educación Nacional - MEN-, 2002, p.3), es decir, que la educación tiene como finalidad la formación integral de todo ser humano, por ende uno de los actores que fomenta la sensibilidad por el otro, el sentido de pertenencia y el cuidado por el otro es la educación, por tanto, podrá decirse que la educación es un medio por el cual se podrá llegar a posibles ambientes de paz.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En Colombia fue creada en el 2014 la ley 1732 la Cátedra de la Paz, donde el ministerio de educación presenta tres documentos que orientarán a todas las instituciones educativas sobre la manera de implementar la educación para la paz desde el currículo propuesto por cada institución, por lo tanto, el compromiso de la educación con la sociedad es inminente en el sentido que por medio de la educación es la forma como podrá atenderse ciertas necesidades que deben asimilarse por la población civil, entonces el sistema educativo colombiano tiene la gran tarea de fomentar en las aulas espacios de conceptualización, interpretación, reflexión y construcción cultural y social referente a la paz.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Es así como, desde la propuesta de orientar en cátedra para la paz, en el año 2015 desde el MEN se trabajó junto con algunas universidades e investigadores el diseño de algunas cartillas o recursos pedagógicos material para la implementación de dicho proceso formativo; y es específicamente el Ministerio de Educación quien presenta las orientaciones pedagógicas del proceso formativo de una educación para la paz; además esta propuesta estaría acompañada de un documento de secuencias didácticas que muestra cómo debe abordarse en cada grado escolar o también por las edades.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La formación para la paz en Colombia tiene un panorama amplio, si bien desde el MEN hay una propuesta que es presentada para que todas las instituciones oficiales y privadas hagan uso de esta, cada institución está en plena libertad de crear sus propias iniciativas en relación a esa educación para la paz, por ende, es preciso encontrar múltiples propuestas pedagógicas y didácticas que favorecen la formación de niños, jóvenes y adultos; Las pedagogías para la paz: una propuesta de educación popular por medio del arte, para la formación de los niños y niñas en la paz, es como desde la creación de obras artísticas, específicamente la pintura se trabaja la memoria, el perdón y la  reconciliación, otra estrategia es mediante el arte literario, es decir por medio de cuentos, fabulas e historias se puede hacer un trabajo interesante con temas de paz, conflicto y guerra; de acuerdo a lo anterior, la pedagogía y la didáctica es un escenario privilegiado donde por medio del proceso formativo se puede contribuir a la formación integral del ser humano. La educación debe incidir en el desarrollo integral de la persona en el sentido que la educación es un proceso de formación permanente que está en relación con la cultura y la sociedad. (Leal, 2005)</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La educación está asociada a dos disciplinas del saber que fundamentan el acto formativo, estas son la pedagogía y didáctica, la primera puede ser entendida como la disciplina que conceptualiza, aplica y experimenta los conocimientos referentes a la enseñanza de los saberes específicos en las diferentes culturas. Se refiere tanto a los procesos de enseñanza propios de la exposición de las ciencias, como al ejercicio del conocimiento en la interioridad de una cultura. (Zuluaga, 2014) y la didáctica como “el acto de enseñar en su relación con el acto de aprender” (</w:t>
            </w:r>
            <w:proofErr w:type="spellStart"/>
            <w:r>
              <w:rPr>
                <w:rFonts w:ascii="Arial" w:eastAsia="Arial" w:hAnsi="Arial" w:cs="Arial"/>
                <w:color w:val="222222"/>
                <w:sz w:val="24"/>
                <w:szCs w:val="24"/>
              </w:rPr>
              <w:t>Altet</w:t>
            </w:r>
            <w:proofErr w:type="spellEnd"/>
            <w:r>
              <w:rPr>
                <w:rFonts w:ascii="Arial" w:eastAsia="Arial" w:hAnsi="Arial" w:cs="Arial"/>
                <w:color w:val="222222"/>
                <w:sz w:val="24"/>
                <w:szCs w:val="24"/>
              </w:rPr>
              <w:t>, 1994, p.16). Por lo tanto, la pedagogía y la didáctica son elementos aliados de la educación, en tanto que la pedagogía se encarga en conceptualizar, aplicar y experimentar el conocimiento y la didáctica tiene como fin el acto de enseñar y aprender. (</w:t>
            </w:r>
            <w:proofErr w:type="spellStart"/>
            <w:r>
              <w:rPr>
                <w:rFonts w:ascii="Arial" w:eastAsia="Arial" w:hAnsi="Arial" w:cs="Arial"/>
                <w:color w:val="222222"/>
                <w:sz w:val="24"/>
                <w:szCs w:val="24"/>
              </w:rPr>
              <w:t>Chevallard</w:t>
            </w:r>
            <w:proofErr w:type="spellEnd"/>
            <w:r>
              <w:rPr>
                <w:rFonts w:ascii="Arial" w:eastAsia="Arial" w:hAnsi="Arial" w:cs="Arial"/>
                <w:color w:val="222222"/>
                <w:sz w:val="24"/>
                <w:szCs w:val="24"/>
              </w:rPr>
              <w:t>, 1991) Por ende, una forma de educar a los niños, jóvenes y adultos en temas sobre paz será la educación, pues esta se encarga en crear escenarios propios para la comprensión de diversos temas, entre ellos la paz, por eso la importancia de la catedra de la paz, desde una reflexión hermenéutica. (Carrasco, 2004)</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Ahora bien, dentro del marco de la educación que tiene como fin una formación integral, es propicio señalar un elemento esencial en el proceso de formación y aprendizaje, y es precisamente la pedagogía del juego, cómo se enseña y aprende jugando, bien lo señala el MEN </w:t>
            </w:r>
            <w:r>
              <w:rPr>
                <w:rFonts w:ascii="Arial" w:eastAsia="Arial" w:hAnsi="Arial" w:cs="Arial"/>
                <w:color w:val="222222"/>
                <w:sz w:val="24"/>
                <w:szCs w:val="24"/>
              </w:rPr>
              <w:lastRenderedPageBreak/>
              <w:t xml:space="preserve">“imaginar el mundo de la infancia sin el juego es casi imposible.” (2014, p.9) Desde el año 2009 el MEN mediante la formulación de la Política Educativa para la Primera Infancia, abrió un camino para visibilizar y trazar acciones que buscan garantizar el derecho que tienen todas las niñas y los niños menores de seis años a una oferta que permita el acceso a una educación inicial de calidad que hacen del proceso de formación una educación digna e integral para todos los niños.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El juego es una herramienta pedagógica y didáctica que es utilizada en aulas y que favorece el aprendizaje de los niños donde se aprende jugando, el MEN en el documento N°22 señala “el juego es reflejo de la cultura, de las dinámicas sociales de una comunidad, y en él las niñas y los niños representan las construcciones y desarrollos de su vida y contexto”. En este sentido, el juego como estrategia pedagógica y didáctica permite el desarrollo integral de los infantes, lo cual favorece el trabajo pedagógico que se desea alcanzar. Es así como, mediante la literatura, específicamente los cuentos, fábulas e historias los niños a partir de la imaginación hacen distintas representaciones y desarrollos de su vida y contextos. (MEN, 2014)</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Las didácticas de paz aplicadas en aulas en las diversas instituciones son herramientas que favorecen la formación humana, puesto que la academia es importante como saber o ciencia, pero la educación debe tener como finalidad que antes de formar excelentes académicos, profesionales o técnicos en un asunto específico, debe formarse en ser persona, por eso la importancia de formar desde el arte, ya que, esta permite una sensibilización por el otro, en la medida en que el arte como expresión del ser humano.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Finalmente, cabe señalar que sobre didáctica en aulas de paz son muchas las experiencias que se han planteado, pero es fundamental cada vez ir haciendo un proceso hermenéutico del contexto, puesto que la cultura y la sociedad están teniendo cambios fulminantes, y las estrategias didácticas deben seguirse pensando cada día, para así poder responder a los retos y desafíos del contexto actual.</w:t>
            </w:r>
          </w:p>
        </w:tc>
      </w:tr>
    </w:tbl>
    <w:p w:rsidR="00DC4C77" w:rsidRDefault="00DC4C77">
      <w:pPr>
        <w:spacing w:after="0" w:line="240" w:lineRule="auto"/>
        <w:rPr>
          <w:rFonts w:ascii="Arial" w:eastAsia="Arial" w:hAnsi="Arial" w:cs="Arial"/>
          <w:sz w:val="24"/>
          <w:szCs w:val="24"/>
        </w:rPr>
      </w:pPr>
    </w:p>
    <w:tbl>
      <w:tblPr>
        <w:tblStyle w:val="a7"/>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Metodología</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Tipo de investigación:</w:t>
            </w:r>
            <w:r>
              <w:rPr>
                <w:rFonts w:ascii="Arial" w:eastAsia="Arial" w:hAnsi="Arial" w:cs="Arial"/>
                <w:color w:val="222222"/>
                <w:sz w:val="24"/>
                <w:szCs w:val="24"/>
              </w:rPr>
              <w:t xml:space="preserve"> Cualitativa-etnográfica.</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Lo cualitativo es un tipo de investigación que tiene como objeto de estudio las descripciones detalladas de situaciones, eventos, interacciones, conductas observadas y sus manifestaciones. Este tipo de investigación “evalúa el desarrollo natural de los sucesos, es decir, no hay manipulación ni estimulación con respecto a la realidad” (Hernández, Fernández &amp; Baptista, 2003, p.9) así, este ejercicio fundamenta una perspectiva interpretativa centrada en el entendimiento del significado de las acciones. Por consiguiente, el investigador se introduce en la experiencia de los participantes y construye el conocimiento, siempre consciente de que es parte del fenómeno estudiado. También, este ejercicio es etnográfico por lo que es un método de investigación por el que se aprende el modo de vida de una unidad social concreta, pudiendo ser ésta una clase, comunidad, escuela o grupo social. (Martínez, 1998) En este tipo de investigación etnográfica también se aborda “el objeto de estudio con miras a comprender e interpretar una realidad que interactúa con un contexto más amplio, con la finalidad de obtener conocimientos y planteamientos teóricos”. (Martínez, 1998, p.39)</w:t>
            </w:r>
          </w:p>
          <w:p w:rsidR="00DC4C77" w:rsidRDefault="00DC4C77">
            <w:pPr>
              <w:spacing w:after="0" w:line="240" w:lineRule="auto"/>
              <w:jc w:val="both"/>
              <w:rPr>
                <w:rFonts w:ascii="Arial" w:eastAsia="Arial" w:hAnsi="Arial" w:cs="Arial"/>
                <w:color w:val="222222"/>
                <w:sz w:val="24"/>
                <w:szCs w:val="24"/>
              </w:rPr>
            </w:pP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Método:</w:t>
            </w:r>
            <w:r>
              <w:rPr>
                <w:rFonts w:ascii="Arial" w:eastAsia="Arial" w:hAnsi="Arial" w:cs="Arial"/>
                <w:color w:val="222222"/>
                <w:sz w:val="24"/>
                <w:szCs w:val="24"/>
              </w:rPr>
              <w:t xml:space="preserve"> Análisis documental e investigación-acción, (IA).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La IA es un método que de cierta manera combina dos procesos que favorecen en la investigación dado que permite un conocer (Contexto – realidad) y el actuar (Acción) por ende, esta combinación permite una mejor comprensión y análisis de la realidad de la población.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 xml:space="preserve">Según </w:t>
            </w:r>
            <w:proofErr w:type="spellStart"/>
            <w:r>
              <w:rPr>
                <w:rFonts w:ascii="Arial" w:eastAsia="Arial" w:hAnsi="Arial" w:cs="Arial"/>
                <w:color w:val="222222"/>
                <w:sz w:val="24"/>
                <w:szCs w:val="24"/>
              </w:rPr>
              <w:t>Eizagirre</w:t>
            </w:r>
            <w:proofErr w:type="spellEnd"/>
            <w:r>
              <w:rPr>
                <w:rFonts w:ascii="Arial" w:eastAsia="Arial" w:hAnsi="Arial" w:cs="Arial"/>
                <w:color w:val="222222"/>
                <w:sz w:val="24"/>
                <w:szCs w:val="24"/>
              </w:rPr>
              <w:t xml:space="preserve"> y Zabala (s. f., p. 1), sus dos componentes se combinan en proporciones variables: a) La investigación consiste en un procedimiento reflexivo, sistemático, controlado y crítico que tiene por finalidad estudiar algún aspecto de la realidad con una expresa finalidad </w:t>
            </w:r>
            <w:r>
              <w:rPr>
                <w:rFonts w:ascii="Arial" w:eastAsia="Arial" w:hAnsi="Arial" w:cs="Arial"/>
                <w:color w:val="222222"/>
                <w:sz w:val="24"/>
                <w:szCs w:val="24"/>
              </w:rPr>
              <w:lastRenderedPageBreak/>
              <w:t>práctica. b) La acción no sólo es la finalidad última de la investigación, sino que ella misma representa una fuente de conocimiento, al tiempo que la propia realización del estudio es en sí una forma de intervención. Es así como el proyecto “</w:t>
            </w:r>
            <w:r w:rsidR="00733044">
              <w:rPr>
                <w:rFonts w:ascii="Arial" w:eastAsia="Arial" w:hAnsi="Arial" w:cs="Arial"/>
                <w:sz w:val="24"/>
                <w:szCs w:val="24"/>
              </w:rPr>
              <w:t xml:space="preserve">Las gramáticas de la educación para la paz, imaginarios sociales, subjetividades </w:t>
            </w:r>
            <w:r w:rsidR="00733044">
              <w:rPr>
                <w:rFonts w:ascii="Arial" w:eastAsia="Arial" w:hAnsi="Arial" w:cs="Arial"/>
                <w:sz w:val="24"/>
                <w:szCs w:val="24"/>
              </w:rPr>
              <w:t>y prácticas desde el territorio</w:t>
            </w:r>
            <w:r>
              <w:rPr>
                <w:rFonts w:ascii="Arial" w:eastAsia="Arial" w:hAnsi="Arial" w:cs="Arial"/>
                <w:color w:val="222222"/>
                <w:sz w:val="24"/>
                <w:szCs w:val="24"/>
              </w:rPr>
              <w:t>”, será desarrollado en tres momentos: Primero,</w:t>
            </w:r>
            <w:r w:rsidR="00733044">
              <w:rPr>
                <w:rFonts w:ascii="Arial" w:eastAsia="Arial" w:hAnsi="Arial" w:cs="Arial"/>
                <w:color w:val="222222"/>
                <w:sz w:val="24"/>
                <w:szCs w:val="24"/>
              </w:rPr>
              <w:t xml:space="preserve"> atendiendo al primer objetivo específico,</w:t>
            </w:r>
            <w:r>
              <w:rPr>
                <w:rFonts w:ascii="Arial" w:eastAsia="Arial" w:hAnsi="Arial" w:cs="Arial"/>
                <w:color w:val="222222"/>
                <w:sz w:val="24"/>
                <w:szCs w:val="24"/>
              </w:rPr>
              <w:t xml:space="preserve"> se realizará una revisión bibliográfica, estado del arte y análisis de las categorías propuestas sobre los imaginarios sociales, la estigmatización de los sujetos y la necesidad de una deconstrucción del enemigo, lo cual tendrá como resultado la elaboración de un </w:t>
            </w:r>
            <w:proofErr w:type="spellStart"/>
            <w:r>
              <w:rPr>
                <w:rFonts w:ascii="Arial" w:eastAsia="Arial" w:hAnsi="Arial" w:cs="Arial"/>
                <w:color w:val="222222"/>
                <w:sz w:val="24"/>
                <w:szCs w:val="24"/>
              </w:rPr>
              <w:t>working</w:t>
            </w:r>
            <w:proofErr w:type="spellEnd"/>
            <w:r>
              <w:rPr>
                <w:rFonts w:ascii="Arial" w:eastAsia="Arial" w:hAnsi="Arial" w:cs="Arial"/>
                <w:color w:val="222222"/>
                <w:sz w:val="24"/>
                <w:szCs w:val="24"/>
              </w:rPr>
              <w:t xml:space="preserve"> </w:t>
            </w:r>
            <w:proofErr w:type="spellStart"/>
            <w:r>
              <w:rPr>
                <w:rFonts w:ascii="Arial" w:eastAsia="Arial" w:hAnsi="Arial" w:cs="Arial"/>
                <w:color w:val="222222"/>
                <w:sz w:val="24"/>
                <w:szCs w:val="24"/>
              </w:rPr>
              <w:t>paper</w:t>
            </w:r>
            <w:proofErr w:type="spellEnd"/>
            <w:r>
              <w:rPr>
                <w:rFonts w:ascii="Arial" w:eastAsia="Arial" w:hAnsi="Arial" w:cs="Arial"/>
                <w:color w:val="222222"/>
                <w:sz w:val="24"/>
                <w:szCs w:val="24"/>
              </w:rPr>
              <w:t>. Segundo,</w:t>
            </w:r>
            <w:r w:rsidR="00733044">
              <w:rPr>
                <w:rFonts w:ascii="Arial" w:eastAsia="Arial" w:hAnsi="Arial" w:cs="Arial"/>
                <w:color w:val="222222"/>
                <w:sz w:val="24"/>
                <w:szCs w:val="24"/>
              </w:rPr>
              <w:t xml:space="preserve"> en lo que concierne al segundo objetivo específico,</w:t>
            </w:r>
            <w:r>
              <w:rPr>
                <w:rFonts w:ascii="Arial" w:eastAsia="Arial" w:hAnsi="Arial" w:cs="Arial"/>
                <w:color w:val="222222"/>
                <w:sz w:val="24"/>
                <w:szCs w:val="24"/>
              </w:rPr>
              <w:t xml:space="preserve"> se realizará un trabajo de campo que tendrá presente tres técnicas: Primera, entrevistas en profundidad. (Estructuradas o semiestructuradas); segundo observación y tercero información documental</w:t>
            </w:r>
            <w:r w:rsidR="00733044">
              <w:rPr>
                <w:rFonts w:ascii="Arial" w:eastAsia="Arial" w:hAnsi="Arial" w:cs="Arial"/>
                <w:color w:val="222222"/>
                <w:sz w:val="24"/>
                <w:szCs w:val="24"/>
              </w:rPr>
              <w:t>.</w:t>
            </w:r>
            <w:r>
              <w:rPr>
                <w:rFonts w:ascii="Arial" w:eastAsia="Arial" w:hAnsi="Arial" w:cs="Arial"/>
                <w:color w:val="222222"/>
                <w:sz w:val="24"/>
                <w:szCs w:val="24"/>
              </w:rPr>
              <w:t xml:space="preserve"> </w:t>
            </w:r>
            <w:r w:rsidR="00733044">
              <w:rPr>
                <w:rFonts w:ascii="Arial" w:eastAsia="Arial" w:hAnsi="Arial" w:cs="Arial"/>
                <w:color w:val="222222"/>
                <w:sz w:val="24"/>
                <w:szCs w:val="24"/>
              </w:rPr>
              <w:t>P</w:t>
            </w:r>
            <w:r>
              <w:rPr>
                <w:rFonts w:ascii="Arial" w:eastAsia="Arial" w:hAnsi="Arial" w:cs="Arial"/>
                <w:color w:val="222222"/>
                <w:sz w:val="24"/>
                <w:szCs w:val="24"/>
              </w:rPr>
              <w:t>ara el</w:t>
            </w:r>
            <w:r w:rsidR="00733044">
              <w:rPr>
                <w:rFonts w:ascii="Arial" w:eastAsia="Arial" w:hAnsi="Arial" w:cs="Arial"/>
                <w:color w:val="222222"/>
                <w:sz w:val="24"/>
                <w:szCs w:val="24"/>
              </w:rPr>
              <w:t xml:space="preserve"> análisis de la información,</w:t>
            </w:r>
            <w:r>
              <w:rPr>
                <w:rFonts w:ascii="Arial" w:eastAsia="Arial" w:hAnsi="Arial" w:cs="Arial"/>
                <w:color w:val="222222"/>
                <w:sz w:val="24"/>
                <w:szCs w:val="24"/>
              </w:rPr>
              <w:t xml:space="preserve"> se utilizará en un primer momento el recurso digital “ATLAS, ti” el cual permitirá examinar el material extraído mediante las técnicas de la recolección de la información apoyado por el análisis crítico del discurso (ACD)</w:t>
            </w:r>
            <w:r w:rsidR="00733044">
              <w:rPr>
                <w:rFonts w:ascii="Arial" w:eastAsia="Arial" w:hAnsi="Arial" w:cs="Arial"/>
                <w:color w:val="222222"/>
                <w:sz w:val="24"/>
                <w:szCs w:val="24"/>
              </w:rPr>
              <w:t>;</w:t>
            </w:r>
            <w:r>
              <w:rPr>
                <w:rFonts w:ascii="Arial" w:eastAsia="Arial" w:hAnsi="Arial" w:cs="Arial"/>
                <w:color w:val="222222"/>
                <w:sz w:val="24"/>
                <w:szCs w:val="24"/>
              </w:rPr>
              <w:t xml:space="preserve"> es así como por medio de dicho recurso se analizarán términos recurrentes, categorización y diseños semánticos. Posteriormente se realizará la triangulación </w:t>
            </w:r>
            <w:r w:rsidR="00733044">
              <w:rPr>
                <w:rFonts w:ascii="Arial" w:eastAsia="Arial" w:hAnsi="Arial" w:cs="Arial"/>
                <w:color w:val="222222"/>
                <w:sz w:val="24"/>
                <w:szCs w:val="24"/>
              </w:rPr>
              <w:t xml:space="preserve">de la información recolectada que implica la misma </w:t>
            </w:r>
            <w:r>
              <w:rPr>
                <w:rFonts w:ascii="Arial" w:eastAsia="Arial" w:hAnsi="Arial" w:cs="Arial"/>
                <w:color w:val="222222"/>
                <w:sz w:val="24"/>
                <w:szCs w:val="24"/>
              </w:rPr>
              <w:t>discusión</w:t>
            </w:r>
            <w:r w:rsidR="00733044">
              <w:rPr>
                <w:rFonts w:ascii="Arial" w:eastAsia="Arial" w:hAnsi="Arial" w:cs="Arial"/>
                <w:color w:val="222222"/>
                <w:sz w:val="24"/>
                <w:szCs w:val="24"/>
              </w:rPr>
              <w:t xml:space="preserve"> entre los investigadores</w:t>
            </w:r>
            <w:r>
              <w:rPr>
                <w:rFonts w:ascii="Arial" w:eastAsia="Arial" w:hAnsi="Arial" w:cs="Arial"/>
                <w:color w:val="222222"/>
                <w:sz w:val="24"/>
                <w:szCs w:val="24"/>
              </w:rPr>
              <w:t xml:space="preserve"> (Análisis, confrontación e interpretación analógica), de tal manera que esto sume a la elaboración de la propuesta a presentar a la institución seleccionada y a la argumentación del artículo de investigación que debe ser uno de los aportes del mismo proyecto.</w:t>
            </w:r>
            <w:r>
              <w:rPr>
                <w:rFonts w:ascii="Times New Roman" w:eastAsia="Times New Roman" w:hAnsi="Times New Roman" w:cs="Times New Roman"/>
                <w:color w:val="222222"/>
                <w:sz w:val="23"/>
                <w:szCs w:val="23"/>
              </w:rPr>
              <w:t xml:space="preserve"> </w:t>
            </w:r>
            <w:r>
              <w:rPr>
                <w:rFonts w:ascii="Arial" w:eastAsia="Arial" w:hAnsi="Arial" w:cs="Arial"/>
                <w:color w:val="222222"/>
                <w:sz w:val="24"/>
                <w:szCs w:val="24"/>
              </w:rPr>
              <w:t>Finalmente,</w:t>
            </w:r>
            <w:r w:rsidR="00733044">
              <w:rPr>
                <w:rFonts w:ascii="Arial" w:eastAsia="Arial" w:hAnsi="Arial" w:cs="Arial"/>
                <w:color w:val="222222"/>
                <w:sz w:val="24"/>
                <w:szCs w:val="24"/>
              </w:rPr>
              <w:t xml:space="preserve"> en lo que se refiere al tercer objetivo específico,</w:t>
            </w:r>
            <w:r>
              <w:rPr>
                <w:rFonts w:ascii="Arial" w:eastAsia="Arial" w:hAnsi="Arial" w:cs="Arial"/>
                <w:color w:val="222222"/>
                <w:sz w:val="24"/>
                <w:szCs w:val="24"/>
              </w:rPr>
              <w:t xml:space="preserve"> se busca implementar una estrategia pedagógica de paz para prevenir la estigmatización y promover la convivencia pacífica en el Instituto Técnico Integrado de Trinidad, Casanare.</w:t>
            </w:r>
          </w:p>
          <w:p w:rsidR="00DC4C77" w:rsidRDefault="00DC4C77">
            <w:pPr>
              <w:spacing w:after="0" w:line="240" w:lineRule="auto"/>
              <w:jc w:val="both"/>
              <w:rPr>
                <w:rFonts w:ascii="Arial" w:eastAsia="Arial" w:hAnsi="Arial" w:cs="Arial"/>
                <w:color w:val="222222"/>
                <w:sz w:val="24"/>
                <w:szCs w:val="24"/>
              </w:rPr>
            </w:pP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 xml:space="preserve">Población y muestra: </w:t>
            </w:r>
            <w:r>
              <w:rPr>
                <w:rFonts w:ascii="Arial" w:eastAsia="Arial" w:hAnsi="Arial" w:cs="Arial"/>
                <w:color w:val="222222"/>
                <w:sz w:val="24"/>
                <w:szCs w:val="24"/>
              </w:rPr>
              <w:t>El Instituto Técnico Integrado de Trinidad, Casanare</w:t>
            </w:r>
            <w:r>
              <w:rPr>
                <w:rFonts w:ascii="Arial" w:eastAsia="Arial" w:hAnsi="Arial" w:cs="Arial"/>
                <w:sz w:val="24"/>
                <w:szCs w:val="24"/>
              </w:rPr>
              <w:t xml:space="preserve"> es la población elegida para el desarrollo de esta investigación. Esta institución ha sido seleccionada por el enfoque territorial del proyecto, la necesidad de desarrollar e impulsar experiencias de educación para la paz y por estar en contexto de violencia multidimensional</w:t>
            </w:r>
            <w:r>
              <w:rPr>
                <w:rFonts w:ascii="Arial" w:eastAsia="Arial" w:hAnsi="Arial" w:cs="Arial"/>
                <w:color w:val="222222"/>
                <w:sz w:val="24"/>
                <w:szCs w:val="24"/>
              </w:rPr>
              <w:t>. La muestra corresponde a directivos (El rector y tres coordinadores), 20 docentes (Responsables de proyectos transversales sobre convivencia, educación par paz y resolución de conflictos), estudiantes de enseñanza media (Pertenecientes al gobierno escolar, líderes de convivencia y vigías ambientales) así como líderes involucrados en el PEI del centro educativo mencionado.</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 xml:space="preserve">Fuentes de información: </w:t>
            </w:r>
            <w:r>
              <w:rPr>
                <w:rFonts w:ascii="Arial" w:eastAsia="Arial" w:hAnsi="Arial" w:cs="Arial"/>
                <w:color w:val="222222"/>
                <w:sz w:val="24"/>
                <w:szCs w:val="24"/>
              </w:rPr>
              <w:t xml:space="preserve">En este proceso de información se tendrá en cuenta fuentes primarias y secundarias. Las primarias se refieren a libros resultados de investigación, revistas científicas, artículos científicos, documentales e investigaciones relacionados sobre imaginarios, representaciones sociales, estrategias pedagógicas y didácticas afines al tópico de la paz. Como fuente secundaria se tendrá presente proyectos de grado y artículos producto de investigación.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Fuentes Vivas:</w:t>
            </w:r>
            <w:r>
              <w:rPr>
                <w:rFonts w:ascii="Arial" w:eastAsia="Arial" w:hAnsi="Arial" w:cs="Arial"/>
                <w:color w:val="222222"/>
                <w:sz w:val="24"/>
                <w:szCs w:val="24"/>
              </w:rPr>
              <w:t xml:space="preserve"> Agentes pedagógicos. </w:t>
            </w:r>
          </w:p>
          <w:p w:rsidR="00DC4C77" w:rsidRDefault="00515BE7">
            <w:pPr>
              <w:spacing w:after="0" w:line="240" w:lineRule="auto"/>
              <w:jc w:val="both"/>
              <w:rPr>
                <w:rFonts w:ascii="Arial" w:eastAsia="Arial" w:hAnsi="Arial" w:cs="Arial"/>
                <w:color w:val="222222"/>
                <w:sz w:val="24"/>
                <w:szCs w:val="24"/>
              </w:rPr>
            </w:pPr>
            <w:r>
              <w:rPr>
                <w:rFonts w:ascii="Arial" w:eastAsia="Arial" w:hAnsi="Arial" w:cs="Arial"/>
                <w:b/>
                <w:color w:val="222222"/>
                <w:sz w:val="24"/>
                <w:szCs w:val="24"/>
              </w:rPr>
              <w:t>Instrumentos de recolección de información:</w:t>
            </w:r>
            <w:r>
              <w:rPr>
                <w:rFonts w:ascii="Arial" w:eastAsia="Arial" w:hAnsi="Arial" w:cs="Arial"/>
                <w:color w:val="222222"/>
                <w:sz w:val="24"/>
                <w:szCs w:val="24"/>
              </w:rPr>
              <w:t xml:space="preserve"> Entrevistas a fuentes vivas que hayan producido investigaciones sobre las gramáticas de la educación para la paz, imaginarios sociales, construcción de paz, reconciliación, pedagogía para la paz, subjetividades y prácticas desde el territorio para la paz, así como a líderes que hagan parte de la sociedad civil y que participen del gobierno escolar de la institución. Se tendrán en cuenta para esta investigación el trabajo documental, donde se obtendrá información de diferentes trabajos interdisciplinares realizados. También grupos de discusión que permitan obtener narrativas a partir de los actores (Grupos focales) y observación participante. En relación a este punto, en lo que tiene que ver con la dimensión ética sobre la información recolectada, una vez contemplada la Resolución 008430 de 1993, este grupo de investigación tiene presente la misma, sobre todo lo que se recomienda en el artículo 2: </w:t>
            </w:r>
            <w:r>
              <w:rPr>
                <w:rFonts w:ascii="Arial" w:eastAsia="Arial" w:hAnsi="Arial" w:cs="Arial"/>
                <w:i/>
                <w:color w:val="222222"/>
                <w:sz w:val="24"/>
                <w:szCs w:val="24"/>
              </w:rPr>
              <w:t>“Las instituciones que vayan a realizar investigación en humanos, deberán tener un Comité de Ética en Investigación, encargado de resolver todos los asuntos relacionados con el tema”</w:t>
            </w:r>
            <w:r>
              <w:rPr>
                <w:rFonts w:ascii="Arial" w:eastAsia="Arial" w:hAnsi="Arial" w:cs="Arial"/>
                <w:color w:val="222222"/>
                <w:sz w:val="24"/>
                <w:szCs w:val="24"/>
              </w:rPr>
              <w:t xml:space="preserve">, razón por la cual se acudirá al CEI con el fin de que, teniendo en cuenta la resolución mencionada, pueda haber una revisión </w:t>
            </w:r>
            <w:r>
              <w:rPr>
                <w:rFonts w:ascii="Arial" w:eastAsia="Arial" w:hAnsi="Arial" w:cs="Arial"/>
                <w:color w:val="222222"/>
                <w:sz w:val="24"/>
                <w:szCs w:val="24"/>
              </w:rPr>
              <w:lastRenderedPageBreak/>
              <w:t>de nuestra propuesta y, a su vez, una respuesta de aprobación sobre la misma teniendo en cuenta que, si bien el proyecto involucra seres humanos, en ningún momento se tendrán como sujetos de estudio tal como lo enuncia y previene el artículo 5.  Asimismo, lo que plantea el artículo 11, se puede catalogar esta investigación “sin riesgo”, ya que es una investigación documental y pretende en las entrevistas indagar sobre los imaginarios sociales y la estigmatización del otro. Se manifiesta así que sólo se hará un acercamiento a una determinada población y personas, para lograr de ellos su perspectiva frente a las diferentes situaciones que siguen siendo problemáticas dado que pueden interferir en la construcción de paz. Puesto que el trabajo de campo se debe realizar en una institución educativa se ha elaborado un consentimiento informado (siguiendo las referencias de los artículos 14,15 y 16 de la resolución de 1993) (Ver Anexo) el cual invita tanto al rector de dicho lugar, a los docentes y los padres de familia, para que sean ellos quienes den el aval para la actividad. Dado el tipo de información que se busca recolectar, también se sostiene que no se pondrá en ningún momento, a los estudiantes o a los adultos en alguna situación delicada que atente contra su dignidad o su integridad, razón por la cual, se deja por escrito que será el rector de la institución quien haga</w:t>
            </w:r>
            <w:bookmarkStart w:id="0" w:name="_GoBack"/>
            <w:bookmarkEnd w:id="0"/>
            <w:r>
              <w:rPr>
                <w:rFonts w:ascii="Arial" w:eastAsia="Arial" w:hAnsi="Arial" w:cs="Arial"/>
                <w:color w:val="222222"/>
                <w:sz w:val="24"/>
                <w:szCs w:val="24"/>
              </w:rPr>
              <w:t xml:space="preserve"> el debido seguimiento a la información recolectada.</w:t>
            </w:r>
          </w:p>
          <w:p w:rsidR="00DC4C77" w:rsidRDefault="00DC4C77">
            <w:pPr>
              <w:spacing w:after="0" w:line="240" w:lineRule="auto"/>
              <w:jc w:val="both"/>
              <w:rPr>
                <w:rFonts w:ascii="Arial" w:eastAsia="Arial" w:hAnsi="Arial" w:cs="Arial"/>
                <w:color w:val="222222"/>
                <w:sz w:val="24"/>
                <w:szCs w:val="24"/>
              </w:rPr>
            </w:pP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2F2F2"/>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lastRenderedPageBreak/>
              <w:t>Resultados esperados</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numPr>
                <w:ilvl w:val="0"/>
                <w:numId w:val="1"/>
              </w:numPr>
              <w:pBdr>
                <w:top w:val="nil"/>
                <w:left w:val="nil"/>
                <w:bottom w:val="nil"/>
                <w:right w:val="nil"/>
                <w:between w:val="nil"/>
              </w:pBd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Una propuesta de implementación pedagógica para fortalecer la construcción de paz del contexto del Instituto Técnico Integrado de Trinidad, Casanare.</w:t>
            </w:r>
          </w:p>
          <w:p w:rsidR="00DC4C77" w:rsidRDefault="00515BE7">
            <w:pPr>
              <w:numPr>
                <w:ilvl w:val="0"/>
                <w:numId w:val="1"/>
              </w:numPr>
              <w:pBdr>
                <w:top w:val="nil"/>
                <w:left w:val="nil"/>
                <w:bottom w:val="nil"/>
                <w:right w:val="nil"/>
                <w:between w:val="nil"/>
              </w:pBdr>
              <w:spacing w:after="0" w:line="240" w:lineRule="auto"/>
              <w:jc w:val="both"/>
              <w:rPr>
                <w:rFonts w:ascii="Arial" w:eastAsia="Arial" w:hAnsi="Arial" w:cs="Arial"/>
                <w:color w:val="222222"/>
                <w:sz w:val="24"/>
                <w:szCs w:val="24"/>
              </w:rPr>
            </w:pPr>
            <w:r>
              <w:rPr>
                <w:rFonts w:ascii="Arial" w:eastAsia="Arial" w:hAnsi="Arial" w:cs="Arial"/>
                <w:color w:val="222222"/>
                <w:sz w:val="24"/>
                <w:szCs w:val="24"/>
              </w:rPr>
              <w:t>Presentación a Editorial USTA propuesta Libro resultado de investigación sobre “</w:t>
            </w:r>
            <w:r>
              <w:rPr>
                <w:rFonts w:ascii="Arial" w:eastAsia="Arial" w:hAnsi="Arial" w:cs="Arial"/>
                <w:color w:val="000000"/>
                <w:sz w:val="24"/>
                <w:szCs w:val="24"/>
              </w:rPr>
              <w:t>Imaginarios sociales</w:t>
            </w:r>
            <w:r>
              <w:rPr>
                <w:rFonts w:ascii="Arial" w:eastAsia="Arial" w:hAnsi="Arial" w:cs="Arial"/>
                <w:sz w:val="24"/>
                <w:szCs w:val="24"/>
              </w:rPr>
              <w:t xml:space="preserve"> </w:t>
            </w:r>
            <w:r>
              <w:rPr>
                <w:rFonts w:ascii="Arial" w:eastAsia="Arial" w:hAnsi="Arial" w:cs="Arial"/>
                <w:color w:val="000000"/>
                <w:sz w:val="24"/>
                <w:szCs w:val="24"/>
              </w:rPr>
              <w:t>y estrategias didácticas para una educación para la paz en el territorio”.</w:t>
            </w:r>
          </w:p>
          <w:p w:rsidR="00DC4C77" w:rsidRDefault="00515BE7">
            <w:pPr>
              <w:numPr>
                <w:ilvl w:val="0"/>
                <w:numId w:val="1"/>
              </w:numPr>
              <w:pBdr>
                <w:top w:val="nil"/>
                <w:left w:val="nil"/>
                <w:bottom w:val="nil"/>
                <w:right w:val="nil"/>
                <w:between w:val="nil"/>
              </w:pBdr>
              <w:spacing w:after="0" w:line="240" w:lineRule="auto"/>
              <w:jc w:val="both"/>
              <w:rPr>
                <w:rFonts w:ascii="Arial" w:eastAsia="Arial" w:hAnsi="Arial" w:cs="Arial"/>
                <w:color w:val="222222"/>
                <w:sz w:val="24"/>
                <w:szCs w:val="24"/>
              </w:rPr>
            </w:pPr>
            <w:r>
              <w:rPr>
                <w:rFonts w:ascii="Arial" w:eastAsia="Arial" w:hAnsi="Arial" w:cs="Arial"/>
                <w:color w:val="000000"/>
                <w:sz w:val="24"/>
                <w:szCs w:val="24"/>
              </w:rPr>
              <w:t>Dirección de dos tesis de maestría.</w:t>
            </w:r>
          </w:p>
        </w:tc>
      </w:tr>
    </w:tbl>
    <w:p w:rsidR="00DC4C77" w:rsidRDefault="00DC4C77">
      <w:pPr>
        <w:spacing w:after="0" w:line="240" w:lineRule="auto"/>
        <w:rPr>
          <w:rFonts w:ascii="Arial" w:eastAsia="Arial" w:hAnsi="Arial" w:cs="Arial"/>
          <w:sz w:val="24"/>
          <w:szCs w:val="24"/>
        </w:rPr>
      </w:pPr>
    </w:p>
    <w:p w:rsidR="00DC4C77" w:rsidRDefault="00515BE7">
      <w:pPr>
        <w:spacing w:after="0" w:line="240" w:lineRule="auto"/>
        <w:rPr>
          <w:rFonts w:ascii="Arial" w:eastAsia="Arial" w:hAnsi="Arial" w:cs="Arial"/>
          <w:b/>
          <w:sz w:val="24"/>
          <w:szCs w:val="24"/>
        </w:rPr>
      </w:pPr>
      <w:r>
        <w:rPr>
          <w:rFonts w:ascii="Arial" w:eastAsia="Arial" w:hAnsi="Arial" w:cs="Arial"/>
          <w:b/>
          <w:sz w:val="24"/>
          <w:szCs w:val="24"/>
        </w:rPr>
        <w:t>Cronograma</w:t>
      </w:r>
    </w:p>
    <w:tbl>
      <w:tblPr>
        <w:tblStyle w:val="a8"/>
        <w:tblW w:w="18774" w:type="dxa"/>
        <w:tblInd w:w="0" w:type="dxa"/>
        <w:tblLayout w:type="fixed"/>
        <w:tblLook w:val="0400" w:firstRow="0" w:lastRow="0" w:firstColumn="0" w:lastColumn="0" w:noHBand="0" w:noVBand="1"/>
      </w:tblPr>
      <w:tblGrid>
        <w:gridCol w:w="1289"/>
        <w:gridCol w:w="1428"/>
        <w:gridCol w:w="602"/>
        <w:gridCol w:w="465"/>
        <w:gridCol w:w="216"/>
        <w:gridCol w:w="1062"/>
        <w:gridCol w:w="149"/>
        <w:gridCol w:w="47"/>
        <w:gridCol w:w="312"/>
        <w:gridCol w:w="312"/>
        <w:gridCol w:w="301"/>
        <w:gridCol w:w="233"/>
        <w:gridCol w:w="68"/>
        <w:gridCol w:w="301"/>
        <w:gridCol w:w="301"/>
        <w:gridCol w:w="218"/>
        <w:gridCol w:w="219"/>
        <w:gridCol w:w="356"/>
        <w:gridCol w:w="44"/>
        <w:gridCol w:w="312"/>
        <w:gridCol w:w="356"/>
        <w:gridCol w:w="356"/>
        <w:gridCol w:w="356"/>
        <w:gridCol w:w="48"/>
        <w:gridCol w:w="308"/>
        <w:gridCol w:w="356"/>
        <w:gridCol w:w="356"/>
        <w:gridCol w:w="356"/>
        <w:gridCol w:w="52"/>
        <w:gridCol w:w="304"/>
        <w:gridCol w:w="356"/>
        <w:gridCol w:w="218"/>
        <w:gridCol w:w="301"/>
        <w:gridCol w:w="356"/>
        <w:gridCol w:w="55"/>
        <w:gridCol w:w="301"/>
        <w:gridCol w:w="356"/>
        <w:gridCol w:w="356"/>
        <w:gridCol w:w="356"/>
        <w:gridCol w:w="59"/>
        <w:gridCol w:w="297"/>
        <w:gridCol w:w="356"/>
        <w:gridCol w:w="369"/>
        <w:gridCol w:w="369"/>
        <w:gridCol w:w="86"/>
        <w:gridCol w:w="283"/>
        <w:gridCol w:w="369"/>
        <w:gridCol w:w="356"/>
        <w:gridCol w:w="356"/>
        <w:gridCol w:w="64"/>
        <w:gridCol w:w="292"/>
        <w:gridCol w:w="356"/>
        <w:gridCol w:w="356"/>
        <w:gridCol w:w="356"/>
        <w:gridCol w:w="68"/>
        <w:gridCol w:w="288"/>
        <w:gridCol w:w="356"/>
      </w:tblGrid>
      <w:tr w:rsidR="00FE1814" w:rsidTr="00FE1814">
        <w:trPr>
          <w:gridAfter w:val="2"/>
          <w:wAfter w:w="642" w:type="dxa"/>
          <w:trHeight w:val="270"/>
        </w:trPr>
        <w:tc>
          <w:tcPr>
            <w:tcW w:w="1290" w:type="dxa"/>
            <w:vMerge w:val="restart"/>
            <w:tcBorders>
              <w:top w:val="single" w:sz="8" w:space="0" w:color="000000"/>
              <w:left w:val="single" w:sz="8" w:space="0" w:color="000000"/>
              <w:bottom w:val="single" w:sz="8" w:space="0" w:color="000000"/>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xml:space="preserve">   ACTIVIDADES</w:t>
            </w:r>
          </w:p>
        </w:tc>
        <w:tc>
          <w:tcPr>
            <w:tcW w:w="1429" w:type="dxa"/>
            <w:vMerge w:val="restart"/>
            <w:tcBorders>
              <w:top w:val="single" w:sz="8" w:space="0" w:color="000000"/>
              <w:left w:val="single" w:sz="8" w:space="0" w:color="000000"/>
              <w:bottom w:val="single" w:sz="8" w:space="0" w:color="000000"/>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xml:space="preserve">RESPONSABLE </w:t>
            </w:r>
          </w:p>
        </w:tc>
        <w:tc>
          <w:tcPr>
            <w:tcW w:w="1067" w:type="dxa"/>
            <w:gridSpan w:val="2"/>
            <w:tcBorders>
              <w:top w:val="single" w:sz="8" w:space="0" w:color="000000"/>
              <w:left w:val="nil"/>
              <w:bottom w:val="single" w:sz="8" w:space="0" w:color="000000"/>
              <w:right w:val="nil"/>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FECHA</w:t>
            </w:r>
          </w:p>
        </w:tc>
        <w:tc>
          <w:tcPr>
            <w:tcW w:w="216" w:type="dxa"/>
            <w:tcBorders>
              <w:top w:val="single" w:sz="8" w:space="0" w:color="000000"/>
              <w:left w:val="single" w:sz="4" w:space="0" w:color="000000"/>
              <w:bottom w:val="nil"/>
              <w:right w:val="single" w:sz="8"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211" w:type="dxa"/>
            <w:gridSpan w:val="2"/>
            <w:tcBorders>
              <w:top w:val="single" w:sz="8" w:space="0" w:color="000000"/>
              <w:left w:val="nil"/>
              <w:bottom w:val="single" w:sz="8" w:space="0" w:color="000000"/>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FEBRERO</w:t>
            </w:r>
          </w:p>
        </w:tc>
        <w:tc>
          <w:tcPr>
            <w:tcW w:w="1205" w:type="dxa"/>
            <w:gridSpan w:val="5"/>
            <w:tcBorders>
              <w:top w:val="single" w:sz="8" w:space="0" w:color="000000"/>
              <w:left w:val="single" w:sz="8" w:space="0" w:color="000000"/>
              <w:bottom w:val="nil"/>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MARZO</w:t>
            </w:r>
          </w:p>
        </w:tc>
        <w:tc>
          <w:tcPr>
            <w:tcW w:w="1507" w:type="dxa"/>
            <w:gridSpan w:val="7"/>
            <w:tcBorders>
              <w:top w:val="single" w:sz="8" w:space="0" w:color="000000"/>
              <w:left w:val="single" w:sz="8" w:space="0" w:color="000000"/>
              <w:bottom w:val="nil"/>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ABRIL</w:t>
            </w:r>
          </w:p>
        </w:tc>
        <w:tc>
          <w:tcPr>
            <w:tcW w:w="1428" w:type="dxa"/>
            <w:gridSpan w:val="5"/>
            <w:tcBorders>
              <w:top w:val="single" w:sz="8" w:space="0" w:color="000000"/>
              <w:left w:val="single" w:sz="8" w:space="0" w:color="000000"/>
              <w:bottom w:val="nil"/>
              <w:right w:val="nil"/>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MAYO</w:t>
            </w:r>
          </w:p>
        </w:tc>
        <w:tc>
          <w:tcPr>
            <w:tcW w:w="1428" w:type="dxa"/>
            <w:gridSpan w:val="5"/>
            <w:tcBorders>
              <w:top w:val="single" w:sz="8" w:space="0" w:color="000000"/>
              <w:left w:val="single" w:sz="8" w:space="0" w:color="000000"/>
              <w:bottom w:val="nil"/>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JUNIO</w:t>
            </w:r>
          </w:p>
        </w:tc>
        <w:tc>
          <w:tcPr>
            <w:tcW w:w="1590" w:type="dxa"/>
            <w:gridSpan w:val="6"/>
            <w:tcBorders>
              <w:top w:val="single" w:sz="8" w:space="0" w:color="000000"/>
              <w:left w:val="single" w:sz="8" w:space="0" w:color="000000"/>
              <w:bottom w:val="nil"/>
              <w:right w:val="single" w:sz="8" w:space="0" w:color="000000"/>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JULIO</w:t>
            </w:r>
          </w:p>
        </w:tc>
        <w:tc>
          <w:tcPr>
            <w:tcW w:w="1428" w:type="dxa"/>
            <w:gridSpan w:val="5"/>
            <w:tcBorders>
              <w:top w:val="single" w:sz="8" w:space="0" w:color="000000"/>
              <w:left w:val="single" w:sz="8" w:space="0" w:color="000000"/>
              <w:bottom w:val="nil"/>
              <w:right w:val="nil"/>
            </w:tcBorders>
            <w:shd w:val="clear" w:color="auto" w:fill="FFCC99"/>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AGOSTO</w:t>
            </w:r>
          </w:p>
        </w:tc>
        <w:tc>
          <w:tcPr>
            <w:tcW w:w="1477" w:type="dxa"/>
            <w:gridSpan w:val="5"/>
            <w:tcBorders>
              <w:top w:val="single" w:sz="8" w:space="0" w:color="000000"/>
              <w:left w:val="single" w:sz="8" w:space="0" w:color="000000"/>
              <w:bottom w:val="single" w:sz="8" w:space="0" w:color="000000"/>
              <w:right w:val="single" w:sz="8" w:space="0" w:color="000000"/>
            </w:tcBorders>
            <w:shd w:val="clear" w:color="auto" w:fill="FFCC99"/>
            <w:vAlign w:val="bottom"/>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SEPTIEMBRE</w:t>
            </w:r>
          </w:p>
        </w:tc>
        <w:tc>
          <w:tcPr>
            <w:tcW w:w="1428" w:type="dxa"/>
            <w:gridSpan w:val="5"/>
            <w:tcBorders>
              <w:top w:val="single" w:sz="8" w:space="0" w:color="000000"/>
              <w:left w:val="nil"/>
              <w:bottom w:val="single" w:sz="8" w:space="0" w:color="000000"/>
              <w:right w:val="single" w:sz="8" w:space="0" w:color="000000"/>
            </w:tcBorders>
            <w:shd w:val="clear" w:color="auto" w:fill="FFCC99"/>
            <w:vAlign w:val="bottom"/>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OCTUBRE</w:t>
            </w:r>
          </w:p>
        </w:tc>
        <w:tc>
          <w:tcPr>
            <w:tcW w:w="1428" w:type="dxa"/>
            <w:gridSpan w:val="5"/>
            <w:tcBorders>
              <w:top w:val="single" w:sz="8" w:space="0" w:color="000000"/>
              <w:left w:val="nil"/>
              <w:bottom w:val="single" w:sz="8" w:space="0" w:color="000000"/>
              <w:right w:val="single" w:sz="8" w:space="0" w:color="000000"/>
            </w:tcBorders>
            <w:shd w:val="clear" w:color="auto" w:fill="FFCC99"/>
            <w:vAlign w:val="bottom"/>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NOVIEMBRE</w:t>
            </w:r>
          </w:p>
        </w:tc>
      </w:tr>
      <w:tr w:rsidR="007E2586" w:rsidTr="00FE1814">
        <w:trPr>
          <w:trHeight w:val="430"/>
        </w:trPr>
        <w:tc>
          <w:tcPr>
            <w:tcW w:w="1290" w:type="dxa"/>
            <w:vMerge/>
            <w:tcBorders>
              <w:top w:val="single" w:sz="8" w:space="0" w:color="000000"/>
              <w:left w:val="single" w:sz="8" w:space="0" w:color="000000"/>
              <w:bottom w:val="single" w:sz="8" w:space="0" w:color="000000"/>
              <w:right w:val="single" w:sz="8" w:space="0" w:color="000000"/>
            </w:tcBorders>
            <w:shd w:val="clear" w:color="auto" w:fill="FFCC99"/>
            <w:vAlign w:val="center"/>
          </w:tcPr>
          <w:p w:rsidR="00DC4C77" w:rsidRDefault="00DC4C77">
            <w:pPr>
              <w:widowControl w:val="0"/>
              <w:pBdr>
                <w:top w:val="nil"/>
                <w:left w:val="nil"/>
                <w:bottom w:val="nil"/>
                <w:right w:val="nil"/>
                <w:between w:val="nil"/>
              </w:pBdr>
              <w:spacing w:after="0" w:line="276" w:lineRule="auto"/>
              <w:rPr>
                <w:rFonts w:ascii="Arial" w:eastAsia="Arial" w:hAnsi="Arial" w:cs="Arial"/>
                <w:b/>
                <w:sz w:val="24"/>
                <w:szCs w:val="24"/>
              </w:rPr>
            </w:pPr>
          </w:p>
        </w:tc>
        <w:tc>
          <w:tcPr>
            <w:tcW w:w="1429" w:type="dxa"/>
            <w:vMerge/>
            <w:tcBorders>
              <w:top w:val="single" w:sz="8" w:space="0" w:color="000000"/>
              <w:left w:val="single" w:sz="8" w:space="0" w:color="000000"/>
              <w:bottom w:val="single" w:sz="8" w:space="0" w:color="000000"/>
              <w:right w:val="single" w:sz="8" w:space="0" w:color="000000"/>
            </w:tcBorders>
            <w:shd w:val="clear" w:color="auto" w:fill="FFCC99"/>
            <w:vAlign w:val="center"/>
          </w:tcPr>
          <w:p w:rsidR="00DC4C77" w:rsidRDefault="00DC4C77">
            <w:pPr>
              <w:widowControl w:val="0"/>
              <w:pBdr>
                <w:top w:val="nil"/>
                <w:left w:val="nil"/>
                <w:bottom w:val="nil"/>
                <w:right w:val="nil"/>
                <w:between w:val="nil"/>
              </w:pBdr>
              <w:spacing w:after="0" w:line="276" w:lineRule="auto"/>
              <w:rPr>
                <w:rFonts w:ascii="Arial" w:eastAsia="Arial" w:hAnsi="Arial" w:cs="Arial"/>
                <w:b/>
                <w:sz w:val="24"/>
                <w:szCs w:val="24"/>
              </w:rPr>
            </w:pPr>
          </w:p>
        </w:tc>
        <w:tc>
          <w:tcPr>
            <w:tcW w:w="602" w:type="dxa"/>
            <w:tcBorders>
              <w:top w:val="nil"/>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Inicio</w:t>
            </w:r>
          </w:p>
        </w:tc>
        <w:tc>
          <w:tcPr>
            <w:tcW w:w="465" w:type="dxa"/>
            <w:tcBorders>
              <w:top w:val="nil"/>
              <w:left w:val="nil"/>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Fin.</w:t>
            </w:r>
          </w:p>
        </w:tc>
        <w:tc>
          <w:tcPr>
            <w:tcW w:w="216" w:type="dxa"/>
            <w:tcBorders>
              <w:top w:val="nil"/>
              <w:left w:val="single" w:sz="4" w:space="0" w:color="000000"/>
              <w:bottom w:val="single" w:sz="8" w:space="0" w:color="000000"/>
              <w:right w:val="single" w:sz="8"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060" w:type="dxa"/>
            <w:tcBorders>
              <w:top w:val="nil"/>
              <w:left w:val="single" w:sz="4" w:space="0" w:color="000000"/>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w:t>
            </w:r>
          </w:p>
        </w:tc>
        <w:tc>
          <w:tcPr>
            <w:tcW w:w="196" w:type="dxa"/>
            <w:gridSpan w:val="2"/>
            <w:tcBorders>
              <w:top w:val="nil"/>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w:t>
            </w:r>
          </w:p>
        </w:tc>
        <w:tc>
          <w:tcPr>
            <w:tcW w:w="312" w:type="dxa"/>
            <w:tcBorders>
              <w:top w:val="nil"/>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w:t>
            </w:r>
          </w:p>
        </w:tc>
        <w:tc>
          <w:tcPr>
            <w:tcW w:w="312" w:type="dxa"/>
            <w:tcBorders>
              <w:top w:val="nil"/>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4</w:t>
            </w:r>
          </w:p>
        </w:tc>
        <w:tc>
          <w:tcPr>
            <w:tcW w:w="301" w:type="dxa"/>
            <w:tcBorders>
              <w:top w:val="single" w:sz="8" w:space="0" w:color="000000"/>
              <w:left w:val="single" w:sz="8"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5</w:t>
            </w:r>
          </w:p>
        </w:tc>
        <w:tc>
          <w:tcPr>
            <w:tcW w:w="301" w:type="dxa"/>
            <w:gridSpan w:val="2"/>
            <w:tcBorders>
              <w:top w:val="single" w:sz="8" w:space="0" w:color="000000"/>
              <w:left w:val="single" w:sz="4" w:space="0" w:color="000000"/>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6</w:t>
            </w:r>
          </w:p>
        </w:tc>
        <w:tc>
          <w:tcPr>
            <w:tcW w:w="301"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7</w:t>
            </w:r>
          </w:p>
        </w:tc>
        <w:tc>
          <w:tcPr>
            <w:tcW w:w="301"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8</w:t>
            </w:r>
          </w:p>
        </w:tc>
        <w:tc>
          <w:tcPr>
            <w:tcW w:w="437" w:type="dxa"/>
            <w:gridSpan w:val="2"/>
            <w:tcBorders>
              <w:top w:val="single" w:sz="8" w:space="0" w:color="000000"/>
              <w:left w:val="single" w:sz="8" w:space="0" w:color="000000"/>
              <w:bottom w:val="single" w:sz="8" w:space="0" w:color="000000"/>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9</w:t>
            </w:r>
          </w:p>
        </w:tc>
        <w:tc>
          <w:tcPr>
            <w:tcW w:w="356"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10</w:t>
            </w:r>
          </w:p>
        </w:tc>
        <w:tc>
          <w:tcPr>
            <w:tcW w:w="356" w:type="dxa"/>
            <w:gridSpan w:val="2"/>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11</w:t>
            </w:r>
          </w:p>
        </w:tc>
        <w:tc>
          <w:tcPr>
            <w:tcW w:w="356" w:type="dxa"/>
            <w:tcBorders>
              <w:top w:val="single" w:sz="8" w:space="0" w:color="000000"/>
              <w:left w:val="nil"/>
              <w:bottom w:val="single" w:sz="8" w:space="0" w:color="000000"/>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12</w:t>
            </w:r>
          </w:p>
        </w:tc>
        <w:tc>
          <w:tcPr>
            <w:tcW w:w="356"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13</w:t>
            </w:r>
          </w:p>
        </w:tc>
        <w:tc>
          <w:tcPr>
            <w:tcW w:w="356"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14</w:t>
            </w:r>
          </w:p>
        </w:tc>
        <w:tc>
          <w:tcPr>
            <w:tcW w:w="356" w:type="dxa"/>
            <w:gridSpan w:val="2"/>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15</w:t>
            </w:r>
          </w:p>
        </w:tc>
        <w:tc>
          <w:tcPr>
            <w:tcW w:w="356"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16</w:t>
            </w:r>
          </w:p>
        </w:tc>
        <w:tc>
          <w:tcPr>
            <w:tcW w:w="356" w:type="dxa"/>
            <w:tcBorders>
              <w:top w:val="single" w:sz="8" w:space="0" w:color="000000"/>
              <w:left w:val="single" w:sz="8"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17</w:t>
            </w:r>
          </w:p>
        </w:tc>
        <w:tc>
          <w:tcPr>
            <w:tcW w:w="356"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18</w:t>
            </w:r>
          </w:p>
        </w:tc>
        <w:tc>
          <w:tcPr>
            <w:tcW w:w="356" w:type="dxa"/>
            <w:gridSpan w:val="2"/>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19</w:t>
            </w:r>
          </w:p>
        </w:tc>
        <w:tc>
          <w:tcPr>
            <w:tcW w:w="356"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20</w:t>
            </w:r>
          </w:p>
        </w:tc>
        <w:tc>
          <w:tcPr>
            <w:tcW w:w="519" w:type="dxa"/>
            <w:gridSpan w:val="2"/>
            <w:tcBorders>
              <w:top w:val="single" w:sz="8" w:space="0" w:color="000000"/>
              <w:left w:val="single" w:sz="8"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21</w:t>
            </w:r>
          </w:p>
        </w:tc>
        <w:tc>
          <w:tcPr>
            <w:tcW w:w="356" w:type="dxa"/>
            <w:tcBorders>
              <w:top w:val="single" w:sz="8" w:space="0" w:color="000000"/>
              <w:left w:val="single" w:sz="4" w:space="0" w:color="000000"/>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22</w:t>
            </w:r>
          </w:p>
        </w:tc>
        <w:tc>
          <w:tcPr>
            <w:tcW w:w="356" w:type="dxa"/>
            <w:gridSpan w:val="2"/>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23</w:t>
            </w:r>
          </w:p>
        </w:tc>
        <w:tc>
          <w:tcPr>
            <w:tcW w:w="356" w:type="dxa"/>
            <w:tcBorders>
              <w:top w:val="single" w:sz="8" w:space="0" w:color="000000"/>
              <w:left w:val="nil"/>
              <w:bottom w:val="single" w:sz="8" w:space="0" w:color="000000"/>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24</w:t>
            </w:r>
          </w:p>
        </w:tc>
        <w:tc>
          <w:tcPr>
            <w:tcW w:w="356"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25</w:t>
            </w:r>
          </w:p>
        </w:tc>
        <w:tc>
          <w:tcPr>
            <w:tcW w:w="356" w:type="dxa"/>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26</w:t>
            </w:r>
          </w:p>
        </w:tc>
        <w:tc>
          <w:tcPr>
            <w:tcW w:w="356" w:type="dxa"/>
            <w:gridSpan w:val="2"/>
            <w:tcBorders>
              <w:top w:val="single" w:sz="8" w:space="0" w:color="000000"/>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28</w:t>
            </w:r>
          </w:p>
        </w:tc>
        <w:tc>
          <w:tcPr>
            <w:tcW w:w="356" w:type="dxa"/>
            <w:tcBorders>
              <w:top w:val="single" w:sz="8" w:space="0" w:color="000000"/>
              <w:left w:val="nil"/>
              <w:bottom w:val="single" w:sz="8" w:space="0" w:color="000000"/>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29</w:t>
            </w:r>
          </w:p>
        </w:tc>
        <w:tc>
          <w:tcPr>
            <w:tcW w:w="369" w:type="dxa"/>
            <w:tcBorders>
              <w:top w:val="nil"/>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30</w:t>
            </w:r>
          </w:p>
        </w:tc>
        <w:tc>
          <w:tcPr>
            <w:tcW w:w="369" w:type="dxa"/>
            <w:tcBorders>
              <w:top w:val="nil"/>
              <w:left w:val="single" w:sz="8"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31</w:t>
            </w:r>
          </w:p>
        </w:tc>
        <w:tc>
          <w:tcPr>
            <w:tcW w:w="369" w:type="dxa"/>
            <w:gridSpan w:val="2"/>
            <w:tcBorders>
              <w:top w:val="nil"/>
              <w:left w:val="single" w:sz="4" w:space="0" w:color="000000"/>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32</w:t>
            </w:r>
          </w:p>
        </w:tc>
        <w:tc>
          <w:tcPr>
            <w:tcW w:w="369" w:type="dxa"/>
            <w:tcBorders>
              <w:top w:val="nil"/>
              <w:left w:val="nil"/>
              <w:bottom w:val="single" w:sz="8" w:space="0" w:color="000000"/>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33</w:t>
            </w:r>
          </w:p>
        </w:tc>
        <w:tc>
          <w:tcPr>
            <w:tcW w:w="356" w:type="dxa"/>
            <w:tcBorders>
              <w:top w:val="nil"/>
              <w:left w:val="nil"/>
              <w:bottom w:val="single" w:sz="8" w:space="0" w:color="000000"/>
              <w:right w:val="single" w:sz="4"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34</w:t>
            </w:r>
          </w:p>
        </w:tc>
        <w:tc>
          <w:tcPr>
            <w:tcW w:w="356" w:type="dxa"/>
            <w:tcBorders>
              <w:top w:val="nil"/>
              <w:left w:val="nil"/>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35</w:t>
            </w:r>
          </w:p>
        </w:tc>
        <w:tc>
          <w:tcPr>
            <w:tcW w:w="356" w:type="dxa"/>
            <w:gridSpan w:val="2"/>
            <w:tcBorders>
              <w:top w:val="nil"/>
              <w:left w:val="single" w:sz="4"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36</w:t>
            </w:r>
          </w:p>
        </w:tc>
        <w:tc>
          <w:tcPr>
            <w:tcW w:w="356" w:type="dxa"/>
            <w:tcBorders>
              <w:top w:val="nil"/>
              <w:left w:val="single" w:sz="4" w:space="0" w:color="000000"/>
              <w:bottom w:val="single" w:sz="8" w:space="0" w:color="000000"/>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37</w:t>
            </w:r>
          </w:p>
        </w:tc>
        <w:tc>
          <w:tcPr>
            <w:tcW w:w="356" w:type="dxa"/>
            <w:tcBorders>
              <w:top w:val="nil"/>
              <w:left w:val="nil"/>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38</w:t>
            </w:r>
          </w:p>
        </w:tc>
        <w:tc>
          <w:tcPr>
            <w:tcW w:w="356" w:type="dxa"/>
            <w:tcBorders>
              <w:top w:val="nil"/>
              <w:left w:val="single" w:sz="4"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39</w:t>
            </w:r>
          </w:p>
        </w:tc>
        <w:tc>
          <w:tcPr>
            <w:tcW w:w="356" w:type="dxa"/>
            <w:gridSpan w:val="2"/>
            <w:tcBorders>
              <w:top w:val="nil"/>
              <w:left w:val="single" w:sz="4" w:space="0" w:color="000000"/>
              <w:bottom w:val="single" w:sz="8" w:space="0" w:color="000000"/>
              <w:right w:val="nil"/>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40</w:t>
            </w:r>
          </w:p>
        </w:tc>
        <w:tc>
          <w:tcPr>
            <w:tcW w:w="356" w:type="dxa"/>
            <w:tcBorders>
              <w:top w:val="nil"/>
              <w:left w:val="single" w:sz="4" w:space="0" w:color="000000"/>
              <w:bottom w:val="nil"/>
              <w:right w:val="single" w:sz="8" w:space="0" w:color="000000"/>
            </w:tcBorders>
            <w:shd w:val="clear" w:color="auto" w:fill="FFCC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41</w:t>
            </w:r>
          </w:p>
        </w:tc>
      </w:tr>
      <w:tr w:rsidR="00FE1814" w:rsidTr="00FE1814">
        <w:trPr>
          <w:trHeight w:val="270"/>
        </w:trPr>
        <w:tc>
          <w:tcPr>
            <w:tcW w:w="1290" w:type="dxa"/>
            <w:tcBorders>
              <w:top w:val="nil"/>
              <w:left w:val="single" w:sz="8" w:space="0" w:color="000000"/>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Revisión documental</w:t>
            </w:r>
          </w:p>
          <w:p w:rsidR="00DC4C77" w:rsidRDefault="00DC4C77">
            <w:pPr>
              <w:spacing w:after="0" w:line="240" w:lineRule="auto"/>
              <w:rPr>
                <w:rFonts w:ascii="Arial" w:eastAsia="Arial" w:hAnsi="Arial" w:cs="Arial"/>
                <w:sz w:val="24"/>
                <w:szCs w:val="24"/>
              </w:rPr>
            </w:pP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Esta fase corresponde al desarrollo del primer objetivo.</w:t>
            </w:r>
          </w:p>
        </w:tc>
        <w:tc>
          <w:tcPr>
            <w:tcW w:w="1429"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Todos los investigadores</w:t>
            </w:r>
          </w:p>
        </w:tc>
        <w:tc>
          <w:tcPr>
            <w:tcW w:w="602" w:type="dxa"/>
            <w:tcBorders>
              <w:top w:val="single" w:sz="8" w:space="0" w:color="000000"/>
              <w:left w:val="single" w:sz="8" w:space="0" w:color="000000"/>
              <w:bottom w:val="nil"/>
              <w:right w:val="single" w:sz="8" w:space="0" w:color="000000"/>
            </w:tcBorders>
            <w:shd w:val="clear" w:color="auto" w:fill="C0C0C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465" w:type="dxa"/>
            <w:tcBorders>
              <w:top w:val="nil"/>
              <w:left w:val="nil"/>
              <w:bottom w:val="nil"/>
              <w:right w:val="nil"/>
            </w:tcBorders>
            <w:shd w:val="clear" w:color="auto" w:fill="FF8080"/>
            <w:vAlign w:val="center"/>
          </w:tcPr>
          <w:p w:rsidR="00DC4C77" w:rsidRDefault="00DC4C77">
            <w:pPr>
              <w:spacing w:after="0" w:line="240" w:lineRule="auto"/>
              <w:jc w:val="center"/>
              <w:rPr>
                <w:rFonts w:ascii="Arial" w:eastAsia="Arial" w:hAnsi="Arial" w:cs="Arial"/>
                <w:b/>
                <w:sz w:val="24"/>
                <w:szCs w:val="24"/>
              </w:rPr>
            </w:pPr>
          </w:p>
        </w:tc>
        <w:tc>
          <w:tcPr>
            <w:tcW w:w="216" w:type="dxa"/>
            <w:tcBorders>
              <w:top w:val="nil"/>
              <w:left w:val="single" w:sz="4" w:space="0" w:color="000000"/>
              <w:bottom w:val="nil"/>
              <w:right w:val="single" w:sz="4"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060" w:type="dxa"/>
            <w:tcBorders>
              <w:top w:val="nil"/>
              <w:left w:val="single" w:sz="8" w:space="0" w:color="000000"/>
              <w:bottom w:val="single" w:sz="4" w:space="0" w:color="000000"/>
              <w:right w:val="nil"/>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x</w:t>
            </w:r>
          </w:p>
        </w:tc>
        <w:tc>
          <w:tcPr>
            <w:tcW w:w="19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12" w:type="dxa"/>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12"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01"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01" w:type="dxa"/>
            <w:gridSpan w:val="2"/>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01" w:type="dxa"/>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01"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437" w:type="dxa"/>
            <w:gridSpan w:val="2"/>
            <w:tcBorders>
              <w:top w:val="single" w:sz="8" w:space="0" w:color="000000"/>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519" w:type="dxa"/>
            <w:gridSpan w:val="2"/>
            <w:tcBorders>
              <w:top w:val="single" w:sz="8" w:space="0" w:color="000000"/>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gridSpan w:val="2"/>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single" w:sz="8" w:space="0" w:color="000000"/>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r>
      <w:tr w:rsidR="00FE1814" w:rsidTr="00FE1814">
        <w:trPr>
          <w:trHeight w:val="254"/>
        </w:trPr>
        <w:tc>
          <w:tcPr>
            <w:tcW w:w="1290" w:type="dxa"/>
            <w:tcBorders>
              <w:top w:val="nil"/>
              <w:left w:val="single" w:sz="8" w:space="0" w:color="000000"/>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lastRenderedPageBreak/>
              <w:t> Salidas de campo</w:t>
            </w:r>
          </w:p>
        </w:tc>
        <w:tc>
          <w:tcPr>
            <w:tcW w:w="1429"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Todos los investigadores</w:t>
            </w:r>
          </w:p>
        </w:tc>
        <w:tc>
          <w:tcPr>
            <w:tcW w:w="602"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465" w:type="dxa"/>
            <w:tcBorders>
              <w:top w:val="single" w:sz="4" w:space="0" w:color="000000"/>
              <w:left w:val="nil"/>
              <w:bottom w:val="single" w:sz="4" w:space="0" w:color="000000"/>
              <w:right w:val="single" w:sz="4" w:space="0" w:color="000000"/>
            </w:tcBorders>
            <w:shd w:val="clear" w:color="auto" w:fill="FF808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216" w:type="dxa"/>
            <w:tcBorders>
              <w:top w:val="nil"/>
              <w:left w:val="single" w:sz="4" w:space="0" w:color="000000"/>
              <w:bottom w:val="nil"/>
              <w:right w:val="single" w:sz="4"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060" w:type="dxa"/>
            <w:tcBorders>
              <w:top w:val="nil"/>
              <w:left w:val="single" w:sz="8"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9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gridSpan w:val="2"/>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tc>
        <w:tc>
          <w:tcPr>
            <w:tcW w:w="36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gridSpan w:val="2"/>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r>
      <w:tr w:rsidR="00FE1814" w:rsidTr="00FE1814">
        <w:trPr>
          <w:trHeight w:val="254"/>
        </w:trPr>
        <w:tc>
          <w:tcPr>
            <w:tcW w:w="1290" w:type="dxa"/>
            <w:tcBorders>
              <w:top w:val="nil"/>
              <w:left w:val="single" w:sz="8" w:space="0" w:color="000000"/>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Análisis y discusión  de información</w:t>
            </w:r>
          </w:p>
          <w:p w:rsidR="00DC4C77" w:rsidRDefault="00DC4C77">
            <w:pPr>
              <w:spacing w:after="0" w:line="240" w:lineRule="auto"/>
              <w:rPr>
                <w:rFonts w:ascii="Arial" w:eastAsia="Arial" w:hAnsi="Arial" w:cs="Arial"/>
                <w:sz w:val="24"/>
                <w:szCs w:val="24"/>
              </w:rPr>
            </w:pP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Esta fase corresponde al desarrollo del segundo objetivo.</w:t>
            </w:r>
          </w:p>
        </w:tc>
        <w:tc>
          <w:tcPr>
            <w:tcW w:w="1429"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w:t>
            </w:r>
          </w:p>
        </w:tc>
        <w:tc>
          <w:tcPr>
            <w:tcW w:w="602"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465" w:type="dxa"/>
            <w:tcBorders>
              <w:top w:val="single" w:sz="4" w:space="0" w:color="000000"/>
              <w:left w:val="nil"/>
              <w:bottom w:val="single" w:sz="4" w:space="0" w:color="000000"/>
              <w:right w:val="single" w:sz="4" w:space="0" w:color="000000"/>
            </w:tcBorders>
            <w:shd w:val="clear" w:color="auto" w:fill="FF808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216" w:type="dxa"/>
            <w:tcBorders>
              <w:top w:val="nil"/>
              <w:left w:val="single" w:sz="4" w:space="0" w:color="000000"/>
              <w:bottom w:val="nil"/>
              <w:right w:val="single" w:sz="4"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060" w:type="dxa"/>
            <w:tcBorders>
              <w:top w:val="nil"/>
              <w:left w:val="single" w:sz="8"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9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gridSpan w:val="2"/>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gridSpan w:val="2"/>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r>
      <w:tr w:rsidR="00FE1814" w:rsidTr="00FE1814">
        <w:trPr>
          <w:trHeight w:val="254"/>
        </w:trPr>
        <w:tc>
          <w:tcPr>
            <w:tcW w:w="1290" w:type="dxa"/>
            <w:tcBorders>
              <w:top w:val="nil"/>
              <w:left w:val="single" w:sz="8" w:space="0" w:color="000000"/>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Diseño y socialización de la propuesta</w:t>
            </w:r>
          </w:p>
          <w:p w:rsidR="00DC4C77" w:rsidRDefault="00DC4C77">
            <w:pPr>
              <w:spacing w:after="0" w:line="240" w:lineRule="auto"/>
              <w:rPr>
                <w:rFonts w:ascii="Arial" w:eastAsia="Arial" w:hAnsi="Arial" w:cs="Arial"/>
                <w:sz w:val="24"/>
                <w:szCs w:val="24"/>
              </w:rPr>
            </w:pP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Esta fase corresponde al desarrollo del tercer objetivo.</w:t>
            </w:r>
          </w:p>
        </w:tc>
        <w:tc>
          <w:tcPr>
            <w:tcW w:w="1429"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w:t>
            </w:r>
          </w:p>
        </w:tc>
        <w:tc>
          <w:tcPr>
            <w:tcW w:w="602"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465" w:type="dxa"/>
            <w:tcBorders>
              <w:top w:val="single" w:sz="4" w:space="0" w:color="000000"/>
              <w:left w:val="nil"/>
              <w:bottom w:val="single" w:sz="4" w:space="0" w:color="000000"/>
              <w:right w:val="single" w:sz="4" w:space="0" w:color="000000"/>
            </w:tcBorders>
            <w:shd w:val="clear" w:color="auto" w:fill="FF808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216" w:type="dxa"/>
            <w:tcBorders>
              <w:top w:val="nil"/>
              <w:left w:val="single" w:sz="4" w:space="0" w:color="000000"/>
              <w:bottom w:val="nil"/>
              <w:right w:val="single" w:sz="4"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060" w:type="dxa"/>
            <w:tcBorders>
              <w:top w:val="nil"/>
              <w:left w:val="single" w:sz="8"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9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gridSpan w:val="2"/>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69"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gridSpan w:val="2"/>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r>
      <w:tr w:rsidR="00FE1814" w:rsidTr="00FE1814">
        <w:trPr>
          <w:trHeight w:val="254"/>
        </w:trPr>
        <w:tc>
          <w:tcPr>
            <w:tcW w:w="1290" w:type="dxa"/>
            <w:tcBorders>
              <w:top w:val="nil"/>
              <w:left w:val="single" w:sz="8" w:space="0" w:color="000000"/>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t> Elaboración de artículo y programa radial.</w:t>
            </w: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 xml:space="preserve">Esta fase corresponde al desarrollo </w:t>
            </w:r>
            <w:r>
              <w:rPr>
                <w:rFonts w:ascii="Arial" w:eastAsia="Arial" w:hAnsi="Arial" w:cs="Arial"/>
                <w:sz w:val="24"/>
                <w:szCs w:val="24"/>
              </w:rPr>
              <w:lastRenderedPageBreak/>
              <w:t>del tercer objetivo.</w:t>
            </w:r>
          </w:p>
        </w:tc>
        <w:tc>
          <w:tcPr>
            <w:tcW w:w="1429"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rPr>
                <w:rFonts w:ascii="Arial" w:eastAsia="Arial" w:hAnsi="Arial" w:cs="Arial"/>
                <w:sz w:val="24"/>
                <w:szCs w:val="24"/>
              </w:rPr>
            </w:pPr>
            <w:r>
              <w:rPr>
                <w:rFonts w:ascii="Arial" w:eastAsia="Arial" w:hAnsi="Arial" w:cs="Arial"/>
                <w:sz w:val="24"/>
                <w:szCs w:val="24"/>
              </w:rPr>
              <w:lastRenderedPageBreak/>
              <w:t> </w:t>
            </w:r>
          </w:p>
        </w:tc>
        <w:tc>
          <w:tcPr>
            <w:tcW w:w="602" w:type="dxa"/>
            <w:tcBorders>
              <w:top w:val="single" w:sz="4" w:space="0" w:color="000000"/>
              <w:left w:val="single" w:sz="8" w:space="0" w:color="000000"/>
              <w:bottom w:val="single" w:sz="4" w:space="0" w:color="000000"/>
              <w:right w:val="single" w:sz="8" w:space="0" w:color="000000"/>
            </w:tcBorders>
            <w:shd w:val="clear" w:color="auto" w:fill="C0C0C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465" w:type="dxa"/>
            <w:tcBorders>
              <w:top w:val="single" w:sz="4" w:space="0" w:color="000000"/>
              <w:left w:val="nil"/>
              <w:bottom w:val="single" w:sz="4" w:space="0" w:color="000000"/>
              <w:right w:val="single" w:sz="4" w:space="0" w:color="000000"/>
            </w:tcBorders>
            <w:shd w:val="clear" w:color="auto" w:fill="FF8080"/>
            <w:vAlign w:val="center"/>
          </w:tcPr>
          <w:p w:rsidR="00DC4C77" w:rsidRDefault="00515BE7">
            <w:pPr>
              <w:spacing w:after="0" w:line="240" w:lineRule="auto"/>
              <w:jc w:val="center"/>
              <w:rPr>
                <w:rFonts w:ascii="Arial" w:eastAsia="Arial" w:hAnsi="Arial" w:cs="Arial"/>
                <w:b/>
                <w:sz w:val="24"/>
                <w:szCs w:val="24"/>
              </w:rPr>
            </w:pPr>
            <w:r>
              <w:rPr>
                <w:rFonts w:ascii="Arial" w:eastAsia="Arial" w:hAnsi="Arial" w:cs="Arial"/>
                <w:b/>
                <w:sz w:val="24"/>
                <w:szCs w:val="24"/>
              </w:rPr>
              <w:t> </w:t>
            </w:r>
          </w:p>
        </w:tc>
        <w:tc>
          <w:tcPr>
            <w:tcW w:w="216" w:type="dxa"/>
            <w:tcBorders>
              <w:top w:val="nil"/>
              <w:left w:val="single" w:sz="4" w:space="0" w:color="000000"/>
              <w:bottom w:val="nil"/>
              <w:right w:val="single" w:sz="4" w:space="0" w:color="000000"/>
            </w:tcBorders>
            <w:shd w:val="clear" w:color="auto" w:fill="000000"/>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060" w:type="dxa"/>
            <w:tcBorders>
              <w:top w:val="nil"/>
              <w:left w:val="single" w:sz="8"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19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12"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gridSpan w:val="2"/>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9"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nil"/>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218"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01"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single" w:sz="4"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gridSpan w:val="2"/>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69"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DC4C77">
            <w:pPr>
              <w:spacing w:after="0" w:line="240" w:lineRule="auto"/>
              <w:jc w:val="center"/>
              <w:rPr>
                <w:rFonts w:ascii="Arial" w:eastAsia="Arial" w:hAnsi="Arial" w:cs="Arial"/>
                <w:sz w:val="24"/>
                <w:szCs w:val="24"/>
              </w:rPr>
            </w:pPr>
          </w:p>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x </w:t>
            </w:r>
          </w:p>
        </w:tc>
        <w:tc>
          <w:tcPr>
            <w:tcW w:w="356" w:type="dxa"/>
            <w:tcBorders>
              <w:top w:val="nil"/>
              <w:left w:val="nil"/>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gridSpan w:val="2"/>
            <w:tcBorders>
              <w:top w:val="nil"/>
              <w:left w:val="single" w:sz="4" w:space="0" w:color="000000"/>
              <w:bottom w:val="single" w:sz="4" w:space="0" w:color="000000"/>
              <w:right w:val="nil"/>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c>
          <w:tcPr>
            <w:tcW w:w="356" w:type="dxa"/>
            <w:tcBorders>
              <w:top w:val="nil"/>
              <w:left w:val="single" w:sz="4" w:space="0" w:color="000000"/>
              <w:bottom w:val="single" w:sz="4" w:space="0" w:color="000000"/>
              <w:right w:val="single" w:sz="8" w:space="0" w:color="000000"/>
            </w:tcBorders>
            <w:shd w:val="clear" w:color="auto" w:fill="auto"/>
            <w:vAlign w:val="center"/>
          </w:tcPr>
          <w:p w:rsidR="00DC4C77" w:rsidRDefault="00515BE7">
            <w:pPr>
              <w:spacing w:after="0" w:line="240" w:lineRule="auto"/>
              <w:jc w:val="center"/>
              <w:rPr>
                <w:rFonts w:ascii="Arial" w:eastAsia="Arial" w:hAnsi="Arial" w:cs="Arial"/>
                <w:sz w:val="24"/>
                <w:szCs w:val="24"/>
              </w:rPr>
            </w:pPr>
            <w:r>
              <w:rPr>
                <w:rFonts w:ascii="Arial" w:eastAsia="Arial" w:hAnsi="Arial" w:cs="Arial"/>
                <w:sz w:val="24"/>
                <w:szCs w:val="24"/>
              </w:rPr>
              <w:t> </w:t>
            </w:r>
          </w:p>
        </w:tc>
      </w:tr>
      <w:tr w:rsidR="00DC4C77" w:rsidTr="00FE1814">
        <w:trPr>
          <w:gridAfter w:val="51"/>
          <w:wAfter w:w="13710" w:type="dxa"/>
          <w:trHeight w:val="175"/>
        </w:trPr>
        <w:tc>
          <w:tcPr>
            <w:tcW w:w="1290" w:type="dxa"/>
            <w:tcBorders>
              <w:top w:val="single" w:sz="6" w:space="0" w:color="DDDDDD"/>
              <w:left w:val="single" w:sz="6" w:space="0" w:color="DDDDDD"/>
              <w:bottom w:val="single" w:sz="6" w:space="0" w:color="DDDDDD"/>
              <w:right w:val="single" w:sz="6" w:space="0" w:color="DDDDDD"/>
            </w:tcBorders>
            <w:shd w:val="clear" w:color="auto" w:fill="F3F3F3"/>
          </w:tcPr>
          <w:p w:rsidR="00DC4C77" w:rsidRDefault="00DC4C77">
            <w:pPr>
              <w:spacing w:line="240" w:lineRule="auto"/>
              <w:jc w:val="center"/>
              <w:rPr>
                <w:rFonts w:ascii="Arial" w:eastAsia="Arial" w:hAnsi="Arial" w:cs="Arial"/>
                <w:b/>
                <w:color w:val="222222"/>
                <w:sz w:val="24"/>
                <w:szCs w:val="24"/>
              </w:rPr>
            </w:pPr>
          </w:p>
        </w:tc>
        <w:tc>
          <w:tcPr>
            <w:tcW w:w="3774" w:type="dxa"/>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Presupuesto</w:t>
            </w:r>
          </w:p>
        </w:tc>
      </w:tr>
      <w:tr w:rsidR="00DC4C77" w:rsidTr="00FE1814">
        <w:trPr>
          <w:gridAfter w:val="51"/>
          <w:wAfter w:w="13710" w:type="dxa"/>
          <w:trHeight w:val="175"/>
        </w:trPr>
        <w:tc>
          <w:tcPr>
            <w:tcW w:w="1290" w:type="dxa"/>
            <w:tcBorders>
              <w:top w:val="single" w:sz="6" w:space="0" w:color="DDDDDD"/>
              <w:left w:val="single" w:sz="6" w:space="0" w:color="DDDDDD"/>
              <w:bottom w:val="single" w:sz="6" w:space="0" w:color="DDDDDD"/>
              <w:right w:val="single" w:sz="6" w:space="0" w:color="DDDDDD"/>
            </w:tcBorders>
            <w:shd w:val="clear" w:color="auto" w:fill="F3F3F3"/>
          </w:tcPr>
          <w:p w:rsidR="00DC4C77" w:rsidRDefault="00DC4C77">
            <w:pPr>
              <w:spacing w:line="240" w:lineRule="auto"/>
              <w:jc w:val="center"/>
              <w:rPr>
                <w:rFonts w:ascii="Arial" w:eastAsia="Arial" w:hAnsi="Arial" w:cs="Arial"/>
                <w:b/>
                <w:color w:val="222222"/>
                <w:sz w:val="24"/>
                <w:szCs w:val="24"/>
              </w:rPr>
            </w:pPr>
          </w:p>
        </w:tc>
        <w:tc>
          <w:tcPr>
            <w:tcW w:w="3774" w:type="dxa"/>
            <w:gridSpan w:val="5"/>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Horas nómina</w:t>
            </w:r>
          </w:p>
        </w:tc>
      </w:tr>
      <w:tr w:rsidR="00DC4C77" w:rsidTr="00FE1814">
        <w:trPr>
          <w:gridAfter w:val="51"/>
          <w:wAfter w:w="13712" w:type="dxa"/>
          <w:trHeight w:val="191"/>
        </w:trPr>
        <w:tc>
          <w:tcPr>
            <w:tcW w:w="1290"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Concepto</w:t>
            </w:r>
          </w:p>
        </w:tc>
        <w:tc>
          <w:tcPr>
            <w:tcW w:w="1429"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Nombre</w:t>
            </w:r>
          </w:p>
        </w:tc>
        <w:tc>
          <w:tcPr>
            <w:tcW w:w="602"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Escalafón</w:t>
            </w:r>
          </w:p>
        </w:tc>
        <w:tc>
          <w:tcPr>
            <w:tcW w:w="465"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Horas mes</w:t>
            </w:r>
          </w:p>
        </w:tc>
        <w:tc>
          <w:tcPr>
            <w:tcW w:w="216" w:type="dxa"/>
            <w:tcBorders>
              <w:top w:val="single" w:sz="6" w:space="0" w:color="DDDDDD"/>
              <w:left w:val="single" w:sz="6" w:space="0" w:color="DDDDDD"/>
              <w:bottom w:val="single" w:sz="6" w:space="0" w:color="DDDDDD"/>
              <w:right w:val="single" w:sz="6" w:space="0" w:color="DDDDDD"/>
            </w:tcBorders>
            <w:shd w:val="clear" w:color="auto" w:fill="F3F3F3"/>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Sede / Seccional o Externo</w:t>
            </w:r>
          </w:p>
        </w:tc>
        <w:tc>
          <w:tcPr>
            <w:tcW w:w="1060"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Total ($)</w:t>
            </w:r>
          </w:p>
        </w:tc>
      </w:tr>
      <w:tr w:rsidR="00DC4C77" w:rsidTr="00FE1814">
        <w:trPr>
          <w:gridAfter w:val="51"/>
          <w:wAfter w:w="13712" w:type="dxa"/>
          <w:trHeight w:val="366"/>
        </w:trPr>
        <w:tc>
          <w:tcPr>
            <w:tcW w:w="129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Horas Nomina (Investigador Principal)</w:t>
            </w:r>
          </w:p>
        </w:tc>
        <w:tc>
          <w:tcPr>
            <w:tcW w:w="142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Andrés Felipe Rivera Gómez</w:t>
            </w:r>
          </w:p>
        </w:tc>
        <w:tc>
          <w:tcPr>
            <w:tcW w:w="602"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3</w:t>
            </w:r>
          </w:p>
        </w:tc>
        <w:tc>
          <w:tcPr>
            <w:tcW w:w="46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60</w:t>
            </w:r>
          </w:p>
        </w:tc>
        <w:tc>
          <w:tcPr>
            <w:tcW w:w="216" w:type="dxa"/>
            <w:tcBorders>
              <w:top w:val="single" w:sz="6" w:space="0" w:color="DDDDDD"/>
              <w:left w:val="single" w:sz="6" w:space="0" w:color="DDDDDD"/>
              <w:bottom w:val="single" w:sz="6" w:space="0" w:color="DDDDDD"/>
              <w:right w:val="single" w:sz="6" w:space="0" w:color="DDDDDD"/>
            </w:tcBorders>
            <w:shd w:val="clear" w:color="auto" w:fill="FFFFFF"/>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Central</w:t>
            </w:r>
          </w:p>
        </w:tc>
        <w:tc>
          <w:tcPr>
            <w:tcW w:w="10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19´316.250</w:t>
            </w:r>
          </w:p>
        </w:tc>
      </w:tr>
      <w:tr w:rsidR="00DC4C77" w:rsidTr="00FE1814">
        <w:trPr>
          <w:gridAfter w:val="51"/>
          <w:wAfter w:w="13712" w:type="dxa"/>
          <w:trHeight w:val="191"/>
        </w:trPr>
        <w:tc>
          <w:tcPr>
            <w:tcW w:w="1290" w:type="dxa"/>
            <w:vMerge w:val="restart"/>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lastRenderedPageBreak/>
              <w:t>Horas Nomina (Co-Investigadores)</w:t>
            </w:r>
          </w:p>
        </w:tc>
        <w:tc>
          <w:tcPr>
            <w:tcW w:w="142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 xml:space="preserve">Elkin </w:t>
            </w:r>
            <w:proofErr w:type="spellStart"/>
            <w:r>
              <w:rPr>
                <w:rFonts w:ascii="Arial" w:eastAsia="Arial" w:hAnsi="Arial" w:cs="Arial"/>
                <w:color w:val="222222"/>
                <w:sz w:val="24"/>
                <w:szCs w:val="24"/>
              </w:rPr>
              <w:t>Aleixi</w:t>
            </w:r>
            <w:proofErr w:type="spellEnd"/>
            <w:r>
              <w:rPr>
                <w:rFonts w:ascii="Arial" w:eastAsia="Arial" w:hAnsi="Arial" w:cs="Arial"/>
                <w:color w:val="222222"/>
                <w:sz w:val="24"/>
                <w:szCs w:val="24"/>
              </w:rPr>
              <w:t xml:space="preserve"> Ballesteros Guerrero</w:t>
            </w:r>
          </w:p>
        </w:tc>
        <w:tc>
          <w:tcPr>
            <w:tcW w:w="602"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2</w:t>
            </w:r>
          </w:p>
        </w:tc>
        <w:tc>
          <w:tcPr>
            <w:tcW w:w="46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48</w:t>
            </w:r>
          </w:p>
        </w:tc>
        <w:tc>
          <w:tcPr>
            <w:tcW w:w="216" w:type="dxa"/>
            <w:tcBorders>
              <w:top w:val="single" w:sz="6" w:space="0" w:color="DDDDDD"/>
              <w:left w:val="single" w:sz="6" w:space="0" w:color="DDDDDD"/>
              <w:bottom w:val="single" w:sz="6" w:space="0" w:color="DDDDDD"/>
              <w:right w:val="single" w:sz="6" w:space="0" w:color="DDDDDD"/>
            </w:tcBorders>
            <w:shd w:val="clear" w:color="auto" w:fill="FFFFFF"/>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 xml:space="preserve">Central </w:t>
            </w:r>
          </w:p>
        </w:tc>
        <w:tc>
          <w:tcPr>
            <w:tcW w:w="10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12´873.000</w:t>
            </w:r>
          </w:p>
        </w:tc>
      </w:tr>
      <w:tr w:rsidR="00DC4C77" w:rsidTr="00FE1814">
        <w:trPr>
          <w:gridAfter w:val="51"/>
          <w:wAfter w:w="13712" w:type="dxa"/>
          <w:trHeight w:val="207"/>
        </w:trPr>
        <w:tc>
          <w:tcPr>
            <w:tcW w:w="1290" w:type="dxa"/>
            <w:vMerge/>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widowControl w:val="0"/>
              <w:pBdr>
                <w:top w:val="nil"/>
                <w:left w:val="nil"/>
                <w:bottom w:val="nil"/>
                <w:right w:val="nil"/>
                <w:between w:val="nil"/>
              </w:pBdr>
              <w:spacing w:after="0" w:line="276" w:lineRule="auto"/>
              <w:rPr>
                <w:rFonts w:ascii="Arial" w:eastAsia="Arial" w:hAnsi="Arial" w:cs="Arial"/>
                <w:color w:val="222222"/>
                <w:sz w:val="24"/>
                <w:szCs w:val="24"/>
              </w:rPr>
            </w:pPr>
          </w:p>
        </w:tc>
        <w:tc>
          <w:tcPr>
            <w:tcW w:w="142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 xml:space="preserve">Andrés Ricardo </w:t>
            </w:r>
            <w:proofErr w:type="spellStart"/>
            <w:r>
              <w:rPr>
                <w:rFonts w:ascii="Arial" w:eastAsia="Arial" w:hAnsi="Arial" w:cs="Arial"/>
                <w:color w:val="222222"/>
                <w:sz w:val="24"/>
                <w:szCs w:val="24"/>
              </w:rPr>
              <w:t>Inampués</w:t>
            </w:r>
            <w:proofErr w:type="spellEnd"/>
            <w:r>
              <w:rPr>
                <w:rFonts w:ascii="Arial" w:eastAsia="Arial" w:hAnsi="Arial" w:cs="Arial"/>
                <w:color w:val="222222"/>
                <w:sz w:val="24"/>
                <w:szCs w:val="24"/>
              </w:rPr>
              <w:t xml:space="preserve"> Borda</w:t>
            </w:r>
          </w:p>
        </w:tc>
        <w:tc>
          <w:tcPr>
            <w:tcW w:w="602"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3</w:t>
            </w:r>
          </w:p>
        </w:tc>
        <w:tc>
          <w:tcPr>
            <w:tcW w:w="46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40</w:t>
            </w:r>
          </w:p>
        </w:tc>
        <w:tc>
          <w:tcPr>
            <w:tcW w:w="216" w:type="dxa"/>
            <w:tcBorders>
              <w:top w:val="single" w:sz="6" w:space="0" w:color="DDDDDD"/>
              <w:left w:val="single" w:sz="6" w:space="0" w:color="DDDDDD"/>
              <w:bottom w:val="single" w:sz="6" w:space="0" w:color="DDDDDD"/>
              <w:right w:val="single" w:sz="6" w:space="0" w:color="DDDDDD"/>
            </w:tcBorders>
            <w:shd w:val="clear" w:color="auto" w:fill="FFFFFF"/>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Central</w:t>
            </w:r>
          </w:p>
        </w:tc>
        <w:tc>
          <w:tcPr>
            <w:tcW w:w="10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spacing w:after="0" w:line="240" w:lineRule="auto"/>
              <w:jc w:val="center"/>
              <w:rPr>
                <w:rFonts w:ascii="Arial" w:eastAsia="Arial" w:hAnsi="Arial" w:cs="Arial"/>
                <w:color w:val="222222"/>
                <w:sz w:val="24"/>
                <w:szCs w:val="24"/>
              </w:rPr>
            </w:pPr>
            <w:r>
              <w:rPr>
                <w:rFonts w:ascii="Arial" w:eastAsia="Arial" w:hAnsi="Arial" w:cs="Arial"/>
                <w:color w:val="222222"/>
                <w:sz w:val="24"/>
                <w:szCs w:val="24"/>
              </w:rPr>
              <w:t>12´877.500</w:t>
            </w:r>
          </w:p>
        </w:tc>
      </w:tr>
      <w:tr w:rsidR="00DC4C77" w:rsidTr="00FE1814">
        <w:trPr>
          <w:gridAfter w:val="51"/>
          <w:wAfter w:w="13712" w:type="dxa"/>
          <w:trHeight w:val="223"/>
        </w:trPr>
        <w:tc>
          <w:tcPr>
            <w:tcW w:w="1290" w:type="dxa"/>
            <w:vMerge/>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widowControl w:val="0"/>
              <w:pBdr>
                <w:top w:val="nil"/>
                <w:left w:val="nil"/>
                <w:bottom w:val="nil"/>
                <w:right w:val="nil"/>
                <w:between w:val="nil"/>
              </w:pBdr>
              <w:spacing w:after="0" w:line="276" w:lineRule="auto"/>
              <w:rPr>
                <w:rFonts w:ascii="Arial" w:eastAsia="Arial" w:hAnsi="Arial" w:cs="Arial"/>
                <w:color w:val="222222"/>
                <w:sz w:val="24"/>
                <w:szCs w:val="24"/>
              </w:rPr>
            </w:pPr>
          </w:p>
        </w:tc>
        <w:tc>
          <w:tcPr>
            <w:tcW w:w="142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c>
          <w:tcPr>
            <w:tcW w:w="602"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c>
          <w:tcPr>
            <w:tcW w:w="46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c>
          <w:tcPr>
            <w:tcW w:w="216" w:type="dxa"/>
            <w:tcBorders>
              <w:top w:val="single" w:sz="6" w:space="0" w:color="DDDDDD"/>
              <w:left w:val="single" w:sz="6" w:space="0" w:color="DDDDDD"/>
              <w:bottom w:val="single" w:sz="6" w:space="0" w:color="DDDDDD"/>
              <w:right w:val="single" w:sz="6" w:space="0" w:color="DDDDDD"/>
            </w:tcBorders>
            <w:shd w:val="clear" w:color="auto" w:fill="FFFFFF"/>
          </w:tcPr>
          <w:p w:rsidR="00DC4C77" w:rsidRDefault="00DC4C77">
            <w:pPr>
              <w:spacing w:after="0" w:line="240" w:lineRule="auto"/>
              <w:jc w:val="center"/>
              <w:rPr>
                <w:rFonts w:ascii="Arial" w:eastAsia="Arial" w:hAnsi="Arial" w:cs="Arial"/>
                <w:color w:val="222222"/>
                <w:sz w:val="24"/>
                <w:szCs w:val="24"/>
              </w:rPr>
            </w:pPr>
          </w:p>
        </w:tc>
        <w:tc>
          <w:tcPr>
            <w:tcW w:w="10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r>
      <w:tr w:rsidR="00DC4C77" w:rsidTr="00FE1814">
        <w:trPr>
          <w:gridAfter w:val="51"/>
          <w:wAfter w:w="13712" w:type="dxa"/>
          <w:trHeight w:val="207"/>
        </w:trPr>
        <w:tc>
          <w:tcPr>
            <w:tcW w:w="1290" w:type="dxa"/>
            <w:vMerge/>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widowControl w:val="0"/>
              <w:pBdr>
                <w:top w:val="nil"/>
                <w:left w:val="nil"/>
                <w:bottom w:val="nil"/>
                <w:right w:val="nil"/>
                <w:between w:val="nil"/>
              </w:pBdr>
              <w:spacing w:after="0" w:line="276" w:lineRule="auto"/>
              <w:rPr>
                <w:rFonts w:ascii="Arial" w:eastAsia="Arial" w:hAnsi="Arial" w:cs="Arial"/>
                <w:color w:val="222222"/>
                <w:sz w:val="24"/>
                <w:szCs w:val="24"/>
              </w:rPr>
            </w:pPr>
          </w:p>
        </w:tc>
        <w:tc>
          <w:tcPr>
            <w:tcW w:w="1429"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c>
          <w:tcPr>
            <w:tcW w:w="602"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c>
          <w:tcPr>
            <w:tcW w:w="465"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c>
          <w:tcPr>
            <w:tcW w:w="216" w:type="dxa"/>
            <w:tcBorders>
              <w:top w:val="single" w:sz="6" w:space="0" w:color="DDDDDD"/>
              <w:left w:val="single" w:sz="6" w:space="0" w:color="DDDDDD"/>
              <w:bottom w:val="single" w:sz="6" w:space="0" w:color="DDDDDD"/>
              <w:right w:val="single" w:sz="6" w:space="0" w:color="DDDDDD"/>
            </w:tcBorders>
            <w:shd w:val="clear" w:color="auto" w:fill="FFFFFF"/>
          </w:tcPr>
          <w:p w:rsidR="00DC4C77" w:rsidRDefault="00DC4C77">
            <w:pPr>
              <w:spacing w:after="0" w:line="240" w:lineRule="auto"/>
              <w:jc w:val="center"/>
              <w:rPr>
                <w:rFonts w:ascii="Arial" w:eastAsia="Arial" w:hAnsi="Arial" w:cs="Arial"/>
                <w:color w:val="222222"/>
                <w:sz w:val="24"/>
                <w:szCs w:val="24"/>
              </w:rPr>
            </w:pPr>
          </w:p>
        </w:tc>
        <w:tc>
          <w:tcPr>
            <w:tcW w:w="1060"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DC4C77">
            <w:pPr>
              <w:spacing w:after="0" w:line="240" w:lineRule="auto"/>
              <w:jc w:val="center"/>
              <w:rPr>
                <w:rFonts w:ascii="Arial" w:eastAsia="Arial" w:hAnsi="Arial" w:cs="Arial"/>
                <w:color w:val="222222"/>
                <w:sz w:val="24"/>
                <w:szCs w:val="24"/>
              </w:rPr>
            </w:pPr>
          </w:p>
        </w:tc>
      </w:tr>
    </w:tbl>
    <w:p w:rsidR="00DC4C77" w:rsidRDefault="00DC4C77">
      <w:pPr>
        <w:spacing w:after="0" w:line="240" w:lineRule="auto"/>
        <w:rPr>
          <w:rFonts w:ascii="Arial" w:eastAsia="Arial" w:hAnsi="Arial" w:cs="Arial"/>
          <w:sz w:val="24"/>
          <w:szCs w:val="24"/>
        </w:rPr>
      </w:pPr>
    </w:p>
    <w:p w:rsidR="00DC4C77" w:rsidRDefault="00DC4C77">
      <w:pPr>
        <w:spacing w:after="0" w:line="240" w:lineRule="auto"/>
        <w:rPr>
          <w:rFonts w:ascii="Arial" w:eastAsia="Arial" w:hAnsi="Arial" w:cs="Arial"/>
          <w:sz w:val="24"/>
          <w:szCs w:val="24"/>
        </w:rPr>
      </w:pPr>
    </w:p>
    <w:tbl>
      <w:tblPr>
        <w:tblStyle w:val="a9"/>
        <w:tblW w:w="147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1817"/>
        <w:gridCol w:w="7113"/>
        <w:gridCol w:w="992"/>
        <w:gridCol w:w="1843"/>
        <w:gridCol w:w="1570"/>
      </w:tblGrid>
      <w:tr w:rsidR="00DC4C77">
        <w:trPr>
          <w:trHeight w:val="360"/>
        </w:trPr>
        <w:tc>
          <w:tcPr>
            <w:tcW w:w="141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C4C77" w:rsidRDefault="00515BE7">
            <w:pPr>
              <w:ind w:left="-108" w:right="-108"/>
              <w:jc w:val="center"/>
              <w:rPr>
                <w:rFonts w:ascii="Arial" w:eastAsia="Arial" w:hAnsi="Arial" w:cs="Arial"/>
                <w:b/>
                <w:sz w:val="24"/>
                <w:szCs w:val="24"/>
              </w:rPr>
            </w:pPr>
            <w:r>
              <w:rPr>
                <w:rFonts w:ascii="Arial" w:eastAsia="Arial" w:hAnsi="Arial" w:cs="Arial"/>
                <w:b/>
                <w:sz w:val="24"/>
                <w:szCs w:val="24"/>
              </w:rPr>
              <w:t>FINANCIACIÓN</w:t>
            </w:r>
          </w:p>
        </w:tc>
        <w:tc>
          <w:tcPr>
            <w:tcW w:w="181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C4C77" w:rsidRDefault="00515BE7">
            <w:pPr>
              <w:jc w:val="center"/>
              <w:rPr>
                <w:rFonts w:ascii="Arial" w:eastAsia="Arial" w:hAnsi="Arial" w:cs="Arial"/>
                <w:b/>
                <w:sz w:val="24"/>
                <w:szCs w:val="24"/>
              </w:rPr>
            </w:pPr>
            <w:r>
              <w:rPr>
                <w:rFonts w:ascii="Arial" w:eastAsia="Arial" w:hAnsi="Arial" w:cs="Arial"/>
                <w:b/>
                <w:sz w:val="24"/>
                <w:szCs w:val="24"/>
              </w:rPr>
              <w:t>RECURSO</w:t>
            </w:r>
          </w:p>
        </w:tc>
        <w:tc>
          <w:tcPr>
            <w:tcW w:w="711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C4C77" w:rsidRDefault="00515BE7">
            <w:pPr>
              <w:jc w:val="center"/>
              <w:rPr>
                <w:rFonts w:ascii="Arial" w:eastAsia="Arial" w:hAnsi="Arial" w:cs="Arial"/>
                <w:b/>
                <w:sz w:val="24"/>
                <w:szCs w:val="24"/>
              </w:rPr>
            </w:pPr>
            <w:r>
              <w:rPr>
                <w:rFonts w:ascii="Arial" w:eastAsia="Arial" w:hAnsi="Arial" w:cs="Arial"/>
                <w:b/>
                <w:sz w:val="24"/>
                <w:szCs w:val="24"/>
              </w:rPr>
              <w:t>DESCRIPCIÓN</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Pr>
          <w:p w:rsidR="00DC4C77" w:rsidRDefault="00515BE7">
            <w:pPr>
              <w:jc w:val="center"/>
              <w:rPr>
                <w:rFonts w:ascii="Arial" w:eastAsia="Arial" w:hAnsi="Arial" w:cs="Arial"/>
                <w:b/>
                <w:color w:val="222222"/>
                <w:sz w:val="24"/>
                <w:szCs w:val="24"/>
              </w:rPr>
            </w:pPr>
            <w:r>
              <w:rPr>
                <w:rFonts w:ascii="Arial" w:eastAsia="Arial" w:hAnsi="Arial" w:cs="Arial"/>
                <w:b/>
                <w:color w:val="222222"/>
                <w:sz w:val="24"/>
                <w:szCs w:val="24"/>
              </w:rPr>
              <w:t>Valor partida</w:t>
            </w:r>
          </w:p>
        </w:tc>
        <w:tc>
          <w:tcPr>
            <w:tcW w:w="1843" w:type="dxa"/>
            <w:tcBorders>
              <w:top w:val="single" w:sz="4" w:space="0" w:color="000000"/>
              <w:left w:val="single" w:sz="4" w:space="0" w:color="000000"/>
              <w:bottom w:val="single" w:sz="4" w:space="0" w:color="000000"/>
              <w:right w:val="single" w:sz="4" w:space="0" w:color="000000"/>
            </w:tcBorders>
            <w:shd w:val="clear" w:color="auto" w:fill="F2F2F2"/>
          </w:tcPr>
          <w:p w:rsidR="00DC4C77" w:rsidRDefault="00515BE7">
            <w:pPr>
              <w:jc w:val="center"/>
              <w:rPr>
                <w:rFonts w:ascii="Arial" w:eastAsia="Arial" w:hAnsi="Arial" w:cs="Arial"/>
                <w:b/>
                <w:color w:val="222222"/>
                <w:sz w:val="24"/>
                <w:szCs w:val="24"/>
              </w:rPr>
            </w:pPr>
            <w:r>
              <w:rPr>
                <w:rFonts w:ascii="Arial" w:eastAsia="Arial" w:hAnsi="Arial" w:cs="Arial"/>
                <w:b/>
                <w:color w:val="222222"/>
                <w:sz w:val="24"/>
                <w:szCs w:val="24"/>
              </w:rPr>
              <w:t>Valor contrapartida (Externa)</w:t>
            </w:r>
          </w:p>
        </w:tc>
        <w:tc>
          <w:tcPr>
            <w:tcW w:w="157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DC4C77" w:rsidRDefault="00515BE7">
            <w:pPr>
              <w:jc w:val="center"/>
              <w:rPr>
                <w:rFonts w:ascii="Arial" w:eastAsia="Arial" w:hAnsi="Arial" w:cs="Arial"/>
                <w:b/>
                <w:color w:val="222222"/>
                <w:sz w:val="24"/>
                <w:szCs w:val="24"/>
              </w:rPr>
            </w:pPr>
            <w:r>
              <w:rPr>
                <w:rFonts w:ascii="Arial" w:eastAsia="Arial" w:hAnsi="Arial" w:cs="Arial"/>
                <w:b/>
                <w:color w:val="222222"/>
                <w:sz w:val="24"/>
                <w:szCs w:val="24"/>
              </w:rPr>
              <w:t>Total ($)</w:t>
            </w:r>
          </w:p>
        </w:tc>
      </w:tr>
      <w:tr w:rsidR="00DC4C77">
        <w:trPr>
          <w:trHeight w:val="360"/>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rsidR="00DC4C77" w:rsidRDefault="00515BE7">
            <w:pPr>
              <w:jc w:val="center"/>
              <w:rPr>
                <w:rFonts w:ascii="Arial" w:eastAsia="Arial" w:hAnsi="Arial" w:cs="Arial"/>
                <w:b/>
                <w:sz w:val="24"/>
                <w:szCs w:val="24"/>
              </w:rPr>
            </w:pPr>
            <w:r>
              <w:rPr>
                <w:rFonts w:ascii="Arial" w:eastAsia="Arial" w:hAnsi="Arial" w:cs="Arial"/>
                <w:b/>
                <w:sz w:val="24"/>
                <w:szCs w:val="24"/>
              </w:rPr>
              <w:t>RUBROS</w:t>
            </w: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Servicios Técnicos</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jc w:val="both"/>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Salidas de campo</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xml:space="preserve">Cuatro salidas correspondientes al transporte, hospedaje y alimentación al </w:t>
            </w:r>
            <w:r>
              <w:rPr>
                <w:rFonts w:ascii="Arial" w:eastAsia="Arial" w:hAnsi="Arial" w:cs="Arial"/>
                <w:color w:val="222222"/>
                <w:sz w:val="24"/>
                <w:szCs w:val="24"/>
              </w:rPr>
              <w:t xml:space="preserve">Instituto Técnico Integrado de Trinidad, Casanare. </w:t>
            </w:r>
            <w:r>
              <w:rPr>
                <w:rFonts w:ascii="Arial" w:eastAsia="Arial" w:hAnsi="Arial" w:cs="Arial"/>
                <w:sz w:val="24"/>
                <w:szCs w:val="24"/>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$ 7´000.000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Equipos</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jc w:val="both"/>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Materiales, insumos y software</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val="restart"/>
            <w:tcBorders>
              <w:top w:val="single" w:sz="4" w:space="0" w:color="000000"/>
              <w:left w:val="single" w:sz="4" w:space="0" w:color="000000"/>
              <w:bottom w:val="single" w:sz="4" w:space="0" w:color="000000"/>
              <w:right w:val="single" w:sz="4" w:space="0" w:color="000000"/>
            </w:tcBorders>
            <w:vAlign w:val="center"/>
          </w:tcPr>
          <w:p w:rsidR="00DC4C77" w:rsidRDefault="00515BE7">
            <w:pPr>
              <w:jc w:val="center"/>
              <w:rPr>
                <w:rFonts w:ascii="Arial" w:eastAsia="Arial" w:hAnsi="Arial" w:cs="Arial"/>
                <w:b/>
                <w:sz w:val="24"/>
                <w:szCs w:val="24"/>
              </w:rPr>
            </w:pPr>
            <w:r>
              <w:rPr>
                <w:rFonts w:ascii="Arial" w:eastAsia="Arial" w:hAnsi="Arial" w:cs="Arial"/>
                <w:b/>
                <w:sz w:val="24"/>
                <w:szCs w:val="24"/>
              </w:rPr>
              <w:t>BOLSAS</w:t>
            </w: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Papelería</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Fotocopias</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Material bibliográfico</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DC4C77">
            <w:pPr>
              <w:jc w:val="both"/>
              <w:rPr>
                <w:rFonts w:ascii="Arial" w:eastAsia="Arial" w:hAnsi="Arial" w:cs="Arial"/>
                <w:sz w:val="24"/>
                <w:szCs w:val="24"/>
              </w:rPr>
            </w:pP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Auxilio de transporte</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jc w:val="both"/>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 xml:space="preserve">Movilidad </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jc w:val="both"/>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413" w:type="dxa"/>
            <w:vMerge/>
            <w:tcBorders>
              <w:top w:val="single" w:sz="4" w:space="0" w:color="000000"/>
              <w:left w:val="single" w:sz="4" w:space="0" w:color="000000"/>
              <w:bottom w:val="single" w:sz="4" w:space="0" w:color="000000"/>
              <w:right w:val="single" w:sz="4" w:space="0" w:color="000000"/>
            </w:tcBorders>
            <w:vAlign w:val="center"/>
          </w:tcPr>
          <w:p w:rsidR="00DC4C77" w:rsidRDefault="00DC4C77">
            <w:pPr>
              <w:widowControl w:val="0"/>
              <w:pBdr>
                <w:top w:val="nil"/>
                <w:left w:val="nil"/>
                <w:bottom w:val="nil"/>
                <w:right w:val="nil"/>
                <w:between w:val="nil"/>
              </w:pBdr>
              <w:spacing w:line="276" w:lineRule="auto"/>
              <w:rPr>
                <w:rFonts w:ascii="Arial" w:eastAsia="Arial" w:hAnsi="Arial" w:cs="Arial"/>
                <w:sz w:val="24"/>
                <w:szCs w:val="24"/>
              </w:rPr>
            </w:pPr>
          </w:p>
        </w:tc>
        <w:tc>
          <w:tcPr>
            <w:tcW w:w="1817"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b/>
                <w:sz w:val="24"/>
                <w:szCs w:val="24"/>
              </w:rPr>
            </w:pPr>
            <w:r>
              <w:rPr>
                <w:rFonts w:ascii="Arial" w:eastAsia="Arial" w:hAnsi="Arial" w:cs="Arial"/>
                <w:b/>
                <w:sz w:val="24"/>
                <w:szCs w:val="24"/>
              </w:rPr>
              <w:t>Publicaciones (Artículos, proceso editorial y traducción)</w:t>
            </w:r>
          </w:p>
        </w:tc>
        <w:tc>
          <w:tcPr>
            <w:tcW w:w="7113" w:type="dxa"/>
            <w:tcBorders>
              <w:top w:val="single" w:sz="4" w:space="0" w:color="000000"/>
              <w:left w:val="single" w:sz="4" w:space="0" w:color="000000"/>
              <w:bottom w:val="single" w:sz="4" w:space="0" w:color="000000"/>
              <w:right w:val="single" w:sz="4" w:space="0" w:color="000000"/>
            </w:tcBorders>
            <w:vAlign w:val="center"/>
          </w:tcPr>
          <w:p w:rsidR="00DC4C77" w:rsidRDefault="00DC4C77">
            <w:pPr>
              <w:jc w:val="both"/>
              <w:rPr>
                <w:rFonts w:ascii="Arial" w:eastAsia="Arial" w:hAnsi="Arial" w:cs="Arial"/>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843" w:type="dxa"/>
            <w:tcBorders>
              <w:top w:val="single" w:sz="4" w:space="0" w:color="000000"/>
              <w:left w:val="single" w:sz="4" w:space="0" w:color="000000"/>
              <w:bottom w:val="single" w:sz="4" w:space="0" w:color="000000"/>
              <w:right w:val="single" w:sz="4" w:space="0" w:color="000000"/>
            </w:tcBorders>
          </w:tcPr>
          <w:p w:rsidR="00DC4C77" w:rsidRDefault="00DC4C77">
            <w:pPr>
              <w:jc w:val="both"/>
              <w:rPr>
                <w:rFonts w:ascii="Arial" w:eastAsia="Arial" w:hAnsi="Arial" w:cs="Arial"/>
                <w:sz w:val="24"/>
                <w:szCs w:val="24"/>
              </w:rPr>
            </w:pP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$ 0</w:t>
            </w:r>
          </w:p>
        </w:tc>
      </w:tr>
      <w:tr w:rsidR="00DC4C77">
        <w:trPr>
          <w:trHeight w:val="360"/>
        </w:trPr>
        <w:tc>
          <w:tcPr>
            <w:tcW w:w="13178" w:type="dxa"/>
            <w:gridSpan w:val="5"/>
            <w:tcBorders>
              <w:top w:val="single" w:sz="4" w:space="0" w:color="000000"/>
              <w:left w:val="single" w:sz="4" w:space="0" w:color="000000"/>
              <w:bottom w:val="single" w:sz="4" w:space="0" w:color="000000"/>
              <w:right w:val="single" w:sz="4" w:space="0" w:color="000000"/>
            </w:tcBorders>
            <w:vAlign w:val="center"/>
          </w:tcPr>
          <w:p w:rsidR="00DC4C77" w:rsidRDefault="00515BE7">
            <w:pPr>
              <w:jc w:val="right"/>
              <w:rPr>
                <w:rFonts w:ascii="Arial" w:eastAsia="Arial" w:hAnsi="Arial" w:cs="Arial"/>
                <w:sz w:val="24"/>
                <w:szCs w:val="24"/>
              </w:rPr>
            </w:pPr>
            <w:r>
              <w:rPr>
                <w:rFonts w:ascii="Arial" w:eastAsia="Arial" w:hAnsi="Arial" w:cs="Arial"/>
                <w:b/>
                <w:sz w:val="24"/>
                <w:szCs w:val="24"/>
              </w:rPr>
              <w:t>TOTAL DEL PROYECTO:</w:t>
            </w:r>
          </w:p>
        </w:tc>
        <w:tc>
          <w:tcPr>
            <w:tcW w:w="1570" w:type="dxa"/>
            <w:tcBorders>
              <w:top w:val="single" w:sz="4" w:space="0" w:color="000000"/>
              <w:left w:val="single" w:sz="4" w:space="0" w:color="000000"/>
              <w:bottom w:val="single" w:sz="4" w:space="0" w:color="000000"/>
              <w:right w:val="single" w:sz="4" w:space="0" w:color="000000"/>
            </w:tcBorders>
            <w:vAlign w:val="center"/>
          </w:tcPr>
          <w:p w:rsidR="00DC4C77" w:rsidRDefault="00515BE7">
            <w:pPr>
              <w:jc w:val="both"/>
              <w:rPr>
                <w:rFonts w:ascii="Arial" w:eastAsia="Arial" w:hAnsi="Arial" w:cs="Arial"/>
                <w:sz w:val="24"/>
                <w:szCs w:val="24"/>
              </w:rPr>
            </w:pPr>
            <w:r>
              <w:rPr>
                <w:rFonts w:ascii="Arial" w:eastAsia="Arial" w:hAnsi="Arial" w:cs="Arial"/>
                <w:sz w:val="24"/>
                <w:szCs w:val="24"/>
              </w:rPr>
              <w:t>52´066.750</w:t>
            </w:r>
          </w:p>
        </w:tc>
      </w:tr>
    </w:tbl>
    <w:p w:rsidR="00DC4C77" w:rsidRDefault="00DC4C77">
      <w:pPr>
        <w:spacing w:after="0" w:line="240" w:lineRule="auto"/>
        <w:rPr>
          <w:rFonts w:ascii="Arial" w:eastAsia="Arial" w:hAnsi="Arial" w:cs="Arial"/>
          <w:sz w:val="24"/>
          <w:szCs w:val="24"/>
        </w:rPr>
      </w:pPr>
      <w:bookmarkStart w:id="1" w:name="_heading=h.gjdgxs" w:colFirst="0" w:colLast="0"/>
      <w:bookmarkEnd w:id="1"/>
    </w:p>
    <w:tbl>
      <w:tblPr>
        <w:tblStyle w:val="aa"/>
        <w:tblW w:w="14983" w:type="dxa"/>
        <w:tblInd w:w="0" w:type="dxa"/>
        <w:tblLayout w:type="fixed"/>
        <w:tblLook w:val="0400" w:firstRow="0" w:lastRow="0" w:firstColumn="0" w:lastColumn="0" w:noHBand="0" w:noVBand="1"/>
      </w:tblPr>
      <w:tblGrid>
        <w:gridCol w:w="14983"/>
      </w:tblGrid>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3F3F3"/>
            <w:tcMar>
              <w:top w:w="15" w:type="dxa"/>
              <w:left w:w="15" w:type="dxa"/>
              <w:bottom w:w="15" w:type="dxa"/>
              <w:right w:w="15" w:type="dxa"/>
            </w:tcMar>
            <w:vAlign w:val="center"/>
          </w:tcPr>
          <w:p w:rsidR="00DC4C77" w:rsidRDefault="00515BE7">
            <w:pPr>
              <w:spacing w:line="240" w:lineRule="auto"/>
              <w:jc w:val="center"/>
              <w:rPr>
                <w:rFonts w:ascii="Arial" w:eastAsia="Arial" w:hAnsi="Arial" w:cs="Arial"/>
                <w:b/>
                <w:color w:val="222222"/>
                <w:sz w:val="24"/>
                <w:szCs w:val="24"/>
              </w:rPr>
            </w:pPr>
            <w:r>
              <w:rPr>
                <w:rFonts w:ascii="Arial" w:eastAsia="Arial" w:hAnsi="Arial" w:cs="Arial"/>
                <w:b/>
                <w:color w:val="222222"/>
                <w:sz w:val="24"/>
                <w:szCs w:val="24"/>
              </w:rPr>
              <w:t>Referencia bibliográficas</w:t>
            </w:r>
          </w:p>
        </w:tc>
      </w:tr>
      <w:tr w:rsidR="00DC4C77">
        <w:tc>
          <w:tcPr>
            <w:tcW w:w="14983" w:type="dxa"/>
            <w:tcBorders>
              <w:top w:val="single" w:sz="6" w:space="0" w:color="DDDDDD"/>
              <w:left w:val="single" w:sz="6" w:space="0" w:color="DDDDDD"/>
              <w:bottom w:val="single" w:sz="6" w:space="0" w:color="DDDDDD"/>
              <w:right w:val="single" w:sz="6" w:space="0" w:color="DDDDDD"/>
            </w:tcBorders>
            <w:shd w:val="clear" w:color="auto" w:fill="FFFFFF"/>
            <w:tcMar>
              <w:top w:w="15" w:type="dxa"/>
              <w:left w:w="15" w:type="dxa"/>
              <w:bottom w:w="15" w:type="dxa"/>
              <w:right w:w="15" w:type="dxa"/>
            </w:tcMar>
            <w:vAlign w:val="center"/>
          </w:tcPr>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sidRPr="007E2586">
              <w:rPr>
                <w:rFonts w:ascii="Arial" w:eastAsia="Arial" w:hAnsi="Arial" w:cs="Arial"/>
                <w:sz w:val="24"/>
                <w:szCs w:val="24"/>
                <w:lang w:val="pt-BR"/>
              </w:rPr>
              <w:t>Abiuso</w:t>
            </w:r>
            <w:proofErr w:type="spellEnd"/>
            <w:r w:rsidRPr="007E2586">
              <w:rPr>
                <w:rFonts w:ascii="Arial" w:eastAsia="Arial" w:hAnsi="Arial" w:cs="Arial"/>
                <w:sz w:val="24"/>
                <w:szCs w:val="24"/>
                <w:lang w:val="pt-BR"/>
              </w:rPr>
              <w:t xml:space="preserve">, F. L., &amp; </w:t>
            </w:r>
            <w:proofErr w:type="spellStart"/>
            <w:r w:rsidRPr="007E2586">
              <w:rPr>
                <w:rFonts w:ascii="Arial" w:eastAsia="Arial" w:hAnsi="Arial" w:cs="Arial"/>
                <w:sz w:val="24"/>
                <w:szCs w:val="24"/>
                <w:lang w:val="pt-BR"/>
              </w:rPr>
              <w:t>Kravetz</w:t>
            </w:r>
            <w:proofErr w:type="spellEnd"/>
            <w:r w:rsidRPr="007E2586">
              <w:rPr>
                <w:rFonts w:ascii="Arial" w:eastAsia="Arial" w:hAnsi="Arial" w:cs="Arial"/>
                <w:sz w:val="24"/>
                <w:szCs w:val="24"/>
                <w:lang w:val="pt-BR"/>
              </w:rPr>
              <w:t xml:space="preserve">, T. (2013). </w:t>
            </w:r>
            <w:r>
              <w:rPr>
                <w:rFonts w:ascii="Arial" w:eastAsia="Arial" w:hAnsi="Arial" w:cs="Arial"/>
                <w:sz w:val="24"/>
                <w:szCs w:val="24"/>
              </w:rPr>
              <w:t>La construcción social del otro: representaciones, discursos y mitos. Una mirada desde la institución educativa y judicial. In X Jornadas de Sociología. Facultad de Ciencias Sociales, Universidad de Buenos Aires.</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Acevedo, O., (2016). El corazón de las víctimas: aportes a la verdad para la reconciliación en Colombia, Bogotá, Editorial San Pablo.</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Acevedo, O., (2017). Episteme de la </w:t>
            </w:r>
            <w:proofErr w:type="spellStart"/>
            <w:r>
              <w:rPr>
                <w:rFonts w:ascii="Arial" w:eastAsia="Arial" w:hAnsi="Arial" w:cs="Arial"/>
                <w:sz w:val="24"/>
                <w:szCs w:val="24"/>
              </w:rPr>
              <w:t>victimidad</w:t>
            </w:r>
            <w:proofErr w:type="spellEnd"/>
            <w:r>
              <w:rPr>
                <w:rFonts w:ascii="Arial" w:eastAsia="Arial" w:hAnsi="Arial" w:cs="Arial"/>
                <w:sz w:val="24"/>
                <w:szCs w:val="24"/>
              </w:rPr>
              <w:t>: Reposicionar al sobreviviente y reparar a la víctima, Bogotá, Ediciones USTA.</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Aguilar, M., &amp; Castañón, N. (2014). PROPUESTA ACTIVIDADES Y ESTRATEGIAS PEDAGÓGICAS QUE PROMUEVAN UNA CULTURA DE PAZ Y CAPACIDAD DE RESOLUCIÓN DE CONFLICTOS EN INSTITUCIONES EDUCATIVAS VENEZOLANAS. Revista de comunicación de la SEECI, 83 - 94.</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Arias, A. M. (2015). Conversación sobre la paz: perspectivas y tensiones. Entrevista con Mario López Martínez. Revista Latinoamericana de Ciencias Sociales, Niñez y Juventud., 430 - 436.</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Baeza, M. A. (2011). Elementos básicos de una teoría fenomenológica de los imaginarios sociales. NUEVAS POSIBILIDADES, 31.</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Blair, Elsa (1995) “LA imagen del enemigo ¿un nuevo imaginario social? Estudios políticos, no. 6: 47-71.</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Benedetti, C., (2016). Entre la “integración” y la estigmatización: Construcciones de alteridad en un municipio del noroeste argentino. Revista Austral de Ciencias Sociales, pp. 43 - 60. </w:t>
            </w:r>
          </w:p>
          <w:p w:rsidR="00DC4C77" w:rsidRDefault="00515BE7">
            <w:pPr>
              <w:pBdr>
                <w:top w:val="nil"/>
                <w:left w:val="nil"/>
                <w:bottom w:val="nil"/>
                <w:right w:val="nil"/>
                <w:between w:val="nil"/>
              </w:pBdr>
              <w:spacing w:after="0" w:line="240" w:lineRule="auto"/>
              <w:rPr>
                <w:rFonts w:ascii="Arial" w:eastAsia="Arial" w:hAnsi="Arial" w:cs="Arial"/>
                <w:sz w:val="24"/>
                <w:szCs w:val="24"/>
                <w:highlight w:val="white"/>
              </w:rPr>
            </w:pPr>
            <w:r>
              <w:rPr>
                <w:rFonts w:ascii="Arial" w:eastAsia="Arial" w:hAnsi="Arial" w:cs="Arial"/>
                <w:sz w:val="24"/>
                <w:szCs w:val="24"/>
                <w:highlight w:val="white"/>
              </w:rPr>
              <w:t xml:space="preserve">Calderón, P. 2009.  Teoría de conflictos de Johan </w:t>
            </w:r>
            <w:proofErr w:type="spellStart"/>
            <w:r>
              <w:rPr>
                <w:rFonts w:ascii="Arial" w:eastAsia="Arial" w:hAnsi="Arial" w:cs="Arial"/>
                <w:sz w:val="24"/>
                <w:szCs w:val="24"/>
                <w:highlight w:val="white"/>
              </w:rPr>
              <w:t>Galtung</w:t>
            </w:r>
            <w:proofErr w:type="spellEnd"/>
            <w:r>
              <w:rPr>
                <w:rFonts w:ascii="Arial" w:eastAsia="Arial" w:hAnsi="Arial" w:cs="Arial"/>
                <w:sz w:val="24"/>
                <w:szCs w:val="24"/>
                <w:highlight w:val="white"/>
              </w:rPr>
              <w:t xml:space="preserve"> Revista de Paz y Conflictos, núm. 2, 2009, pp. 60-81 Universidad de Granada. Granada, España</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Carrasco, J. B. (2004). Una didáctica para hoy: cómo enseñar mejor. Ediciones </w:t>
            </w:r>
            <w:proofErr w:type="spellStart"/>
            <w:r>
              <w:rPr>
                <w:rFonts w:ascii="Arial" w:eastAsia="Arial" w:hAnsi="Arial" w:cs="Arial"/>
                <w:sz w:val="24"/>
                <w:szCs w:val="24"/>
              </w:rPr>
              <w:t>Rialp</w:t>
            </w:r>
            <w:proofErr w:type="spellEnd"/>
            <w:r>
              <w:rPr>
                <w:rFonts w:ascii="Arial" w:eastAsia="Arial" w:hAnsi="Arial" w:cs="Arial"/>
                <w:sz w:val="24"/>
                <w:szCs w:val="24"/>
              </w:rPr>
              <w:t>.</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Castoriadis</w:t>
            </w:r>
            <w:proofErr w:type="spellEnd"/>
            <w:r>
              <w:rPr>
                <w:rFonts w:ascii="Arial" w:eastAsia="Arial" w:hAnsi="Arial" w:cs="Arial"/>
                <w:sz w:val="24"/>
                <w:szCs w:val="24"/>
              </w:rPr>
              <w:t xml:space="preserve">, C., &amp; </w:t>
            </w:r>
            <w:proofErr w:type="spellStart"/>
            <w:r>
              <w:rPr>
                <w:rFonts w:ascii="Arial" w:eastAsia="Arial" w:hAnsi="Arial" w:cs="Arial"/>
                <w:sz w:val="24"/>
                <w:szCs w:val="24"/>
              </w:rPr>
              <w:t>Vicens</w:t>
            </w:r>
            <w:proofErr w:type="spellEnd"/>
            <w:r>
              <w:rPr>
                <w:rFonts w:ascii="Arial" w:eastAsia="Arial" w:hAnsi="Arial" w:cs="Arial"/>
                <w:sz w:val="24"/>
                <w:szCs w:val="24"/>
              </w:rPr>
              <w:t xml:space="preserve">, A. (1989). La institución imaginaria de la sociedad (Vol. 2, p. 34). Barcelona: </w:t>
            </w:r>
            <w:proofErr w:type="spellStart"/>
            <w:r>
              <w:rPr>
                <w:rFonts w:ascii="Arial" w:eastAsia="Arial" w:hAnsi="Arial" w:cs="Arial"/>
                <w:sz w:val="24"/>
                <w:szCs w:val="24"/>
              </w:rPr>
              <w:t>Tusquets</w:t>
            </w:r>
            <w:proofErr w:type="spellEnd"/>
            <w:r>
              <w:rPr>
                <w:rFonts w:ascii="Arial" w:eastAsia="Arial" w:hAnsi="Arial" w:cs="Arial"/>
                <w:sz w:val="24"/>
                <w:szCs w:val="24"/>
              </w:rPr>
              <w:t>.</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Castoriadis</w:t>
            </w:r>
            <w:proofErr w:type="spellEnd"/>
            <w:r>
              <w:rPr>
                <w:rFonts w:ascii="Arial" w:eastAsia="Arial" w:hAnsi="Arial" w:cs="Arial"/>
                <w:sz w:val="24"/>
                <w:szCs w:val="24"/>
              </w:rPr>
              <w:t>, C. (1997). El imaginario social instituyente. Zona erógena, 35(9).</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Castro, L. (2018). ¡DEJA DE CORRER! “LA RECONCILIACIÓN DESDE LAS VÍCTIMAS”, Comisión de Conciliación Nacional, Bogotá.</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Cegarra, J. (2012). Fundamentos teórico epistemológicos de los imaginarios sociales. Cinta de </w:t>
            </w:r>
            <w:proofErr w:type="spellStart"/>
            <w:r>
              <w:rPr>
                <w:rFonts w:ascii="Arial" w:eastAsia="Arial" w:hAnsi="Arial" w:cs="Arial"/>
                <w:sz w:val="24"/>
                <w:szCs w:val="24"/>
              </w:rPr>
              <w:t>moebio</w:t>
            </w:r>
            <w:proofErr w:type="spellEnd"/>
            <w:r>
              <w:rPr>
                <w:rFonts w:ascii="Arial" w:eastAsia="Arial" w:hAnsi="Arial" w:cs="Arial"/>
                <w:sz w:val="24"/>
                <w:szCs w:val="24"/>
              </w:rPr>
              <w:t>, (43), 01-13.</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Centro Nacional de Memoria Histórica (2018), La memoria nos abre camino. Balance metodológico del CNMH para el esclarecimiento histórico, Bogotá, CNMH.</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lastRenderedPageBreak/>
              <w:t>Centro Nacional de Memoria Histórica (2018), Sujetos victimizados y daños causados. Balance de la contribución del CNMH al esclarecimiento histórico, Bogotá, CNMH.</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Cerdas, E. (2015). Desafíos de la educación para la paz hacia la construcción de una cultura de paz. Revista Electrónica Educare, 135 - 154.</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Chevallard</w:t>
            </w:r>
            <w:proofErr w:type="spellEnd"/>
            <w:r>
              <w:rPr>
                <w:rFonts w:ascii="Arial" w:eastAsia="Arial" w:hAnsi="Arial" w:cs="Arial"/>
                <w:sz w:val="24"/>
                <w:szCs w:val="24"/>
              </w:rPr>
              <w:t>, Y. (1991). La transposición didáctica. Del saber sabio al saber enseñado, 3.</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Comisión de Conciliación Nacional (2018). 11 Claves de los Diálogos Pastorales: La Protección de la Dignidad Humana y de los Derechos Humanos por los Agentes de Pastoral desde la Iglesia Católica. Colombia, Comisión de Conciliación Nacional.</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Correa, C., (2013) Marcando al delincuente: Estigmatización, castigo y cumplimiento del derecho. Revista Mexicana de Sociología, pp. 287 - 311. </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Dasí</w:t>
            </w:r>
            <w:proofErr w:type="spellEnd"/>
            <w:r>
              <w:rPr>
                <w:rFonts w:ascii="Arial" w:eastAsia="Arial" w:hAnsi="Arial" w:cs="Arial"/>
                <w:sz w:val="24"/>
                <w:szCs w:val="24"/>
              </w:rPr>
              <w:t>, J. F. (2008). Gobernanza territorial para el desarrollo sostenible: estado de la cuestión y agenda. BAGE, (46).</w:t>
            </w:r>
          </w:p>
          <w:p w:rsidR="00DC4C77" w:rsidRDefault="00515BE7">
            <w:pPr>
              <w:spacing w:after="0" w:line="276" w:lineRule="auto"/>
              <w:jc w:val="both"/>
              <w:rPr>
                <w:rFonts w:ascii="Arial" w:eastAsia="Arial" w:hAnsi="Arial" w:cs="Arial"/>
                <w:sz w:val="24"/>
                <w:szCs w:val="24"/>
              </w:rPr>
            </w:pPr>
            <w:r>
              <w:rPr>
                <w:rFonts w:ascii="Arial" w:eastAsia="Arial" w:hAnsi="Arial" w:cs="Arial"/>
                <w:sz w:val="24"/>
                <w:szCs w:val="24"/>
              </w:rPr>
              <w:t>Eco, Humberto (2013) Construir al enemigo, selección de ensayos; Lumen, Barcelona.</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Ghiso</w:t>
            </w:r>
            <w:proofErr w:type="spellEnd"/>
            <w:r>
              <w:rPr>
                <w:rFonts w:ascii="Arial" w:eastAsia="Arial" w:hAnsi="Arial" w:cs="Arial"/>
                <w:sz w:val="24"/>
                <w:szCs w:val="24"/>
              </w:rPr>
              <w:t>, A. (29 de Mayo de 2013). centroderecursos.alboan.org. Obtenido de http://centroderecursos.alboan.org/ebooks/0000/0737/6_GHI_INV.pdf</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Jaqueira</w:t>
            </w:r>
            <w:proofErr w:type="spellEnd"/>
            <w:r>
              <w:rPr>
                <w:rFonts w:ascii="Arial" w:eastAsia="Arial" w:hAnsi="Arial" w:cs="Arial"/>
                <w:sz w:val="24"/>
                <w:szCs w:val="24"/>
              </w:rPr>
              <w:t xml:space="preserve">, A., </w:t>
            </w:r>
            <w:proofErr w:type="spellStart"/>
            <w:r>
              <w:rPr>
                <w:rFonts w:ascii="Arial" w:eastAsia="Arial" w:hAnsi="Arial" w:cs="Arial"/>
                <w:sz w:val="24"/>
                <w:szCs w:val="24"/>
              </w:rPr>
              <w:t>Lavega</w:t>
            </w:r>
            <w:proofErr w:type="spellEnd"/>
            <w:r>
              <w:rPr>
                <w:rFonts w:ascii="Arial" w:eastAsia="Arial" w:hAnsi="Arial" w:cs="Arial"/>
                <w:sz w:val="24"/>
                <w:szCs w:val="24"/>
              </w:rPr>
              <w:t xml:space="preserve">, P., &amp; al, F. L. (2014). Educando para la paz jugando: género y emociones en la práctica de juegos cooperativos competitivos. </w:t>
            </w:r>
            <w:proofErr w:type="spellStart"/>
            <w:r>
              <w:rPr>
                <w:rFonts w:ascii="Arial" w:eastAsia="Arial" w:hAnsi="Arial" w:cs="Arial"/>
                <w:sz w:val="24"/>
                <w:szCs w:val="24"/>
              </w:rPr>
              <w:t>Educatio</w:t>
            </w:r>
            <w:proofErr w:type="spellEnd"/>
            <w:r>
              <w:rPr>
                <w:rFonts w:ascii="Arial" w:eastAsia="Arial" w:hAnsi="Arial" w:cs="Arial"/>
                <w:sz w:val="24"/>
                <w:szCs w:val="24"/>
              </w:rPr>
              <w:t xml:space="preserve"> Siglo XXI, 15 - 32.</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Jaramillo, S. (2014). La paz territorial. Presentación en la Universidad de Harvard, Cambridge, MA, Estados Unidos, 13.</w:t>
            </w: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Medina, C. (2018) La conversión del enemigo en adversario político: del camino de la guerra hacia la democracia. En: Transición, democracia y paz. Alejo Vargas V. Editor. Bogotá. Universidad Nacional.</w:t>
            </w: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Morales, L. (2017). La Paz y la Protección Ambiental en Colombia. El Diálogo: Liderazgo para las Américas.</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Mouffe</w:t>
            </w:r>
            <w:proofErr w:type="spellEnd"/>
            <w:r>
              <w:rPr>
                <w:rFonts w:ascii="Arial" w:eastAsia="Arial" w:hAnsi="Arial" w:cs="Arial"/>
                <w:sz w:val="24"/>
                <w:szCs w:val="24"/>
              </w:rPr>
              <w:t>, C. (2014) Agonística: pensar el mundo políticamente. Buenos Aires. Fondo de Cultura Económica.</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Leal, A. Z. (2005). Didáctica, pedagogía y saber. Cooperativa Editorial Magisterio.</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Luján, H.  </w:t>
            </w:r>
            <w:proofErr w:type="spellStart"/>
            <w:r>
              <w:rPr>
                <w:rFonts w:ascii="Arial" w:eastAsia="Arial" w:hAnsi="Arial" w:cs="Arial"/>
                <w:sz w:val="24"/>
                <w:szCs w:val="24"/>
              </w:rPr>
              <w:t>Lins</w:t>
            </w:r>
            <w:proofErr w:type="spellEnd"/>
            <w:r>
              <w:rPr>
                <w:rFonts w:ascii="Arial" w:eastAsia="Arial" w:hAnsi="Arial" w:cs="Arial"/>
                <w:sz w:val="24"/>
                <w:szCs w:val="24"/>
              </w:rPr>
              <w:t xml:space="preserve"> e Silva; Rita de </w:t>
            </w:r>
            <w:proofErr w:type="spellStart"/>
            <w:r>
              <w:rPr>
                <w:rFonts w:ascii="Arial" w:eastAsia="Arial" w:hAnsi="Arial" w:cs="Arial"/>
                <w:sz w:val="24"/>
                <w:szCs w:val="24"/>
              </w:rPr>
              <w:t>Cassia</w:t>
            </w:r>
            <w:proofErr w:type="spellEnd"/>
            <w:proofErr w:type="gramStart"/>
            <w:r>
              <w:rPr>
                <w:rFonts w:ascii="Arial" w:eastAsia="Arial" w:hAnsi="Arial" w:cs="Arial"/>
                <w:sz w:val="24"/>
                <w:szCs w:val="24"/>
              </w:rPr>
              <w:t>.(</w:t>
            </w:r>
            <w:proofErr w:type="gramEnd"/>
            <w:r>
              <w:rPr>
                <w:rFonts w:ascii="Arial" w:eastAsia="Arial" w:hAnsi="Arial" w:cs="Arial"/>
                <w:sz w:val="24"/>
                <w:szCs w:val="24"/>
              </w:rPr>
              <w:t xml:space="preserve">2014) De enemigos a adversarios: la transformación del concepto de “lo político” de Carl Schmitt por Chantal </w:t>
            </w:r>
            <w:proofErr w:type="spellStart"/>
            <w:r>
              <w:rPr>
                <w:rFonts w:ascii="Arial" w:eastAsia="Arial" w:hAnsi="Arial" w:cs="Arial"/>
                <w:sz w:val="24"/>
                <w:szCs w:val="24"/>
              </w:rPr>
              <w:t>Mouffe</w:t>
            </w:r>
            <w:proofErr w:type="spellEnd"/>
            <w:r>
              <w:rPr>
                <w:rFonts w:ascii="Arial" w:eastAsia="Arial" w:hAnsi="Arial" w:cs="Arial"/>
                <w:sz w:val="24"/>
                <w:szCs w:val="24"/>
              </w:rPr>
              <w:t xml:space="preserve">. Andamios. Revista de investigación social. enero-abril, 83-102. Andamios. Recuperado de http:// </w:t>
            </w:r>
            <w:hyperlink r:id="rId18">
              <w:r>
                <w:rPr>
                  <w:rFonts w:ascii="Arial" w:eastAsia="Arial" w:hAnsi="Arial" w:cs="Arial"/>
                  <w:sz w:val="24"/>
                  <w:szCs w:val="24"/>
                  <w:u w:val="single"/>
                </w:rPr>
                <w:t>www.redalyc.org/articulo.oa?id=62832750005</w:t>
              </w:r>
            </w:hyperlink>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Museo casa de la memoria. (12 de Octubre de 2017). museocasadelamemoria.gov.co. Obtenido de https://www.museocasadelamemoria.gov.co/Exposiciones/gramaticas-la-paz-conflicto/</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Pascual, A. (11 de Julio de 2019). http://unescopaz.uprrp.edu. Obtenido de http://unescopaz.uprrp.edu/documentos/docs/educderechumpazcatedraUNESCO.pdf</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Pérez, R. (2018) I Foro por la Paz [Comunicación directa] Bogotá, USTA.</w:t>
            </w:r>
          </w:p>
          <w:p w:rsidR="00DC4C77" w:rsidRDefault="00515BE7">
            <w:pPr>
              <w:spacing w:after="0" w:line="240" w:lineRule="auto"/>
              <w:rPr>
                <w:rFonts w:ascii="Arial" w:eastAsia="Arial" w:hAnsi="Arial" w:cs="Arial"/>
                <w:sz w:val="24"/>
                <w:szCs w:val="24"/>
              </w:rPr>
            </w:pPr>
            <w:r>
              <w:rPr>
                <w:rFonts w:ascii="Arial" w:eastAsia="Arial" w:hAnsi="Arial" w:cs="Arial"/>
                <w:sz w:val="24"/>
                <w:szCs w:val="24"/>
              </w:rPr>
              <w:t xml:space="preserve">Pintos, J. L. (1995). Los imaginarios sociales: la nueva construcción de la realidad social. Editorial Sal </w:t>
            </w:r>
            <w:proofErr w:type="spellStart"/>
            <w:r>
              <w:rPr>
                <w:rFonts w:ascii="Arial" w:eastAsia="Arial" w:hAnsi="Arial" w:cs="Arial"/>
                <w:sz w:val="24"/>
                <w:szCs w:val="24"/>
              </w:rPr>
              <w:t>Terrae</w:t>
            </w:r>
            <w:proofErr w:type="spellEnd"/>
            <w:r>
              <w:rPr>
                <w:rFonts w:ascii="Arial" w:eastAsia="Arial" w:hAnsi="Arial" w:cs="Arial"/>
                <w:sz w:val="24"/>
                <w:szCs w:val="24"/>
              </w:rPr>
              <w:t>.</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Quezada, D., (2018). La gentrificación comercial y estigmatización a partir de la violencia. El caso del centro histórico, ciudad Juárez, Chihuahua (2009 - 2017), Revista de Urbanismo.</w:t>
            </w:r>
          </w:p>
          <w:p w:rsidR="00DC4C77" w:rsidRDefault="00515BE7">
            <w:pPr>
              <w:pBdr>
                <w:top w:val="nil"/>
                <w:left w:val="nil"/>
                <w:bottom w:val="nil"/>
                <w:right w:val="nil"/>
                <w:between w:val="nil"/>
              </w:pBdr>
              <w:spacing w:after="0" w:line="240" w:lineRule="auto"/>
              <w:rPr>
                <w:rFonts w:ascii="Arial" w:eastAsia="Arial" w:hAnsi="Arial" w:cs="Arial"/>
                <w:sz w:val="24"/>
                <w:szCs w:val="24"/>
              </w:rPr>
            </w:pPr>
            <w:proofErr w:type="spellStart"/>
            <w:r>
              <w:rPr>
                <w:rFonts w:ascii="Arial" w:eastAsia="Arial" w:hAnsi="Arial" w:cs="Arial"/>
                <w:sz w:val="24"/>
                <w:szCs w:val="24"/>
              </w:rPr>
              <w:t>Rededupaz</w:t>
            </w:r>
            <w:proofErr w:type="spellEnd"/>
            <w:r>
              <w:rPr>
                <w:rFonts w:ascii="Arial" w:eastAsia="Arial" w:hAnsi="Arial" w:cs="Arial"/>
                <w:sz w:val="24"/>
                <w:szCs w:val="24"/>
              </w:rPr>
              <w:t xml:space="preserve">. (11 de Julio de 2019). www.undp.org. Obtenido de </w:t>
            </w:r>
            <w:hyperlink r:id="rId19">
              <w:r>
                <w:rPr>
                  <w:rFonts w:ascii="Arial" w:eastAsia="Arial" w:hAnsi="Arial" w:cs="Arial"/>
                  <w:sz w:val="24"/>
                  <w:szCs w:val="24"/>
                  <w:u w:val="single"/>
                </w:rPr>
                <w:t>https://www.undp.org/content/dam/colombia/docs/Paz/undp-co-HacialaConstrucci%C3%B3nEduPaz-2017.pdf</w:t>
              </w:r>
            </w:hyperlink>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Restrepo, J. &amp; Bernal, A. (2014). La cuestión agraria. Bogotá: Colección </w:t>
            </w:r>
            <w:proofErr w:type="spellStart"/>
            <w:r>
              <w:rPr>
                <w:rFonts w:ascii="Arial" w:eastAsia="Arial" w:hAnsi="Arial" w:cs="Arial"/>
                <w:sz w:val="24"/>
                <w:szCs w:val="24"/>
              </w:rPr>
              <w:t>Penguin</w:t>
            </w:r>
            <w:proofErr w:type="spellEnd"/>
            <w:r>
              <w:rPr>
                <w:rFonts w:ascii="Arial" w:eastAsia="Arial" w:hAnsi="Arial" w:cs="Arial"/>
                <w:sz w:val="24"/>
                <w:szCs w:val="24"/>
              </w:rPr>
              <w:t>.</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lastRenderedPageBreak/>
              <w:t>Rodríguez, C., Rodríguez, F</w:t>
            </w:r>
            <w:proofErr w:type="gramStart"/>
            <w:r>
              <w:rPr>
                <w:rFonts w:ascii="Arial" w:eastAsia="Arial" w:hAnsi="Arial" w:cs="Arial"/>
                <w:sz w:val="24"/>
                <w:szCs w:val="24"/>
              </w:rPr>
              <w:t>,,</w:t>
            </w:r>
            <w:proofErr w:type="gramEnd"/>
            <w:r>
              <w:rPr>
                <w:rFonts w:ascii="Arial" w:eastAsia="Arial" w:hAnsi="Arial" w:cs="Arial"/>
                <w:sz w:val="24"/>
                <w:szCs w:val="24"/>
              </w:rPr>
              <w:t xml:space="preserve"> &amp; Duran H. (2017). La paz ambiental: retos y propuestas para el </w:t>
            </w:r>
            <w:proofErr w:type="spellStart"/>
            <w:r>
              <w:rPr>
                <w:rFonts w:ascii="Arial" w:eastAsia="Arial" w:hAnsi="Arial" w:cs="Arial"/>
                <w:sz w:val="24"/>
                <w:szCs w:val="24"/>
              </w:rPr>
              <w:t>posacuerdo</w:t>
            </w:r>
            <w:proofErr w:type="spellEnd"/>
            <w:r>
              <w:rPr>
                <w:rFonts w:ascii="Arial" w:eastAsia="Arial" w:hAnsi="Arial" w:cs="Arial"/>
                <w:sz w:val="24"/>
                <w:szCs w:val="24"/>
              </w:rPr>
              <w:t xml:space="preserve">. Centro de Estudios de Derecho, Justicia y Sociedad, </w:t>
            </w:r>
            <w:proofErr w:type="spellStart"/>
            <w:r>
              <w:rPr>
                <w:rFonts w:ascii="Arial" w:eastAsia="Arial" w:hAnsi="Arial" w:cs="Arial"/>
                <w:sz w:val="24"/>
                <w:szCs w:val="24"/>
              </w:rPr>
              <w:t>DeJusticia</w:t>
            </w:r>
            <w:proofErr w:type="spellEnd"/>
            <w:r>
              <w:rPr>
                <w:rFonts w:ascii="Arial" w:eastAsia="Arial" w:hAnsi="Arial" w:cs="Arial"/>
                <w:sz w:val="24"/>
                <w:szCs w:val="24"/>
              </w:rPr>
              <w:t xml:space="preserve">: </w:t>
            </w:r>
            <w:proofErr w:type="spellStart"/>
            <w:r>
              <w:rPr>
                <w:rFonts w:ascii="Arial" w:eastAsia="Arial" w:hAnsi="Arial" w:cs="Arial"/>
                <w:sz w:val="24"/>
                <w:szCs w:val="24"/>
              </w:rPr>
              <w:t>Antropos</w:t>
            </w:r>
            <w:proofErr w:type="spellEnd"/>
            <w:r>
              <w:rPr>
                <w:rFonts w:ascii="Arial" w:eastAsia="Arial" w:hAnsi="Arial" w:cs="Arial"/>
                <w:sz w:val="24"/>
                <w:szCs w:val="24"/>
              </w:rPr>
              <w:t>.</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Santillán, A., (2017). El sentir frente a la estigmatización territorial, Revista INVI, pp. 189 - 210</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Tobón, S. (2005). Formación basada en competencias: Pensamiento complejo, diseño curricular y didáctica. </w:t>
            </w:r>
            <w:proofErr w:type="spellStart"/>
            <w:r>
              <w:rPr>
                <w:rFonts w:ascii="Arial" w:eastAsia="Arial" w:hAnsi="Arial" w:cs="Arial"/>
                <w:sz w:val="24"/>
                <w:szCs w:val="24"/>
              </w:rPr>
              <w:t>Ecoe</w:t>
            </w:r>
            <w:proofErr w:type="spellEnd"/>
            <w:r>
              <w:rPr>
                <w:rFonts w:ascii="Arial" w:eastAsia="Arial" w:hAnsi="Arial" w:cs="Arial"/>
                <w:sz w:val="24"/>
                <w:szCs w:val="24"/>
              </w:rPr>
              <w:t xml:space="preserve"> ediciones.</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Vargas, G. A., &amp; de Mendoza, R. H. (2017). Los retos de la “paz territorial”. 48 preguntas sobre la construcción de paz en Colombia: Una agenda de investigación aplicada.</w:t>
            </w:r>
          </w:p>
          <w:p w:rsidR="00DC4C77" w:rsidRDefault="00515BE7">
            <w:pPr>
              <w:pBdr>
                <w:top w:val="nil"/>
                <w:left w:val="nil"/>
                <w:bottom w:val="nil"/>
                <w:right w:val="nil"/>
                <w:between w:val="nil"/>
              </w:pBdr>
              <w:spacing w:after="0" w:line="240" w:lineRule="auto"/>
              <w:rPr>
                <w:rFonts w:ascii="Arial" w:eastAsia="Arial" w:hAnsi="Arial" w:cs="Arial"/>
                <w:sz w:val="24"/>
                <w:szCs w:val="24"/>
              </w:rPr>
            </w:pPr>
            <w:r>
              <w:rPr>
                <w:rFonts w:ascii="Arial" w:eastAsia="Arial" w:hAnsi="Arial" w:cs="Arial"/>
                <w:sz w:val="24"/>
                <w:szCs w:val="24"/>
              </w:rPr>
              <w:t xml:space="preserve">Zuluaga, O. L. (2014) Pedagogía e historia: la historicidad de la pedagogía, la enseñanza, Un objeto de saber Editores, </w:t>
            </w:r>
            <w:proofErr w:type="spellStart"/>
            <w:r>
              <w:rPr>
                <w:rFonts w:ascii="Arial" w:eastAsia="Arial" w:hAnsi="Arial" w:cs="Arial"/>
                <w:sz w:val="24"/>
                <w:szCs w:val="24"/>
              </w:rPr>
              <w:t>Anthropos</w:t>
            </w:r>
            <w:proofErr w:type="spellEnd"/>
            <w:r>
              <w:rPr>
                <w:rFonts w:ascii="Arial" w:eastAsia="Arial" w:hAnsi="Arial" w:cs="Arial"/>
                <w:sz w:val="24"/>
                <w:szCs w:val="24"/>
              </w:rPr>
              <w:t>, Editorial Universidad de Antioquia</w:t>
            </w:r>
          </w:p>
        </w:tc>
      </w:tr>
    </w:tbl>
    <w:p w:rsidR="00DC4C77" w:rsidRDefault="00DC4C77">
      <w:pPr>
        <w:spacing w:after="0" w:line="240" w:lineRule="auto"/>
        <w:rPr>
          <w:rFonts w:ascii="Arial" w:eastAsia="Arial" w:hAnsi="Arial" w:cs="Arial"/>
          <w:sz w:val="24"/>
          <w:szCs w:val="24"/>
        </w:rPr>
      </w:pPr>
    </w:p>
    <w:tbl>
      <w:tblPr>
        <w:tblStyle w:val="ab"/>
        <w:tblW w:w="768" w:type="dxa"/>
        <w:tblInd w:w="8" w:type="dxa"/>
        <w:tblLayout w:type="fixed"/>
        <w:tblLook w:val="0400" w:firstRow="0" w:lastRow="0" w:firstColumn="0" w:lastColumn="0" w:noHBand="0" w:noVBand="1"/>
      </w:tblPr>
      <w:tblGrid>
        <w:gridCol w:w="768"/>
      </w:tblGrid>
      <w:tr w:rsidR="00DC4C77">
        <w:tc>
          <w:tcPr>
            <w:tcW w:w="768" w:type="dxa"/>
            <w:shd w:val="clear" w:color="auto" w:fill="FFFFFF"/>
            <w:tcMar>
              <w:top w:w="15" w:type="dxa"/>
              <w:left w:w="15" w:type="dxa"/>
              <w:bottom w:w="15" w:type="dxa"/>
              <w:right w:w="15" w:type="dxa"/>
            </w:tcMar>
            <w:vAlign w:val="center"/>
          </w:tcPr>
          <w:p w:rsidR="00DC4C77" w:rsidRDefault="00DC4C77">
            <w:pPr>
              <w:spacing w:after="0"/>
              <w:rPr>
                <w:rFonts w:ascii="Arial" w:eastAsia="Arial" w:hAnsi="Arial" w:cs="Arial"/>
                <w:sz w:val="24"/>
                <w:szCs w:val="24"/>
              </w:rPr>
            </w:pPr>
          </w:p>
        </w:tc>
      </w:tr>
    </w:tbl>
    <w:p w:rsidR="00DC4C77" w:rsidRDefault="00DC4C77">
      <w:pPr>
        <w:rPr>
          <w:rFonts w:ascii="Arial" w:eastAsia="Arial" w:hAnsi="Arial" w:cs="Arial"/>
          <w:b/>
          <w:sz w:val="24"/>
          <w:szCs w:val="24"/>
        </w:rPr>
      </w:pPr>
    </w:p>
    <w:sectPr w:rsidR="00DC4C77" w:rsidSect="007E2586">
      <w:headerReference w:type="even" r:id="rId20"/>
      <w:headerReference w:type="default" r:id="rId21"/>
      <w:footerReference w:type="default" r:id="rId22"/>
      <w:headerReference w:type="first" r:id="rId23"/>
      <w:footerReference w:type="first" r:id="rId24"/>
      <w:pgSz w:w="20160" w:h="12240" w:orient="landscape" w:code="5"/>
      <w:pgMar w:top="567" w:right="567" w:bottom="567" w:left="567" w:header="709" w:footer="709"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04CD" w:rsidRDefault="00C404CD">
      <w:pPr>
        <w:spacing w:after="0" w:line="240" w:lineRule="auto"/>
      </w:pPr>
      <w:r>
        <w:separator/>
      </w:r>
    </w:p>
  </w:endnote>
  <w:endnote w:type="continuationSeparator" w:id="0">
    <w:p w:rsidR="00C404CD" w:rsidRDefault="00C40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86" w:rsidRDefault="007E2586">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0288" behindDoc="0" locked="0" layoutInCell="1" hidden="0" allowOverlap="1">
          <wp:simplePos x="0" y="0"/>
          <wp:positionH relativeFrom="column">
            <wp:posOffset>2107981</wp:posOffset>
          </wp:positionH>
          <wp:positionV relativeFrom="paragraph">
            <wp:posOffset>-222709</wp:posOffset>
          </wp:positionV>
          <wp:extent cx="5748834" cy="761478"/>
          <wp:effectExtent l="0" t="0" r="0" b="0"/>
          <wp:wrapNone/>
          <wp:docPr id="61" name="image1.jpg" descr="Comunicaciones:Comunicaciones USTA:3.Comunicaciones Institucionales:1. Comunicacion Interna:2018:Solicitudes:ST548-2018 Hoja Membrete Actualizada:Pieza:ST548–2018 Membrete 23 octubre-01.jpg"/>
          <wp:cNvGraphicFramePr/>
          <a:graphic xmlns:a="http://schemas.openxmlformats.org/drawingml/2006/main">
            <a:graphicData uri="http://schemas.openxmlformats.org/drawingml/2006/picture">
              <pic:pic xmlns:pic="http://schemas.openxmlformats.org/drawingml/2006/picture">
                <pic:nvPicPr>
                  <pic:cNvPr id="0" name="image1.jpg" descr="Comunicaciones:Comunicaciones USTA:3.Comunicaciones Institucionales:1. Comunicacion Interna:2018:Solicitudes:ST548-2018 Hoja Membrete Actualizada:Pieza:ST548–2018 Membrete 23 octubre-01.jpg"/>
                  <pic:cNvPicPr preferRelativeResize="0"/>
                </pic:nvPicPr>
                <pic:blipFill>
                  <a:blip r:embed="rId1"/>
                  <a:srcRect/>
                  <a:stretch>
                    <a:fillRect/>
                  </a:stretch>
                </pic:blipFill>
                <pic:spPr>
                  <a:xfrm>
                    <a:off x="0" y="0"/>
                    <a:ext cx="5748834" cy="761478"/>
                  </a:xfrm>
                  <a:prstGeom prst="rect">
                    <a:avLst/>
                  </a:prstGeom>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86" w:rsidRDefault="007E2586">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1312" behindDoc="0" locked="0" layoutInCell="1" hidden="0" allowOverlap="1">
          <wp:simplePos x="0" y="0"/>
          <wp:positionH relativeFrom="column">
            <wp:posOffset>2040254</wp:posOffset>
          </wp:positionH>
          <wp:positionV relativeFrom="paragraph">
            <wp:posOffset>-216533</wp:posOffset>
          </wp:positionV>
          <wp:extent cx="5748834" cy="761478"/>
          <wp:effectExtent l="0" t="0" r="0" b="0"/>
          <wp:wrapNone/>
          <wp:docPr id="58" name="image1.jpg" descr="Comunicaciones:Comunicaciones USTA:3.Comunicaciones Institucionales:1. Comunicacion Interna:2018:Solicitudes:ST548-2018 Hoja Membrete Actualizada:Pieza:ST548–2018 Membrete 23 octubre-01.jpg"/>
          <wp:cNvGraphicFramePr/>
          <a:graphic xmlns:a="http://schemas.openxmlformats.org/drawingml/2006/main">
            <a:graphicData uri="http://schemas.openxmlformats.org/drawingml/2006/picture">
              <pic:pic xmlns:pic="http://schemas.openxmlformats.org/drawingml/2006/picture">
                <pic:nvPicPr>
                  <pic:cNvPr id="0" name="image1.jpg" descr="Comunicaciones:Comunicaciones USTA:3.Comunicaciones Institucionales:1. Comunicacion Interna:2018:Solicitudes:ST548-2018 Hoja Membrete Actualizada:Pieza:ST548–2018 Membrete 23 octubre-01.jpg"/>
                  <pic:cNvPicPr preferRelativeResize="0"/>
                </pic:nvPicPr>
                <pic:blipFill>
                  <a:blip r:embed="rId1"/>
                  <a:srcRect/>
                  <a:stretch>
                    <a:fillRect/>
                  </a:stretch>
                </pic:blipFill>
                <pic:spPr>
                  <a:xfrm>
                    <a:off x="0" y="0"/>
                    <a:ext cx="5748834" cy="761478"/>
                  </a:xfrm>
                  <a:prstGeom prst="rect">
                    <a:avLst/>
                  </a:prstGeom>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04CD" w:rsidRDefault="00C404CD">
      <w:pPr>
        <w:spacing w:after="0" w:line="240" w:lineRule="auto"/>
      </w:pPr>
      <w:r>
        <w:separator/>
      </w:r>
    </w:p>
  </w:footnote>
  <w:footnote w:type="continuationSeparator" w:id="0">
    <w:p w:rsidR="00C404CD" w:rsidRDefault="00C404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86" w:rsidRDefault="007E2586">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86" w:rsidRDefault="007E2586">
    <w:pPr>
      <w:pBdr>
        <w:top w:val="nil"/>
        <w:left w:val="nil"/>
        <w:bottom w:val="nil"/>
        <w:right w:val="nil"/>
        <w:between w:val="nil"/>
      </w:pBdr>
      <w:tabs>
        <w:tab w:val="center" w:pos="4419"/>
        <w:tab w:val="right" w:pos="8838"/>
      </w:tabs>
      <w:spacing w:after="0" w:line="240" w:lineRule="auto"/>
      <w:jc w:val="right"/>
      <w:rPr>
        <w:color w:val="000000"/>
        <w:sz w:val="14"/>
        <w:szCs w:val="14"/>
      </w:rPr>
    </w:pPr>
    <w:r>
      <w:rPr>
        <w:noProof/>
      </w:rPr>
      <w:drawing>
        <wp:anchor distT="0" distB="0" distL="114300" distR="114300" simplePos="0" relativeHeight="251658240" behindDoc="0" locked="0" layoutInCell="1" hidden="0" allowOverlap="1">
          <wp:simplePos x="0" y="0"/>
          <wp:positionH relativeFrom="column">
            <wp:posOffset>1860331</wp:posOffset>
          </wp:positionH>
          <wp:positionV relativeFrom="paragraph">
            <wp:posOffset>-456389</wp:posOffset>
          </wp:positionV>
          <wp:extent cx="5908040" cy="917196"/>
          <wp:effectExtent l="0" t="0" r="0" b="0"/>
          <wp:wrapNone/>
          <wp:docPr id="60" name="image2.png" descr="Macintosh HD:Users:angelicafernandasierrapolanco:Desktop:membrete4oct-02.png"/>
          <wp:cNvGraphicFramePr/>
          <a:graphic xmlns:a="http://schemas.openxmlformats.org/drawingml/2006/main">
            <a:graphicData uri="http://schemas.openxmlformats.org/drawingml/2006/picture">
              <pic:pic xmlns:pic="http://schemas.openxmlformats.org/drawingml/2006/picture">
                <pic:nvPicPr>
                  <pic:cNvPr id="0" name="image2.png" descr="Macintosh HD:Users:angelicafernandasierrapolanco:Desktop:membrete4oct-02.png"/>
                  <pic:cNvPicPr preferRelativeResize="0"/>
                </pic:nvPicPr>
                <pic:blipFill>
                  <a:blip r:embed="rId1"/>
                  <a:srcRect/>
                  <a:stretch>
                    <a:fillRect/>
                  </a:stretch>
                </pic:blipFill>
                <pic:spPr>
                  <a:xfrm>
                    <a:off x="0" y="0"/>
                    <a:ext cx="5908040" cy="917196"/>
                  </a:xfrm>
                  <a:prstGeom prst="rect">
                    <a:avLst/>
                  </a:prstGeom>
                  <a:ln/>
                </pic:spPr>
              </pic:pic>
            </a:graphicData>
          </a:graphic>
        </wp:anchor>
      </w:drawing>
    </w:r>
  </w:p>
  <w:p w:rsidR="007E2586" w:rsidRDefault="007E2586">
    <w:pPr>
      <w:pBdr>
        <w:top w:val="nil"/>
        <w:left w:val="nil"/>
        <w:bottom w:val="nil"/>
        <w:right w:val="nil"/>
        <w:between w:val="nil"/>
      </w:pBdr>
      <w:tabs>
        <w:tab w:val="center" w:pos="4419"/>
        <w:tab w:val="right" w:pos="8838"/>
      </w:tabs>
      <w:spacing w:after="0" w:line="240" w:lineRule="auto"/>
      <w:jc w:val="right"/>
      <w:rPr>
        <w:color w:val="000000"/>
        <w:sz w:val="14"/>
        <w:szCs w:val="14"/>
      </w:rPr>
    </w:pPr>
  </w:p>
  <w:p w:rsidR="007E2586" w:rsidRDefault="007E2586">
    <w:pPr>
      <w:pBdr>
        <w:top w:val="nil"/>
        <w:left w:val="nil"/>
        <w:bottom w:val="nil"/>
        <w:right w:val="nil"/>
        <w:between w:val="nil"/>
      </w:pBdr>
      <w:tabs>
        <w:tab w:val="center" w:pos="4419"/>
        <w:tab w:val="right" w:pos="8838"/>
      </w:tabs>
      <w:spacing w:after="0" w:line="240" w:lineRule="auto"/>
      <w:jc w:val="right"/>
      <w:rPr>
        <w:color w:val="000000"/>
        <w:sz w:val="14"/>
        <w:szCs w:val="14"/>
      </w:rPr>
    </w:pPr>
    <w:r>
      <w:rPr>
        <w:color w:val="000000"/>
        <w:sz w:val="14"/>
        <w:szCs w:val="14"/>
      </w:rPr>
      <w:t xml:space="preserve">Página </w:t>
    </w:r>
    <w:r>
      <w:rPr>
        <w:b/>
        <w:color w:val="000000"/>
        <w:sz w:val="14"/>
        <w:szCs w:val="14"/>
      </w:rPr>
      <w:fldChar w:fldCharType="begin"/>
    </w:r>
    <w:r>
      <w:rPr>
        <w:b/>
        <w:color w:val="000000"/>
        <w:sz w:val="14"/>
        <w:szCs w:val="14"/>
      </w:rPr>
      <w:instrText>PAGE</w:instrText>
    </w:r>
    <w:r>
      <w:rPr>
        <w:b/>
        <w:color w:val="000000"/>
        <w:sz w:val="14"/>
        <w:szCs w:val="14"/>
      </w:rPr>
      <w:fldChar w:fldCharType="separate"/>
    </w:r>
    <w:r w:rsidR="00604772">
      <w:rPr>
        <w:b/>
        <w:noProof/>
        <w:color w:val="000000"/>
        <w:sz w:val="14"/>
        <w:szCs w:val="14"/>
      </w:rPr>
      <w:t>18</w:t>
    </w:r>
    <w:r>
      <w:rPr>
        <w:b/>
        <w:color w:val="000000"/>
        <w:sz w:val="14"/>
        <w:szCs w:val="14"/>
      </w:rPr>
      <w:fldChar w:fldCharType="end"/>
    </w:r>
    <w:r>
      <w:rPr>
        <w:color w:val="000000"/>
        <w:sz w:val="14"/>
        <w:szCs w:val="14"/>
      </w:rPr>
      <w:t xml:space="preserve"> de </w:t>
    </w:r>
    <w:r>
      <w:rPr>
        <w:b/>
        <w:color w:val="000000"/>
        <w:sz w:val="14"/>
        <w:szCs w:val="14"/>
      </w:rPr>
      <w:fldChar w:fldCharType="begin"/>
    </w:r>
    <w:r>
      <w:rPr>
        <w:b/>
        <w:color w:val="000000"/>
        <w:sz w:val="14"/>
        <w:szCs w:val="14"/>
      </w:rPr>
      <w:instrText>NUMPAGES</w:instrText>
    </w:r>
    <w:r>
      <w:rPr>
        <w:b/>
        <w:color w:val="000000"/>
        <w:sz w:val="14"/>
        <w:szCs w:val="14"/>
      </w:rPr>
      <w:fldChar w:fldCharType="separate"/>
    </w:r>
    <w:r w:rsidR="00604772">
      <w:rPr>
        <w:b/>
        <w:noProof/>
        <w:color w:val="000000"/>
        <w:sz w:val="14"/>
        <w:szCs w:val="14"/>
      </w:rPr>
      <w:t>18</w:t>
    </w:r>
    <w:r>
      <w:rPr>
        <w:b/>
        <w:color w:val="000000"/>
        <w:sz w:val="14"/>
        <w:szCs w:val="1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586" w:rsidRDefault="007E2586">
    <w:pPr>
      <w:spacing w:after="0" w:line="240" w:lineRule="auto"/>
      <w:jc w:val="center"/>
    </w:pPr>
    <w:r>
      <w:rPr>
        <w:noProof/>
      </w:rPr>
      <w:drawing>
        <wp:anchor distT="0" distB="0" distL="114300" distR="114300" simplePos="0" relativeHeight="251659264" behindDoc="0" locked="0" layoutInCell="1" hidden="0" allowOverlap="1">
          <wp:simplePos x="0" y="0"/>
          <wp:positionH relativeFrom="column">
            <wp:posOffset>1792604</wp:posOffset>
          </wp:positionH>
          <wp:positionV relativeFrom="paragraph">
            <wp:posOffset>-450214</wp:posOffset>
          </wp:positionV>
          <wp:extent cx="5908040" cy="917196"/>
          <wp:effectExtent l="0" t="0" r="0" b="0"/>
          <wp:wrapNone/>
          <wp:docPr id="59" name="image2.png" descr="Macintosh HD:Users:angelicafernandasierrapolanco:Desktop:membrete4oct-02.png"/>
          <wp:cNvGraphicFramePr/>
          <a:graphic xmlns:a="http://schemas.openxmlformats.org/drawingml/2006/main">
            <a:graphicData uri="http://schemas.openxmlformats.org/drawingml/2006/picture">
              <pic:pic xmlns:pic="http://schemas.openxmlformats.org/drawingml/2006/picture">
                <pic:nvPicPr>
                  <pic:cNvPr id="0" name="image2.png" descr="Macintosh HD:Users:angelicafernandasierrapolanco:Desktop:membrete4oct-02.png"/>
                  <pic:cNvPicPr preferRelativeResize="0"/>
                </pic:nvPicPr>
                <pic:blipFill>
                  <a:blip r:embed="rId1"/>
                  <a:srcRect/>
                  <a:stretch>
                    <a:fillRect/>
                  </a:stretch>
                </pic:blipFill>
                <pic:spPr>
                  <a:xfrm>
                    <a:off x="0" y="0"/>
                    <a:ext cx="5908040" cy="917196"/>
                  </a:xfrm>
                  <a:prstGeom prst="rect">
                    <a:avLst/>
                  </a:prstGeom>
                  <a:ln/>
                </pic:spPr>
              </pic:pic>
            </a:graphicData>
          </a:graphic>
        </wp:anchor>
      </w:drawing>
    </w:r>
  </w:p>
  <w:p w:rsidR="007E2586" w:rsidRDefault="007E2586">
    <w:pPr>
      <w:pBdr>
        <w:top w:val="nil"/>
        <w:left w:val="nil"/>
        <w:bottom w:val="nil"/>
        <w:right w:val="nil"/>
        <w:between w:val="nil"/>
      </w:pBdr>
      <w:tabs>
        <w:tab w:val="center" w:pos="4419"/>
        <w:tab w:val="right" w:pos="8838"/>
      </w:tabs>
      <w:spacing w:after="0" w:line="240" w:lineRule="auto"/>
      <w:jc w:val="right"/>
      <w:rPr>
        <w:b/>
        <w:color w:val="000000"/>
      </w:rPr>
    </w:pPr>
    <w:r>
      <w:rPr>
        <w:color w:val="000000"/>
        <w:sz w:val="14"/>
        <w:szCs w:val="14"/>
      </w:rPr>
      <w:t xml:space="preserve">Página </w:t>
    </w:r>
    <w:r>
      <w:rPr>
        <w:b/>
        <w:color w:val="000000"/>
        <w:sz w:val="14"/>
        <w:szCs w:val="14"/>
      </w:rPr>
      <w:fldChar w:fldCharType="begin"/>
    </w:r>
    <w:r>
      <w:rPr>
        <w:b/>
        <w:color w:val="000000"/>
        <w:sz w:val="14"/>
        <w:szCs w:val="14"/>
      </w:rPr>
      <w:instrText>PAGE</w:instrText>
    </w:r>
    <w:r>
      <w:rPr>
        <w:b/>
        <w:color w:val="000000"/>
        <w:sz w:val="14"/>
        <w:szCs w:val="14"/>
      </w:rPr>
      <w:fldChar w:fldCharType="separate"/>
    </w:r>
    <w:r w:rsidR="00733044">
      <w:rPr>
        <w:b/>
        <w:noProof/>
        <w:color w:val="000000"/>
        <w:sz w:val="14"/>
        <w:szCs w:val="14"/>
      </w:rPr>
      <w:t>1</w:t>
    </w:r>
    <w:r>
      <w:rPr>
        <w:b/>
        <w:color w:val="000000"/>
        <w:sz w:val="14"/>
        <w:szCs w:val="14"/>
      </w:rPr>
      <w:fldChar w:fldCharType="end"/>
    </w:r>
    <w:r>
      <w:rPr>
        <w:color w:val="000000"/>
        <w:sz w:val="14"/>
        <w:szCs w:val="14"/>
      </w:rPr>
      <w:t xml:space="preserve"> de </w:t>
    </w:r>
    <w:r>
      <w:rPr>
        <w:b/>
        <w:color w:val="000000"/>
        <w:sz w:val="14"/>
        <w:szCs w:val="14"/>
      </w:rPr>
      <w:fldChar w:fldCharType="begin"/>
    </w:r>
    <w:r>
      <w:rPr>
        <w:b/>
        <w:color w:val="000000"/>
        <w:sz w:val="14"/>
        <w:szCs w:val="14"/>
      </w:rPr>
      <w:instrText>NUMPAGES</w:instrText>
    </w:r>
    <w:r>
      <w:rPr>
        <w:b/>
        <w:color w:val="000000"/>
        <w:sz w:val="14"/>
        <w:szCs w:val="14"/>
      </w:rPr>
      <w:fldChar w:fldCharType="separate"/>
    </w:r>
    <w:r w:rsidR="00733044">
      <w:rPr>
        <w:b/>
        <w:noProof/>
        <w:color w:val="000000"/>
        <w:sz w:val="14"/>
        <w:szCs w:val="14"/>
      </w:rPr>
      <w:t>18</w:t>
    </w:r>
    <w:r>
      <w:rPr>
        <w:b/>
        <w:color w:val="000000"/>
        <w:sz w:val="14"/>
        <w:szCs w:val="14"/>
      </w:rPr>
      <w:fldChar w:fldCharType="end"/>
    </w:r>
  </w:p>
  <w:p w:rsidR="007E2586" w:rsidRDefault="007E2586">
    <w:pPr>
      <w:pBdr>
        <w:top w:val="nil"/>
        <w:left w:val="nil"/>
        <w:bottom w:val="nil"/>
        <w:right w:val="nil"/>
        <w:between w:val="nil"/>
      </w:pBdr>
      <w:tabs>
        <w:tab w:val="center" w:pos="4419"/>
        <w:tab w:val="right" w:pos="8838"/>
      </w:tabs>
      <w:spacing w:after="0" w:line="240" w:lineRule="auto"/>
      <w:jc w:val="right"/>
      <w:rPr>
        <w:color w:val="000000"/>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7F2715"/>
    <w:multiLevelType w:val="multilevel"/>
    <w:tmpl w:val="1042F00C"/>
    <w:lvl w:ilvl="0">
      <w:start w:val="2"/>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C77"/>
    <w:rsid w:val="00015BEE"/>
    <w:rsid w:val="003273BE"/>
    <w:rsid w:val="00515BE7"/>
    <w:rsid w:val="005B004B"/>
    <w:rsid w:val="00604772"/>
    <w:rsid w:val="00733044"/>
    <w:rsid w:val="007E2586"/>
    <w:rsid w:val="00C404CD"/>
    <w:rsid w:val="00CD48F3"/>
    <w:rsid w:val="00DC4C77"/>
    <w:rsid w:val="00EB5437"/>
    <w:rsid w:val="00ED6A6E"/>
    <w:rsid w:val="00F40FD0"/>
    <w:rsid w:val="00FE18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088392-9AE6-4AD7-8EFD-3E9BEC80A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7434"/>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Encabezado">
    <w:name w:val="header"/>
    <w:basedOn w:val="Normal"/>
    <w:link w:val="EncabezadoCar"/>
    <w:uiPriority w:val="99"/>
    <w:unhideWhenUsed/>
    <w:rsid w:val="00F14D0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14D0D"/>
  </w:style>
  <w:style w:type="paragraph" w:styleId="Piedepgina">
    <w:name w:val="footer"/>
    <w:basedOn w:val="Normal"/>
    <w:link w:val="PiedepginaCar"/>
    <w:uiPriority w:val="99"/>
    <w:unhideWhenUsed/>
    <w:rsid w:val="00F14D0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14D0D"/>
  </w:style>
  <w:style w:type="table" w:styleId="Tablaconcuadrcula">
    <w:name w:val="Table Grid"/>
    <w:basedOn w:val="Tablanormal"/>
    <w:uiPriority w:val="39"/>
    <w:rsid w:val="009D2C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17434"/>
    <w:pPr>
      <w:autoSpaceDE w:val="0"/>
      <w:autoSpaceDN w:val="0"/>
      <w:adjustRightInd w:val="0"/>
      <w:spacing w:after="0" w:line="240" w:lineRule="auto"/>
    </w:pPr>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61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61113"/>
    <w:rPr>
      <w:rFonts w:ascii="Segoe UI" w:hAnsi="Segoe UI" w:cs="Segoe UI"/>
      <w:sz w:val="18"/>
      <w:szCs w:val="18"/>
    </w:rPr>
  </w:style>
  <w:style w:type="paragraph" w:styleId="Sinespaciado">
    <w:name w:val="No Spacing"/>
    <w:qFormat/>
    <w:rsid w:val="00061113"/>
    <w:pPr>
      <w:spacing w:after="0" w:line="240" w:lineRule="auto"/>
    </w:pPr>
    <w:rPr>
      <w:rFonts w:cs="Times New Roman"/>
      <w:lang w:val="es-ES"/>
    </w:rPr>
  </w:style>
  <w:style w:type="character" w:customStyle="1" w:styleId="5yl5">
    <w:name w:val="_5yl5"/>
    <w:rsid w:val="00061113"/>
  </w:style>
  <w:style w:type="character" w:styleId="Refdecomentario">
    <w:name w:val="annotation reference"/>
    <w:basedOn w:val="Fuentedeprrafopredeter"/>
    <w:uiPriority w:val="99"/>
    <w:semiHidden/>
    <w:unhideWhenUsed/>
    <w:rsid w:val="007002B4"/>
    <w:rPr>
      <w:sz w:val="16"/>
      <w:szCs w:val="16"/>
    </w:rPr>
  </w:style>
  <w:style w:type="paragraph" w:styleId="Textocomentario">
    <w:name w:val="annotation text"/>
    <w:basedOn w:val="Normal"/>
    <w:link w:val="TextocomentarioCar"/>
    <w:uiPriority w:val="99"/>
    <w:semiHidden/>
    <w:unhideWhenUsed/>
    <w:rsid w:val="007002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002B4"/>
    <w:rPr>
      <w:sz w:val="20"/>
      <w:szCs w:val="20"/>
    </w:rPr>
  </w:style>
  <w:style w:type="character" w:styleId="Hipervnculo">
    <w:name w:val="Hyperlink"/>
    <w:basedOn w:val="Fuentedeprrafopredeter"/>
    <w:uiPriority w:val="99"/>
    <w:unhideWhenUsed/>
    <w:rsid w:val="007002B4"/>
    <w:rPr>
      <w:color w:val="0563C1"/>
      <w:u w:val="single"/>
    </w:rPr>
  </w:style>
  <w:style w:type="paragraph" w:styleId="NormalWeb">
    <w:name w:val="Normal (Web)"/>
    <w:basedOn w:val="Normal"/>
    <w:uiPriority w:val="99"/>
    <w:semiHidden/>
    <w:unhideWhenUsed/>
    <w:rsid w:val="00515B61"/>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3A22B3"/>
    <w:pPr>
      <w:ind w:left="720"/>
      <w:contextualSpacing/>
    </w:pPr>
  </w:style>
  <w:style w:type="character" w:styleId="Textoennegrita">
    <w:name w:val="Strong"/>
    <w:basedOn w:val="Fuentedeprrafopredeter"/>
    <w:uiPriority w:val="22"/>
    <w:qFormat/>
    <w:rsid w:val="00A34F4E"/>
    <w:rPr>
      <w:b/>
      <w:bCs/>
    </w:rPr>
  </w:style>
  <w:style w:type="paragraph" w:styleId="Textonotapie">
    <w:name w:val="footnote text"/>
    <w:basedOn w:val="Normal"/>
    <w:link w:val="TextonotapieCar"/>
    <w:uiPriority w:val="99"/>
    <w:semiHidden/>
    <w:unhideWhenUsed/>
    <w:rsid w:val="00B66D7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66D74"/>
    <w:rPr>
      <w:sz w:val="20"/>
      <w:szCs w:val="20"/>
    </w:rPr>
  </w:style>
  <w:style w:type="character" w:styleId="Refdenotaalpie">
    <w:name w:val="footnote reference"/>
    <w:basedOn w:val="Fuentedeprrafopredeter"/>
    <w:uiPriority w:val="99"/>
    <w:semiHidden/>
    <w:unhideWhenUsed/>
    <w:rsid w:val="00B66D74"/>
    <w:rPr>
      <w:vertAlign w:val="superscript"/>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70" w:type="dxa"/>
        <w:right w:w="70" w:type="dxa"/>
      </w:tblCellMar>
    </w:tblPr>
  </w:style>
  <w:style w:type="table" w:customStyle="1" w:styleId="a9">
    <w:basedOn w:val="TableNormal"/>
    <w:pPr>
      <w:spacing w:after="0" w:line="240" w:lineRule="auto"/>
    </w:pPr>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rcid.org/0000-0003-0196-2677" TargetMode="External"/><Relationship Id="rId18" Type="http://schemas.openxmlformats.org/officeDocument/2006/relationships/hyperlink" Target="http://www.redalyc.org/articulo.oa?id=62832750005"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cienti.colciencias.gov.co:8081/cvlac/visualizador/generarCurriculoCv.do?cod_rh=0001572250" TargetMode="External"/><Relationship Id="rId17" Type="http://schemas.openxmlformats.org/officeDocument/2006/relationships/hyperlink" Target="https://scholar.google.com/citations?user=lJnRfNgAAAAJ&amp;hl=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orcid.org/0000-0001-5503-672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cholar.google.com/citations?user=XgLYUXoAAAAJ&amp;hl=es"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cienti.colciencias.gov.co:8081/cvlac/visualizador/generarCurriculoCv.do" TargetMode="External"/><Relationship Id="rId23" Type="http://schemas.openxmlformats.org/officeDocument/2006/relationships/header" Target="header3.xml"/><Relationship Id="rId10" Type="http://schemas.openxmlformats.org/officeDocument/2006/relationships/hyperlink" Target="https://orcid.org/0000-0001-8949-696X" TargetMode="External"/><Relationship Id="rId19" Type="http://schemas.openxmlformats.org/officeDocument/2006/relationships/hyperlink" Target="https://www.undp.org/content/dam/colombia/docs/Paz/undp-co-HacialaConstrucci%C3%B3nEduPaz-2017.pdf" TargetMode="External"/><Relationship Id="rId4" Type="http://schemas.openxmlformats.org/officeDocument/2006/relationships/styles" Target="styles.xml"/><Relationship Id="rId9" Type="http://schemas.openxmlformats.org/officeDocument/2006/relationships/hyperlink" Target="http://scienti.colciencias.gov.co:8081/cvlac/visualizador/generarCurriculoCv.do?cod_rh=0000065481" TargetMode="External"/><Relationship Id="rId14" Type="http://schemas.openxmlformats.org/officeDocument/2006/relationships/hyperlink" Target="https://scholar.google.es/citations?user=mzKyBTwAAAAJ&amp;hl=es"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9NNw3h1g2dRui+S03hbYZsGAKQ==">AMUW2mUcsJd90nRc2l+82A9OjRafYXyHCFRvQaY0pz3BwWyExRktyU92opCvdQ5bRKcz1IZMzw2AK0DR6rh8KpWiPaBZRWdCIc4dSJW9H8ENPRlthBSfDfvPuUuUxkZmdFCdH09b471A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F623C8B-8E0A-4A7F-BAB0-53797B796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18</Pages>
  <Words>8096</Words>
  <Characters>44533</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Docentes Unidad de Investigación</dc:creator>
  <cp:lastModifiedBy>Sala Docentes humanidades Prin</cp:lastModifiedBy>
  <cp:revision>5</cp:revision>
  <dcterms:created xsi:type="dcterms:W3CDTF">2019-07-19T14:29:00Z</dcterms:created>
  <dcterms:modified xsi:type="dcterms:W3CDTF">2019-08-08T19:57:00Z</dcterms:modified>
</cp:coreProperties>
</file>