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168D" w:rsidRPr="00C113D1" w:rsidRDefault="005B168D" w:rsidP="005B168D">
      <w:pPr>
        <w:spacing w:after="0" w:line="276" w:lineRule="auto"/>
        <w:ind w:left="2124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C113D1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Tabla 1. Investigaciones sobre calidad en la educación contable en Colombia </w:t>
      </w:r>
    </w:p>
    <w:tbl>
      <w:tblPr>
        <w:tblW w:w="104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7660"/>
      </w:tblGrid>
      <w:tr w:rsidR="005B168D" w:rsidRPr="00C113D1" w:rsidTr="002170C7">
        <w:trPr>
          <w:trHeight w:val="288"/>
          <w:jc w:val="center"/>
        </w:trPr>
        <w:tc>
          <w:tcPr>
            <w:tcW w:w="2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AUTOR</w:t>
            </w:r>
          </w:p>
        </w:tc>
        <w:tc>
          <w:tcPr>
            <w:tcW w:w="7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CALIDAD EN LA EDUCACIÓN CONTABLE</w:t>
            </w:r>
          </w:p>
        </w:tc>
      </w:tr>
      <w:tr w:rsidR="005B168D" w:rsidRPr="00C113D1" w:rsidTr="002170C7">
        <w:trPr>
          <w:trHeight w:val="1152"/>
          <w:jc w:val="center"/>
        </w:trPr>
        <w:tc>
          <w:tcPr>
            <w:tcW w:w="2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Cardona y Rivera (2002, p. 73)</w:t>
            </w:r>
          </w:p>
        </w:tc>
        <w:tc>
          <w:tcPr>
            <w:tcW w:w="7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contaduría pública la calidad se refiere a:</w:t>
            </w:r>
          </w:p>
          <w:p w:rsidR="005B168D" w:rsidRPr="00C113D1" w:rsidRDefault="005B168D" w:rsidP="005B168D">
            <w:pPr>
              <w:pStyle w:val="Prrafodelista"/>
              <w:numPr>
                <w:ilvl w:val="0"/>
                <w:numId w:val="1"/>
              </w:num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La acreditación de programas, </w:t>
            </w:r>
          </w:p>
          <w:p w:rsidR="005B168D" w:rsidRPr="00C113D1" w:rsidRDefault="005B168D" w:rsidP="005B168D">
            <w:pPr>
              <w:pStyle w:val="Prrafodelista"/>
              <w:numPr>
                <w:ilvl w:val="0"/>
                <w:numId w:val="1"/>
              </w:num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La certificación de profesionales mediante exámenes, </w:t>
            </w:r>
          </w:p>
          <w:p w:rsidR="005B168D" w:rsidRPr="00C113D1" w:rsidRDefault="005B168D" w:rsidP="005B168D">
            <w:pPr>
              <w:pStyle w:val="Prrafodelista"/>
              <w:numPr>
                <w:ilvl w:val="0"/>
                <w:numId w:val="1"/>
              </w:num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La revisión de la calidad mediante pares y </w:t>
            </w:r>
          </w:p>
          <w:p w:rsidR="005B168D" w:rsidRPr="00C113D1" w:rsidRDefault="005B168D" w:rsidP="005B168D">
            <w:pPr>
              <w:pStyle w:val="Prrafodelista"/>
              <w:numPr>
                <w:ilvl w:val="0"/>
                <w:numId w:val="1"/>
              </w:num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Los estándares mínimos de registro calificado para los programas</w:t>
            </w:r>
          </w:p>
        </w:tc>
      </w:tr>
      <w:tr w:rsidR="005B168D" w:rsidRPr="00C113D1" w:rsidTr="002170C7">
        <w:trPr>
          <w:trHeight w:val="1152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Rodríguez (2008, p. 200) 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El concepto de calidad visto desde la gestión de calidad total (GCT) está  centrado en los procesos y productos, expandiéndose hacia las IES desde los años 90.</w:t>
            </w:r>
          </w:p>
        </w:tc>
      </w:tr>
      <w:tr w:rsidR="005B168D" w:rsidRPr="00C113D1" w:rsidTr="002170C7">
        <w:trPr>
          <w:trHeight w:val="864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Santana (2009, p. 8) 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La GCT se aplica si la enseñanza se entiende como una actividad técnica, pero las IES son realidades sociales construidas y no orientadas al mercado</w:t>
            </w:r>
          </w:p>
        </w:tc>
      </w:tr>
      <w:tr w:rsidR="005B168D" w:rsidRPr="00C113D1" w:rsidTr="002170C7">
        <w:trPr>
          <w:trHeight w:val="1728"/>
          <w:jc w:val="center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Gómez (2007)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168D" w:rsidRPr="00C113D1" w:rsidRDefault="005B168D" w:rsidP="002170C7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En relación con la calidad de la educación superior contable, plantea una postura crítica frente a la adopción de estándares para los procesos relacionados con la calidad de la formación de contables, en cabeza de la International </w:t>
            </w:r>
            <w:proofErr w:type="spellStart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Federation</w:t>
            </w:r>
            <w:proofErr w:type="spellEnd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 </w:t>
            </w:r>
            <w:proofErr w:type="spellStart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of</w:t>
            </w:r>
            <w:proofErr w:type="spellEnd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 </w:t>
            </w:r>
            <w:proofErr w:type="spellStart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Accountants</w:t>
            </w:r>
            <w:proofErr w:type="spellEnd"/>
            <w:r w:rsidRPr="00C11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 xml:space="preserve"> [IFAC], y resalta como ejes centrales de discusión los medios de enseñanza y los contenidos, así como una serie de problemáticas propias la contabilidad en Colombia.</w:t>
            </w:r>
          </w:p>
        </w:tc>
      </w:tr>
    </w:tbl>
    <w:p w:rsidR="005B168D" w:rsidRPr="00C113D1" w:rsidRDefault="005B168D" w:rsidP="005B168D">
      <w:pPr>
        <w:spacing w:after="0" w:line="276" w:lineRule="auto"/>
        <w:ind w:left="2124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 w:rsidRPr="00C113D1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Fuente: Construcción propia a partir de </w:t>
      </w:r>
      <w:r w:rsidRPr="00C113D1">
        <w:rPr>
          <w:rFonts w:ascii="Times New Roman" w:eastAsia="Times New Roman" w:hAnsi="Times New Roman" w:cs="Times New Roman"/>
          <w:noProof/>
          <w:color w:val="222222"/>
          <w:sz w:val="24"/>
          <w:szCs w:val="24"/>
          <w:lang w:eastAsia="es-CO"/>
        </w:rPr>
        <w:t>Patiño, Valero, Acosta, Parra, &amp; Bautista</w:t>
      </w:r>
      <w:r w:rsidRPr="00C113D1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</w:t>
      </w:r>
      <w:sdt>
        <w:sdtPr>
          <w:rPr>
            <w:rFonts w:ascii="Times New Roman" w:eastAsia="Times New Roman" w:hAnsi="Times New Roman" w:cs="Times New Roman"/>
            <w:color w:val="222222"/>
            <w:sz w:val="24"/>
            <w:szCs w:val="24"/>
            <w:lang w:eastAsia="es-CO"/>
          </w:rPr>
          <w:id w:val="2101056052"/>
          <w:citation/>
        </w:sdtPr>
        <w:sdtContent>
          <w:r w:rsidRPr="00C113D1">
            <w:rPr>
              <w:rFonts w:ascii="Times New Roman" w:eastAsia="Times New Roman" w:hAnsi="Times New Roman" w:cs="Times New Roman"/>
              <w:color w:val="222222"/>
              <w:sz w:val="24"/>
              <w:szCs w:val="24"/>
              <w:lang w:eastAsia="es-CO"/>
            </w:rPr>
            <w:fldChar w:fldCharType="begin"/>
          </w:r>
          <w:r w:rsidRPr="00C113D1">
            <w:rPr>
              <w:rFonts w:ascii="Times New Roman" w:eastAsia="Times New Roman" w:hAnsi="Times New Roman" w:cs="Times New Roman"/>
              <w:color w:val="222222"/>
              <w:sz w:val="24"/>
              <w:szCs w:val="24"/>
              <w:lang w:eastAsia="es-CO"/>
            </w:rPr>
            <w:instrText xml:space="preserve">CITATION Pat162 \n  \t  \l 9226 </w:instrText>
          </w:r>
          <w:r w:rsidRPr="00C113D1">
            <w:rPr>
              <w:rFonts w:ascii="Times New Roman" w:eastAsia="Times New Roman" w:hAnsi="Times New Roman" w:cs="Times New Roman"/>
              <w:color w:val="222222"/>
              <w:sz w:val="24"/>
              <w:szCs w:val="24"/>
              <w:lang w:eastAsia="es-CO"/>
            </w:rPr>
            <w:fldChar w:fldCharType="separate"/>
          </w:r>
          <w:r w:rsidRPr="00C113D1">
            <w:rPr>
              <w:rFonts w:ascii="Times New Roman" w:eastAsia="Times New Roman" w:hAnsi="Times New Roman" w:cs="Times New Roman"/>
              <w:noProof/>
              <w:color w:val="222222"/>
              <w:sz w:val="24"/>
              <w:szCs w:val="24"/>
              <w:lang w:eastAsia="es-CO"/>
            </w:rPr>
            <w:t>(2016)</w:t>
          </w:r>
          <w:r w:rsidRPr="00C113D1">
            <w:rPr>
              <w:rFonts w:ascii="Times New Roman" w:eastAsia="Times New Roman" w:hAnsi="Times New Roman" w:cs="Times New Roman"/>
              <w:color w:val="222222"/>
              <w:sz w:val="24"/>
              <w:szCs w:val="24"/>
              <w:lang w:eastAsia="es-CO"/>
            </w:rPr>
            <w:fldChar w:fldCharType="end"/>
          </w:r>
        </w:sdtContent>
      </w:sdt>
    </w:p>
    <w:p w:rsidR="00B751F2" w:rsidRDefault="00FA2256">
      <w:r>
        <w:tab/>
      </w:r>
    </w:p>
    <w:p w:rsidR="006A1AD9" w:rsidRDefault="006A1AD9"/>
    <w:p w:rsidR="006A1AD9" w:rsidRDefault="006A1AD9"/>
    <w:p w:rsidR="006A1AD9" w:rsidRDefault="006A1AD9">
      <w:bookmarkStart w:id="0" w:name="_GoBack"/>
      <w:bookmarkEnd w:id="0"/>
    </w:p>
    <w:sectPr w:rsidR="006A1AD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251B9B"/>
    <w:multiLevelType w:val="hybridMultilevel"/>
    <w:tmpl w:val="685881C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8D"/>
    <w:rsid w:val="0008552C"/>
    <w:rsid w:val="000A53C4"/>
    <w:rsid w:val="00165647"/>
    <w:rsid w:val="002966A3"/>
    <w:rsid w:val="005B168D"/>
    <w:rsid w:val="006A1AD9"/>
    <w:rsid w:val="00921D7A"/>
    <w:rsid w:val="00A46F01"/>
    <w:rsid w:val="00B751F2"/>
    <w:rsid w:val="00FA2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C45A3"/>
  <w15:chartTrackingRefBased/>
  <w15:docId w15:val="{64DED22B-D31A-4B54-80B0-D531ED28E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68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B16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Pat162</b:Tag>
    <b:SourceType>JournalArticle</b:SourceType>
    <b:Guid>{4A7A30AF-608E-4D23-83D2-5118DAF9796D}</b:Guid>
    <b:Author>
      <b:Author>
        <b:NameList>
          <b:Person>
            <b:Last>Patiño</b:Last>
            <b:First>A</b:First>
          </b:Person>
          <b:Person>
            <b:Last>Valero</b:Last>
            <b:First>G</b:First>
          </b:Person>
          <b:Person>
            <b:Last>Acosta</b:Last>
            <b:First>M</b:First>
          </b:Person>
          <b:Person>
            <b:Last>Parra</b:Last>
            <b:First>J</b:First>
          </b:Person>
          <b:Person>
            <b:Last>Bautista</b:Last>
            <b:First>J</b:First>
          </b:Person>
        </b:NameList>
      </b:Author>
    </b:Author>
    <b:Title>Revisión de literatura sobre educación contable en Colombia</b:Title>
    <b:JournalName>Activos</b:JournalName>
    <b:Year>2016</b:Year>
    <b:Pages>61-99</b:Pages>
    <b:Publisher>Universidad Santo Tomás</b:Publisher>
    <b:Volume>26</b:Volume>
    <b:URL>https://revistas.usantotomas.edu.co/index.php/activos/article/view/3972</b:URL>
    <b:DOI>https://doi.org/10.15332/25005278</b:DOI>
    <b:RefOrder>31</b:RefOrder>
  </b:Source>
</b:Sources>
</file>

<file path=customXml/itemProps1.xml><?xml version="1.0" encoding="utf-8"?>
<ds:datastoreItem xmlns:ds="http://schemas.openxmlformats.org/officeDocument/2006/customXml" ds:itemID="{0887B0C8-BBBE-432A-A33D-76ADFBFDA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202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García</dc:creator>
  <cp:keywords/>
  <dc:description/>
  <cp:lastModifiedBy>Fernando García</cp:lastModifiedBy>
  <cp:revision>1</cp:revision>
  <dcterms:created xsi:type="dcterms:W3CDTF">2019-08-08T02:02:00Z</dcterms:created>
  <dcterms:modified xsi:type="dcterms:W3CDTF">2019-08-09T06:10:00Z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</Properties>
</file>