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2D553F" w14:textId="552B43B4" w:rsidR="000E548F" w:rsidRPr="000E548F" w:rsidRDefault="000E548F" w:rsidP="000E548F">
      <w:pPr>
        <w:spacing w:line="480" w:lineRule="auto"/>
        <w:ind w:firstLine="713"/>
        <w:jc w:val="center"/>
        <w:rPr>
          <w:rFonts w:ascii="Times New Roman" w:hAnsi="Times New Roman" w:cs="Times New Roman"/>
          <w:b/>
          <w:bCs/>
          <w:sz w:val="24"/>
          <w:szCs w:val="24"/>
        </w:rPr>
      </w:pPr>
      <w:r w:rsidRPr="000E548F">
        <w:rPr>
          <w:rFonts w:ascii="Times New Roman" w:hAnsi="Times New Roman" w:cs="Times New Roman"/>
          <w:b/>
          <w:bCs/>
          <w:sz w:val="24"/>
          <w:szCs w:val="24"/>
        </w:rPr>
        <w:t>La Justicia Terapéutica como estrategia para el manejo emocional de los intervinientes en audiencia por violencia intrafamiliar en Colombia</w:t>
      </w:r>
    </w:p>
    <w:p w14:paraId="292C0477" w14:textId="77777777" w:rsidR="000E548F" w:rsidRPr="000E548F" w:rsidRDefault="000E548F" w:rsidP="000E548F">
      <w:pPr>
        <w:spacing w:line="480" w:lineRule="auto"/>
        <w:ind w:firstLine="713"/>
        <w:jc w:val="center"/>
        <w:rPr>
          <w:rFonts w:ascii="Times New Roman" w:hAnsi="Times New Roman" w:cs="Times New Roman"/>
          <w:sz w:val="24"/>
          <w:szCs w:val="24"/>
        </w:rPr>
      </w:pPr>
    </w:p>
    <w:p w14:paraId="18B41403" w14:textId="77777777" w:rsidR="000E548F" w:rsidRPr="000E548F" w:rsidRDefault="000E548F" w:rsidP="000E548F">
      <w:pPr>
        <w:spacing w:line="480" w:lineRule="auto"/>
        <w:ind w:firstLine="713"/>
        <w:jc w:val="center"/>
        <w:rPr>
          <w:rFonts w:ascii="Times New Roman" w:hAnsi="Times New Roman" w:cs="Times New Roman"/>
          <w:sz w:val="24"/>
          <w:szCs w:val="24"/>
        </w:rPr>
      </w:pPr>
    </w:p>
    <w:p w14:paraId="4F707534" w14:textId="77777777" w:rsidR="000E548F" w:rsidRPr="000E548F" w:rsidRDefault="000E548F" w:rsidP="000E548F">
      <w:pPr>
        <w:spacing w:line="480" w:lineRule="auto"/>
        <w:ind w:firstLine="713"/>
        <w:jc w:val="center"/>
        <w:rPr>
          <w:rFonts w:ascii="Times New Roman" w:hAnsi="Times New Roman" w:cs="Times New Roman"/>
          <w:sz w:val="24"/>
          <w:szCs w:val="24"/>
        </w:rPr>
      </w:pPr>
    </w:p>
    <w:p w14:paraId="36030232" w14:textId="77D12E6C" w:rsidR="000E548F" w:rsidRPr="000E548F" w:rsidRDefault="000E548F" w:rsidP="000E548F">
      <w:pPr>
        <w:spacing w:line="480" w:lineRule="auto"/>
        <w:ind w:firstLine="713"/>
        <w:jc w:val="center"/>
        <w:rPr>
          <w:rFonts w:ascii="Times New Roman" w:hAnsi="Times New Roman" w:cs="Times New Roman"/>
          <w:sz w:val="24"/>
          <w:szCs w:val="24"/>
        </w:rPr>
      </w:pPr>
      <w:r w:rsidRPr="000E548F">
        <w:rPr>
          <w:rFonts w:ascii="Times New Roman" w:hAnsi="Times New Roman" w:cs="Times New Roman"/>
          <w:sz w:val="24"/>
          <w:szCs w:val="24"/>
        </w:rPr>
        <w:t xml:space="preserve"> </w:t>
      </w:r>
    </w:p>
    <w:p w14:paraId="2C78153A" w14:textId="77777777" w:rsidR="000E548F" w:rsidRPr="000E548F" w:rsidRDefault="000E548F" w:rsidP="000E548F">
      <w:pPr>
        <w:spacing w:line="480" w:lineRule="auto"/>
        <w:ind w:firstLine="713"/>
        <w:jc w:val="center"/>
        <w:rPr>
          <w:rFonts w:ascii="Times New Roman" w:hAnsi="Times New Roman" w:cs="Times New Roman"/>
          <w:sz w:val="24"/>
          <w:szCs w:val="24"/>
        </w:rPr>
      </w:pPr>
      <w:r w:rsidRPr="000E548F">
        <w:rPr>
          <w:rFonts w:ascii="Times New Roman" w:hAnsi="Times New Roman" w:cs="Times New Roman"/>
          <w:sz w:val="24"/>
          <w:szCs w:val="24"/>
        </w:rPr>
        <w:t xml:space="preserve">Luz Angela Mayeli Barrera Herrera </w:t>
      </w:r>
    </w:p>
    <w:p w14:paraId="15D31C7A" w14:textId="77777777" w:rsidR="000E548F" w:rsidRPr="000E548F" w:rsidRDefault="000E548F" w:rsidP="000E548F">
      <w:pPr>
        <w:spacing w:line="480" w:lineRule="auto"/>
        <w:ind w:firstLine="713"/>
        <w:jc w:val="center"/>
        <w:rPr>
          <w:rFonts w:ascii="Times New Roman" w:hAnsi="Times New Roman" w:cs="Times New Roman"/>
          <w:sz w:val="24"/>
          <w:szCs w:val="24"/>
        </w:rPr>
      </w:pPr>
      <w:r w:rsidRPr="000E548F">
        <w:rPr>
          <w:rFonts w:ascii="Times New Roman" w:hAnsi="Times New Roman" w:cs="Times New Roman"/>
          <w:sz w:val="24"/>
          <w:szCs w:val="24"/>
        </w:rPr>
        <w:t>Rubiela Esperanza Verano Reyes</w:t>
      </w:r>
    </w:p>
    <w:p w14:paraId="333D9562" w14:textId="77777777" w:rsidR="000E548F" w:rsidRPr="000E548F" w:rsidRDefault="000E548F" w:rsidP="000E548F">
      <w:pPr>
        <w:spacing w:line="480" w:lineRule="auto"/>
        <w:rPr>
          <w:rFonts w:ascii="Times New Roman" w:hAnsi="Times New Roman" w:cs="Times New Roman"/>
          <w:sz w:val="24"/>
          <w:szCs w:val="24"/>
        </w:rPr>
      </w:pPr>
    </w:p>
    <w:p w14:paraId="5C98990E" w14:textId="741627B4" w:rsidR="000E548F" w:rsidRDefault="000E548F" w:rsidP="000E548F">
      <w:pPr>
        <w:spacing w:line="480" w:lineRule="auto"/>
        <w:ind w:firstLine="713"/>
        <w:jc w:val="center"/>
        <w:rPr>
          <w:rFonts w:ascii="Times New Roman" w:hAnsi="Times New Roman" w:cs="Times New Roman"/>
          <w:sz w:val="24"/>
          <w:szCs w:val="24"/>
        </w:rPr>
      </w:pPr>
    </w:p>
    <w:p w14:paraId="10FE1190" w14:textId="77777777" w:rsidR="009B3158" w:rsidRPr="000E548F" w:rsidRDefault="009B3158" w:rsidP="000E548F">
      <w:pPr>
        <w:spacing w:line="480" w:lineRule="auto"/>
        <w:ind w:firstLine="713"/>
        <w:jc w:val="center"/>
        <w:rPr>
          <w:rFonts w:ascii="Times New Roman" w:hAnsi="Times New Roman" w:cs="Times New Roman"/>
          <w:sz w:val="24"/>
          <w:szCs w:val="24"/>
        </w:rPr>
      </w:pPr>
    </w:p>
    <w:p w14:paraId="6534A0B9" w14:textId="77777777" w:rsidR="000E548F" w:rsidRPr="000E548F" w:rsidRDefault="000E548F" w:rsidP="000E548F">
      <w:pPr>
        <w:spacing w:line="480" w:lineRule="auto"/>
        <w:ind w:firstLine="713"/>
        <w:jc w:val="center"/>
        <w:rPr>
          <w:rFonts w:ascii="Times New Roman" w:hAnsi="Times New Roman" w:cs="Times New Roman"/>
          <w:sz w:val="24"/>
          <w:szCs w:val="24"/>
        </w:rPr>
      </w:pPr>
      <w:r w:rsidRPr="000E548F">
        <w:rPr>
          <w:rFonts w:ascii="Times New Roman" w:hAnsi="Times New Roman" w:cs="Times New Roman"/>
          <w:sz w:val="24"/>
          <w:szCs w:val="24"/>
        </w:rPr>
        <w:t>Especialización en Psicología Jurídica y forense. Universidad Santo Tomas. Tunja</w:t>
      </w:r>
    </w:p>
    <w:p w14:paraId="2F06D5F7" w14:textId="77777777" w:rsidR="000E548F" w:rsidRPr="000E548F" w:rsidRDefault="000E548F" w:rsidP="000E548F">
      <w:pPr>
        <w:spacing w:line="480" w:lineRule="auto"/>
        <w:ind w:firstLine="713"/>
        <w:jc w:val="center"/>
        <w:rPr>
          <w:rFonts w:ascii="Times New Roman" w:hAnsi="Times New Roman" w:cs="Times New Roman"/>
          <w:sz w:val="24"/>
          <w:szCs w:val="24"/>
        </w:rPr>
      </w:pPr>
      <w:r w:rsidRPr="000E548F">
        <w:rPr>
          <w:rFonts w:ascii="Times New Roman" w:hAnsi="Times New Roman" w:cs="Times New Roman"/>
          <w:sz w:val="24"/>
          <w:szCs w:val="24"/>
        </w:rPr>
        <w:t>Investigación Formativa Aplicada</w:t>
      </w:r>
    </w:p>
    <w:p w14:paraId="344B28C4" w14:textId="77777777" w:rsidR="000E548F" w:rsidRPr="000E548F" w:rsidRDefault="000E548F" w:rsidP="000E548F">
      <w:pPr>
        <w:spacing w:line="480" w:lineRule="auto"/>
        <w:ind w:firstLine="713"/>
        <w:jc w:val="center"/>
        <w:rPr>
          <w:rFonts w:ascii="Times New Roman" w:hAnsi="Times New Roman" w:cs="Times New Roman"/>
          <w:sz w:val="24"/>
          <w:szCs w:val="24"/>
        </w:rPr>
      </w:pPr>
      <w:r w:rsidRPr="000E548F">
        <w:rPr>
          <w:rFonts w:ascii="Times New Roman" w:hAnsi="Times New Roman" w:cs="Times New Roman"/>
          <w:sz w:val="24"/>
          <w:szCs w:val="24"/>
        </w:rPr>
        <w:t>Dra. Claudia Patricia Cáceres G.</w:t>
      </w:r>
    </w:p>
    <w:p w14:paraId="1F67EDB5" w14:textId="2EEEE3DD" w:rsidR="003A34C4" w:rsidRDefault="000E548F" w:rsidP="000E548F">
      <w:pPr>
        <w:spacing w:line="480" w:lineRule="auto"/>
        <w:ind w:firstLine="713"/>
        <w:jc w:val="center"/>
        <w:rPr>
          <w:rFonts w:ascii="Times New Roman" w:hAnsi="Times New Roman" w:cs="Times New Roman"/>
          <w:sz w:val="24"/>
          <w:szCs w:val="24"/>
        </w:rPr>
      </w:pPr>
      <w:r w:rsidRPr="000E548F">
        <w:rPr>
          <w:rFonts w:ascii="Times New Roman" w:hAnsi="Times New Roman" w:cs="Times New Roman"/>
          <w:sz w:val="24"/>
          <w:szCs w:val="24"/>
        </w:rPr>
        <w:t>2</w:t>
      </w:r>
      <w:r>
        <w:rPr>
          <w:rFonts w:ascii="Times New Roman" w:hAnsi="Times New Roman" w:cs="Times New Roman"/>
          <w:sz w:val="24"/>
          <w:szCs w:val="24"/>
        </w:rPr>
        <w:t>2</w:t>
      </w:r>
      <w:r w:rsidRPr="000E548F">
        <w:rPr>
          <w:rFonts w:ascii="Times New Roman" w:hAnsi="Times New Roman" w:cs="Times New Roman"/>
          <w:sz w:val="24"/>
          <w:szCs w:val="24"/>
        </w:rPr>
        <w:t xml:space="preserve"> de </w:t>
      </w:r>
      <w:r>
        <w:rPr>
          <w:rFonts w:ascii="Times New Roman" w:hAnsi="Times New Roman" w:cs="Times New Roman"/>
          <w:sz w:val="24"/>
          <w:szCs w:val="24"/>
        </w:rPr>
        <w:t>febrero</w:t>
      </w:r>
      <w:r w:rsidRPr="000E548F">
        <w:rPr>
          <w:rFonts w:ascii="Times New Roman" w:hAnsi="Times New Roman" w:cs="Times New Roman"/>
          <w:sz w:val="24"/>
          <w:szCs w:val="24"/>
        </w:rPr>
        <w:t xml:space="preserve"> de 2025</w:t>
      </w:r>
    </w:p>
    <w:p w14:paraId="1DA86E3A" w14:textId="619971D9" w:rsidR="000E548F" w:rsidRDefault="000E548F" w:rsidP="000E548F">
      <w:pPr>
        <w:spacing w:line="480" w:lineRule="auto"/>
        <w:ind w:firstLine="713"/>
        <w:jc w:val="center"/>
        <w:rPr>
          <w:rFonts w:ascii="Times New Roman" w:hAnsi="Times New Roman" w:cs="Times New Roman"/>
          <w:sz w:val="24"/>
          <w:szCs w:val="24"/>
        </w:rPr>
      </w:pPr>
    </w:p>
    <w:p w14:paraId="56B1764F" w14:textId="7114A4CA" w:rsidR="000E548F" w:rsidRDefault="000E548F" w:rsidP="000E548F">
      <w:pPr>
        <w:spacing w:line="480" w:lineRule="auto"/>
        <w:ind w:firstLine="713"/>
        <w:jc w:val="center"/>
        <w:rPr>
          <w:rFonts w:ascii="Times New Roman" w:hAnsi="Times New Roman" w:cs="Times New Roman"/>
          <w:sz w:val="24"/>
          <w:szCs w:val="24"/>
        </w:rPr>
      </w:pPr>
    </w:p>
    <w:p w14:paraId="13CD322E" w14:textId="299188F5" w:rsidR="000E548F" w:rsidRDefault="000E548F" w:rsidP="000E548F">
      <w:pPr>
        <w:spacing w:line="480" w:lineRule="auto"/>
        <w:ind w:firstLine="713"/>
        <w:jc w:val="center"/>
        <w:rPr>
          <w:rFonts w:ascii="Times New Roman" w:hAnsi="Times New Roman" w:cs="Times New Roman"/>
          <w:sz w:val="24"/>
          <w:szCs w:val="24"/>
        </w:rPr>
      </w:pPr>
    </w:p>
    <w:p w14:paraId="4F3FF745" w14:textId="77777777" w:rsidR="009B3158" w:rsidRDefault="009B3158" w:rsidP="000E548F">
      <w:pPr>
        <w:spacing w:line="480" w:lineRule="auto"/>
        <w:ind w:firstLine="713"/>
        <w:jc w:val="center"/>
        <w:rPr>
          <w:rFonts w:ascii="Times New Roman" w:hAnsi="Times New Roman" w:cs="Times New Roman"/>
          <w:sz w:val="24"/>
          <w:szCs w:val="24"/>
        </w:rPr>
      </w:pPr>
    </w:p>
    <w:p w14:paraId="5171B10A" w14:textId="77777777" w:rsidR="000E548F" w:rsidRPr="000E548F" w:rsidRDefault="000E548F" w:rsidP="000E548F">
      <w:pPr>
        <w:spacing w:line="480" w:lineRule="auto"/>
        <w:ind w:firstLine="720"/>
        <w:jc w:val="center"/>
        <w:rPr>
          <w:rFonts w:ascii="Times New Roman" w:hAnsi="Times New Roman" w:cs="Times New Roman"/>
          <w:b/>
          <w:bCs/>
          <w:sz w:val="24"/>
          <w:szCs w:val="24"/>
        </w:rPr>
      </w:pPr>
      <w:r w:rsidRPr="000E548F">
        <w:rPr>
          <w:rFonts w:ascii="Times New Roman" w:hAnsi="Times New Roman" w:cs="Times New Roman"/>
          <w:b/>
          <w:bCs/>
          <w:sz w:val="24"/>
          <w:szCs w:val="24"/>
        </w:rPr>
        <w:lastRenderedPageBreak/>
        <w:t>Resumen</w:t>
      </w:r>
    </w:p>
    <w:p w14:paraId="11A19D42" w14:textId="700D4601"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 xml:space="preserve">El presente estudio de investigación busca contribuir a entender la relación entre las emociones de los intervinientes y la </w:t>
      </w:r>
      <w:r w:rsidR="00571672">
        <w:rPr>
          <w:rFonts w:ascii="Times New Roman" w:hAnsi="Times New Roman" w:cs="Times New Roman"/>
          <w:sz w:val="24"/>
          <w:szCs w:val="24"/>
        </w:rPr>
        <w:t xml:space="preserve">influencia de estas </w:t>
      </w:r>
      <w:r w:rsidRPr="000E548F">
        <w:rPr>
          <w:rFonts w:ascii="Times New Roman" w:hAnsi="Times New Roman" w:cs="Times New Roman"/>
          <w:sz w:val="24"/>
          <w:szCs w:val="24"/>
        </w:rPr>
        <w:t xml:space="preserve">en la audiencia por violencia intrafamiliar, </w:t>
      </w:r>
      <w:r w:rsidR="0042486D">
        <w:rPr>
          <w:rFonts w:ascii="Times New Roman" w:hAnsi="Times New Roman" w:cs="Times New Roman"/>
          <w:sz w:val="24"/>
          <w:szCs w:val="24"/>
        </w:rPr>
        <w:t xml:space="preserve">dirigida </w:t>
      </w:r>
      <w:r w:rsidRPr="000E548F">
        <w:rPr>
          <w:rFonts w:ascii="Times New Roman" w:hAnsi="Times New Roman" w:cs="Times New Roman"/>
          <w:sz w:val="24"/>
          <w:szCs w:val="24"/>
        </w:rPr>
        <w:t xml:space="preserve">desde el enfoque de Justicia Terapéutica, reconociendo la incidencia de las leyes en el bienestar psicoemocional, el comportamiento y decisiones que allí se tomen. Para tal fin, se desarrolla una revisión teórica, de carácter hermenéutico, empleando una metodología cualitativa, la cual, permite interpretar el fenómeno social de la violencia intrafamiliar, su marco legal en </w:t>
      </w:r>
      <w:r w:rsidR="00C94991" w:rsidRPr="000E548F">
        <w:rPr>
          <w:rFonts w:ascii="Times New Roman" w:hAnsi="Times New Roman" w:cs="Times New Roman"/>
          <w:sz w:val="24"/>
          <w:szCs w:val="24"/>
        </w:rPr>
        <w:t>Colombia, la</w:t>
      </w:r>
      <w:r w:rsidRPr="000E548F">
        <w:rPr>
          <w:rFonts w:ascii="Times New Roman" w:hAnsi="Times New Roman" w:cs="Times New Roman"/>
          <w:sz w:val="24"/>
          <w:szCs w:val="24"/>
        </w:rPr>
        <w:t xml:space="preserve"> importancia del psicólogo forense en los procesos administrativos por asuntos de violencia en el contexto familiar, llevados a cabo ante la Comisaria de </w:t>
      </w:r>
      <w:r w:rsidR="009B3158" w:rsidRPr="000E548F">
        <w:rPr>
          <w:rFonts w:ascii="Times New Roman" w:hAnsi="Times New Roman" w:cs="Times New Roman"/>
          <w:sz w:val="24"/>
          <w:szCs w:val="24"/>
        </w:rPr>
        <w:t>Familia, resaltando</w:t>
      </w:r>
      <w:r w:rsidRPr="000E548F">
        <w:rPr>
          <w:rFonts w:ascii="Times New Roman" w:hAnsi="Times New Roman" w:cs="Times New Roman"/>
          <w:sz w:val="24"/>
          <w:szCs w:val="24"/>
        </w:rPr>
        <w:t xml:space="preserve"> la contribución de la Justicia Terapéutica en la salud mental de víctimas y agresores.</w:t>
      </w:r>
    </w:p>
    <w:p w14:paraId="001AB18A" w14:textId="7C45836D" w:rsidR="000E548F" w:rsidRPr="000E548F" w:rsidRDefault="000E548F" w:rsidP="000E548F">
      <w:pPr>
        <w:spacing w:line="480" w:lineRule="auto"/>
        <w:ind w:firstLine="720"/>
        <w:rPr>
          <w:rFonts w:ascii="Times New Roman" w:hAnsi="Times New Roman" w:cs="Times New Roman"/>
          <w:sz w:val="24"/>
          <w:szCs w:val="24"/>
        </w:rPr>
      </w:pPr>
      <w:r w:rsidRPr="00493CCD">
        <w:rPr>
          <w:rFonts w:ascii="Times New Roman" w:hAnsi="Times New Roman" w:cs="Times New Roman"/>
          <w:i/>
          <w:iCs/>
          <w:sz w:val="24"/>
          <w:szCs w:val="24"/>
        </w:rPr>
        <w:t xml:space="preserve"> Palabras claves:</w:t>
      </w:r>
      <w:r w:rsidRPr="000E548F">
        <w:rPr>
          <w:rFonts w:ascii="Times New Roman" w:hAnsi="Times New Roman" w:cs="Times New Roman"/>
          <w:sz w:val="24"/>
          <w:szCs w:val="24"/>
        </w:rPr>
        <w:t xml:space="preserve"> </w:t>
      </w:r>
      <w:r w:rsidR="00493CCD">
        <w:rPr>
          <w:rFonts w:ascii="Times New Roman" w:hAnsi="Times New Roman" w:cs="Times New Roman"/>
          <w:sz w:val="24"/>
          <w:szCs w:val="24"/>
        </w:rPr>
        <w:t>v</w:t>
      </w:r>
      <w:r w:rsidRPr="000E548F">
        <w:rPr>
          <w:rFonts w:ascii="Times New Roman" w:hAnsi="Times New Roman" w:cs="Times New Roman"/>
          <w:sz w:val="24"/>
          <w:szCs w:val="24"/>
        </w:rPr>
        <w:t>iolencia intrafamiliar, justicia terapéutica, emociones, audiencia.</w:t>
      </w:r>
    </w:p>
    <w:p w14:paraId="1B19B654" w14:textId="77777777" w:rsidR="000E548F" w:rsidRPr="000E548F" w:rsidRDefault="000E548F" w:rsidP="000E548F">
      <w:pPr>
        <w:spacing w:line="480" w:lineRule="auto"/>
        <w:ind w:firstLine="720"/>
        <w:jc w:val="center"/>
        <w:rPr>
          <w:rFonts w:ascii="Times New Roman" w:hAnsi="Times New Roman" w:cs="Times New Roman"/>
          <w:b/>
          <w:bCs/>
          <w:sz w:val="24"/>
          <w:szCs w:val="24"/>
        </w:rPr>
      </w:pPr>
      <w:proofErr w:type="spellStart"/>
      <w:r w:rsidRPr="000E548F">
        <w:rPr>
          <w:rFonts w:ascii="Times New Roman" w:hAnsi="Times New Roman" w:cs="Times New Roman"/>
          <w:b/>
          <w:bCs/>
          <w:sz w:val="24"/>
          <w:szCs w:val="24"/>
        </w:rPr>
        <w:t>Abstract</w:t>
      </w:r>
      <w:proofErr w:type="spellEnd"/>
    </w:p>
    <w:p w14:paraId="75BBE404" w14:textId="77777777" w:rsidR="008A5DE1" w:rsidRPr="008A5DE1" w:rsidRDefault="008A5DE1" w:rsidP="008A5DE1">
      <w:pPr>
        <w:spacing w:line="480" w:lineRule="auto"/>
        <w:ind w:firstLine="720"/>
        <w:rPr>
          <w:rFonts w:ascii="Times New Roman" w:hAnsi="Times New Roman" w:cs="Times New Roman"/>
          <w:sz w:val="24"/>
          <w:szCs w:val="24"/>
        </w:rPr>
      </w:pPr>
      <w:r w:rsidRPr="008A5DE1">
        <w:rPr>
          <w:rFonts w:ascii="Times New Roman" w:hAnsi="Times New Roman" w:cs="Times New Roman"/>
          <w:sz w:val="24"/>
          <w:szCs w:val="24"/>
        </w:rPr>
        <w:t xml:space="preserve">The </w:t>
      </w:r>
      <w:proofErr w:type="spellStart"/>
      <w:r w:rsidRPr="008A5DE1">
        <w:rPr>
          <w:rFonts w:ascii="Times New Roman" w:hAnsi="Times New Roman" w:cs="Times New Roman"/>
          <w:sz w:val="24"/>
          <w:szCs w:val="24"/>
        </w:rPr>
        <w:t>present</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research</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study</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seeks</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to</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contribute</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to</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understand</w:t>
      </w:r>
      <w:proofErr w:type="spellEnd"/>
      <w:r w:rsidRPr="008A5DE1">
        <w:rPr>
          <w:rFonts w:ascii="Times New Roman" w:hAnsi="Times New Roman" w:cs="Times New Roman"/>
          <w:sz w:val="24"/>
          <w:szCs w:val="24"/>
        </w:rPr>
        <w:t xml:space="preserve"> the </w:t>
      </w:r>
      <w:proofErr w:type="spellStart"/>
      <w:r w:rsidRPr="008A5DE1">
        <w:rPr>
          <w:rFonts w:ascii="Times New Roman" w:hAnsi="Times New Roman" w:cs="Times New Roman"/>
          <w:sz w:val="24"/>
          <w:szCs w:val="24"/>
        </w:rPr>
        <w:t>relationship</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between</w:t>
      </w:r>
      <w:proofErr w:type="spellEnd"/>
      <w:r w:rsidRPr="008A5DE1">
        <w:rPr>
          <w:rFonts w:ascii="Times New Roman" w:hAnsi="Times New Roman" w:cs="Times New Roman"/>
          <w:sz w:val="24"/>
          <w:szCs w:val="24"/>
        </w:rPr>
        <w:t xml:space="preserve"> the </w:t>
      </w:r>
      <w:proofErr w:type="spellStart"/>
      <w:r w:rsidRPr="008A5DE1">
        <w:rPr>
          <w:rFonts w:ascii="Times New Roman" w:hAnsi="Times New Roman" w:cs="Times New Roman"/>
          <w:sz w:val="24"/>
          <w:szCs w:val="24"/>
        </w:rPr>
        <w:t>emotions</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of</w:t>
      </w:r>
      <w:proofErr w:type="spellEnd"/>
      <w:r w:rsidRPr="008A5DE1">
        <w:rPr>
          <w:rFonts w:ascii="Times New Roman" w:hAnsi="Times New Roman" w:cs="Times New Roman"/>
          <w:sz w:val="24"/>
          <w:szCs w:val="24"/>
        </w:rPr>
        <w:t xml:space="preserve"> the </w:t>
      </w:r>
      <w:proofErr w:type="spellStart"/>
      <w:r w:rsidRPr="008A5DE1">
        <w:rPr>
          <w:rFonts w:ascii="Times New Roman" w:hAnsi="Times New Roman" w:cs="Times New Roman"/>
          <w:sz w:val="24"/>
          <w:szCs w:val="24"/>
        </w:rPr>
        <w:t>interveners</w:t>
      </w:r>
      <w:proofErr w:type="spellEnd"/>
      <w:r w:rsidRPr="008A5DE1">
        <w:rPr>
          <w:rFonts w:ascii="Times New Roman" w:hAnsi="Times New Roman" w:cs="Times New Roman"/>
          <w:sz w:val="24"/>
          <w:szCs w:val="24"/>
        </w:rPr>
        <w:t xml:space="preserve"> and the </w:t>
      </w:r>
      <w:proofErr w:type="spellStart"/>
      <w:r w:rsidRPr="008A5DE1">
        <w:rPr>
          <w:rFonts w:ascii="Times New Roman" w:hAnsi="Times New Roman" w:cs="Times New Roman"/>
          <w:sz w:val="24"/>
          <w:szCs w:val="24"/>
        </w:rPr>
        <w:t>influence</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of</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these</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emotions</w:t>
      </w:r>
      <w:proofErr w:type="spellEnd"/>
      <w:r w:rsidRPr="008A5DE1">
        <w:rPr>
          <w:rFonts w:ascii="Times New Roman" w:hAnsi="Times New Roman" w:cs="Times New Roman"/>
          <w:sz w:val="24"/>
          <w:szCs w:val="24"/>
        </w:rPr>
        <w:t xml:space="preserve"> in the </w:t>
      </w:r>
      <w:proofErr w:type="spellStart"/>
      <w:r w:rsidRPr="008A5DE1">
        <w:rPr>
          <w:rFonts w:ascii="Times New Roman" w:hAnsi="Times New Roman" w:cs="Times New Roman"/>
          <w:sz w:val="24"/>
          <w:szCs w:val="24"/>
        </w:rPr>
        <w:t>hearing</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for</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domestic</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violence</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directed</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from</w:t>
      </w:r>
      <w:proofErr w:type="spellEnd"/>
      <w:r w:rsidRPr="008A5DE1">
        <w:rPr>
          <w:rFonts w:ascii="Times New Roman" w:hAnsi="Times New Roman" w:cs="Times New Roman"/>
          <w:sz w:val="24"/>
          <w:szCs w:val="24"/>
        </w:rPr>
        <w:t xml:space="preserve"> the </w:t>
      </w:r>
      <w:proofErr w:type="spellStart"/>
      <w:r w:rsidRPr="008A5DE1">
        <w:rPr>
          <w:rFonts w:ascii="Times New Roman" w:hAnsi="Times New Roman" w:cs="Times New Roman"/>
          <w:sz w:val="24"/>
          <w:szCs w:val="24"/>
        </w:rPr>
        <w:t>approach</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of</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Therapeutic</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Justice</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recognizing</w:t>
      </w:r>
      <w:proofErr w:type="spellEnd"/>
      <w:r w:rsidRPr="008A5DE1">
        <w:rPr>
          <w:rFonts w:ascii="Times New Roman" w:hAnsi="Times New Roman" w:cs="Times New Roman"/>
          <w:sz w:val="24"/>
          <w:szCs w:val="24"/>
        </w:rPr>
        <w:t xml:space="preserve"> the </w:t>
      </w:r>
      <w:proofErr w:type="spellStart"/>
      <w:r w:rsidRPr="008A5DE1">
        <w:rPr>
          <w:rFonts w:ascii="Times New Roman" w:hAnsi="Times New Roman" w:cs="Times New Roman"/>
          <w:sz w:val="24"/>
          <w:szCs w:val="24"/>
        </w:rPr>
        <w:t>impact</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of</w:t>
      </w:r>
      <w:proofErr w:type="spellEnd"/>
      <w:r w:rsidRPr="008A5DE1">
        <w:rPr>
          <w:rFonts w:ascii="Times New Roman" w:hAnsi="Times New Roman" w:cs="Times New Roman"/>
          <w:sz w:val="24"/>
          <w:szCs w:val="24"/>
        </w:rPr>
        <w:t xml:space="preserve"> the </w:t>
      </w:r>
      <w:proofErr w:type="spellStart"/>
      <w:r w:rsidRPr="008A5DE1">
        <w:rPr>
          <w:rFonts w:ascii="Times New Roman" w:hAnsi="Times New Roman" w:cs="Times New Roman"/>
          <w:sz w:val="24"/>
          <w:szCs w:val="24"/>
        </w:rPr>
        <w:t>laws</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on</w:t>
      </w:r>
      <w:proofErr w:type="spellEnd"/>
      <w:r w:rsidRPr="008A5DE1">
        <w:rPr>
          <w:rFonts w:ascii="Times New Roman" w:hAnsi="Times New Roman" w:cs="Times New Roman"/>
          <w:sz w:val="24"/>
          <w:szCs w:val="24"/>
        </w:rPr>
        <w:t xml:space="preserve"> the </w:t>
      </w:r>
      <w:proofErr w:type="spellStart"/>
      <w:r w:rsidRPr="008A5DE1">
        <w:rPr>
          <w:rFonts w:ascii="Times New Roman" w:hAnsi="Times New Roman" w:cs="Times New Roman"/>
          <w:sz w:val="24"/>
          <w:szCs w:val="24"/>
        </w:rPr>
        <w:t>psychoemotional</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well-being</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behavior</w:t>
      </w:r>
      <w:proofErr w:type="spellEnd"/>
      <w:r w:rsidRPr="008A5DE1">
        <w:rPr>
          <w:rFonts w:ascii="Times New Roman" w:hAnsi="Times New Roman" w:cs="Times New Roman"/>
          <w:sz w:val="24"/>
          <w:szCs w:val="24"/>
        </w:rPr>
        <w:t xml:space="preserve"> and </w:t>
      </w:r>
      <w:proofErr w:type="spellStart"/>
      <w:r w:rsidRPr="008A5DE1">
        <w:rPr>
          <w:rFonts w:ascii="Times New Roman" w:hAnsi="Times New Roman" w:cs="Times New Roman"/>
          <w:sz w:val="24"/>
          <w:szCs w:val="24"/>
        </w:rPr>
        <w:t>decisions</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taken</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there</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To</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this</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end</w:t>
      </w:r>
      <w:proofErr w:type="spellEnd"/>
      <w:r w:rsidRPr="008A5DE1">
        <w:rPr>
          <w:rFonts w:ascii="Times New Roman" w:hAnsi="Times New Roman" w:cs="Times New Roman"/>
          <w:sz w:val="24"/>
          <w:szCs w:val="24"/>
        </w:rPr>
        <w:t xml:space="preserve">, a </w:t>
      </w:r>
      <w:proofErr w:type="spellStart"/>
      <w:r w:rsidRPr="008A5DE1">
        <w:rPr>
          <w:rFonts w:ascii="Times New Roman" w:hAnsi="Times New Roman" w:cs="Times New Roman"/>
          <w:sz w:val="24"/>
          <w:szCs w:val="24"/>
        </w:rPr>
        <w:t>hermeneutic</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theoretical</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review</w:t>
      </w:r>
      <w:proofErr w:type="spellEnd"/>
      <w:r w:rsidRPr="008A5DE1">
        <w:rPr>
          <w:rFonts w:ascii="Times New Roman" w:hAnsi="Times New Roman" w:cs="Times New Roman"/>
          <w:sz w:val="24"/>
          <w:szCs w:val="24"/>
        </w:rPr>
        <w:t xml:space="preserve"> is </w:t>
      </w:r>
      <w:proofErr w:type="spellStart"/>
      <w:r w:rsidRPr="008A5DE1">
        <w:rPr>
          <w:rFonts w:ascii="Times New Roman" w:hAnsi="Times New Roman" w:cs="Times New Roman"/>
          <w:sz w:val="24"/>
          <w:szCs w:val="24"/>
        </w:rPr>
        <w:t>developed</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using</w:t>
      </w:r>
      <w:proofErr w:type="spellEnd"/>
      <w:r w:rsidRPr="008A5DE1">
        <w:rPr>
          <w:rFonts w:ascii="Times New Roman" w:hAnsi="Times New Roman" w:cs="Times New Roman"/>
          <w:sz w:val="24"/>
          <w:szCs w:val="24"/>
        </w:rPr>
        <w:t xml:space="preserve"> a </w:t>
      </w:r>
      <w:proofErr w:type="spellStart"/>
      <w:r w:rsidRPr="008A5DE1">
        <w:rPr>
          <w:rFonts w:ascii="Times New Roman" w:hAnsi="Times New Roman" w:cs="Times New Roman"/>
          <w:sz w:val="24"/>
          <w:szCs w:val="24"/>
        </w:rPr>
        <w:t>qualitative</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methodology</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which</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allows</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interpreting</w:t>
      </w:r>
      <w:proofErr w:type="spellEnd"/>
      <w:r w:rsidRPr="008A5DE1">
        <w:rPr>
          <w:rFonts w:ascii="Times New Roman" w:hAnsi="Times New Roman" w:cs="Times New Roman"/>
          <w:sz w:val="24"/>
          <w:szCs w:val="24"/>
        </w:rPr>
        <w:t xml:space="preserve"> the social </w:t>
      </w:r>
      <w:proofErr w:type="spellStart"/>
      <w:r w:rsidRPr="008A5DE1">
        <w:rPr>
          <w:rFonts w:ascii="Times New Roman" w:hAnsi="Times New Roman" w:cs="Times New Roman"/>
          <w:sz w:val="24"/>
          <w:szCs w:val="24"/>
        </w:rPr>
        <w:t>phenomenon</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of</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domestic</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violence</w:t>
      </w:r>
      <w:proofErr w:type="spellEnd"/>
      <w:r w:rsidRPr="008A5DE1">
        <w:rPr>
          <w:rFonts w:ascii="Times New Roman" w:hAnsi="Times New Roman" w:cs="Times New Roman"/>
          <w:sz w:val="24"/>
          <w:szCs w:val="24"/>
        </w:rPr>
        <w:t xml:space="preserve">, its legal </w:t>
      </w:r>
      <w:proofErr w:type="spellStart"/>
      <w:r w:rsidRPr="008A5DE1">
        <w:rPr>
          <w:rFonts w:ascii="Times New Roman" w:hAnsi="Times New Roman" w:cs="Times New Roman"/>
          <w:sz w:val="24"/>
          <w:szCs w:val="24"/>
        </w:rPr>
        <w:t>framework</w:t>
      </w:r>
      <w:proofErr w:type="spellEnd"/>
      <w:r w:rsidRPr="008A5DE1">
        <w:rPr>
          <w:rFonts w:ascii="Times New Roman" w:hAnsi="Times New Roman" w:cs="Times New Roman"/>
          <w:sz w:val="24"/>
          <w:szCs w:val="24"/>
        </w:rPr>
        <w:t xml:space="preserve"> in Colombia, the </w:t>
      </w:r>
      <w:proofErr w:type="spellStart"/>
      <w:r w:rsidRPr="008A5DE1">
        <w:rPr>
          <w:rFonts w:ascii="Times New Roman" w:hAnsi="Times New Roman" w:cs="Times New Roman"/>
          <w:sz w:val="24"/>
          <w:szCs w:val="24"/>
        </w:rPr>
        <w:t>importance</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of</w:t>
      </w:r>
      <w:proofErr w:type="spellEnd"/>
      <w:r w:rsidRPr="008A5DE1">
        <w:rPr>
          <w:rFonts w:ascii="Times New Roman" w:hAnsi="Times New Roman" w:cs="Times New Roman"/>
          <w:sz w:val="24"/>
          <w:szCs w:val="24"/>
        </w:rPr>
        <w:t xml:space="preserve"> the </w:t>
      </w:r>
      <w:proofErr w:type="spellStart"/>
      <w:r w:rsidRPr="008A5DE1">
        <w:rPr>
          <w:rFonts w:ascii="Times New Roman" w:hAnsi="Times New Roman" w:cs="Times New Roman"/>
          <w:sz w:val="24"/>
          <w:szCs w:val="24"/>
        </w:rPr>
        <w:t>forensic</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psychologist</w:t>
      </w:r>
      <w:proofErr w:type="spellEnd"/>
      <w:r w:rsidRPr="008A5DE1">
        <w:rPr>
          <w:rFonts w:ascii="Times New Roman" w:hAnsi="Times New Roman" w:cs="Times New Roman"/>
          <w:sz w:val="24"/>
          <w:szCs w:val="24"/>
        </w:rPr>
        <w:t xml:space="preserve"> in the </w:t>
      </w:r>
      <w:proofErr w:type="spellStart"/>
      <w:r w:rsidRPr="008A5DE1">
        <w:rPr>
          <w:rFonts w:ascii="Times New Roman" w:hAnsi="Times New Roman" w:cs="Times New Roman"/>
          <w:sz w:val="24"/>
          <w:szCs w:val="24"/>
        </w:rPr>
        <w:t>administrative</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processes</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for</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issues</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of</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violence</w:t>
      </w:r>
      <w:proofErr w:type="spellEnd"/>
      <w:r w:rsidRPr="008A5DE1">
        <w:rPr>
          <w:rFonts w:ascii="Times New Roman" w:hAnsi="Times New Roman" w:cs="Times New Roman"/>
          <w:sz w:val="24"/>
          <w:szCs w:val="24"/>
        </w:rPr>
        <w:t xml:space="preserve"> in the </w:t>
      </w:r>
      <w:proofErr w:type="spellStart"/>
      <w:r w:rsidRPr="008A5DE1">
        <w:rPr>
          <w:rFonts w:ascii="Times New Roman" w:hAnsi="Times New Roman" w:cs="Times New Roman"/>
          <w:sz w:val="24"/>
          <w:szCs w:val="24"/>
        </w:rPr>
        <w:t>family</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context</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carried</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out</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before</w:t>
      </w:r>
      <w:proofErr w:type="spellEnd"/>
      <w:r w:rsidRPr="008A5DE1">
        <w:rPr>
          <w:rFonts w:ascii="Times New Roman" w:hAnsi="Times New Roman" w:cs="Times New Roman"/>
          <w:sz w:val="24"/>
          <w:szCs w:val="24"/>
        </w:rPr>
        <w:t xml:space="preserve"> the </w:t>
      </w:r>
      <w:proofErr w:type="spellStart"/>
      <w:r w:rsidRPr="008A5DE1">
        <w:rPr>
          <w:rFonts w:ascii="Times New Roman" w:hAnsi="Times New Roman" w:cs="Times New Roman"/>
          <w:sz w:val="24"/>
          <w:szCs w:val="24"/>
        </w:rPr>
        <w:t>Family</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Commissioner</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highlighting</w:t>
      </w:r>
      <w:proofErr w:type="spellEnd"/>
      <w:r w:rsidRPr="008A5DE1">
        <w:rPr>
          <w:rFonts w:ascii="Times New Roman" w:hAnsi="Times New Roman" w:cs="Times New Roman"/>
          <w:sz w:val="24"/>
          <w:szCs w:val="24"/>
        </w:rPr>
        <w:t xml:space="preserve"> the </w:t>
      </w:r>
      <w:proofErr w:type="spellStart"/>
      <w:r w:rsidRPr="008A5DE1">
        <w:rPr>
          <w:rFonts w:ascii="Times New Roman" w:hAnsi="Times New Roman" w:cs="Times New Roman"/>
          <w:sz w:val="24"/>
          <w:szCs w:val="24"/>
        </w:rPr>
        <w:t>contribution</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of</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Therapeutic</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Justice</w:t>
      </w:r>
      <w:proofErr w:type="spellEnd"/>
      <w:r w:rsidRPr="008A5DE1">
        <w:rPr>
          <w:rFonts w:ascii="Times New Roman" w:hAnsi="Times New Roman" w:cs="Times New Roman"/>
          <w:sz w:val="24"/>
          <w:szCs w:val="24"/>
        </w:rPr>
        <w:t xml:space="preserve"> in the mental </w:t>
      </w:r>
      <w:proofErr w:type="spellStart"/>
      <w:r w:rsidRPr="008A5DE1">
        <w:rPr>
          <w:rFonts w:ascii="Times New Roman" w:hAnsi="Times New Roman" w:cs="Times New Roman"/>
          <w:sz w:val="24"/>
          <w:szCs w:val="24"/>
        </w:rPr>
        <w:t>health</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of</w:t>
      </w:r>
      <w:proofErr w:type="spellEnd"/>
      <w:r w:rsidRPr="008A5DE1">
        <w:rPr>
          <w:rFonts w:ascii="Times New Roman" w:hAnsi="Times New Roman" w:cs="Times New Roman"/>
          <w:sz w:val="24"/>
          <w:szCs w:val="24"/>
        </w:rPr>
        <w:t xml:space="preserve"> </w:t>
      </w:r>
      <w:proofErr w:type="spellStart"/>
      <w:r w:rsidRPr="008A5DE1">
        <w:rPr>
          <w:rFonts w:ascii="Times New Roman" w:hAnsi="Times New Roman" w:cs="Times New Roman"/>
          <w:sz w:val="24"/>
          <w:szCs w:val="24"/>
        </w:rPr>
        <w:t>victims</w:t>
      </w:r>
      <w:proofErr w:type="spellEnd"/>
      <w:r w:rsidRPr="008A5DE1">
        <w:rPr>
          <w:rFonts w:ascii="Times New Roman" w:hAnsi="Times New Roman" w:cs="Times New Roman"/>
          <w:sz w:val="24"/>
          <w:szCs w:val="24"/>
        </w:rPr>
        <w:t xml:space="preserve"> and </w:t>
      </w:r>
      <w:proofErr w:type="spellStart"/>
      <w:r w:rsidRPr="008A5DE1">
        <w:rPr>
          <w:rFonts w:ascii="Times New Roman" w:hAnsi="Times New Roman" w:cs="Times New Roman"/>
          <w:sz w:val="24"/>
          <w:szCs w:val="24"/>
        </w:rPr>
        <w:t>aggressors</w:t>
      </w:r>
      <w:proofErr w:type="spellEnd"/>
      <w:r w:rsidRPr="008A5DE1">
        <w:rPr>
          <w:rFonts w:ascii="Times New Roman" w:hAnsi="Times New Roman" w:cs="Times New Roman"/>
          <w:sz w:val="24"/>
          <w:szCs w:val="24"/>
        </w:rPr>
        <w:t>.</w:t>
      </w:r>
    </w:p>
    <w:p w14:paraId="442762CA" w14:textId="77777777" w:rsidR="008A5DE1" w:rsidRPr="008A5DE1" w:rsidRDefault="008A5DE1" w:rsidP="008A5DE1">
      <w:pPr>
        <w:spacing w:line="480" w:lineRule="auto"/>
        <w:ind w:firstLine="720"/>
        <w:rPr>
          <w:rFonts w:ascii="Times New Roman" w:hAnsi="Times New Roman" w:cs="Times New Roman"/>
          <w:sz w:val="24"/>
          <w:szCs w:val="24"/>
        </w:rPr>
      </w:pPr>
    </w:p>
    <w:p w14:paraId="43A07A7C" w14:textId="0ACC3519" w:rsidR="000E548F" w:rsidRPr="000E548F" w:rsidRDefault="000E548F" w:rsidP="008A5DE1">
      <w:pPr>
        <w:spacing w:line="480" w:lineRule="auto"/>
        <w:ind w:firstLine="720"/>
        <w:rPr>
          <w:rFonts w:ascii="Times New Roman" w:hAnsi="Times New Roman" w:cs="Times New Roman"/>
          <w:sz w:val="24"/>
          <w:szCs w:val="24"/>
        </w:rPr>
      </w:pPr>
      <w:proofErr w:type="spellStart"/>
      <w:r w:rsidRPr="00493CCD">
        <w:rPr>
          <w:rFonts w:ascii="Times New Roman" w:hAnsi="Times New Roman" w:cs="Times New Roman"/>
          <w:i/>
          <w:iCs/>
          <w:sz w:val="24"/>
          <w:szCs w:val="24"/>
        </w:rPr>
        <w:lastRenderedPageBreak/>
        <w:t>Keywords</w:t>
      </w:r>
      <w:proofErr w:type="spellEnd"/>
      <w:r w:rsidRPr="00493CCD">
        <w:rPr>
          <w:rFonts w:ascii="Times New Roman" w:hAnsi="Times New Roman" w:cs="Times New Roman"/>
          <w:i/>
          <w:iCs/>
          <w:sz w:val="24"/>
          <w:szCs w:val="24"/>
        </w:rPr>
        <w:t>:</w:t>
      </w:r>
      <w:r w:rsidRPr="000E548F">
        <w:rPr>
          <w:rFonts w:ascii="Times New Roman" w:hAnsi="Times New Roman" w:cs="Times New Roman"/>
          <w:sz w:val="24"/>
          <w:szCs w:val="24"/>
        </w:rPr>
        <w:t xml:space="preserve"> </w:t>
      </w:r>
      <w:proofErr w:type="spellStart"/>
      <w:r w:rsidR="009B3158">
        <w:rPr>
          <w:rFonts w:ascii="Times New Roman" w:hAnsi="Times New Roman" w:cs="Times New Roman"/>
          <w:sz w:val="24"/>
          <w:szCs w:val="24"/>
        </w:rPr>
        <w:t>d</w:t>
      </w:r>
      <w:r w:rsidRPr="000E548F">
        <w:rPr>
          <w:rFonts w:ascii="Times New Roman" w:hAnsi="Times New Roman" w:cs="Times New Roman"/>
          <w:sz w:val="24"/>
          <w:szCs w:val="24"/>
        </w:rPr>
        <w:t>omestic</w:t>
      </w:r>
      <w:proofErr w:type="spellEnd"/>
      <w:r w:rsidRPr="000E548F">
        <w:rPr>
          <w:rFonts w:ascii="Times New Roman" w:hAnsi="Times New Roman" w:cs="Times New Roman"/>
          <w:sz w:val="24"/>
          <w:szCs w:val="24"/>
        </w:rPr>
        <w:t xml:space="preserve"> </w:t>
      </w:r>
      <w:proofErr w:type="spellStart"/>
      <w:r w:rsidRPr="000E548F">
        <w:rPr>
          <w:rFonts w:ascii="Times New Roman" w:hAnsi="Times New Roman" w:cs="Times New Roman"/>
          <w:sz w:val="24"/>
          <w:szCs w:val="24"/>
        </w:rPr>
        <w:t>violence</w:t>
      </w:r>
      <w:proofErr w:type="spellEnd"/>
      <w:r w:rsidRPr="000E548F">
        <w:rPr>
          <w:rFonts w:ascii="Times New Roman" w:hAnsi="Times New Roman" w:cs="Times New Roman"/>
          <w:sz w:val="24"/>
          <w:szCs w:val="24"/>
        </w:rPr>
        <w:t xml:space="preserve">, </w:t>
      </w:r>
      <w:proofErr w:type="spellStart"/>
      <w:r w:rsidRPr="000E548F">
        <w:rPr>
          <w:rFonts w:ascii="Times New Roman" w:hAnsi="Times New Roman" w:cs="Times New Roman"/>
          <w:sz w:val="24"/>
          <w:szCs w:val="24"/>
        </w:rPr>
        <w:t>therapeutic</w:t>
      </w:r>
      <w:proofErr w:type="spellEnd"/>
      <w:r w:rsidRPr="000E548F">
        <w:rPr>
          <w:rFonts w:ascii="Times New Roman" w:hAnsi="Times New Roman" w:cs="Times New Roman"/>
          <w:sz w:val="24"/>
          <w:szCs w:val="24"/>
        </w:rPr>
        <w:t xml:space="preserve"> </w:t>
      </w:r>
      <w:proofErr w:type="spellStart"/>
      <w:r w:rsidRPr="000E548F">
        <w:rPr>
          <w:rFonts w:ascii="Times New Roman" w:hAnsi="Times New Roman" w:cs="Times New Roman"/>
          <w:sz w:val="24"/>
          <w:szCs w:val="24"/>
        </w:rPr>
        <w:t>justice</w:t>
      </w:r>
      <w:proofErr w:type="spellEnd"/>
      <w:r w:rsidRPr="000E548F">
        <w:rPr>
          <w:rFonts w:ascii="Times New Roman" w:hAnsi="Times New Roman" w:cs="Times New Roman"/>
          <w:sz w:val="24"/>
          <w:szCs w:val="24"/>
        </w:rPr>
        <w:t xml:space="preserve">, </w:t>
      </w:r>
      <w:proofErr w:type="spellStart"/>
      <w:r w:rsidRPr="000E548F">
        <w:rPr>
          <w:rFonts w:ascii="Times New Roman" w:hAnsi="Times New Roman" w:cs="Times New Roman"/>
          <w:sz w:val="24"/>
          <w:szCs w:val="24"/>
        </w:rPr>
        <w:t>emotions</w:t>
      </w:r>
      <w:proofErr w:type="spellEnd"/>
      <w:r w:rsidRPr="000E548F">
        <w:rPr>
          <w:rFonts w:ascii="Times New Roman" w:hAnsi="Times New Roman" w:cs="Times New Roman"/>
          <w:sz w:val="24"/>
          <w:szCs w:val="24"/>
        </w:rPr>
        <w:t xml:space="preserve">, </w:t>
      </w:r>
      <w:proofErr w:type="spellStart"/>
      <w:r w:rsidRPr="000E548F">
        <w:rPr>
          <w:rFonts w:ascii="Times New Roman" w:hAnsi="Times New Roman" w:cs="Times New Roman"/>
          <w:sz w:val="24"/>
          <w:szCs w:val="24"/>
        </w:rPr>
        <w:t>aggressive</w:t>
      </w:r>
      <w:proofErr w:type="spellEnd"/>
      <w:r w:rsidRPr="000E548F">
        <w:rPr>
          <w:rFonts w:ascii="Times New Roman" w:hAnsi="Times New Roman" w:cs="Times New Roman"/>
          <w:sz w:val="24"/>
          <w:szCs w:val="24"/>
        </w:rPr>
        <w:t xml:space="preserve"> </w:t>
      </w:r>
      <w:proofErr w:type="spellStart"/>
      <w:r w:rsidR="009B3158" w:rsidRPr="000E548F">
        <w:rPr>
          <w:rFonts w:ascii="Times New Roman" w:hAnsi="Times New Roman" w:cs="Times New Roman"/>
          <w:sz w:val="24"/>
          <w:szCs w:val="24"/>
        </w:rPr>
        <w:t>behavior</w:t>
      </w:r>
      <w:proofErr w:type="spellEnd"/>
      <w:r w:rsidR="009B3158" w:rsidRPr="000E548F">
        <w:rPr>
          <w:rFonts w:ascii="Times New Roman" w:hAnsi="Times New Roman" w:cs="Times New Roman"/>
          <w:sz w:val="24"/>
          <w:szCs w:val="24"/>
        </w:rPr>
        <w:t>.</w:t>
      </w:r>
    </w:p>
    <w:p w14:paraId="7E87B0B3" w14:textId="77777777" w:rsidR="000E548F" w:rsidRPr="000E548F" w:rsidRDefault="000E548F" w:rsidP="000E548F">
      <w:pPr>
        <w:spacing w:line="480" w:lineRule="auto"/>
        <w:ind w:firstLine="720"/>
        <w:jc w:val="center"/>
        <w:rPr>
          <w:rFonts w:ascii="Times New Roman" w:hAnsi="Times New Roman" w:cs="Times New Roman"/>
          <w:b/>
          <w:bCs/>
          <w:sz w:val="24"/>
          <w:szCs w:val="24"/>
        </w:rPr>
      </w:pPr>
      <w:r w:rsidRPr="000E548F">
        <w:rPr>
          <w:rFonts w:ascii="Times New Roman" w:hAnsi="Times New Roman" w:cs="Times New Roman"/>
          <w:b/>
          <w:bCs/>
          <w:sz w:val="24"/>
          <w:szCs w:val="24"/>
        </w:rPr>
        <w:t>Introducción</w:t>
      </w:r>
    </w:p>
    <w:p w14:paraId="3692B212" w14:textId="5CF75994"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La violencia es un fenómeno social históricamente normalizado, con consecuencias físicas y psicológicas devastadoras para las personas. Por consiguiente, se considera ubicua en las relaciones interpersonales. Este análisis se enfoca en la violencia intrafamiliar en Colombia, entendiendo esta como la violencia que ocurre dentro del hogar y afecta a sus miembros, particularmente mujeres y niños, por su mayor vulnerabilidad.</w:t>
      </w:r>
    </w:p>
    <w:p w14:paraId="34C63DDF" w14:textId="72AEEE65"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 xml:space="preserve">El artículo revisará teóricamente la problemática social de la violencia intrafamiliar en Colombia, analizando su marco legal, </w:t>
      </w:r>
      <w:r>
        <w:rPr>
          <w:rFonts w:ascii="Times New Roman" w:hAnsi="Times New Roman" w:cs="Times New Roman"/>
          <w:sz w:val="24"/>
          <w:szCs w:val="24"/>
        </w:rPr>
        <w:t xml:space="preserve">desde </w:t>
      </w:r>
      <w:r w:rsidRPr="000E548F">
        <w:rPr>
          <w:rFonts w:ascii="Times New Roman" w:hAnsi="Times New Roman" w:cs="Times New Roman"/>
          <w:sz w:val="24"/>
          <w:szCs w:val="24"/>
        </w:rPr>
        <w:t>la Ley 294 de 1996 hasta la Ley 2126 de 2021, las cuales regulan las competencias y funciones de las Comisarías de Familia, reconociendo como una de ellas la asistencia en casos de violencia en el entorno familiar.</w:t>
      </w:r>
    </w:p>
    <w:p w14:paraId="267B391A" w14:textId="3BFC9885"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En lo concerniente al proceso administrativo, la Comisaría de Familia asiste los eventos donde la víctima solicita medida de protección; por ello, este artículo se centra en la etapa de audiencia del proceso, con el objetivo de analizar la aplicación e impacto de la justicia terapéutica en el contexto legal, buscando el bienestar emocional de todos los involucrados, resaltando el papel crucial de las emociones, que suelen intensificarse durante la audiencia, influyendo en el conflicto.</w:t>
      </w:r>
    </w:p>
    <w:p w14:paraId="70DCF8A7" w14:textId="683C1D98" w:rsid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Por lo anterior, es crucial visibilizar la justicia como un agente terapéutico, no antiterapéutico. En este sentido, lograr la regulación emocional durante la audiencia puede reducir la reincidencia y fomentar la búsqueda de factores protectores para la salud mental de quienes participan en el proceso.</w:t>
      </w:r>
    </w:p>
    <w:p w14:paraId="44E082BD" w14:textId="77777777" w:rsidR="000E548F" w:rsidRPr="000E548F" w:rsidRDefault="000E548F" w:rsidP="00493CCD">
      <w:pPr>
        <w:spacing w:line="480" w:lineRule="auto"/>
        <w:ind w:firstLine="720"/>
        <w:rPr>
          <w:rFonts w:ascii="Times New Roman" w:hAnsi="Times New Roman" w:cs="Times New Roman"/>
          <w:b/>
          <w:bCs/>
          <w:sz w:val="24"/>
          <w:szCs w:val="24"/>
        </w:rPr>
      </w:pPr>
      <w:r w:rsidRPr="000E548F">
        <w:rPr>
          <w:rFonts w:ascii="Times New Roman" w:hAnsi="Times New Roman" w:cs="Times New Roman"/>
          <w:b/>
          <w:bCs/>
          <w:sz w:val="24"/>
          <w:szCs w:val="24"/>
        </w:rPr>
        <w:t>Planteamiento del Problema</w:t>
      </w:r>
    </w:p>
    <w:p w14:paraId="74045616" w14:textId="77777777"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lastRenderedPageBreak/>
        <w:t>Los desafíos, presentados en un contexto familiar donde se produce la violencia, son múltiples, por cuanto la permanencia de su ciclo impacta a los integrantes y las relaciones entre ellos. Es así como un hecho desencadenante impulsa a la víctima a buscar soluciones.</w:t>
      </w:r>
    </w:p>
    <w:p w14:paraId="65678A7E" w14:textId="77777777"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En Colombia, según la Ley 2126 de 2021, se reglamenta la creación y funcionamiento de las Comisarías de Familia, encargadas de prevenir, amparar, restaurar, reparar y garantizar los derechos de las personas en riesgo de violencia dentro del hogar a través de una atención especializada e interdisciplinaria.</w:t>
      </w:r>
    </w:p>
    <w:p w14:paraId="5038F165" w14:textId="3945F233"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 xml:space="preserve">Por consiguiente, las Comisarías de Familia son instituciones claves, para atender estos casos y actuar como entes de conciliación extrajudicial, no obstante, en su día a día, su función conciliadora se ve obstaculizada por la dificultad de gestionar las competencias socioafectivas de los participantes. Quienes, aunque presentes físicamente en la audiencia, con frecuencia desconocen las normas de comportamiento, tanto durante como después de la misma, incluyendo los correctivos que dé lugar cuando se incumpla las medidas impuestas.  </w:t>
      </w:r>
    </w:p>
    <w:p w14:paraId="33917F91" w14:textId="77777777"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Desde la justicia terapéutica, en cambio, se prioriza el reconocimiento de las emociones para una intervención más efectiva. En este contexto, la comunicación juega un papel crucial, logrando una incidencia más funcional entre el escenario de la audiencia y el hablar, escuchar, debatir y tomar decisiones.</w:t>
      </w:r>
    </w:p>
    <w:p w14:paraId="6FD7A947" w14:textId="77777777"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 xml:space="preserve">   En resumen, la literatura recomienda un enfoque interdisciplinario e integral para abordar los casos de violencia intrafamiliar, atendiendo las necesidades legales y emocionales de todos los involucrados, lo cual implica cubrir las necesidades legales, emocionales y contribuir significativamente al bienestar de los intervinientes. </w:t>
      </w:r>
    </w:p>
    <w:p w14:paraId="3F85ED32" w14:textId="77777777"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lastRenderedPageBreak/>
        <w:t>Finalmente, según lo expuesto, en favor de lograr procesos legales dignos y efectivos en casos de violencia intrafamiliar, es fundamental comprender la dinámica de las audiencias. Esto implica crear un espacio seguro, armónico y empático, mediante las buenas prácticas y estrategias, basadas en el enfoque de justicia terapéutica y el manejo de las emociones.</w:t>
      </w:r>
    </w:p>
    <w:p w14:paraId="0FE9804B" w14:textId="77777777" w:rsidR="000E548F" w:rsidRPr="00493CCD" w:rsidRDefault="000E548F" w:rsidP="000E548F">
      <w:pPr>
        <w:spacing w:line="480" w:lineRule="auto"/>
        <w:ind w:firstLine="720"/>
        <w:rPr>
          <w:rFonts w:ascii="Times New Roman" w:hAnsi="Times New Roman" w:cs="Times New Roman"/>
          <w:b/>
          <w:bCs/>
          <w:i/>
          <w:iCs/>
          <w:sz w:val="24"/>
          <w:szCs w:val="24"/>
        </w:rPr>
      </w:pPr>
      <w:r w:rsidRPr="00493CCD">
        <w:rPr>
          <w:rFonts w:ascii="Times New Roman" w:hAnsi="Times New Roman" w:cs="Times New Roman"/>
          <w:b/>
          <w:bCs/>
          <w:i/>
          <w:iCs/>
          <w:sz w:val="24"/>
          <w:szCs w:val="24"/>
        </w:rPr>
        <w:t xml:space="preserve">Formulación del Problema: </w:t>
      </w:r>
    </w:p>
    <w:p w14:paraId="0BEB6AA8" w14:textId="77777777"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¿Cómo contribuye la justicia terapéutica al manejo emocional de los participantes en audiencias por violencia intrafamiliar en Colombia?</w:t>
      </w:r>
    </w:p>
    <w:p w14:paraId="6167655A" w14:textId="77777777" w:rsidR="000E548F" w:rsidRPr="000E548F" w:rsidRDefault="000E548F" w:rsidP="000E548F">
      <w:pPr>
        <w:spacing w:line="480" w:lineRule="auto"/>
        <w:ind w:firstLine="720"/>
        <w:jc w:val="center"/>
        <w:rPr>
          <w:rFonts w:ascii="Times New Roman" w:hAnsi="Times New Roman" w:cs="Times New Roman"/>
          <w:b/>
          <w:bCs/>
          <w:sz w:val="24"/>
          <w:szCs w:val="24"/>
        </w:rPr>
      </w:pPr>
      <w:r w:rsidRPr="000E548F">
        <w:rPr>
          <w:rFonts w:ascii="Times New Roman" w:hAnsi="Times New Roman" w:cs="Times New Roman"/>
          <w:b/>
          <w:bCs/>
          <w:sz w:val="24"/>
          <w:szCs w:val="24"/>
        </w:rPr>
        <w:t>Justificación</w:t>
      </w:r>
    </w:p>
    <w:p w14:paraId="56A821FC" w14:textId="77777777"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La violencia intrafamiliar es una problemática con afectaciones negativas en los núcleos familiares y la sociedad, interpretándose como un fenómeno normalizado, donde las personas aceptan y justifican comportamientos violentos como parte de la dinámica familiar cotidiana, afectando el bienestar emocional y psicológico en cada uno de los integrantes del grupo familiar y posiblemente, su entorno social.</w:t>
      </w:r>
    </w:p>
    <w:p w14:paraId="0B2C96CB" w14:textId="2E9656AC"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 xml:space="preserve"> El informe sobre violencia intrafamiliar en Colombia, basado en datos del Boletín estadístico mensual de Medicina Legal (octubre 2024), revela un ligero aumento de casos en 2024 (53.522) respecto a 2023 (53.076), representando un incremento del 0.46%.  Entre enero y octubre de 2024, en comparación con el mismo periodo de 2023, se observa un aumento significativo en la violencia contra niños, niñas y adolescentes (31.57%, 1625 casos más) y contra adultos mayores (13.46%, 307 casos más). En contraste, la violencia de pareja (-2.69%, 953 casos menos) y entre otros familiares (-7.21%, 733 casos menos) disminuyeron. Las ciudades capitales con mayor número de casos fueron Bogotá (12.133), Medellín (3.041), Santiago de Cali (2.544) e Ibagué (1.257). </w:t>
      </w:r>
    </w:p>
    <w:p w14:paraId="48A19FD8" w14:textId="77777777"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lastRenderedPageBreak/>
        <w:t>Según, los datos de la Red de Observatorios de Boyacá, en colaboración con el Instituto de Medicina Legal y Ciencias Forenses de Boyacá, la Unidad de Atención y Reparación Integral a Víctimas, la Fiscalía General de la Nación, el Instituto Colombiano de Bienestar Familiar y la Secretaría de Salud de Boyacá (2024), en el periodo de enero 2020 a junio 2024, muestran una mayor incidencia de violencia intrafamiliar en el grupo de adultos (29-59 años), con 6.318 casos (36,4%). Le siguen los grupos de jóvenes (18-28 años, 4.096 casos, 23,6%) y adolescentes (12-17 años, 3.090 casos, 17,8%).  Este incremento en Boyacá podría reflejar un aumento de la violencia, una mayor denuncia o un mejor acceso a los servicios de atención y justicia.</w:t>
      </w:r>
    </w:p>
    <w:p w14:paraId="7B7E00D9" w14:textId="77777777"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En los casos de violencia intrafamiliar, la mujer es la víctima en la mayoría (60.1%), mientras que el 39.9% de las víctimas son hombres. Respecto al victimario, el 72.6% son hombres (1.341 casos), el 26.5% mujeres (489 casos), el 0.8% (15 casos) corresponde a casos indeterminados, y el 0.05% (1 caso) a personas intersexuales.</w:t>
      </w:r>
    </w:p>
    <w:p w14:paraId="2BF38DCD" w14:textId="6E6ED313"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Esto refleja una realidad desafiante y compleja, la cual requiere de atención y la necesidad de comprender cómo perciben, experimentan y responden emocionalmente la víctima, el agresor y los diferentes actores involucrados en el proceso de violencia intrafamiliar en Colombia.</w:t>
      </w:r>
    </w:p>
    <w:p w14:paraId="3993CCD0" w14:textId="77777777"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 xml:space="preserve">Por esta razón, buscar el bienestar de quienes intervienen, la implementación de un modelo de justicia terapéutica, en el cual se pretende estudiar la ley como un agente social, con consecuencias y promoción de los comportamientos de las víctimas y victimarios, en búsqueda de su bienestar, permite abordar la violencia intrafamiliar comprendiendo al ser humano desde sus múltiples dimensiones biológica, psicológica y social. </w:t>
      </w:r>
    </w:p>
    <w:p w14:paraId="76250B25" w14:textId="39FF29BB"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lastRenderedPageBreak/>
        <w:t xml:space="preserve">Este enfoque considerado un nuevo paradigma innovador, estima cómo las leyes deben tener un fin terapéutico y no antiterapéutico, esto porque los procesos legales impactan de manera directa la vida, el estado físico y mental de las personas, las relaciones interpersonales, los roles desempeñados por cada miembro dentro de sus familias y las dinámicas en cada una de ellas, resaltando la importancia de entender estas relaciones para fomentar entornos familiares saludables y funcionales.  </w:t>
      </w:r>
    </w:p>
    <w:p w14:paraId="06298481" w14:textId="60290C06"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 xml:space="preserve">En relación con la idea anterior, se evidencian las emociones, las cuales hacen parte de la esencia humana </w:t>
      </w:r>
      <w:proofErr w:type="gramStart"/>
      <w:r w:rsidRPr="000E548F">
        <w:rPr>
          <w:rFonts w:ascii="Times New Roman" w:hAnsi="Times New Roman" w:cs="Times New Roman"/>
          <w:sz w:val="24"/>
          <w:szCs w:val="24"/>
        </w:rPr>
        <w:t>y</w:t>
      </w:r>
      <w:proofErr w:type="gramEnd"/>
      <w:r w:rsidRPr="000E548F">
        <w:rPr>
          <w:rFonts w:ascii="Times New Roman" w:hAnsi="Times New Roman" w:cs="Times New Roman"/>
          <w:sz w:val="24"/>
          <w:szCs w:val="24"/>
        </w:rPr>
        <w:t xml:space="preserve"> por tanto, estarán presentes en todo tipo de experiencia. Teniendo un papel adaptativo cumpliendo la función de detectar cambios y preparando a la persona para responder a los estímulos, esta respuesta puede ser de acercamiento o de evitación si los estímulos son apetecidos o rechazados, respectivamente (Fernández Abascal, 2022)</w:t>
      </w:r>
    </w:p>
    <w:p w14:paraId="01CCF84C" w14:textId="2BDC5757"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¿Pero y qué ocurre con estas emociones, cuando una persona debe comparecer ante una autoridad legal en una audiencia? ¿Está preparado para comprender lo que significa?</w:t>
      </w:r>
    </w:p>
    <w:p w14:paraId="2F5E2E43" w14:textId="77777777" w:rsidR="000E548F" w:rsidRP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Es importante destacar que, en mencionado contexto de mediación, aunque se busca establecer un canal de comunicación recíproco entre la víctima y el victimario, fomentando un espacio de comprensión, descubrimiento de múltiples perspectivas, desarrollo de habilidades basadas en el pensamiento crítico, la creatividad y el quehacer colaborativo para resolver un problema, comúnmente resulta convirtiéndose en un ámbito en el cual, la palabra emerge como un impulso psíquico o instintivo, en el que, la palabra tiene un significado propio, que como una cometa se deja llevar por un viento impetuoso o por un aire suave sin dejar de ser una cometa. De igual manera una misma palabra puede ser tomada como una agresión o como una caricia; todo depende del aire en que se agite.</w:t>
      </w:r>
    </w:p>
    <w:p w14:paraId="4B219217" w14:textId="3FAE203D" w:rsid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lastRenderedPageBreak/>
        <w:t xml:space="preserve">Y así como la cometa está dirigida por una persona que, a través de una línea, trata de orientar su rumbo y evitar su caída o enredo, la Comisaria de Familia tiene una función semejante. Al ser la entidad responsable de prevenir, proteger, restablecer y garantizar los derechos de quienes están en riesgo o han sido víctimas de violencia en el contexto de la familia. Focalizándose la mencionada función principalmente en el Comisario(a) de Familia, quien debe ser creíble y ecuánime ante sus usuarios y comprender que las emociones tienen influencia sobre los juicios de quienes le escuchan. </w:t>
      </w:r>
    </w:p>
    <w:p w14:paraId="16179802" w14:textId="7644351A" w:rsidR="00493CCD" w:rsidRPr="00493CCD" w:rsidRDefault="00493CCD" w:rsidP="00493CCD">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Objetivos</w:t>
      </w:r>
    </w:p>
    <w:p w14:paraId="61EE4D5A" w14:textId="31F01755" w:rsidR="000E548F" w:rsidRPr="000E548F" w:rsidRDefault="000E548F" w:rsidP="000E548F">
      <w:pPr>
        <w:spacing w:line="480" w:lineRule="auto"/>
        <w:ind w:firstLine="720"/>
        <w:rPr>
          <w:rFonts w:ascii="Times New Roman" w:hAnsi="Times New Roman" w:cs="Times New Roman"/>
          <w:b/>
          <w:bCs/>
          <w:sz w:val="24"/>
          <w:szCs w:val="24"/>
        </w:rPr>
      </w:pPr>
      <w:r w:rsidRPr="000E548F">
        <w:rPr>
          <w:rFonts w:ascii="Times New Roman" w:hAnsi="Times New Roman" w:cs="Times New Roman"/>
          <w:b/>
          <w:bCs/>
          <w:sz w:val="24"/>
          <w:szCs w:val="24"/>
        </w:rPr>
        <w:t>Objetivo General</w:t>
      </w:r>
    </w:p>
    <w:p w14:paraId="5956BB74" w14:textId="5E8BB283" w:rsidR="0042486D"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 xml:space="preserve">Analizar </w:t>
      </w:r>
      <w:r w:rsidR="0042486D">
        <w:rPr>
          <w:rFonts w:ascii="Times New Roman" w:hAnsi="Times New Roman" w:cs="Times New Roman"/>
          <w:sz w:val="24"/>
          <w:szCs w:val="24"/>
        </w:rPr>
        <w:t>la relación entre las</w:t>
      </w:r>
      <w:r w:rsidRPr="000E548F">
        <w:rPr>
          <w:rFonts w:ascii="Times New Roman" w:hAnsi="Times New Roman" w:cs="Times New Roman"/>
          <w:sz w:val="24"/>
          <w:szCs w:val="24"/>
        </w:rPr>
        <w:t xml:space="preserve"> emocion</w:t>
      </w:r>
      <w:r w:rsidR="0042486D">
        <w:rPr>
          <w:rFonts w:ascii="Times New Roman" w:hAnsi="Times New Roman" w:cs="Times New Roman"/>
          <w:sz w:val="24"/>
          <w:szCs w:val="24"/>
        </w:rPr>
        <w:t>es de los intervinientes y</w:t>
      </w:r>
      <w:r w:rsidR="0042486D" w:rsidRPr="0042486D">
        <w:rPr>
          <w:rFonts w:ascii="Times New Roman" w:hAnsi="Times New Roman" w:cs="Times New Roman"/>
          <w:sz w:val="24"/>
          <w:szCs w:val="24"/>
        </w:rPr>
        <w:t xml:space="preserve"> la </w:t>
      </w:r>
      <w:r w:rsidR="008A5DE1">
        <w:rPr>
          <w:rFonts w:ascii="Times New Roman" w:hAnsi="Times New Roman" w:cs="Times New Roman"/>
          <w:sz w:val="24"/>
          <w:szCs w:val="24"/>
        </w:rPr>
        <w:t>influencia de estas</w:t>
      </w:r>
      <w:r w:rsidR="0042486D" w:rsidRPr="0042486D">
        <w:rPr>
          <w:rFonts w:ascii="Times New Roman" w:hAnsi="Times New Roman" w:cs="Times New Roman"/>
          <w:sz w:val="24"/>
          <w:szCs w:val="24"/>
        </w:rPr>
        <w:t xml:space="preserve"> en la audiencia por violencia intrafamiliar, dirigida desde el enfoque de Justicia Terapéutica</w:t>
      </w:r>
      <w:r w:rsidR="0042486D">
        <w:rPr>
          <w:rFonts w:ascii="Times New Roman" w:hAnsi="Times New Roman" w:cs="Times New Roman"/>
          <w:sz w:val="24"/>
          <w:szCs w:val="24"/>
        </w:rPr>
        <w:t>.</w:t>
      </w:r>
    </w:p>
    <w:p w14:paraId="24725509" w14:textId="4193ACBE" w:rsidR="000E548F" w:rsidRPr="00493CCD" w:rsidRDefault="000E548F" w:rsidP="000E548F">
      <w:pPr>
        <w:spacing w:line="480" w:lineRule="auto"/>
        <w:ind w:firstLine="720"/>
        <w:rPr>
          <w:rFonts w:ascii="Times New Roman" w:hAnsi="Times New Roman" w:cs="Times New Roman"/>
          <w:b/>
          <w:bCs/>
          <w:sz w:val="24"/>
          <w:szCs w:val="24"/>
        </w:rPr>
      </w:pPr>
      <w:r w:rsidRPr="00493CCD">
        <w:rPr>
          <w:rFonts w:ascii="Times New Roman" w:hAnsi="Times New Roman" w:cs="Times New Roman"/>
          <w:b/>
          <w:bCs/>
          <w:sz w:val="24"/>
          <w:szCs w:val="24"/>
        </w:rPr>
        <w:t xml:space="preserve">Objetivos específicos </w:t>
      </w:r>
    </w:p>
    <w:p w14:paraId="523F444E" w14:textId="0EBEBE74" w:rsidR="000E548F" w:rsidRDefault="000E548F" w:rsidP="000E548F">
      <w:pPr>
        <w:spacing w:line="480" w:lineRule="auto"/>
        <w:ind w:firstLine="720"/>
        <w:rPr>
          <w:rFonts w:ascii="Times New Roman" w:hAnsi="Times New Roman" w:cs="Times New Roman"/>
          <w:sz w:val="24"/>
          <w:szCs w:val="24"/>
        </w:rPr>
      </w:pPr>
      <w:r w:rsidRPr="000E548F">
        <w:rPr>
          <w:rFonts w:ascii="Times New Roman" w:hAnsi="Times New Roman" w:cs="Times New Roman"/>
          <w:sz w:val="24"/>
          <w:szCs w:val="24"/>
        </w:rPr>
        <w:t xml:space="preserve">- Considerar la justicia terapéutica como </w:t>
      </w:r>
      <w:r w:rsidR="004C0BC3">
        <w:rPr>
          <w:rFonts w:ascii="Times New Roman" w:hAnsi="Times New Roman" w:cs="Times New Roman"/>
          <w:sz w:val="24"/>
          <w:szCs w:val="24"/>
        </w:rPr>
        <w:t>alternativa en la práctica del derecho</w:t>
      </w:r>
      <w:r w:rsidRPr="000E548F">
        <w:rPr>
          <w:rFonts w:ascii="Times New Roman" w:hAnsi="Times New Roman" w:cs="Times New Roman"/>
          <w:sz w:val="24"/>
          <w:szCs w:val="24"/>
        </w:rPr>
        <w:t xml:space="preserve"> que </w:t>
      </w:r>
      <w:r w:rsidR="004C0BC3">
        <w:rPr>
          <w:rFonts w:ascii="Times New Roman" w:hAnsi="Times New Roman" w:cs="Times New Roman"/>
          <w:sz w:val="24"/>
          <w:szCs w:val="24"/>
        </w:rPr>
        <w:t>contempla</w:t>
      </w:r>
      <w:r w:rsidRPr="000E548F">
        <w:rPr>
          <w:rFonts w:ascii="Times New Roman" w:hAnsi="Times New Roman" w:cs="Times New Roman"/>
          <w:sz w:val="24"/>
          <w:szCs w:val="24"/>
        </w:rPr>
        <w:t xml:space="preserve"> el impacto de los procesos legales en el bienestar </w:t>
      </w:r>
      <w:r w:rsidR="004C0BC3" w:rsidRPr="000E548F">
        <w:rPr>
          <w:rFonts w:ascii="Times New Roman" w:hAnsi="Times New Roman" w:cs="Times New Roman"/>
          <w:sz w:val="24"/>
          <w:szCs w:val="24"/>
        </w:rPr>
        <w:t>psicoemocional</w:t>
      </w:r>
      <w:r w:rsidRPr="000E548F">
        <w:rPr>
          <w:rFonts w:ascii="Times New Roman" w:hAnsi="Times New Roman" w:cs="Times New Roman"/>
          <w:sz w:val="24"/>
          <w:szCs w:val="24"/>
        </w:rPr>
        <w:t xml:space="preserve"> de las personas intervinientes.  </w:t>
      </w:r>
    </w:p>
    <w:p w14:paraId="673B49F0" w14:textId="4924CD2A"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 Analizar la </w:t>
      </w:r>
      <w:r>
        <w:rPr>
          <w:rFonts w:ascii="Times New Roman" w:hAnsi="Times New Roman" w:cs="Times New Roman"/>
          <w:sz w:val="24"/>
          <w:szCs w:val="24"/>
        </w:rPr>
        <w:t xml:space="preserve">relación entre </w:t>
      </w:r>
      <w:r w:rsidRPr="004C0BC3">
        <w:rPr>
          <w:rFonts w:ascii="Times New Roman" w:hAnsi="Times New Roman" w:cs="Times New Roman"/>
          <w:sz w:val="24"/>
          <w:szCs w:val="24"/>
        </w:rPr>
        <w:t>las emociones</w:t>
      </w:r>
      <w:r>
        <w:rPr>
          <w:rFonts w:ascii="Times New Roman" w:hAnsi="Times New Roman" w:cs="Times New Roman"/>
          <w:sz w:val="24"/>
          <w:szCs w:val="24"/>
        </w:rPr>
        <w:t xml:space="preserve">, </w:t>
      </w:r>
      <w:r w:rsidRPr="004C0BC3">
        <w:rPr>
          <w:rFonts w:ascii="Times New Roman" w:hAnsi="Times New Roman" w:cs="Times New Roman"/>
          <w:sz w:val="24"/>
          <w:szCs w:val="24"/>
        </w:rPr>
        <w:t>las decisiones y conductas de los</w:t>
      </w:r>
      <w:r>
        <w:rPr>
          <w:rFonts w:ascii="Times New Roman" w:hAnsi="Times New Roman" w:cs="Times New Roman"/>
          <w:sz w:val="24"/>
          <w:szCs w:val="24"/>
        </w:rPr>
        <w:t xml:space="preserve"> individuos que acuden a la instancia legal</w:t>
      </w:r>
      <w:r w:rsidRPr="004C0BC3">
        <w:rPr>
          <w:rFonts w:ascii="Times New Roman" w:hAnsi="Times New Roman" w:cs="Times New Roman"/>
          <w:sz w:val="24"/>
          <w:szCs w:val="24"/>
        </w:rPr>
        <w:t xml:space="preserve"> en caso de violencia intrafamiliar</w:t>
      </w:r>
      <w:r>
        <w:rPr>
          <w:rFonts w:ascii="Times New Roman" w:hAnsi="Times New Roman" w:cs="Times New Roman"/>
          <w:sz w:val="24"/>
          <w:szCs w:val="24"/>
        </w:rPr>
        <w:t>.</w:t>
      </w:r>
    </w:p>
    <w:p w14:paraId="5C5DB23C" w14:textId="118B8802" w:rsidR="00493CCD" w:rsidRDefault="004C0BC3" w:rsidP="00493CCD">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 Comprender la importancia del </w:t>
      </w:r>
      <w:r>
        <w:rPr>
          <w:rFonts w:ascii="Times New Roman" w:hAnsi="Times New Roman" w:cs="Times New Roman"/>
          <w:sz w:val="24"/>
          <w:szCs w:val="24"/>
        </w:rPr>
        <w:t xml:space="preserve">rol que cumple el </w:t>
      </w:r>
      <w:r w:rsidRPr="004C0BC3">
        <w:rPr>
          <w:rFonts w:ascii="Times New Roman" w:hAnsi="Times New Roman" w:cs="Times New Roman"/>
          <w:sz w:val="24"/>
          <w:szCs w:val="24"/>
        </w:rPr>
        <w:t xml:space="preserve">psicólogo </w:t>
      </w:r>
      <w:r>
        <w:rPr>
          <w:rFonts w:ascii="Times New Roman" w:hAnsi="Times New Roman" w:cs="Times New Roman"/>
          <w:sz w:val="24"/>
          <w:szCs w:val="24"/>
        </w:rPr>
        <w:t>jurídico</w:t>
      </w:r>
      <w:r w:rsidRPr="004C0BC3">
        <w:rPr>
          <w:rFonts w:ascii="Times New Roman" w:hAnsi="Times New Roman" w:cs="Times New Roman"/>
          <w:sz w:val="24"/>
          <w:szCs w:val="24"/>
        </w:rPr>
        <w:t xml:space="preserve"> en </w:t>
      </w:r>
      <w:r>
        <w:rPr>
          <w:rFonts w:ascii="Times New Roman" w:hAnsi="Times New Roman" w:cs="Times New Roman"/>
          <w:sz w:val="24"/>
          <w:szCs w:val="24"/>
        </w:rPr>
        <w:t xml:space="preserve">una </w:t>
      </w:r>
      <w:r w:rsidRPr="004C0BC3">
        <w:rPr>
          <w:rFonts w:ascii="Times New Roman" w:hAnsi="Times New Roman" w:cs="Times New Roman"/>
          <w:sz w:val="24"/>
          <w:szCs w:val="24"/>
        </w:rPr>
        <w:t xml:space="preserve">audiencia por violencia intrafamiliar, </w:t>
      </w:r>
      <w:r>
        <w:rPr>
          <w:rFonts w:ascii="Times New Roman" w:hAnsi="Times New Roman" w:cs="Times New Roman"/>
          <w:sz w:val="24"/>
          <w:szCs w:val="24"/>
        </w:rPr>
        <w:t>desde el enfoque de</w:t>
      </w:r>
      <w:r w:rsidRPr="004C0BC3">
        <w:rPr>
          <w:rFonts w:ascii="Times New Roman" w:hAnsi="Times New Roman" w:cs="Times New Roman"/>
          <w:sz w:val="24"/>
          <w:szCs w:val="24"/>
        </w:rPr>
        <w:t xml:space="preserve"> justicia terapéutica</w:t>
      </w:r>
      <w:r>
        <w:rPr>
          <w:rFonts w:ascii="Times New Roman" w:hAnsi="Times New Roman" w:cs="Times New Roman"/>
          <w:sz w:val="24"/>
          <w:szCs w:val="24"/>
        </w:rPr>
        <w:t>.</w:t>
      </w:r>
    </w:p>
    <w:p w14:paraId="4F5CE6FE" w14:textId="77777777" w:rsidR="004C0BC3" w:rsidRPr="00493CCD" w:rsidRDefault="004C0BC3" w:rsidP="00493CCD">
      <w:pPr>
        <w:spacing w:line="480" w:lineRule="auto"/>
        <w:ind w:firstLine="720"/>
        <w:jc w:val="center"/>
        <w:rPr>
          <w:rFonts w:ascii="Times New Roman" w:hAnsi="Times New Roman" w:cs="Times New Roman"/>
          <w:b/>
          <w:bCs/>
          <w:sz w:val="24"/>
          <w:szCs w:val="24"/>
        </w:rPr>
      </w:pPr>
      <w:r w:rsidRPr="00493CCD">
        <w:rPr>
          <w:rFonts w:ascii="Times New Roman" w:hAnsi="Times New Roman" w:cs="Times New Roman"/>
          <w:b/>
          <w:bCs/>
          <w:sz w:val="24"/>
          <w:szCs w:val="24"/>
        </w:rPr>
        <w:t>Metodología</w:t>
      </w:r>
    </w:p>
    <w:p w14:paraId="3A16897F" w14:textId="15A93C24"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lastRenderedPageBreak/>
        <w:t xml:space="preserve">Este estudio analiza los efectos emocionales en los participantes de audiencias por violencia intrafamiliar, utilizando </w:t>
      </w:r>
      <w:r w:rsidR="00493CCD" w:rsidRPr="004C0BC3">
        <w:rPr>
          <w:rFonts w:ascii="Times New Roman" w:hAnsi="Times New Roman" w:cs="Times New Roman"/>
          <w:sz w:val="24"/>
          <w:szCs w:val="24"/>
        </w:rPr>
        <w:t>el modelo</w:t>
      </w:r>
      <w:r w:rsidRPr="004C0BC3">
        <w:rPr>
          <w:rFonts w:ascii="Times New Roman" w:hAnsi="Times New Roman" w:cs="Times New Roman"/>
          <w:sz w:val="24"/>
          <w:szCs w:val="24"/>
        </w:rPr>
        <w:t xml:space="preserve"> de justicia terapéutica. Mediante una revisión teórica cualitativa, con un enfoque en el método hermenéutico, se interpretan textos y teorías para comprender la complejidad de este fenómeno social. Convirtiéndose en un método pertinente </w:t>
      </w:r>
      <w:r w:rsidR="00493CCD" w:rsidRPr="004C0BC3">
        <w:rPr>
          <w:rFonts w:ascii="Times New Roman" w:hAnsi="Times New Roman" w:cs="Times New Roman"/>
          <w:sz w:val="24"/>
          <w:szCs w:val="24"/>
        </w:rPr>
        <w:t>para abordar</w:t>
      </w:r>
      <w:r w:rsidRPr="004C0BC3">
        <w:rPr>
          <w:rFonts w:ascii="Times New Roman" w:hAnsi="Times New Roman" w:cs="Times New Roman"/>
          <w:sz w:val="24"/>
          <w:szCs w:val="24"/>
        </w:rPr>
        <w:t xml:space="preserve"> dicha complejidad. </w:t>
      </w:r>
    </w:p>
    <w:p w14:paraId="0DA5A435" w14:textId="5759EE4B"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Como señalan Bonilla y Rodríguez (1997), el proceso de investigación </w:t>
      </w:r>
      <w:r w:rsidR="00493CCD" w:rsidRPr="004C0BC3">
        <w:rPr>
          <w:rFonts w:ascii="Times New Roman" w:hAnsi="Times New Roman" w:cs="Times New Roman"/>
          <w:sz w:val="24"/>
          <w:szCs w:val="24"/>
        </w:rPr>
        <w:t>cualitativa</w:t>
      </w:r>
      <w:r w:rsidRPr="004C0BC3">
        <w:rPr>
          <w:rFonts w:ascii="Times New Roman" w:hAnsi="Times New Roman" w:cs="Times New Roman"/>
          <w:sz w:val="24"/>
          <w:szCs w:val="24"/>
        </w:rPr>
        <w:t xml:space="preserve"> se caracteriza por su enfoque “en la comprensión de la realidad social a través de las experiencias y percepciones de los individuos”. Captando el significado e interpretaciones que las personas atribuyen a su entorno, permitiendo una exploración más profunda de los fenómenos sociales.</w:t>
      </w:r>
    </w:p>
    <w:p w14:paraId="26993B47" w14:textId="11AC20C1"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Se lleva a cabo </w:t>
      </w:r>
      <w:r w:rsidR="00493CCD" w:rsidRPr="004C0BC3">
        <w:rPr>
          <w:rFonts w:ascii="Times New Roman" w:hAnsi="Times New Roman" w:cs="Times New Roman"/>
          <w:sz w:val="24"/>
          <w:szCs w:val="24"/>
        </w:rPr>
        <w:t>una verificación</w:t>
      </w:r>
      <w:r w:rsidRPr="004C0BC3">
        <w:rPr>
          <w:rFonts w:ascii="Times New Roman" w:hAnsi="Times New Roman" w:cs="Times New Roman"/>
          <w:sz w:val="24"/>
          <w:szCs w:val="24"/>
        </w:rPr>
        <w:t xml:space="preserve"> de la literatura existente sobre Justicia Terapéutica como visión innovadora para abordar la violencia intrafamiliar en Colombia, centrándose en los efectos psicológicos y emocionales en los participantes (víctimas, agresores y profesionales del grupo interdisciplinario de las Comisarías de Familia) durante las audiencias. </w:t>
      </w:r>
    </w:p>
    <w:p w14:paraId="5F83EB35"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A través del análisis interpretativo, se busca comprender cómo las emociones inciden en las decisiones y comportamientos de los intervinientes durante las audiencias. Este análisis contribuirá a futuros consultantes y ofrecerá recomendaciones sobre estrategias, abordajes y prácticas legales preventivas, reparadoras y terapéuticas. </w:t>
      </w:r>
    </w:p>
    <w:p w14:paraId="62E336FB"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La investigación se basó en artículos de libros y revistas indexadas en español, con interés investigativo en los siguientes temas: el modelo de la justicia terapéutica, la violencia intrafamiliar en Colombia y las emociones en el derecho. Se excluyeron los trabajos que abordan la justicia terapéutica y la responsabilidad penal por violencia intrafamiliar, y aquellos sin acceso al texto completo.</w:t>
      </w:r>
    </w:p>
    <w:p w14:paraId="41C11626" w14:textId="77777777" w:rsidR="004C0BC3" w:rsidRPr="004C0BC3" w:rsidRDefault="004C0BC3" w:rsidP="004C0BC3">
      <w:pPr>
        <w:spacing w:line="480" w:lineRule="auto"/>
        <w:ind w:firstLine="720"/>
        <w:jc w:val="center"/>
        <w:rPr>
          <w:rFonts w:ascii="Times New Roman" w:hAnsi="Times New Roman" w:cs="Times New Roman"/>
          <w:b/>
          <w:bCs/>
          <w:sz w:val="24"/>
          <w:szCs w:val="24"/>
        </w:rPr>
      </w:pPr>
      <w:r w:rsidRPr="004C0BC3">
        <w:rPr>
          <w:rFonts w:ascii="Times New Roman" w:hAnsi="Times New Roman" w:cs="Times New Roman"/>
          <w:b/>
          <w:bCs/>
          <w:sz w:val="24"/>
          <w:szCs w:val="24"/>
        </w:rPr>
        <w:lastRenderedPageBreak/>
        <w:t>Marco Teórico</w:t>
      </w:r>
    </w:p>
    <w:p w14:paraId="277B76EA" w14:textId="77777777" w:rsidR="004C0BC3" w:rsidRPr="004C0BC3" w:rsidRDefault="004C0BC3" w:rsidP="004C0BC3">
      <w:pPr>
        <w:spacing w:line="480" w:lineRule="auto"/>
        <w:ind w:firstLine="720"/>
        <w:rPr>
          <w:rFonts w:ascii="Times New Roman" w:hAnsi="Times New Roman" w:cs="Times New Roman"/>
          <w:b/>
          <w:bCs/>
          <w:sz w:val="24"/>
          <w:szCs w:val="24"/>
        </w:rPr>
      </w:pPr>
      <w:r w:rsidRPr="004C0BC3">
        <w:rPr>
          <w:rFonts w:ascii="Times New Roman" w:hAnsi="Times New Roman" w:cs="Times New Roman"/>
          <w:b/>
          <w:bCs/>
          <w:sz w:val="24"/>
          <w:szCs w:val="24"/>
        </w:rPr>
        <w:t>La violencia Intrafamiliar</w:t>
      </w:r>
    </w:p>
    <w:p w14:paraId="468DB0F2" w14:textId="7F9ADB0F"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La violencia intrafamiliar es un complejo fenómeno social multifacético, arraigado en la cotidianidad de las personas, con impacto negativo en la sociedad. Para la Organización Mundial de la Salud (OMS) se considera un “problema de salud pública”, analizando sus causas desde un modelo ecológico que abarca las dinámicas interpersonales y grupales, más allá del acto individual. Se manifiesta en diferentes contextos,</w:t>
      </w:r>
      <w:r>
        <w:rPr>
          <w:rFonts w:ascii="Times New Roman" w:hAnsi="Times New Roman" w:cs="Times New Roman"/>
          <w:sz w:val="24"/>
          <w:szCs w:val="24"/>
        </w:rPr>
        <w:t xml:space="preserve"> </w:t>
      </w:r>
      <w:r w:rsidRPr="004C0BC3">
        <w:rPr>
          <w:rFonts w:ascii="Times New Roman" w:hAnsi="Times New Roman" w:cs="Times New Roman"/>
          <w:sz w:val="24"/>
          <w:szCs w:val="24"/>
        </w:rPr>
        <w:t>incluyendo fundamentalmente, el familiar.</w:t>
      </w:r>
    </w:p>
    <w:p w14:paraId="44CA07C2"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Este tipo de violencia abarca situaciones conflictivas entre cónyuges, parejas, padres, madres, y cuidadores, con o sin vínculo biológico, incluso entre quienes cohabitan sin un vínculo familiar directo. Sus manifestaciones son diversas: física, psicológica, emocional, sexual y económica, entre otras.</w:t>
      </w:r>
    </w:p>
    <w:p w14:paraId="15988122" w14:textId="7CBDBD36"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Como señala Caruso (2020)</w:t>
      </w:r>
      <w:r>
        <w:rPr>
          <w:rFonts w:ascii="Times New Roman" w:hAnsi="Times New Roman" w:cs="Times New Roman"/>
          <w:sz w:val="24"/>
          <w:szCs w:val="24"/>
        </w:rPr>
        <w:t>.,</w:t>
      </w:r>
      <w:r w:rsidRPr="004C0BC3">
        <w:rPr>
          <w:rFonts w:ascii="Times New Roman" w:hAnsi="Times New Roman" w:cs="Times New Roman"/>
          <w:sz w:val="24"/>
          <w:szCs w:val="24"/>
        </w:rPr>
        <w:t xml:space="preserve"> </w:t>
      </w:r>
      <w:r>
        <w:rPr>
          <w:rFonts w:ascii="Times New Roman" w:hAnsi="Times New Roman" w:cs="Times New Roman"/>
          <w:sz w:val="24"/>
          <w:szCs w:val="24"/>
        </w:rPr>
        <w:t>l</w:t>
      </w:r>
      <w:r w:rsidRPr="004C0BC3">
        <w:rPr>
          <w:rFonts w:ascii="Times New Roman" w:hAnsi="Times New Roman" w:cs="Times New Roman"/>
          <w:sz w:val="24"/>
          <w:szCs w:val="24"/>
        </w:rPr>
        <w:t xml:space="preserve">a violencia intrafamiliar, “es una de las más lamentables manifestaciones del maltrato humano, ejecutada por personas unidas por estrechos vínculos de parentesco; la expectativa debería ser el desarrollo de </w:t>
      </w:r>
      <w:r w:rsidR="00493CCD" w:rsidRPr="004C0BC3">
        <w:rPr>
          <w:rFonts w:ascii="Times New Roman" w:hAnsi="Times New Roman" w:cs="Times New Roman"/>
          <w:sz w:val="24"/>
          <w:szCs w:val="24"/>
        </w:rPr>
        <w:t>relaciones basadas</w:t>
      </w:r>
      <w:r w:rsidRPr="004C0BC3">
        <w:rPr>
          <w:rFonts w:ascii="Times New Roman" w:hAnsi="Times New Roman" w:cs="Times New Roman"/>
          <w:sz w:val="24"/>
          <w:szCs w:val="24"/>
        </w:rPr>
        <w:t xml:space="preserve"> de afecto y respeto mutuo. Lo contrario destruye la posibilidad de una vida pacífica y un clima de armonía” (p.55).</w:t>
      </w:r>
    </w:p>
    <w:p w14:paraId="169EBF29"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En síntesis, la violencia intrafamiliar es un problema multidimensional, biopsicosocial, que se manifiesta en conflictos interpersonales resueltos mediante la violencia. Esta conducta dañina, a menudo presente en contextos traumáticos, altera la dinámica familiar e impacta de manera negativa el bienestar y la salud de sus miembros. </w:t>
      </w:r>
    </w:p>
    <w:p w14:paraId="63183826" w14:textId="5D4A4800"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Restrepo Betancur (2023), identifica a las mujeres y menores de edad, como los grupos más vulnerables a sufrir la violencia al interior del hogar, atribuyendo su riesgo al consumo de </w:t>
      </w:r>
      <w:r w:rsidRPr="004C0BC3">
        <w:rPr>
          <w:rFonts w:ascii="Times New Roman" w:hAnsi="Times New Roman" w:cs="Times New Roman"/>
          <w:sz w:val="24"/>
          <w:szCs w:val="24"/>
        </w:rPr>
        <w:lastRenderedPageBreak/>
        <w:t>licor, matrimonios inmaduros, dificultades económicas y laborales, antecedentes de abuso infantil y factores culturales.</w:t>
      </w:r>
    </w:p>
    <w:p w14:paraId="332EE2BF" w14:textId="170ED5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 Por lo tanto, esta investigación indaga la relación entre la violencia intrafamiliar y la conducta violenta, entendida como una acción observable y negativamente evaluada según el contexto y las normas sociales o legales. Se incluyen acciones físicas, verbales, económicas, sexuales, de omisión o negligencia, y emocionales o psicológicas, todas encaminadas a causar daño o malestar.</w:t>
      </w:r>
    </w:p>
    <w:p w14:paraId="28BD842B" w14:textId="614582F3"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Desde la perspectiva psicológica, las agresiones se consideran ataques intencionales, a menudo impulsivos, con bases cognitivas, conductuales, biológicas, sociales, culturales y emocionales. La teoría del Síndrome AHA de Spielberger (como se citó en Carrasco &amp; González, 2006)</w:t>
      </w:r>
      <w:r w:rsidR="00493CCD">
        <w:rPr>
          <w:rFonts w:ascii="Times New Roman" w:hAnsi="Times New Roman" w:cs="Times New Roman"/>
          <w:sz w:val="24"/>
          <w:szCs w:val="24"/>
        </w:rPr>
        <w:t>.,</w:t>
      </w:r>
      <w:r w:rsidRPr="004C0BC3">
        <w:rPr>
          <w:rFonts w:ascii="Times New Roman" w:hAnsi="Times New Roman" w:cs="Times New Roman"/>
          <w:sz w:val="24"/>
          <w:szCs w:val="24"/>
        </w:rPr>
        <w:t xml:space="preserve"> propone el ejemplo de un hecho el cual puede generar una emoción por ejemplo el enojo, la cual se da por la discordia con los demás, pudiendo terminar en una </w:t>
      </w:r>
      <w:r w:rsidR="00493CCD" w:rsidRPr="004C0BC3">
        <w:rPr>
          <w:rFonts w:ascii="Times New Roman" w:hAnsi="Times New Roman" w:cs="Times New Roman"/>
          <w:sz w:val="24"/>
          <w:szCs w:val="24"/>
        </w:rPr>
        <w:t>agresión con</w:t>
      </w:r>
      <w:r w:rsidRPr="004C0BC3">
        <w:rPr>
          <w:rFonts w:ascii="Times New Roman" w:hAnsi="Times New Roman" w:cs="Times New Roman"/>
          <w:sz w:val="24"/>
          <w:szCs w:val="24"/>
        </w:rPr>
        <w:t xml:space="preserve"> repercusiones negativas. (Carrasco &amp; González, 2006)</w:t>
      </w:r>
    </w:p>
    <w:p w14:paraId="098423BE"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La agresión se caracteriza por tres componentes: la intención de causar daño; una conducta lesiva, que puede ser física, verbal o no verbal (gestos o miradas); y una emoción subyacente, que puede abarcar desde la ira y el enojo hasta la euforia.</w:t>
      </w:r>
    </w:p>
    <w:p w14:paraId="2D5BD364"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Desde la perspectiva conductista, la conducta violenta se considera una respuesta aprendida en el proceso de adaptación, donde el entorno juega un papel importante, aunque no determinante, en su desarrollo. Según, Saiz Ruiz &amp; Carrasco Perera (s.f.), "los abusos físicos y sexuales en la infancia son, sin duda, el antecedente más frecuentemente descrito, junto a las carencias o deprivaciones afectivas tempranas, la violencia entre progenitores y el alcoholismo familiar". (p. 821).</w:t>
      </w:r>
    </w:p>
    <w:p w14:paraId="36C972FA"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lastRenderedPageBreak/>
        <w:t>Los estudios biológicos sugieren una posible base genética para la conducta violenta, especialmente en relación con la historia familiar. Relacionando la agresividad con el cromosoma Y (gen masculino) y la influencia de la testosterona.  Desde una perspectiva evolutiva, la agresión se concibe como un mecanismo adaptativo desarrollado a lo largo de la evolución humana, presente incluso en individuos psicológicamente sanos.</w:t>
      </w:r>
    </w:p>
    <w:p w14:paraId="694CBDE1" w14:textId="565B504F"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Diferenciar entre agresividad normal y patológica resulta complejo desde una perspectiva psicopatológica.  Si bien el DSM-</w:t>
      </w:r>
      <w:r w:rsidR="00493CCD" w:rsidRPr="004C0BC3">
        <w:rPr>
          <w:rFonts w:ascii="Times New Roman" w:hAnsi="Times New Roman" w:cs="Times New Roman"/>
          <w:sz w:val="24"/>
          <w:szCs w:val="24"/>
        </w:rPr>
        <w:t>5 (</w:t>
      </w:r>
      <w:r w:rsidRPr="004C0BC3">
        <w:rPr>
          <w:rFonts w:ascii="Times New Roman" w:hAnsi="Times New Roman" w:cs="Times New Roman"/>
          <w:sz w:val="24"/>
          <w:szCs w:val="24"/>
        </w:rPr>
        <w:t xml:space="preserve">Manual Diagnóstico y Estadístico de los Trastornos Mentales) la relaciona con diversos trastornos mentales, su presencia no define por sí sola un diagnóstico.  La intensidad, el contexto y la frecuencia de la agresividad son </w:t>
      </w:r>
      <w:r w:rsidR="00493CCD" w:rsidRPr="004C0BC3">
        <w:rPr>
          <w:rFonts w:ascii="Times New Roman" w:hAnsi="Times New Roman" w:cs="Times New Roman"/>
          <w:sz w:val="24"/>
          <w:szCs w:val="24"/>
        </w:rPr>
        <w:t>factores cruciales para considerar</w:t>
      </w:r>
      <w:r w:rsidRPr="004C0BC3">
        <w:rPr>
          <w:rFonts w:ascii="Times New Roman" w:hAnsi="Times New Roman" w:cs="Times New Roman"/>
          <w:sz w:val="24"/>
          <w:szCs w:val="24"/>
        </w:rPr>
        <w:t xml:space="preserve">. Por </w:t>
      </w:r>
      <w:r w:rsidR="009B3158" w:rsidRPr="004C0BC3">
        <w:rPr>
          <w:rFonts w:ascii="Times New Roman" w:hAnsi="Times New Roman" w:cs="Times New Roman"/>
          <w:sz w:val="24"/>
          <w:szCs w:val="24"/>
        </w:rPr>
        <w:t>ejemplo,</w:t>
      </w:r>
      <w:r w:rsidRPr="004C0BC3">
        <w:rPr>
          <w:rFonts w:ascii="Times New Roman" w:hAnsi="Times New Roman" w:cs="Times New Roman"/>
          <w:sz w:val="24"/>
          <w:szCs w:val="24"/>
        </w:rPr>
        <w:t xml:space="preserve"> el DSM-5 contempla específicamente la </w:t>
      </w:r>
      <w:r w:rsidR="00493CCD" w:rsidRPr="004C0BC3">
        <w:rPr>
          <w:rFonts w:ascii="Times New Roman" w:hAnsi="Times New Roman" w:cs="Times New Roman"/>
          <w:sz w:val="24"/>
          <w:szCs w:val="24"/>
        </w:rPr>
        <w:t>agresividad dentro</w:t>
      </w:r>
      <w:r w:rsidRPr="004C0BC3">
        <w:rPr>
          <w:rFonts w:ascii="Times New Roman" w:hAnsi="Times New Roman" w:cs="Times New Roman"/>
          <w:sz w:val="24"/>
          <w:szCs w:val="24"/>
        </w:rPr>
        <w:t xml:space="preserve"> de los criterios del Trastorno Explosivo Intermitente (TEI), caracterizado por episodios recurrentes de ira extrema, impulsiva y desproporcionada al estímulo, sin planificación previa.  Estas reacciones incontrolables revelan un patrón de reactividad conductual inapropiado, dónde estímulos mínimamente irritantes provocan respuestas excesivas y fuera de contexto. La dificultad para regular la respuesta emocional puede derivar en daños físicos, sociales y personales, como lesiones, deterioro de relaciones, conflictos recurrentes y estigmatización, con el consiguiente aislamiento, baja autoestima y sufrimiento emocional.  El tratamiento del TEI en terapia se centra en desarrollar habilidades de regulación emocional y autocontrol, así como estrategias para el manejo del estrés y la desarrollar las habilidades sociales y de afrontamiento.  La terapia cognitivo-conductual para la regulación emocional, la terapia grupal y la terapia familiar pueden resultar beneficiosas para controlar la agresividad.</w:t>
      </w:r>
    </w:p>
    <w:p w14:paraId="401D5181"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Así mismo, El Trastorno de Conducta (TC) puede ser un diagnóstico consecuente a la violencia intrafamiliar, manifestándose como una respuesta situacional en niños, niñas y </w:t>
      </w:r>
      <w:r w:rsidRPr="004C0BC3">
        <w:rPr>
          <w:rFonts w:ascii="Times New Roman" w:hAnsi="Times New Roman" w:cs="Times New Roman"/>
          <w:sz w:val="24"/>
          <w:szCs w:val="24"/>
        </w:rPr>
        <w:lastRenderedPageBreak/>
        <w:t>adolescentes. Se caracteriza por patrones repetitivos y persistentes de violación de normas sociales, agresión a personas o animales, destrucción de objetos y engaño.  En este contexto familiar, es crucial analizar cómo el ambiente, las relaciones y la imitación de conductas contribuyen al desarrollo del TC.  Su abordaje terapéutico debe ser integral, incluyendo intervención individual, terapia familiar, psicoeducación sobre la violencia intrafamiliar, y trabajo en red con otras instituciones.</w:t>
      </w:r>
    </w:p>
    <w:p w14:paraId="3FCCA9DD"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Por otro lado, la violencia intrafamiliar, como se mencionó, se manifiesta de diversas formas, causando graves consecuencias como trastorno de ansiedad y depresión, estrés postraumático, trastornos del sueño, baja autoestima y dificultades en los ámbitos social, familiar, personal, económico y laboral.  Estas afectaciones dificultan la capacidad de la víctima para afrontar las situaciones y pueden generar dependencia del agresor.</w:t>
      </w:r>
    </w:p>
    <w:p w14:paraId="299D619F" w14:textId="77777777" w:rsidR="004C0BC3" w:rsidRPr="003C54FB" w:rsidRDefault="004C0BC3" w:rsidP="004C0BC3">
      <w:pPr>
        <w:spacing w:line="480" w:lineRule="auto"/>
        <w:ind w:firstLine="720"/>
        <w:rPr>
          <w:rFonts w:ascii="Times New Roman" w:hAnsi="Times New Roman" w:cs="Times New Roman"/>
          <w:b/>
          <w:bCs/>
          <w:i/>
          <w:iCs/>
          <w:sz w:val="24"/>
          <w:szCs w:val="24"/>
        </w:rPr>
      </w:pPr>
      <w:r w:rsidRPr="003C54FB">
        <w:rPr>
          <w:rFonts w:ascii="Times New Roman" w:hAnsi="Times New Roman" w:cs="Times New Roman"/>
          <w:b/>
          <w:bCs/>
          <w:i/>
          <w:iCs/>
          <w:sz w:val="24"/>
          <w:szCs w:val="24"/>
        </w:rPr>
        <w:t>Marco legal de la violencia intrafamiliar</w:t>
      </w:r>
    </w:p>
    <w:p w14:paraId="15B6DE8A"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La violencia intrafamiliar comprende agresiones físicas, verbales, psicológicas, emocionales, sexuales, económicas que ocurren dentro del hogar y afectan a cualquier integrante del núcleo familiar: mujeres, niños, niñas, adolescentes, adultos mayores, parejas, cónyuges, hermanos, padres, entre otros. Está violencia afecta la convivencia, el bienestar, la estabilidad e integridad familiar. Se caracteriza por un patrón cíclico o permanente de comportamiento sumiso de la víctima frente al agresor, causando un daño y sufrimiento, e incluso atentando contra la integridad y vida de las personas.</w:t>
      </w:r>
    </w:p>
    <w:p w14:paraId="23841C71"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Varias entidades nacionales e internacionales reconocen estos hechos como un problema de salud pública, que vulnera los derechos fundamentales de las familias. Por ello, el Estado </w:t>
      </w:r>
      <w:r w:rsidRPr="004C0BC3">
        <w:rPr>
          <w:rFonts w:ascii="Times New Roman" w:hAnsi="Times New Roman" w:cs="Times New Roman"/>
          <w:sz w:val="24"/>
          <w:szCs w:val="24"/>
        </w:rPr>
        <w:lastRenderedPageBreak/>
        <w:t>colombiano tiene la responsabilidad de garantizar la protección y promover la sana convivencia familiar.</w:t>
      </w:r>
    </w:p>
    <w:p w14:paraId="1E43D965"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Es fundamental, por tanto, conocer las leyes, normas, jurisprudencias y mecanismos legales colombianos que protegen, apoyan y acompañan a las víctimas de violencia intrafamiliar, así como los recursos disponibles para superar estas situaciones.</w:t>
      </w:r>
    </w:p>
    <w:p w14:paraId="2BF7AFF7" w14:textId="57B4498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Según el artículo 42 de la Constitución Política de Colombia (1991</w:t>
      </w:r>
      <w:r w:rsidR="007E5B2A" w:rsidRPr="004C0BC3">
        <w:rPr>
          <w:rFonts w:ascii="Times New Roman" w:hAnsi="Times New Roman" w:cs="Times New Roman"/>
          <w:sz w:val="24"/>
          <w:szCs w:val="24"/>
        </w:rPr>
        <w:t>), la</w:t>
      </w:r>
      <w:r w:rsidRPr="004C0BC3">
        <w:rPr>
          <w:rFonts w:ascii="Times New Roman" w:hAnsi="Times New Roman" w:cs="Times New Roman"/>
          <w:sz w:val="24"/>
          <w:szCs w:val="24"/>
        </w:rPr>
        <w:t xml:space="preserve"> familia es el núcleo fundamental de la sociedad, conformada por el matrimonio o la libre voluntad de las personas que crean vínculos naturales o jurídicos y relaciones en igualdad entre sus miembros dentro de un hogar. El Estado y la sociedad deben garantizar su cuidado integral, la honra, dignidad e intimidad. Toda forma de violencia intrafamiliar, considerada dañina de su armonía y unidad, será sancionada por ley. </w:t>
      </w:r>
    </w:p>
    <w:p w14:paraId="58265A04"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La Ley 294 de 1996 profundiza en la prevención, reparación y sanción de la violencia intrafamiliar, definiéndola como cualquier forma de maltrato físico, psicológico o emocional contra algún miembro del núcleo familiar (cónyuges, compañeros permanentes, hijos, padres y otros familiares que convivan en el hogar). Su principal aporte jurídico reside en la protección legal de las víctimas, tipificando las conductas violentas, estableciendo procedimientos de intervención estatal y garantizando sus derechos fundamentales. Además, ha sentado las bases para posteriores reformas legislativas en la materia.</w:t>
      </w:r>
    </w:p>
    <w:p w14:paraId="525829A3"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En conclusión, la Ley 294 de 1996 es una herramienta importante en la lucha contra la violencia intrafamiliar en Colombia, adoptando un enfoque integral que persigue tanto la sanción de los agresores como la protección y el apoyo a las víctimas en su proceso de recuperación.</w:t>
      </w:r>
    </w:p>
    <w:p w14:paraId="1B42386B" w14:textId="08343AB1"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lastRenderedPageBreak/>
        <w:t xml:space="preserve">La Ley 294 de 1996. (1996, 16 de julio). Congreso de Colombia. En su artículo 4 refiere sobre la medida de protección que puede solicitar quien dentro de su contexto familiar sea víctima de daño físico o psicológico, amenaza, agravio, ofensa o cualquier otra forma de agresión por parte de otro miembro del grupo </w:t>
      </w:r>
      <w:r w:rsidR="009B3158" w:rsidRPr="004C0BC3">
        <w:rPr>
          <w:rFonts w:ascii="Times New Roman" w:hAnsi="Times New Roman" w:cs="Times New Roman"/>
          <w:sz w:val="24"/>
          <w:szCs w:val="24"/>
        </w:rPr>
        <w:t>familiar, para</w:t>
      </w:r>
      <w:r w:rsidRPr="004C0BC3">
        <w:rPr>
          <w:rFonts w:ascii="Times New Roman" w:hAnsi="Times New Roman" w:cs="Times New Roman"/>
          <w:sz w:val="24"/>
          <w:szCs w:val="24"/>
        </w:rPr>
        <w:t xml:space="preserve"> detener la violencia o agresión de inmediato. </w:t>
      </w:r>
    </w:p>
    <w:p w14:paraId="567B316B" w14:textId="119CB87E"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La Ley 1257 de 2008 significa un progreso relevante en la lucha contra la violencia intrafamiliar, al ampliar el concepto </w:t>
      </w:r>
      <w:r w:rsidR="009B3158" w:rsidRPr="004C0BC3">
        <w:rPr>
          <w:rFonts w:ascii="Times New Roman" w:hAnsi="Times New Roman" w:cs="Times New Roman"/>
          <w:sz w:val="24"/>
          <w:szCs w:val="24"/>
        </w:rPr>
        <w:t>de violencia</w:t>
      </w:r>
      <w:r w:rsidRPr="004C0BC3">
        <w:rPr>
          <w:rFonts w:ascii="Times New Roman" w:hAnsi="Times New Roman" w:cs="Times New Roman"/>
          <w:sz w:val="24"/>
          <w:szCs w:val="24"/>
        </w:rPr>
        <w:t xml:space="preserve"> contra las mujeres y las modalidades que se puede presentar tales como la violencia física, psicológica, sexual, económica y patrimonial, sanciona el acoso sexual y añade el concepto de daño.</w:t>
      </w:r>
    </w:p>
    <w:p w14:paraId="4F23B9D3" w14:textId="77388EE8"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La ley 1257 de 2008 (2008, 4 de diciembre). Congreso de Colombia. Define en el artículo tercero estos tipos de daño. El daño psicológico lo interpreta como las heridas emocionales que sufre la víctima cuando el agresor intenta controlar, manipular, humillar, aislar, amenazar, </w:t>
      </w:r>
      <w:r w:rsidR="009B3158" w:rsidRPr="004C0BC3">
        <w:rPr>
          <w:rFonts w:ascii="Times New Roman" w:hAnsi="Times New Roman" w:cs="Times New Roman"/>
          <w:sz w:val="24"/>
          <w:szCs w:val="24"/>
        </w:rPr>
        <w:t>intimidar con</w:t>
      </w:r>
      <w:r w:rsidRPr="004C0BC3">
        <w:rPr>
          <w:rFonts w:ascii="Times New Roman" w:hAnsi="Times New Roman" w:cs="Times New Roman"/>
          <w:sz w:val="24"/>
          <w:szCs w:val="24"/>
        </w:rPr>
        <w:t xml:space="preserve"> acciones o comportamientos que afectan el bienestar psicoemocional, dificulta a la persona el tomar decisiones y entorpece el crecimiento personal o proyecto de vida. El daño físico como su nombre lo indica pone en riesgo la integridad física o corporal cuando el agresor golpea, ultraja, lastima o lesiona a la víctima. El daño sexual se da cuando la víctima es forzada a tener cualquier tipo de contacto o interacción sexual en contra de su voluntad, con el uso de la fuerza, la amenaza o el engaño. Y el daño patrimonial implica la pérdida o el no acceso a los recursos económicos, impidiendo satisfacer las necesidades propias.</w:t>
      </w:r>
    </w:p>
    <w:p w14:paraId="289CB955"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La ley 1850 de 2017, aprobada por el Congreso de la República, prioriza la protección de los adultos mayores, especialmente en el contexto de la violencia intrafamiliar, estableciendo medidas como centros de protección social e instituciones de atención para prevenir el abandono y el descuido.</w:t>
      </w:r>
    </w:p>
    <w:p w14:paraId="1F7EB804" w14:textId="61F16BA8"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lastRenderedPageBreak/>
        <w:t xml:space="preserve">Estas reformas legales buscan, en conjunto, reforzar las sanciones, ampliar el alcance de la defensa a los </w:t>
      </w:r>
      <w:r w:rsidR="009B3158" w:rsidRPr="004C0BC3">
        <w:rPr>
          <w:rFonts w:ascii="Times New Roman" w:hAnsi="Times New Roman" w:cs="Times New Roman"/>
          <w:sz w:val="24"/>
          <w:szCs w:val="24"/>
        </w:rPr>
        <w:t>afectados y</w:t>
      </w:r>
      <w:r w:rsidRPr="004C0BC3">
        <w:rPr>
          <w:rFonts w:ascii="Times New Roman" w:hAnsi="Times New Roman" w:cs="Times New Roman"/>
          <w:sz w:val="24"/>
          <w:szCs w:val="24"/>
        </w:rPr>
        <w:t xml:space="preserve"> establecer estrategias para prevenir la violencia intrafamiliar.</w:t>
      </w:r>
    </w:p>
    <w:p w14:paraId="5B662587"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Procedimiento administrativo para casos de presunta violencia intrafamiliar adelantado en las Comisarías de Familia.</w:t>
      </w:r>
    </w:p>
    <w:p w14:paraId="78BA8F18" w14:textId="00FA0A34"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En Colombia, la protección de los derechos humanos a las víctimas de violencia </w:t>
      </w:r>
      <w:r w:rsidR="009B3158" w:rsidRPr="004C0BC3">
        <w:rPr>
          <w:rFonts w:ascii="Times New Roman" w:hAnsi="Times New Roman" w:cs="Times New Roman"/>
          <w:sz w:val="24"/>
          <w:szCs w:val="24"/>
        </w:rPr>
        <w:t>intrafamiliar</w:t>
      </w:r>
      <w:r w:rsidRPr="004C0BC3">
        <w:rPr>
          <w:rFonts w:ascii="Times New Roman" w:hAnsi="Times New Roman" w:cs="Times New Roman"/>
          <w:sz w:val="24"/>
          <w:szCs w:val="24"/>
        </w:rPr>
        <w:t xml:space="preserve"> se aborda a través de dos vías: la judicial y la administrativa. Si bien ambas fueron creadas con el fin de proteger, sus procedimientos difieren. </w:t>
      </w:r>
    </w:p>
    <w:p w14:paraId="281090DE" w14:textId="6D163E90"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El procedimiento administrativo, competencia de las Comisarías de familia, está regulado por la Constitución Política de Colombia (1991). La Ley 294/1996, Ley 575/2000, Ley 1098/ 2006</w:t>
      </w:r>
      <w:r w:rsidR="00985A47">
        <w:rPr>
          <w:rFonts w:ascii="Times New Roman" w:hAnsi="Times New Roman" w:cs="Times New Roman"/>
          <w:sz w:val="24"/>
          <w:szCs w:val="24"/>
        </w:rPr>
        <w:t xml:space="preserve"> y </w:t>
      </w:r>
      <w:r w:rsidRPr="004C0BC3">
        <w:rPr>
          <w:rFonts w:ascii="Times New Roman" w:hAnsi="Times New Roman" w:cs="Times New Roman"/>
          <w:sz w:val="24"/>
          <w:szCs w:val="24"/>
        </w:rPr>
        <w:t xml:space="preserve">Ley 1257/ 2008. Como señalan Mora </w:t>
      </w:r>
      <w:proofErr w:type="spellStart"/>
      <w:r w:rsidRPr="004C0BC3">
        <w:rPr>
          <w:rFonts w:ascii="Times New Roman" w:hAnsi="Times New Roman" w:cs="Times New Roman"/>
          <w:sz w:val="24"/>
          <w:szCs w:val="24"/>
        </w:rPr>
        <w:t>Anto</w:t>
      </w:r>
      <w:proofErr w:type="spellEnd"/>
      <w:r w:rsidRPr="004C0BC3">
        <w:rPr>
          <w:rFonts w:ascii="Times New Roman" w:hAnsi="Times New Roman" w:cs="Times New Roman"/>
          <w:sz w:val="24"/>
          <w:szCs w:val="24"/>
        </w:rPr>
        <w:t>, Román Muñoz, y Varela Martínez (2015). Las Comisarías de Familia son entidades administrativas e interdisciplinarias cuya misión es prevenir, garantizar, restablecer y reparar los derechos de los miembros de la familia afectados por situaciones de violencia contempladas en la ley. (p. 101). Lo que quiere decir, las Comisarías de Familia son la autoridad competente para gestionar estos procesos administrativos.</w:t>
      </w:r>
    </w:p>
    <w:p w14:paraId="1E9265F3" w14:textId="52336DF5"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En el ámbito legal la creación de las Comisarías de </w:t>
      </w:r>
      <w:r w:rsidR="009B3158" w:rsidRPr="004C0BC3">
        <w:rPr>
          <w:rFonts w:ascii="Times New Roman" w:hAnsi="Times New Roman" w:cs="Times New Roman"/>
          <w:sz w:val="24"/>
          <w:szCs w:val="24"/>
        </w:rPr>
        <w:t>Familia</w:t>
      </w:r>
      <w:r w:rsidRPr="004C0BC3">
        <w:rPr>
          <w:rFonts w:ascii="Times New Roman" w:hAnsi="Times New Roman" w:cs="Times New Roman"/>
          <w:sz w:val="24"/>
          <w:szCs w:val="24"/>
        </w:rPr>
        <w:t xml:space="preserve"> se da inicialmente por el Decreto 2737 de 1989 (1989, 27 de noviembre). Congreso y Presidencia de la República de Colombia, modificado por la Ley 1098 de 2006 (2006, 8 de noviembre). El Congreso de Colombia. “Por el cual se expide el Código de la Infancia y la Adolescencia”, reafirmando su importancia y funciones en la protección, prevención y sanción de la violencia intrafamiliar. </w:t>
      </w:r>
    </w:p>
    <w:p w14:paraId="715DD1D3" w14:textId="2B47322D"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La Ley 2126 de 2021 (2021, 4 de agosto). El Congreso de </w:t>
      </w:r>
      <w:r w:rsidR="009B3158" w:rsidRPr="004C0BC3">
        <w:rPr>
          <w:rFonts w:ascii="Times New Roman" w:hAnsi="Times New Roman" w:cs="Times New Roman"/>
          <w:sz w:val="24"/>
          <w:szCs w:val="24"/>
        </w:rPr>
        <w:t>Colombia, regula</w:t>
      </w:r>
      <w:r w:rsidRPr="004C0BC3">
        <w:rPr>
          <w:rFonts w:ascii="Times New Roman" w:hAnsi="Times New Roman" w:cs="Times New Roman"/>
          <w:sz w:val="24"/>
          <w:szCs w:val="24"/>
        </w:rPr>
        <w:t xml:space="preserve"> aún más la estructura de creación, conformación y funcionamiento de las Comisarias de Familia, estableciendo un marco legal más sólido y un enfoque interdisciplinario. Según su artículo 8, el </w:t>
      </w:r>
      <w:r w:rsidRPr="004C0BC3">
        <w:rPr>
          <w:rFonts w:ascii="Times New Roman" w:hAnsi="Times New Roman" w:cs="Times New Roman"/>
          <w:sz w:val="24"/>
          <w:szCs w:val="24"/>
        </w:rPr>
        <w:lastRenderedPageBreak/>
        <w:t>equipo interdisciplinario, compuesto por un abogado, un psicólogo, un trabajador social o profesional en desarrollo familiar, y un auxiliar administrativo, garantizará una atención integral y especializada.</w:t>
      </w:r>
    </w:p>
    <w:p w14:paraId="37476E7C"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Estas leyes demuestran el compromiso del Estado por regular la violencia intrafamiliar, utilizando las Comisarías de Familia como herramienta para facilitar, extender y asegurar el uso de la justicia, descongestionando la justicia ordinaria. Otorgándoles competencias y funciones para atender de manera especializada e interdisciplinaria a las víctimas. En esencia, la Comisaría de Familia se configura como un posible primer contacto que busca la protección para las víctimas de violencia intrafamiliar, a través de un proceso administrativo orientado al restablecimiento de sus derechos.</w:t>
      </w:r>
    </w:p>
    <w:p w14:paraId="4A665500"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El proceso administrativo en la Comisaria de Familia se inicia con la presentación de la víctima de violencia intrafamiliar. De acuerdo con el Ministerio de Justicia (2013). Guía Pedagógica para Comisarías de Familia. La primera acción del Comisario o del equipo interdisciplinario, es realizar una entrevista. Esta entrevista tiene como objetivo asesorar a la víctima sobre sus derechos, explicar el proceso legal, analizar el contexto, identificar situaciones específicas como el lugar de los hechos, posibilidad de denuncia inmediata e identificar la clase de violencia o daño sufridos.  En esta etapa se recopila información exhaustiva sobre la víctima, el agresor y los hechos, así mismo se evalúa la capacidad institucional para atender el caso y, finalmente, se presenta el requerimiento de la medida de protección.</w:t>
      </w:r>
    </w:p>
    <w:p w14:paraId="52D7C58E" w14:textId="77777777" w:rsidR="004C0BC3" w:rsidRPr="004C0BC3" w:rsidRDefault="004C0BC3" w:rsidP="004C0BC3">
      <w:pPr>
        <w:spacing w:line="480" w:lineRule="auto"/>
        <w:ind w:firstLine="720"/>
        <w:rPr>
          <w:rFonts w:ascii="Times New Roman" w:hAnsi="Times New Roman" w:cs="Times New Roman"/>
          <w:sz w:val="24"/>
          <w:szCs w:val="24"/>
        </w:rPr>
      </w:pPr>
    </w:p>
    <w:p w14:paraId="3AC2A949" w14:textId="31DA8563"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La Ley 294 de 1996, (1996,16 de julio). Congreso de Colombia. En </w:t>
      </w:r>
      <w:r w:rsidR="009B3158" w:rsidRPr="004C0BC3">
        <w:rPr>
          <w:rFonts w:ascii="Times New Roman" w:hAnsi="Times New Roman" w:cs="Times New Roman"/>
          <w:sz w:val="24"/>
          <w:szCs w:val="24"/>
        </w:rPr>
        <w:t>su artículo</w:t>
      </w:r>
      <w:r w:rsidRPr="004C0BC3">
        <w:rPr>
          <w:rFonts w:ascii="Times New Roman" w:hAnsi="Times New Roman" w:cs="Times New Roman"/>
          <w:sz w:val="24"/>
          <w:szCs w:val="24"/>
        </w:rPr>
        <w:t xml:space="preserve"> 9 modificado por el artículo 5 de la Ley 575 de 2000 (2000, 9 de febrero). Congreso de Colombia. </w:t>
      </w:r>
      <w:r w:rsidRPr="004C0BC3">
        <w:rPr>
          <w:rFonts w:ascii="Times New Roman" w:hAnsi="Times New Roman" w:cs="Times New Roman"/>
          <w:sz w:val="24"/>
          <w:szCs w:val="24"/>
        </w:rPr>
        <w:lastRenderedPageBreak/>
        <w:t>Establece que la solicitud de medidas de protección puede presentarse verbalmente, por escrito o por cualquier medio idóneo, dentro de los treinta días siguientes al hecho.  La solicitud puede ser elevada por la víctima, su representante legal, o el Defensor de Familia en casos que involucren niños, niñas o adolescentes.</w:t>
      </w:r>
    </w:p>
    <w:p w14:paraId="58E5210C" w14:textId="68FA5044"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Conforme el principio de solidaridad social y colaboración con la justicia, en los numerales 2 y 7 del artículo 95 de la Constitución Política de Colombia (1991)., cabe mencionar el deber jurídico de toda persona y ciudadano de denunciar la violencia contra las mujeres ante las autoridades competentes.</w:t>
      </w:r>
    </w:p>
    <w:p w14:paraId="6931A6CB"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Una vez admitida la solicitud, el funcionario emite un auto asumiendo el conocimiento del caso de violencia intrafamiliar.  Es fundamental determinar los derechos vulnerados, las normas aplicables y el procedimiento a seguir.  Los comisarios de familia deben informar a la Unidad Local de la Fiscalía sobre cualquier delito que pueda constituir violencia intrafamiliar contra la mujer, para su investigación.</w:t>
      </w:r>
    </w:p>
    <w:p w14:paraId="30D8A6FE"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Ante indicios leves de violencia que vulneren derechos, el comisario ordenará, dentro de las cuatro horas hábiles siguientes a su identificación, una prueba pericial y medidas de protección provisionales inapelables.  A partir de este momento, se inicia la protección física, psicológica y jurídica de la víctima.</w:t>
      </w:r>
    </w:p>
    <w:p w14:paraId="028B31AC"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El artículo 7° de la Ley 575 de 2000 (2000, 9 de febrero). Congreso de Colombia., establece que la audiencia a los intervinientes debe celebrarse entre cinco y diez días después de la solicitud de la medida de protección.  Esta audiencia única tiene como objetivo la búsqueda de soluciones, la presentación de pruebas y la emisión del fallo.</w:t>
      </w:r>
    </w:p>
    <w:p w14:paraId="30FD4D55"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lastRenderedPageBreak/>
        <w:t>Sin embargo, la búsqueda de soluciones puede resultar compleja.  El encuentro entre víctima y agresor puede ser frustrante, incómodo y generar diversas emociones, dificultando el diálogo constructivo y respetuoso necesario para que cada parte reconozca al otro como interlocutor válido.  Esta situación puede obstaculizar la resolución del conflicto.  En esta etapa, se pretende alcanzar acuerdos sobre aspectos como alimentos, custodia, régimen de visitas y pautas de crianza de los hijos.</w:t>
      </w:r>
    </w:p>
    <w:p w14:paraId="008C720E"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Finalmente, de acuerdo con la Ley 1257 de 2008 (2008, 4 de diciembre). Congreso de Colombia. La víctima tiene derecho a disponer voluntariamente si se confronta con el agresor en cualquier espacio de atención.</w:t>
      </w:r>
    </w:p>
    <w:p w14:paraId="270021BC"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Para llevar a cabo la fórmula de solución se consideran varios criterios abordando la situación de manera integral y efectiva, por ejemplo: </w:t>
      </w:r>
    </w:p>
    <w:p w14:paraId="4B1AE7F0"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Identificar factores de riesgo y protectores de la salud física y psicológica tanto de la víctima como del agresor.</w:t>
      </w:r>
    </w:p>
    <w:p w14:paraId="6240C1D5"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Analizar el tipo de violencia y las circunstancias de los hechos, comprendiendo la dinámica familiar y la relación entre los intervinientes.</w:t>
      </w:r>
    </w:p>
    <w:p w14:paraId="6958F03A"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Evaluar la viabilidad de los acuerdos propuestos, considerar la disposición de las partes a cumplir con el acuerdo y analizar si cumple con las necesidades de la víctima.</w:t>
      </w:r>
    </w:p>
    <w:p w14:paraId="1404D7D6"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Conocer la historia de vida del agresor e identificar conductas violentas normales y patológicas que requieran un abordaje terapéutico.</w:t>
      </w:r>
    </w:p>
    <w:p w14:paraId="18D8DC66"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Tener claridad del mecanismo de seguimiento, incluyendo visitas regulares por parte del grupo interdisciplinario psicólogo(a) y/o trabajador(a) Social.</w:t>
      </w:r>
    </w:p>
    <w:p w14:paraId="528BFC9C"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lastRenderedPageBreak/>
        <w:t>Evaluar el compromiso de los intervinientes, fomentando un cambio positivo en las dinámicas familiares y prevenir reincidir en hechos de violencia.</w:t>
      </w:r>
    </w:p>
    <w:p w14:paraId="5F66D86B"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La segunda acción del procedimiento administrativo de la Comisaría de Familia es la presentación de pruebas. Su objetivo es establecer la verdad real o esclarecer los hechos en controversia. Pueden ser decretadas y practicadas de oficio o requeridas de parte, conforme a lo dispuesto en la Sección Tercera, Título Único, de la Ley 1564 de 2012.</w:t>
      </w:r>
    </w:p>
    <w:p w14:paraId="0789625B"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En esta etapa, el Comisario(a) interroga a las partes para ampliar y corroborar la información sobre los hechos de violencia.</w:t>
      </w:r>
    </w:p>
    <w:p w14:paraId="3C8EFC99"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En casos de violencia intrafamiliar, la prueba indiciaria es crucial, debido a la frecuencia con que estos hechos ocurren en el domicilio sin testigos.  Ante la escasez de pruebas directas, el Comisario debe priorizar este tipo de evidencia.</w:t>
      </w:r>
    </w:p>
    <w:p w14:paraId="547D549E"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El testimonio de los testigos resulta fundamental para corroborar la veracidad de los hechos de violencia intrafamiliar.</w:t>
      </w:r>
    </w:p>
    <w:p w14:paraId="672425D6"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En cuanto a las pruebas periciales, como informes médicos, psicológicos y psiquiátricos, serán admisibles si cumplen con los lineamientos del Instituto Nacional de Medicina Legal y Ciencias Forenses y el artículo 9 del Decreto 652 de 2001.</w:t>
      </w:r>
    </w:p>
    <w:p w14:paraId="70CC66EB" w14:textId="74D287AF" w:rsidR="004C0BC3" w:rsidRPr="004C0BC3" w:rsidRDefault="003C54FB"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En cuanto</w:t>
      </w:r>
      <w:r w:rsidR="004C0BC3" w:rsidRPr="004C0BC3">
        <w:rPr>
          <w:rFonts w:ascii="Times New Roman" w:hAnsi="Times New Roman" w:cs="Times New Roman"/>
          <w:sz w:val="24"/>
          <w:szCs w:val="24"/>
        </w:rPr>
        <w:t xml:space="preserve"> a la visita domiciliaria, la realizará </w:t>
      </w:r>
      <w:r>
        <w:rPr>
          <w:rFonts w:ascii="Times New Roman" w:hAnsi="Times New Roman" w:cs="Times New Roman"/>
          <w:sz w:val="24"/>
          <w:szCs w:val="24"/>
        </w:rPr>
        <w:t>e</w:t>
      </w:r>
      <w:r w:rsidR="004C0BC3" w:rsidRPr="004C0BC3">
        <w:rPr>
          <w:rFonts w:ascii="Times New Roman" w:hAnsi="Times New Roman" w:cs="Times New Roman"/>
          <w:sz w:val="24"/>
          <w:szCs w:val="24"/>
        </w:rPr>
        <w:t xml:space="preserve">l trabajador social del equipo interdisciplinario de la Comisaría de Familia con el propósito de verificar la circunstancias sociales y las condiciones del </w:t>
      </w:r>
      <w:r w:rsidR="009B3158" w:rsidRPr="004C0BC3">
        <w:rPr>
          <w:rFonts w:ascii="Times New Roman" w:hAnsi="Times New Roman" w:cs="Times New Roman"/>
          <w:sz w:val="24"/>
          <w:szCs w:val="24"/>
        </w:rPr>
        <w:t>hogar,</w:t>
      </w:r>
      <w:r w:rsidR="004C0BC3" w:rsidRPr="004C0BC3">
        <w:rPr>
          <w:rFonts w:ascii="Times New Roman" w:hAnsi="Times New Roman" w:cs="Times New Roman"/>
          <w:sz w:val="24"/>
          <w:szCs w:val="24"/>
        </w:rPr>
        <w:t xml:space="preserve"> así como los factores de riesgo y protectores con los que cuenta la </w:t>
      </w:r>
      <w:r w:rsidR="009B3158" w:rsidRPr="004C0BC3">
        <w:rPr>
          <w:rFonts w:ascii="Times New Roman" w:hAnsi="Times New Roman" w:cs="Times New Roman"/>
          <w:sz w:val="24"/>
          <w:szCs w:val="24"/>
        </w:rPr>
        <w:t>familia.</w:t>
      </w:r>
    </w:p>
    <w:p w14:paraId="6C953FF4" w14:textId="7E5AC2CE"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lastRenderedPageBreak/>
        <w:t>Otro elemento crucial es la valoración psicológica, realizada generalmente por el psicólogo de la Comisaría de Familia</w:t>
      </w:r>
      <w:r w:rsidR="003C54FB">
        <w:rPr>
          <w:rFonts w:ascii="Times New Roman" w:hAnsi="Times New Roman" w:cs="Times New Roman"/>
          <w:sz w:val="24"/>
          <w:szCs w:val="24"/>
        </w:rPr>
        <w:t>, q</w:t>
      </w:r>
      <w:r w:rsidR="003C54FB" w:rsidRPr="004C0BC3">
        <w:rPr>
          <w:rFonts w:ascii="Times New Roman" w:hAnsi="Times New Roman" w:cs="Times New Roman"/>
          <w:sz w:val="24"/>
          <w:szCs w:val="24"/>
        </w:rPr>
        <w:t>uien,</w:t>
      </w:r>
      <w:r w:rsidRPr="004C0BC3">
        <w:rPr>
          <w:rFonts w:ascii="Times New Roman" w:hAnsi="Times New Roman" w:cs="Times New Roman"/>
          <w:sz w:val="24"/>
          <w:szCs w:val="24"/>
        </w:rPr>
        <w:t xml:space="preserve"> por medio de la entrevista semiestructurada y observación, recopila información sobre los hechos de violencia intrafamiliar, constata la existencia de una agresión, identifica el daño y las posibles secuelas psicológicas en las víctimas, las cuales pueden desencadenar malestar emocional. Esta valoración se sustenta en un informe donde resume datos, hallazgos e incluye recomendaciones para la intervención terapéutica.</w:t>
      </w:r>
    </w:p>
    <w:p w14:paraId="34C353C6" w14:textId="2A25200F"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La participación del psicólogo </w:t>
      </w:r>
      <w:r w:rsidR="009B3158">
        <w:rPr>
          <w:rFonts w:ascii="Times New Roman" w:hAnsi="Times New Roman" w:cs="Times New Roman"/>
          <w:sz w:val="24"/>
          <w:szCs w:val="24"/>
        </w:rPr>
        <w:t>jurídico</w:t>
      </w:r>
      <w:r w:rsidRPr="004C0BC3">
        <w:rPr>
          <w:rFonts w:ascii="Times New Roman" w:hAnsi="Times New Roman" w:cs="Times New Roman"/>
          <w:sz w:val="24"/>
          <w:szCs w:val="24"/>
        </w:rPr>
        <w:t xml:space="preserve"> en procesos judiciales por violencia intrafamiliar es fundamental. Su evaluación de víctimas y agresores influye decisivamente en las decisiones por parte de la autoridad competente, es decir, el comisario.</w:t>
      </w:r>
    </w:p>
    <w:p w14:paraId="4471AE91" w14:textId="620D7054"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Siguiendo las recomendaciones de Lozano y Cabezas-Charry (2020), la valoración psicológica debe identificar y predecir factores de riesgo de </w:t>
      </w:r>
      <w:r w:rsidR="003C54FB" w:rsidRPr="004C0BC3">
        <w:rPr>
          <w:rFonts w:ascii="Times New Roman" w:hAnsi="Times New Roman" w:cs="Times New Roman"/>
          <w:sz w:val="24"/>
          <w:szCs w:val="24"/>
        </w:rPr>
        <w:t>violencia, utilizando</w:t>
      </w:r>
      <w:r w:rsidRPr="004C0BC3">
        <w:rPr>
          <w:rFonts w:ascii="Times New Roman" w:hAnsi="Times New Roman" w:cs="Times New Roman"/>
          <w:sz w:val="24"/>
          <w:szCs w:val="24"/>
        </w:rPr>
        <w:t xml:space="preserve"> para ello un protocolo de evaluación forense validado, fiable y que considere tres aspectos fundamentales: la existencia del maltrato, sus consecuencias, el nexo causal entre el acto de violencia y el daño sufrido.  Así mismo, se requiere valorar la credibilidad del </w:t>
      </w:r>
      <w:r w:rsidR="003C54FB" w:rsidRPr="004C0BC3">
        <w:rPr>
          <w:rFonts w:ascii="Times New Roman" w:hAnsi="Times New Roman" w:cs="Times New Roman"/>
          <w:sz w:val="24"/>
          <w:szCs w:val="24"/>
        </w:rPr>
        <w:t>testimonio, emplear</w:t>
      </w:r>
      <w:r w:rsidRPr="004C0BC3">
        <w:rPr>
          <w:rFonts w:ascii="Times New Roman" w:hAnsi="Times New Roman" w:cs="Times New Roman"/>
          <w:sz w:val="24"/>
          <w:szCs w:val="24"/>
        </w:rPr>
        <w:t xml:space="preserve"> instrumentos psicométricos adecuados, evitar la revictimización, revisar la documentación pertinente, triangular la información y realizar entrevistas colaterales.</w:t>
      </w:r>
    </w:p>
    <w:p w14:paraId="5842D022"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Lozano y Cabezas-Charry (2020) describen el "Sistema de Evaluación Global", un protocolo psicológico forense desarrollado por el equipo de Arce y Fariña para evaluar la huella psíquica, controlando la simulación.  En Colombia, la valoración forense integral para víctimas se basa en el protocolo que recomienda el Instituto de Medicina Legal y Ciencias Forenses, que utiliza la Escala de Evaluación de Daño (Escala DA) para medir el impacto psicológico y emocional de la violencia. Está escala permite identificar las necesidades de la víctima y facilita la elaboración de una propuesta de intervención ajustada a cada situación.  </w:t>
      </w:r>
    </w:p>
    <w:p w14:paraId="163791EE"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lastRenderedPageBreak/>
        <w:t>El protocolo de evaluación, que consta de entrevista inicial, aplicación de la Escala DA, análisis de resultados e informe psicológico, optimiza la atención a las víctimas, centrándose en sus necesidades específicas.</w:t>
      </w:r>
    </w:p>
    <w:p w14:paraId="6CE60850" w14:textId="77777777"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 xml:space="preserve">En resumen, la evaluación psicológica forense permite al profesional ofrecer una atención efectiva, previene la revictimización y fortalece el sistema legal a través de medidas preventivas. </w:t>
      </w:r>
    </w:p>
    <w:p w14:paraId="4FD9CF63" w14:textId="6B29C34E" w:rsidR="004C0BC3" w:rsidRP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Por último, la tercera acción durante el proceso es</w:t>
      </w:r>
      <w:r w:rsidR="003C54FB">
        <w:rPr>
          <w:rFonts w:ascii="Times New Roman" w:hAnsi="Times New Roman" w:cs="Times New Roman"/>
          <w:sz w:val="24"/>
          <w:szCs w:val="24"/>
        </w:rPr>
        <w:t>,</w:t>
      </w:r>
      <w:r w:rsidRPr="004C0BC3">
        <w:rPr>
          <w:rFonts w:ascii="Times New Roman" w:hAnsi="Times New Roman" w:cs="Times New Roman"/>
          <w:sz w:val="24"/>
          <w:szCs w:val="24"/>
        </w:rPr>
        <w:t xml:space="preserve"> la emisión de la decisión</w:t>
      </w:r>
      <w:r w:rsidR="003C54FB">
        <w:rPr>
          <w:rFonts w:ascii="Times New Roman" w:hAnsi="Times New Roman" w:cs="Times New Roman"/>
          <w:sz w:val="24"/>
          <w:szCs w:val="24"/>
        </w:rPr>
        <w:t>, conocido como el fallo</w:t>
      </w:r>
      <w:r w:rsidRPr="004C0BC3">
        <w:rPr>
          <w:rFonts w:ascii="Times New Roman" w:hAnsi="Times New Roman" w:cs="Times New Roman"/>
          <w:sz w:val="24"/>
          <w:szCs w:val="24"/>
        </w:rPr>
        <w:t xml:space="preserve">, es el momento final de la audiencia donde el Comisario (a) de Familia recoge todos los elementos que surtieron a lo largo del proceso, desde la entrevista hasta las pruebas. De acuerdo con la Ley 1564 de 2012 (2012, 12 de julio). Congreso de la República. Artículo 280, la motivación de la sentencia debe limitarse al examen crítico y razonado de las pruebas, incluyendo </w:t>
      </w:r>
      <w:r w:rsidR="003C54FB" w:rsidRPr="004C0BC3">
        <w:rPr>
          <w:rFonts w:ascii="Times New Roman" w:hAnsi="Times New Roman" w:cs="Times New Roman"/>
          <w:sz w:val="24"/>
          <w:szCs w:val="24"/>
        </w:rPr>
        <w:t>únicamente los</w:t>
      </w:r>
      <w:r w:rsidRPr="004C0BC3">
        <w:rPr>
          <w:rFonts w:ascii="Times New Roman" w:hAnsi="Times New Roman" w:cs="Times New Roman"/>
          <w:sz w:val="24"/>
          <w:szCs w:val="24"/>
        </w:rPr>
        <w:t xml:space="preserve"> argumentos constitucionales, legales, equitativos y doctrinarios estrictamente necesarios para fundamentar las conclusiones, expuestos con brevedad y precisión.</w:t>
      </w:r>
    </w:p>
    <w:p w14:paraId="702E7055" w14:textId="3C3669A4" w:rsidR="004C0BC3" w:rsidRDefault="004C0BC3" w:rsidP="004C0BC3">
      <w:pPr>
        <w:spacing w:line="480" w:lineRule="auto"/>
        <w:ind w:firstLine="720"/>
        <w:rPr>
          <w:rFonts w:ascii="Times New Roman" w:hAnsi="Times New Roman" w:cs="Times New Roman"/>
          <w:sz w:val="24"/>
          <w:szCs w:val="24"/>
        </w:rPr>
      </w:pPr>
      <w:r w:rsidRPr="004C0BC3">
        <w:rPr>
          <w:rFonts w:ascii="Times New Roman" w:hAnsi="Times New Roman" w:cs="Times New Roman"/>
          <w:sz w:val="24"/>
          <w:szCs w:val="24"/>
        </w:rPr>
        <w:t>La sentencia debe incorporar: Identificación de la Comisaría de Familia, Lugar y fecha, una síntesis de la solicitud de medidas de protección y descargos del agresor, un análisis de las pruebas que sustenten las conclusiones; y en la parte resolutiva, la imposición de la medida definitiva de protección, estableciendo al agresor contenerse de realizar la conducta denunciada y especificando su mecanismo de ejecución (Santos Calderón et al., 2013).</w:t>
      </w:r>
    </w:p>
    <w:p w14:paraId="0C830877" w14:textId="77777777" w:rsidR="003C54FB" w:rsidRPr="003C54FB" w:rsidRDefault="003C54FB" w:rsidP="003C54FB">
      <w:pPr>
        <w:spacing w:line="480" w:lineRule="auto"/>
        <w:ind w:firstLine="720"/>
        <w:rPr>
          <w:rFonts w:ascii="Times New Roman" w:hAnsi="Times New Roman" w:cs="Times New Roman"/>
          <w:b/>
          <w:bCs/>
          <w:sz w:val="24"/>
          <w:szCs w:val="24"/>
        </w:rPr>
      </w:pPr>
      <w:r w:rsidRPr="003C54FB">
        <w:rPr>
          <w:rFonts w:ascii="Times New Roman" w:hAnsi="Times New Roman" w:cs="Times New Roman"/>
          <w:b/>
          <w:bCs/>
          <w:sz w:val="24"/>
          <w:szCs w:val="24"/>
        </w:rPr>
        <w:t>Las Emociones</w:t>
      </w:r>
    </w:p>
    <w:p w14:paraId="19E86F0F" w14:textId="6E44FE19"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 xml:space="preserve">Las emociones tienen una función importante en la integralidad del ser humano. Darwin, citado por Velázquez Fernández et al. (2009), destaca el rol sustancial de las emociones en la naturaleza humana.  Sus investigaciones revelaron el carácter innato, universal y compartido con otras especies de estas respuestas afectivas.  La ineludible respuesta fisiológica, involuntaria y </w:t>
      </w:r>
      <w:r w:rsidRPr="003C54FB">
        <w:rPr>
          <w:rFonts w:ascii="Times New Roman" w:hAnsi="Times New Roman" w:cs="Times New Roman"/>
          <w:sz w:val="24"/>
          <w:szCs w:val="24"/>
        </w:rPr>
        <w:lastRenderedPageBreak/>
        <w:t>que afecta al sistema nervioso, confirma la existencia de un componente biológico fundamental en la experiencia emocional.</w:t>
      </w:r>
    </w:p>
    <w:p w14:paraId="04F96446" w14:textId="31315667"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La definición de emoción ha sido objeto de gran debate en todos los tiempos. Para William James, la emoción es una reacción fisiológica consecuencia de un estímulo; la percepción de estas reacciones fisiológicas y conductuales es lo que genera la sensación de cambios corporales, es decir la emoción. En esta perspectiva, la emoción es inmediata y precede a cualquier proceso cognitivo.</w:t>
      </w:r>
    </w:p>
    <w:p w14:paraId="6E889264" w14:textId="17DBA262"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 xml:space="preserve"> En el libro Meditaciones (2023), Marco Aurelio dentro de sus máximas, establece un rol importante para la cognición como parte de la emoción. Argumenta que el sufrimiento no proviene de los hechos en sí, sino de nuestra interpretación de ellos. Posteriormente, enfatiza la autorregulación, presentando la razón como guía para evitar el sufrimiento mediante el seguimiento de sus consejos.  Finalmente, define la razón sana como la capacidad de afrontar cualquier adversidad, reemplazando la expresión "arrostrar" por la más precisa "afrontar".</w:t>
      </w:r>
    </w:p>
    <w:p w14:paraId="0864F2AE" w14:textId="77777777"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 xml:space="preserve">El cognoscitivismo revoluciona la comprensión de las emociones, como propone Salomón en su teoría.  Esta se basa en la evaluación y el juicio de los hechos, lo que implica que un cambio en los juicios puede modificar las emociones.  Así, el sujeto adquiere un rol activo en el control de sus emociones, dejando atrás la pasividad ante la experiencia emocional, según </w:t>
      </w:r>
      <w:proofErr w:type="spellStart"/>
      <w:r w:rsidRPr="003C54FB">
        <w:rPr>
          <w:rFonts w:ascii="Times New Roman" w:hAnsi="Times New Roman" w:cs="Times New Roman"/>
          <w:sz w:val="24"/>
          <w:szCs w:val="24"/>
        </w:rPr>
        <w:t>Andre</w:t>
      </w:r>
      <w:proofErr w:type="spellEnd"/>
      <w:r w:rsidRPr="003C54FB">
        <w:rPr>
          <w:rFonts w:ascii="Times New Roman" w:hAnsi="Times New Roman" w:cs="Times New Roman"/>
          <w:sz w:val="24"/>
          <w:szCs w:val="24"/>
        </w:rPr>
        <w:t xml:space="preserve"> </w:t>
      </w:r>
      <w:proofErr w:type="spellStart"/>
      <w:r w:rsidRPr="003C54FB">
        <w:rPr>
          <w:rFonts w:ascii="Times New Roman" w:hAnsi="Times New Roman" w:cs="Times New Roman"/>
          <w:sz w:val="24"/>
          <w:szCs w:val="24"/>
        </w:rPr>
        <w:t>Melamed</w:t>
      </w:r>
      <w:proofErr w:type="spellEnd"/>
      <w:r w:rsidRPr="003C54FB">
        <w:rPr>
          <w:rFonts w:ascii="Times New Roman" w:hAnsi="Times New Roman" w:cs="Times New Roman"/>
          <w:sz w:val="24"/>
          <w:szCs w:val="24"/>
        </w:rPr>
        <w:t xml:space="preserve"> (2016).</w:t>
      </w:r>
    </w:p>
    <w:p w14:paraId="23BEA380" w14:textId="77777777"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 xml:space="preserve">Reeve (2010) define las emociones como fenómenos de corta duración, caracterizados por sentimientos, activación fisiológica, intenciones y expresiones conductuales que facilitan nuestra adaptación a las oportunidades y desafíos de la vida. </w:t>
      </w:r>
    </w:p>
    <w:p w14:paraId="6393385E" w14:textId="4564D291"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lastRenderedPageBreak/>
        <w:t xml:space="preserve"> Para Magda Arnold (citada en Navarro, 2019), la emoción surge cuando se percibe lo beneficioso o perjudicial de un objeto, lo que provoca una respuesta de acercamiento o evitación.  Este proceso de valoración del objeto, denominado "appraisal”, fue posteriormente adoptado por Lazarus.</w:t>
      </w:r>
    </w:p>
    <w:p w14:paraId="21E66A4F" w14:textId="3114E88D"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Según Lazarus (1990), la emoción surge de la interacción sujeto-ambiente mediada por seis elementos de evaluación: dos primarios y cuatro secundarios.  Los primarios se centran en el logro de metas y en sí la emoción facilita o dificulta su consecución.  Los secundarios abarcan la responsabilidad, el afrontamiento centrado en dos aspectos: el problema y en la emoción, además de las expectativas.</w:t>
      </w:r>
    </w:p>
    <w:p w14:paraId="1F890B5A" w14:textId="77777777"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La responsabilidad, primer elemento de la evaluación secundaria, influye en la respuesta emocional y en la elección de estrategias de afrontamiento.  Para Lazarus, la responsabilidad se relaciona con la causalidad, un juicio a menudo atribuido por otros.  La culpa y la ira surgen de la percepción de haber podido actuar de otra manera.  En cambio, ante la ausencia de control, se tiende a minimizar la responsabilidad propia, atribuyéndola a factores externos, reduciendo así la culpa.</w:t>
      </w:r>
    </w:p>
    <w:p w14:paraId="67854D71" w14:textId="77777777"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Esta perspectiva resulta valiosa al considerar las dinámicas interpersonales, donde los participantes asumen roles definidos (víctima, agresor, juez), generando una atmósfera cargada de emociones diversas como culpa, ira, tristeza, miedo y vergüenza.</w:t>
      </w:r>
    </w:p>
    <w:p w14:paraId="7FF8C868" w14:textId="21F98E8B"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 xml:space="preserve">La teoría de Lazarus distingue la relevancia de la responsabilidad y la culpa, las cuales se tendrán en cuenta para comprender la actitud de la audiencia.  Alguien que atribuye su responsabilidad a otros, incluso a la víctima, es menos propenso a escuchar y más a justificar su comportamiento, generando discrepancias desde el inicio.  Las emociones morales, como la </w:t>
      </w:r>
      <w:r w:rsidRPr="003C54FB">
        <w:rPr>
          <w:rFonts w:ascii="Times New Roman" w:hAnsi="Times New Roman" w:cs="Times New Roman"/>
          <w:sz w:val="24"/>
          <w:szCs w:val="24"/>
        </w:rPr>
        <w:lastRenderedPageBreak/>
        <w:t>culpa y la vergüenza (Pinedo Cantillo &amp; Yáñez Canal, 2020), surgen de la evaluación personal del propio comportamiento respecto a las normas sociales. La culpa implica la afectación a otros, acompañada de tristeza y un deseo de reparación; la vergüenza, en cambio, genera un deseo de aislamiento tras reconocer un comportamiento indigno.  En el contexto de la audiencia, estas emociones son deseables, pues promueven la reflexión personal sobre el comportamiento, facilitando la escucha y la aceptación de las consecuencias del acto de violencia que motivó el proceso.</w:t>
      </w:r>
    </w:p>
    <w:p w14:paraId="062D2E41" w14:textId="4E4D3E53"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 xml:space="preserve">Según </w:t>
      </w:r>
      <w:proofErr w:type="spellStart"/>
      <w:r w:rsidRPr="003C54FB">
        <w:rPr>
          <w:rFonts w:ascii="Times New Roman" w:hAnsi="Times New Roman" w:cs="Times New Roman"/>
          <w:sz w:val="24"/>
          <w:szCs w:val="24"/>
        </w:rPr>
        <w:t>Louhau</w:t>
      </w:r>
      <w:proofErr w:type="spellEnd"/>
      <w:r w:rsidRPr="003C54FB">
        <w:rPr>
          <w:rFonts w:ascii="Times New Roman" w:hAnsi="Times New Roman" w:cs="Times New Roman"/>
          <w:sz w:val="24"/>
          <w:szCs w:val="24"/>
        </w:rPr>
        <w:t xml:space="preserve"> et al. (2021), citando a Ressler &amp; Maren y a </w:t>
      </w:r>
      <w:proofErr w:type="spellStart"/>
      <w:r w:rsidRPr="003C54FB">
        <w:rPr>
          <w:rFonts w:ascii="Times New Roman" w:hAnsi="Times New Roman" w:cs="Times New Roman"/>
          <w:sz w:val="24"/>
          <w:szCs w:val="24"/>
        </w:rPr>
        <w:t>Lindquist</w:t>
      </w:r>
      <w:proofErr w:type="spellEnd"/>
      <w:r w:rsidRPr="003C54FB">
        <w:rPr>
          <w:rFonts w:ascii="Times New Roman" w:hAnsi="Times New Roman" w:cs="Times New Roman"/>
          <w:sz w:val="24"/>
          <w:szCs w:val="24"/>
        </w:rPr>
        <w:t xml:space="preserve"> et al., las emociones cumplen funciones adaptativas. El miedo, por ejemplo, desencadena una respuesta que prioriza la supervivencia: aumenta el estado de alerta para identificar posibles peligros y prepara fisiológicamente el cuerpo para dos respuestas opuestas una puede ser la lucha y la otra es la huida.  El enojo, por una parte, facilita la defensa mediante gestos amenazantes y la preparación para el ataque, garantizando la protección individual, de la descendencia y, en última instancia, la supervivencia.  La percepción de pérdida, en cambio, suele asociarse a tristeza y angustia por la separación.  En el contexto de la audiencia, aunque no exclusivamente, la ira y el miedo pueden dificultar la escucha activa, la comprensión y la asunción de responsabilidades y compromisos, especialmente aquellos relacionados con la protección.</w:t>
      </w:r>
    </w:p>
    <w:p w14:paraId="0E541975" w14:textId="79AF3D68"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 xml:space="preserve">La teoría de Richard Solomon (1980) propone un modelo útil para comprender la dinámica afectiva.  Según este modelo, la mayoría de las experiencias emocionales, tanto agradables como desagradables, siguen un patrón de intensidad decreciente tras alcanzar un pico máximo, retornando el sujeto a un estado de equilibrio.  Un aspecto relevante es el concepto de proceso oponente:  la activación de un estado emocional opuesto al inicial.  En el contexto de una audiencia, si un individuo experimenta malestar, tras alcanzar su punto máximo, este </w:t>
      </w:r>
      <w:r w:rsidRPr="003C54FB">
        <w:rPr>
          <w:rFonts w:ascii="Times New Roman" w:hAnsi="Times New Roman" w:cs="Times New Roman"/>
          <w:sz w:val="24"/>
          <w:szCs w:val="24"/>
        </w:rPr>
        <w:lastRenderedPageBreak/>
        <w:t>disminuye gradualmente, dando paso a un estado de bienestar opuesto.  Esta disminución de la intensidad emocional facilita el retorno a la homeostasis, un estado ideal que permite al sujeto tomar conciencia de las responsabilidades y comportamientos esperados.</w:t>
      </w:r>
    </w:p>
    <w:p w14:paraId="4B614690" w14:textId="77777777"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Solomon (1980) también introduce los conceptos de implicación y valoración. La implicación sitúa al sujeto en una realidad, en un mundo.  Paralelamente, la valoración, crucial en este contexto, dota al individuo de un significado y un sentido a la experiencia.  En el ámbito de una comisaría de familia y, más específicamente, durante una audiencia, este significado inicial puede ser aversivo para el usuario.</w:t>
      </w:r>
    </w:p>
    <w:p w14:paraId="6DDCF0D4" w14:textId="77777777"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Según Vindel, A. et al. (1995), Peter Lange propone un modelo integrador de la emoción, describiéndolo como la activación de tres canales de respuesta interdependientes: cognitivo, fisiológico y motor.  Estos canales pueden funcionar de manera independiente.</w:t>
      </w:r>
    </w:p>
    <w:p w14:paraId="500FF225" w14:textId="53A50604"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 xml:space="preserve">Según María José </w:t>
      </w:r>
      <w:proofErr w:type="spellStart"/>
      <w:r w:rsidRPr="003C54FB">
        <w:rPr>
          <w:rFonts w:ascii="Times New Roman" w:hAnsi="Times New Roman" w:cs="Times New Roman"/>
          <w:sz w:val="24"/>
          <w:szCs w:val="24"/>
        </w:rPr>
        <w:t>Bernuz</w:t>
      </w:r>
      <w:proofErr w:type="spellEnd"/>
      <w:r w:rsidRPr="003C54FB">
        <w:rPr>
          <w:rFonts w:ascii="Times New Roman" w:hAnsi="Times New Roman" w:cs="Times New Roman"/>
          <w:sz w:val="24"/>
          <w:szCs w:val="24"/>
        </w:rPr>
        <w:t xml:space="preserve"> </w:t>
      </w:r>
      <w:proofErr w:type="spellStart"/>
      <w:r w:rsidRPr="003C54FB">
        <w:rPr>
          <w:rFonts w:ascii="Times New Roman" w:hAnsi="Times New Roman" w:cs="Times New Roman"/>
          <w:sz w:val="24"/>
          <w:szCs w:val="24"/>
        </w:rPr>
        <w:t>Beneitez</w:t>
      </w:r>
      <w:proofErr w:type="spellEnd"/>
      <w:r w:rsidRPr="003C54FB">
        <w:rPr>
          <w:rFonts w:ascii="Times New Roman" w:hAnsi="Times New Roman" w:cs="Times New Roman"/>
          <w:sz w:val="24"/>
          <w:szCs w:val="24"/>
        </w:rPr>
        <w:t xml:space="preserve"> (2013), en la resolución de conflictos no se pueden excluir las emociones, puesto que tiene consecuencias como agravar los conflictos existentes o generar otros nuevos.  Esto revela la incomodidad que genera el manejo de las emociones en el ámbito jurídico.</w:t>
      </w:r>
    </w:p>
    <w:p w14:paraId="0EC95C79" w14:textId="327B4847"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 xml:space="preserve">Por otra parte, Anleu, </w:t>
      </w:r>
      <w:proofErr w:type="spellStart"/>
      <w:r w:rsidRPr="003C54FB">
        <w:rPr>
          <w:rFonts w:ascii="Times New Roman" w:hAnsi="Times New Roman" w:cs="Times New Roman"/>
          <w:sz w:val="24"/>
          <w:szCs w:val="24"/>
        </w:rPr>
        <w:t>Rottman</w:t>
      </w:r>
      <w:proofErr w:type="spellEnd"/>
      <w:r w:rsidRPr="003C54FB">
        <w:rPr>
          <w:rFonts w:ascii="Times New Roman" w:hAnsi="Times New Roman" w:cs="Times New Roman"/>
          <w:sz w:val="24"/>
          <w:szCs w:val="24"/>
        </w:rPr>
        <w:t xml:space="preserve"> y Mack (2016) destacan la importancia de que los jueces regulen sus emociones para </w:t>
      </w:r>
      <w:r w:rsidR="009B3158" w:rsidRPr="003C54FB">
        <w:rPr>
          <w:rFonts w:ascii="Times New Roman" w:hAnsi="Times New Roman" w:cs="Times New Roman"/>
          <w:sz w:val="24"/>
          <w:szCs w:val="24"/>
        </w:rPr>
        <w:t>así gestionar</w:t>
      </w:r>
      <w:r w:rsidRPr="003C54FB">
        <w:rPr>
          <w:rFonts w:ascii="Times New Roman" w:hAnsi="Times New Roman" w:cs="Times New Roman"/>
          <w:sz w:val="24"/>
          <w:szCs w:val="24"/>
        </w:rPr>
        <w:t xml:space="preserve"> situaciones conflictivas en los tribunales.  Esta regulación contribuye a resultados positivos, como disminuir la reincidencia y que </w:t>
      </w:r>
      <w:r w:rsidR="009B3158" w:rsidRPr="003C54FB">
        <w:rPr>
          <w:rFonts w:ascii="Times New Roman" w:hAnsi="Times New Roman" w:cs="Times New Roman"/>
          <w:sz w:val="24"/>
          <w:szCs w:val="24"/>
        </w:rPr>
        <w:t xml:space="preserve">se </w:t>
      </w:r>
      <w:proofErr w:type="gramStart"/>
      <w:r w:rsidR="009B3158" w:rsidRPr="003C54FB">
        <w:rPr>
          <w:rFonts w:ascii="Times New Roman" w:hAnsi="Times New Roman" w:cs="Times New Roman"/>
          <w:sz w:val="24"/>
          <w:szCs w:val="24"/>
        </w:rPr>
        <w:t>cumplan</w:t>
      </w:r>
      <w:r w:rsidRPr="003C54FB">
        <w:rPr>
          <w:rFonts w:ascii="Times New Roman" w:hAnsi="Times New Roman" w:cs="Times New Roman"/>
          <w:sz w:val="24"/>
          <w:szCs w:val="24"/>
        </w:rPr>
        <w:t xml:space="preserve">  las</w:t>
      </w:r>
      <w:proofErr w:type="gramEnd"/>
      <w:r w:rsidRPr="003C54FB">
        <w:rPr>
          <w:rFonts w:ascii="Times New Roman" w:hAnsi="Times New Roman" w:cs="Times New Roman"/>
          <w:sz w:val="24"/>
          <w:szCs w:val="24"/>
        </w:rPr>
        <w:t xml:space="preserve"> órdenes judiciales.  El reconocimiento de las emociones resulta fundamental, ya que permite a los comparecientes conocer directamente de la autoridad las expectativas de comportamiento y las sanciones por incumplimiento.  Sin embargo, se observa con frecuencia un comportamiento contrario a lo esperado, especialmente en casos de parejas con hijos y acuerdos de visita.  En </w:t>
      </w:r>
      <w:r w:rsidRPr="003C54FB">
        <w:rPr>
          <w:rFonts w:ascii="Times New Roman" w:hAnsi="Times New Roman" w:cs="Times New Roman"/>
          <w:sz w:val="24"/>
          <w:szCs w:val="24"/>
        </w:rPr>
        <w:lastRenderedPageBreak/>
        <w:t>estas situaciones, el accionado puede: 1) dejar de ver a sus hijos alegando prohibición de contacto; o 2) usar las visitas como excusa para generar conflictos y tensiones.</w:t>
      </w:r>
    </w:p>
    <w:p w14:paraId="5DED3811" w14:textId="2B1F62CF"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Salovey y Mayer (1977) propusieron que a través de la inteligencia emocional se lograra el uso adaptativo de las emociones. La inteligencia emocional tiene como propósito mejorar el razonamiento y comprensión de la vida emocional a través de la habilidad de procesamiento de la información emocional.  Esta capacidad se conceptualiza a través de cuatro habilidades:</w:t>
      </w:r>
    </w:p>
    <w:p w14:paraId="708CC129" w14:textId="77777777"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Percibir, valorar y expresar emociones con exactitud, lo cual hace referencia a la identificación de las propias emociones y las de los demás. En esta habilidad mencionan los autores el componente fisiológico y cognitivo.</w:t>
      </w:r>
    </w:p>
    <w:p w14:paraId="62DB2BB1" w14:textId="4C8676D2"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La capacidad para acceder a nuestras emociones y usarlas para potenciar el pensamiento; revela como sobre el razonamiento la toma de decisiones las emociones tienen influencia.  Las diferencias individuales en esta capacidad son significativas, por lo que es crucial el autoconocimiento para identificar cómo las emociones influyen en el comportamiento en distintas situaciones.</w:t>
      </w:r>
    </w:p>
    <w:p w14:paraId="0D28116D" w14:textId="73C5EB1F"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Comprender las emociones implica identificar y clasificar las emociones primarias y secundarias, sus transiciones, los factores que las desencadenan y su desarrollo cíclico.  Esta capacidad también facilita la predicción del propio comportamiento.</w:t>
      </w:r>
    </w:p>
    <w:p w14:paraId="55313A32" w14:textId="77777777"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Finalmente, se promueve el crecimiento tanto emocional como intelectual cuando se adquiere la habilidad para la regulación emocional, considerándose dentro de lo complejo de las emociones una de las habilidades más intrincadas porque implica acceder a la reflexión y a la autocrítica, logrando controlar las expresiones emocionales tanto propias como de otros.</w:t>
      </w:r>
    </w:p>
    <w:p w14:paraId="5C926176" w14:textId="64C76945"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lastRenderedPageBreak/>
        <w:t>Como propuesta para optimizar la gestión de las emociones del usuario en la audiencia, se recomienda realizar una interacción previa entre el psicólogo y cada participante, estableciendo un diálogo a fin de identificar el estado emocional de los usuarios, canales de respuesta y las estrategias de regulación empleadas. Esto con el propósito de focalizar la atención en la audiencia, prevenir incumplimientos y sanciones. De igual manera, se sugiere formular preguntas claras y proponer acciones concretas, evitando ambigüedades que puedan generar confusión.</w:t>
      </w:r>
    </w:p>
    <w:p w14:paraId="76B1C8C6" w14:textId="77777777"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Ambientar la sala de espera o algún muro con información relacionada con las emociones, mecanismos de respuesta y estrategias de afrontamiento, ayuda a familiarizar a los usuarios con estos conceptos tan importantes, normalizándolos como parte inherente de la condición humana y resaltando la necesidad de regularlos adecuadamente.</w:t>
      </w:r>
    </w:p>
    <w:p w14:paraId="1D705D20" w14:textId="1636BB69"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Al finalizar la audiencia, al momento de otorgar la remisión a psicología, es oportuno aclarar las expectativas de comportamiento y los efectos que trae la trasgresión de las medidas.  Además, escuchar al usuario sobre los aspectos que considera relevantes durante la remisión permite evaluar su nivel de reflexión y orientar las sesiones terapéuticas con base a los eventos ocurridos.</w:t>
      </w:r>
    </w:p>
    <w:p w14:paraId="7AB15E93" w14:textId="77777777" w:rsidR="003C54FB" w:rsidRPr="003C54FB" w:rsidRDefault="003C54FB" w:rsidP="003C54FB">
      <w:pPr>
        <w:spacing w:line="480" w:lineRule="auto"/>
        <w:ind w:firstLine="720"/>
        <w:rPr>
          <w:rFonts w:ascii="Times New Roman" w:hAnsi="Times New Roman" w:cs="Times New Roman"/>
          <w:b/>
          <w:bCs/>
          <w:sz w:val="24"/>
          <w:szCs w:val="24"/>
        </w:rPr>
      </w:pPr>
      <w:r w:rsidRPr="003C54FB">
        <w:rPr>
          <w:rFonts w:ascii="Times New Roman" w:hAnsi="Times New Roman" w:cs="Times New Roman"/>
          <w:b/>
          <w:bCs/>
          <w:sz w:val="24"/>
          <w:szCs w:val="24"/>
        </w:rPr>
        <w:t>Justicia Terapéutica</w:t>
      </w:r>
    </w:p>
    <w:p w14:paraId="01863853" w14:textId="0B98E453"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La justicia terapéutica surgió en Estados Unidos en 1987 y fue instaurada por el profesor en derecho David Wexler, considerándose como el estudio de las consecuencias positivas o negativas de la ley, teniendo en cuenta las siguientes categorías: las normas legales, los procedimientos legales y la función de los actores legales.</w:t>
      </w:r>
    </w:p>
    <w:p w14:paraId="152B72A4" w14:textId="6DFAB20E"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lastRenderedPageBreak/>
        <w:t xml:space="preserve">En este artículo, se consideran dos elementos clave de Kay </w:t>
      </w:r>
      <w:proofErr w:type="spellStart"/>
      <w:r w:rsidRPr="003C54FB">
        <w:rPr>
          <w:rFonts w:ascii="Times New Roman" w:hAnsi="Times New Roman" w:cs="Times New Roman"/>
          <w:sz w:val="24"/>
          <w:szCs w:val="24"/>
        </w:rPr>
        <w:t>Kavanagh</w:t>
      </w:r>
      <w:proofErr w:type="spellEnd"/>
      <w:r w:rsidRPr="003C54FB">
        <w:rPr>
          <w:rFonts w:ascii="Times New Roman" w:hAnsi="Times New Roman" w:cs="Times New Roman"/>
          <w:sz w:val="24"/>
          <w:szCs w:val="24"/>
        </w:rPr>
        <w:t xml:space="preserve"> (1995) en la primera categoría.  Primero, lo antiterapéutico, que en el párrafo inicial se menciona como lo negativo del efecto de la Ley y se define por la falta de promoción del bienestar psicológico de la víctima.  Respecto a esto, la posibilidad de que el victimario presente sus descargos ofrece un panorama integral del evento violento, pues en primera instancia el relato de la víctima es analizado desde dos perspectivas: la profesional, que realiza la valoración psicológica, aplica instrumentos de evaluación y emite recomendaciones; y la autoridad administrativa, que determina las medidas legales pertinentes.  Para la víctima, este momento procesal puede resultar positivo al validarse emocionalmente su experiencia, a pesar del malestar inherente.  La narración de los hechos, en este contexto, cobra sentido, como señalan Cerón y Contreras (2022).  Otro aspecto relevante para la víctima es la solicitud de fórmulas de avenimiento por parte de la comisaría, ya que los acuerdos propuestos demuestran la disposición y el compromiso para resolver el conflicto, un objetivo fundamental de la justicia terapéutica.</w:t>
      </w:r>
    </w:p>
    <w:p w14:paraId="3ED9B0AE" w14:textId="77777777"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 xml:space="preserve">En conclusión, una atención respetuosa en la Comisaría, que reconozca la situación de la víctima y le ofrezca alternativas de solución, tendrá un efecto terapéutico positivo. </w:t>
      </w:r>
    </w:p>
    <w:p w14:paraId="405BE3E8" w14:textId="69C92838"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 xml:space="preserve">Kay </w:t>
      </w:r>
      <w:proofErr w:type="spellStart"/>
      <w:r w:rsidRPr="003C54FB">
        <w:rPr>
          <w:rFonts w:ascii="Times New Roman" w:hAnsi="Times New Roman" w:cs="Times New Roman"/>
          <w:sz w:val="24"/>
          <w:szCs w:val="24"/>
        </w:rPr>
        <w:t>Kavanagh</w:t>
      </w:r>
      <w:proofErr w:type="spellEnd"/>
      <w:r w:rsidRPr="003C54FB">
        <w:rPr>
          <w:rFonts w:ascii="Times New Roman" w:hAnsi="Times New Roman" w:cs="Times New Roman"/>
          <w:sz w:val="24"/>
          <w:szCs w:val="24"/>
        </w:rPr>
        <w:t xml:space="preserve"> menciona el aislamiento como consecuencia de negar la posibilidad a la persona de revelar información de sí misma. Este distanciamiento se debe al deseo del individuo de evitar ser indagado por su comportamiento y sus decisiones. En este caso, la víctima y el victimario pueden caer en este distanciamiento, lo cual sumaría a la serie de dificultades ya presentadas: reclamos por parte de los integrantes de las familias de origen y hasta por los propios hijos quienes a estas alturas probablemente estarán bajo la custodia de una sola figura parental. </w:t>
      </w:r>
    </w:p>
    <w:p w14:paraId="2043119A" w14:textId="77777777"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lastRenderedPageBreak/>
        <w:t>Romero F. (2009) indica que la percepción de baja valoración y poca trascendencia del rol parental lleva a un progresivo distanciamiento filial, sin consideración de las consecuencias negativas. Para contrarrestar esto, es crucial que las figuras parentales se centren en la coparentalidad, estableciendo acuerdos que favorezcan la relación entre el padre y sus hijos o la madre y los hijos.</w:t>
      </w:r>
    </w:p>
    <w:p w14:paraId="4806FE03" w14:textId="0388DE77"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Observado todo lo anterior, la justicia terapéutica cobra especial relevancia, pues facilita que se resuelvan los conflictos y se establezcan acuerdos, siempre priorizando el bienestar físico y emocional de los menores de edad.  Este enfoque contribuye a la humanización del derecho.</w:t>
      </w:r>
    </w:p>
    <w:p w14:paraId="4F4B945A" w14:textId="708C95C7"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 xml:space="preserve">Respecto a los procedimientos legales, la audiencia se destaca como un espacio imparcial idóneo para abordar temas que, en otros contextos, no son tratados.  Esto resulta beneficioso tanto para el demandante como para el demandado.  Como señalan Fonseca y Prieto (2010), citando a Aristóteles, la credibilidad y ecuanimidad del orador son cruciales.  Es preciso comprender la influencia de las emociones en la autoridad y en la atmósfera de la audiencia: una emoción intensa puede eclipsar otras, impidiendo una evaluación objetiva.  El comisario de familia, dada la naturaleza de su trabajo, se enfrenta a una amplia gama de emociones; sin embargo, debe mantener siempre el objetivo principal de la audiencia como prioridad. </w:t>
      </w:r>
    </w:p>
    <w:p w14:paraId="0E7F9E69" w14:textId="4368A140" w:rsid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 xml:space="preserve">Weinstein, J (1997), señala, que las desavenencias por la custodia de hijos, suele primar la conveniencia de los padres buscando la victoria a cualquier costo, sin considerar el contexto familiar, la voz del niño, ni la intervención de un equipo multidisciplinario que pueda evaluar la situación desde perspectivas más allá del derecho.  Esto evidencia un componente antiterapéutico, ya que, antes de resolver el conflicto, se prolonga en los hijos la problemática conyugal.  Este componente resalta la importancia de equipos interdisciplinarios, como los propuestos por Bueno Ochoa (2023), integrados por comisarios, psicólogos, trabajadores </w:t>
      </w:r>
      <w:r w:rsidRPr="003C54FB">
        <w:rPr>
          <w:rFonts w:ascii="Times New Roman" w:hAnsi="Times New Roman" w:cs="Times New Roman"/>
          <w:sz w:val="24"/>
          <w:szCs w:val="24"/>
        </w:rPr>
        <w:lastRenderedPageBreak/>
        <w:t>sociales, y personal administrativo, que interactúen directamente con víctimas, victimarios, familias y otras autoridades.  Para ello, se requieren competencias como la centralidad en la víctima y las poblaciones vulnerables, el genuino interés, la escucha activa, la empatía y el respeto.</w:t>
      </w:r>
    </w:p>
    <w:p w14:paraId="1DA78B69" w14:textId="77777777" w:rsidR="003C54FB" w:rsidRPr="003C54FB" w:rsidRDefault="003C54FB" w:rsidP="003C54FB">
      <w:pPr>
        <w:spacing w:line="480" w:lineRule="auto"/>
        <w:ind w:firstLine="720"/>
        <w:jc w:val="center"/>
        <w:rPr>
          <w:rFonts w:ascii="Times New Roman" w:hAnsi="Times New Roman" w:cs="Times New Roman"/>
          <w:b/>
          <w:bCs/>
          <w:sz w:val="24"/>
          <w:szCs w:val="24"/>
        </w:rPr>
      </w:pPr>
      <w:r w:rsidRPr="003C54FB">
        <w:rPr>
          <w:rFonts w:ascii="Times New Roman" w:hAnsi="Times New Roman" w:cs="Times New Roman"/>
          <w:b/>
          <w:bCs/>
          <w:sz w:val="24"/>
          <w:szCs w:val="24"/>
        </w:rPr>
        <w:t>Conclusiones</w:t>
      </w:r>
    </w:p>
    <w:p w14:paraId="3F9C0D31" w14:textId="4886CE68"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 xml:space="preserve">Por medio de la revisión teórica realizada, se puede identificar la importancia de la Justicia Terapéutica como </w:t>
      </w:r>
      <w:r>
        <w:rPr>
          <w:rFonts w:ascii="Times New Roman" w:hAnsi="Times New Roman" w:cs="Times New Roman"/>
          <w:sz w:val="24"/>
          <w:szCs w:val="24"/>
        </w:rPr>
        <w:t>enfoque</w:t>
      </w:r>
      <w:r w:rsidRPr="003C54FB">
        <w:rPr>
          <w:rFonts w:ascii="Times New Roman" w:hAnsi="Times New Roman" w:cs="Times New Roman"/>
          <w:sz w:val="24"/>
          <w:szCs w:val="24"/>
        </w:rPr>
        <w:t xml:space="preserve"> de intervención con el fin de buscar el bienestar emocional y psicológico de los intervinientes en la audiencia por violencia intrafamiliar, entendiendo el alcance de las emociones inherentes al ser humano y la influencia en sus decisiones y comportamientos.</w:t>
      </w:r>
    </w:p>
    <w:p w14:paraId="60B2E6AB" w14:textId="77777777"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El estudio de la violencia intrafamiliar motiva la exploración de la justicia terapéutica, integrando las perspectivas del derecho y la psicología para priorizar el bienestar emocional y psicológico de quienes participan en el proceso legal, mejorando así su salud y calidad de vida.</w:t>
      </w:r>
    </w:p>
    <w:p w14:paraId="4A480E1B" w14:textId="77777777"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Las emociones desempeñan un papel crucial en las decisiones y conductas de quienes participan en procesos de violencia intrafamiliar.  Comprender su influencia es fundamental para analizar la dinámica del conflicto y diseñar intervenciones legales y emocionales más efectivas, facilitando así acuerdos comprensibles y viables para todas las partes.</w:t>
      </w:r>
    </w:p>
    <w:p w14:paraId="4951EF6F" w14:textId="57C3CC37"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La justicia terapéutica en el ámbito de las Comisarias de Familia puede implementarse por cuanto cada etapa del procedimiento contribuye a: la resignificación de la violencia sufrida, identificación de redes de apoyo y reconocimiento de fortalezas y debilidades de los usuarios para afrontar las decisiones sobre su convivencia y el rol como padre o pareja.</w:t>
      </w:r>
    </w:p>
    <w:p w14:paraId="675B560E" w14:textId="72064980"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lastRenderedPageBreak/>
        <w:t xml:space="preserve">Estudios revisados sobre la violencia intrafamiliar en Colombia, muestran que mujeres, niños, niñas y adolescentes son los principales afectados, sufriendo daños físicos y psicológicos. Entre los factores de riesgo identificados se encuentran el alcoholismo, la drogadicción, la ansiedad, la depresión y la conducta agresiva, </w:t>
      </w:r>
      <w:r w:rsidR="00C94991" w:rsidRPr="003C54FB">
        <w:rPr>
          <w:rFonts w:ascii="Times New Roman" w:hAnsi="Times New Roman" w:cs="Times New Roman"/>
          <w:sz w:val="24"/>
          <w:szCs w:val="24"/>
        </w:rPr>
        <w:t>convirtiendo</w:t>
      </w:r>
      <w:r w:rsidRPr="003C54FB">
        <w:rPr>
          <w:rFonts w:ascii="Times New Roman" w:hAnsi="Times New Roman" w:cs="Times New Roman"/>
          <w:sz w:val="24"/>
          <w:szCs w:val="24"/>
        </w:rPr>
        <w:t xml:space="preserve"> este problema en una grave cuestión de salud pública.</w:t>
      </w:r>
    </w:p>
    <w:p w14:paraId="36014408" w14:textId="3A00437F"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La</w:t>
      </w:r>
      <w:r w:rsidR="00985A47">
        <w:rPr>
          <w:rFonts w:ascii="Times New Roman" w:hAnsi="Times New Roman" w:cs="Times New Roman"/>
          <w:sz w:val="24"/>
          <w:szCs w:val="24"/>
        </w:rPr>
        <w:t>s leyes</w:t>
      </w:r>
      <w:r w:rsidRPr="003C54FB">
        <w:rPr>
          <w:rFonts w:ascii="Times New Roman" w:hAnsi="Times New Roman" w:cs="Times New Roman"/>
          <w:sz w:val="24"/>
          <w:szCs w:val="24"/>
        </w:rPr>
        <w:t xml:space="preserve"> colombiana</w:t>
      </w:r>
      <w:r w:rsidR="00985A47">
        <w:rPr>
          <w:rFonts w:ascii="Times New Roman" w:hAnsi="Times New Roman" w:cs="Times New Roman"/>
          <w:sz w:val="24"/>
          <w:szCs w:val="24"/>
        </w:rPr>
        <w:t>s</w:t>
      </w:r>
      <w:r w:rsidRPr="003C54FB">
        <w:rPr>
          <w:rFonts w:ascii="Times New Roman" w:hAnsi="Times New Roman" w:cs="Times New Roman"/>
          <w:sz w:val="24"/>
          <w:szCs w:val="24"/>
        </w:rPr>
        <w:t xml:space="preserve"> re</w:t>
      </w:r>
      <w:r w:rsidR="00985A47">
        <w:rPr>
          <w:rFonts w:ascii="Times New Roman" w:hAnsi="Times New Roman" w:cs="Times New Roman"/>
          <w:sz w:val="24"/>
          <w:szCs w:val="24"/>
        </w:rPr>
        <w:t>flejan</w:t>
      </w:r>
      <w:r w:rsidRPr="003C54FB">
        <w:rPr>
          <w:rFonts w:ascii="Times New Roman" w:hAnsi="Times New Roman" w:cs="Times New Roman"/>
          <w:sz w:val="24"/>
          <w:szCs w:val="24"/>
        </w:rPr>
        <w:t xml:space="preserve"> el trabajo de los legisladores por abordar el fenómeno de violencia intrafamiliar y buscar mecanismos para prevenir, proteger y sancionar. Uno de ellos es el procedimiento administrativo en las Comisarías de Familia</w:t>
      </w:r>
      <w:r w:rsidR="00985A47">
        <w:rPr>
          <w:rFonts w:ascii="Times New Roman" w:hAnsi="Times New Roman" w:cs="Times New Roman"/>
          <w:sz w:val="24"/>
          <w:szCs w:val="24"/>
        </w:rPr>
        <w:t>,</w:t>
      </w:r>
      <w:r w:rsidRPr="003C54FB">
        <w:rPr>
          <w:rFonts w:ascii="Times New Roman" w:hAnsi="Times New Roman" w:cs="Times New Roman"/>
          <w:sz w:val="24"/>
          <w:szCs w:val="24"/>
        </w:rPr>
        <w:t xml:space="preserve"> sin embargo, las barreras culturales, políticas, económicas y sociales dificultan su efectividad. Por lo cual, el verdadero desafío radica en trascender el marco legal y abordar la problemática integralmente, a través de la prevención, la educación, la sensibilización, la atención a víctimas y la sanción efectiva, siempre priorizando el bienestar, </w:t>
      </w:r>
      <w:r w:rsidR="00C94991">
        <w:rPr>
          <w:rFonts w:ascii="Times New Roman" w:hAnsi="Times New Roman" w:cs="Times New Roman"/>
          <w:sz w:val="24"/>
          <w:szCs w:val="24"/>
        </w:rPr>
        <w:t xml:space="preserve">y </w:t>
      </w:r>
      <w:r w:rsidRPr="003C54FB">
        <w:rPr>
          <w:rFonts w:ascii="Times New Roman" w:hAnsi="Times New Roman" w:cs="Times New Roman"/>
          <w:sz w:val="24"/>
          <w:szCs w:val="24"/>
        </w:rPr>
        <w:t xml:space="preserve">la salud </w:t>
      </w:r>
      <w:r w:rsidR="00C94991">
        <w:rPr>
          <w:rFonts w:ascii="Times New Roman" w:hAnsi="Times New Roman" w:cs="Times New Roman"/>
          <w:sz w:val="24"/>
          <w:szCs w:val="24"/>
        </w:rPr>
        <w:t>mental</w:t>
      </w:r>
      <w:r w:rsidRPr="003C54FB">
        <w:rPr>
          <w:rFonts w:ascii="Times New Roman" w:hAnsi="Times New Roman" w:cs="Times New Roman"/>
          <w:sz w:val="24"/>
          <w:szCs w:val="24"/>
        </w:rPr>
        <w:t xml:space="preserve"> de todas las personas involucradas.</w:t>
      </w:r>
    </w:p>
    <w:p w14:paraId="699BC4CA" w14:textId="5BFD1B94" w:rsidR="003C54FB" w:rsidRP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Se considera prudente revisar el procedimiento de la valoración psicológica en casos de violencia intrafamiliar desde un enfoque forense acorde a los avances teóricos e investigativos sobre violencia, haciendo uso de herramientas de evaluación como la credibilidad del testimonio, pruebas psicométricas</w:t>
      </w:r>
      <w:r w:rsidR="00C94991">
        <w:rPr>
          <w:rFonts w:ascii="Times New Roman" w:hAnsi="Times New Roman" w:cs="Times New Roman"/>
          <w:sz w:val="24"/>
          <w:szCs w:val="24"/>
        </w:rPr>
        <w:t>, programas de intervención</w:t>
      </w:r>
      <w:r w:rsidRPr="003C54FB">
        <w:rPr>
          <w:rFonts w:ascii="Times New Roman" w:hAnsi="Times New Roman" w:cs="Times New Roman"/>
          <w:sz w:val="24"/>
          <w:szCs w:val="24"/>
        </w:rPr>
        <w:t xml:space="preserve"> para considerar factores de riesgo y protección, así como </w:t>
      </w:r>
      <w:r w:rsidR="00C94991">
        <w:rPr>
          <w:rFonts w:ascii="Times New Roman" w:hAnsi="Times New Roman" w:cs="Times New Roman"/>
          <w:sz w:val="24"/>
          <w:szCs w:val="24"/>
        </w:rPr>
        <w:t xml:space="preserve">la participación activa </w:t>
      </w:r>
      <w:r w:rsidRPr="003C54FB">
        <w:rPr>
          <w:rFonts w:ascii="Times New Roman" w:hAnsi="Times New Roman" w:cs="Times New Roman"/>
          <w:sz w:val="24"/>
          <w:szCs w:val="24"/>
        </w:rPr>
        <w:t>que dinamicen el interés por la salud mental de los que intervienen dentro del proceso legal y de esta forma se logre mitigar la violencia intrafamiliar.</w:t>
      </w:r>
    </w:p>
    <w:p w14:paraId="1FFEEFBD" w14:textId="77865920" w:rsidR="003C54FB" w:rsidRDefault="003C54FB" w:rsidP="003C54FB">
      <w:pPr>
        <w:spacing w:line="480" w:lineRule="auto"/>
        <w:ind w:firstLine="720"/>
        <w:rPr>
          <w:rFonts w:ascii="Times New Roman" w:hAnsi="Times New Roman" w:cs="Times New Roman"/>
          <w:sz w:val="24"/>
          <w:szCs w:val="24"/>
        </w:rPr>
      </w:pPr>
      <w:r w:rsidRPr="003C54FB">
        <w:rPr>
          <w:rFonts w:ascii="Times New Roman" w:hAnsi="Times New Roman" w:cs="Times New Roman"/>
          <w:sz w:val="24"/>
          <w:szCs w:val="24"/>
        </w:rPr>
        <w:t xml:space="preserve">En audiencias por violencia intrafamiliar, el psicólogo </w:t>
      </w:r>
      <w:r w:rsidR="00C94991">
        <w:rPr>
          <w:rFonts w:ascii="Times New Roman" w:hAnsi="Times New Roman" w:cs="Times New Roman"/>
          <w:sz w:val="24"/>
          <w:szCs w:val="24"/>
        </w:rPr>
        <w:t>jurídico</w:t>
      </w:r>
      <w:r w:rsidRPr="003C54FB">
        <w:rPr>
          <w:rFonts w:ascii="Times New Roman" w:hAnsi="Times New Roman" w:cs="Times New Roman"/>
          <w:sz w:val="24"/>
          <w:szCs w:val="24"/>
        </w:rPr>
        <w:t xml:space="preserve"> desempeña un papel determinante. Su intervención es clave para manejar las emociones de los intervinientes y brindar un apoyo </w:t>
      </w:r>
      <w:r w:rsidR="00C94991">
        <w:rPr>
          <w:rFonts w:ascii="Times New Roman" w:hAnsi="Times New Roman" w:cs="Times New Roman"/>
          <w:sz w:val="24"/>
          <w:szCs w:val="24"/>
        </w:rPr>
        <w:t xml:space="preserve">y acompañamiento </w:t>
      </w:r>
      <w:r w:rsidRPr="003C54FB">
        <w:rPr>
          <w:rFonts w:ascii="Times New Roman" w:hAnsi="Times New Roman" w:cs="Times New Roman"/>
          <w:sz w:val="24"/>
          <w:szCs w:val="24"/>
        </w:rPr>
        <w:t xml:space="preserve">adecuado, contribuyendo así a un clima tranquilo y resiliente durante el proceso judicial. Esta labor destaca la importancia del equipo interdisciplinario del </w:t>
      </w:r>
      <w:r w:rsidRPr="003C54FB">
        <w:rPr>
          <w:rFonts w:ascii="Times New Roman" w:hAnsi="Times New Roman" w:cs="Times New Roman"/>
          <w:sz w:val="24"/>
          <w:szCs w:val="24"/>
        </w:rPr>
        <w:lastRenderedPageBreak/>
        <w:t>sistema judicial en la gestión de las complejidades emocionales de estos casos, actuando además como agente de prevención, educación y apoyo social.</w:t>
      </w:r>
    </w:p>
    <w:p w14:paraId="721ACF2C" w14:textId="422ADC95" w:rsidR="00C94991" w:rsidRDefault="00647B12" w:rsidP="003C54FB">
      <w:pPr>
        <w:spacing w:line="480" w:lineRule="auto"/>
        <w:ind w:firstLine="720"/>
        <w:rPr>
          <w:rFonts w:ascii="Times New Roman" w:hAnsi="Times New Roman" w:cs="Times New Roman"/>
          <w:sz w:val="24"/>
          <w:szCs w:val="24"/>
        </w:rPr>
      </w:pPr>
      <w:r>
        <w:rPr>
          <w:rFonts w:ascii="Times New Roman" w:hAnsi="Times New Roman" w:cs="Times New Roman"/>
          <w:sz w:val="24"/>
          <w:szCs w:val="24"/>
        </w:rPr>
        <w:t>A</w:t>
      </w:r>
      <w:r w:rsidRPr="00647B12">
        <w:rPr>
          <w:rFonts w:ascii="Times New Roman" w:hAnsi="Times New Roman" w:cs="Times New Roman"/>
          <w:sz w:val="24"/>
          <w:szCs w:val="24"/>
        </w:rPr>
        <w:t>nalizar la relación entre las emociones de los intervinientes en casos de violencia intrafamiliar y su influencia en la audiencia desde el enfoque de Justicia Terapéutica implica comprender cómo las emociones de quienes participan en el proceso, ya sean víctimas, agresores o profesionales de la justicia, afectan la dinámica del caso</w:t>
      </w:r>
      <w:r>
        <w:rPr>
          <w:rFonts w:ascii="Times New Roman" w:hAnsi="Times New Roman" w:cs="Times New Roman"/>
          <w:sz w:val="24"/>
          <w:szCs w:val="24"/>
        </w:rPr>
        <w:t xml:space="preserve">, </w:t>
      </w:r>
      <w:r w:rsidRPr="00647B12">
        <w:rPr>
          <w:rFonts w:ascii="Times New Roman" w:hAnsi="Times New Roman" w:cs="Times New Roman"/>
          <w:sz w:val="24"/>
          <w:szCs w:val="24"/>
        </w:rPr>
        <w:t xml:space="preserve">la percepción </w:t>
      </w:r>
      <w:r>
        <w:rPr>
          <w:rFonts w:ascii="Times New Roman" w:hAnsi="Times New Roman" w:cs="Times New Roman"/>
          <w:sz w:val="24"/>
          <w:szCs w:val="24"/>
        </w:rPr>
        <w:t xml:space="preserve">y el impacto psicoemocional del mismo, de esta manera se recomienda promover un enfoque humanizado, comprensivo y empático, permitiendo así procesos </w:t>
      </w:r>
      <w:proofErr w:type="spellStart"/>
      <w:r>
        <w:rPr>
          <w:rFonts w:ascii="Times New Roman" w:hAnsi="Times New Roman" w:cs="Times New Roman"/>
          <w:sz w:val="24"/>
          <w:szCs w:val="24"/>
        </w:rPr>
        <w:t>mas</w:t>
      </w:r>
      <w:proofErr w:type="spellEnd"/>
      <w:r>
        <w:rPr>
          <w:rFonts w:ascii="Times New Roman" w:hAnsi="Times New Roman" w:cs="Times New Roman"/>
          <w:sz w:val="24"/>
          <w:szCs w:val="24"/>
        </w:rPr>
        <w:t xml:space="preserve"> efectivos y sanadores.</w:t>
      </w:r>
    </w:p>
    <w:p w14:paraId="2B03D4CF" w14:textId="4D07D52D" w:rsidR="00C94991" w:rsidRDefault="00C94991" w:rsidP="003C54FB">
      <w:pPr>
        <w:spacing w:line="480" w:lineRule="auto"/>
        <w:ind w:firstLine="720"/>
        <w:rPr>
          <w:rFonts w:ascii="Times New Roman" w:hAnsi="Times New Roman" w:cs="Times New Roman"/>
          <w:sz w:val="24"/>
          <w:szCs w:val="24"/>
        </w:rPr>
      </w:pPr>
    </w:p>
    <w:p w14:paraId="408A003B" w14:textId="0937ABF5" w:rsidR="00C94991" w:rsidRDefault="00C94991" w:rsidP="003C54FB">
      <w:pPr>
        <w:spacing w:line="480" w:lineRule="auto"/>
        <w:ind w:firstLine="720"/>
        <w:rPr>
          <w:rFonts w:ascii="Times New Roman" w:hAnsi="Times New Roman" w:cs="Times New Roman"/>
          <w:sz w:val="24"/>
          <w:szCs w:val="24"/>
        </w:rPr>
      </w:pPr>
    </w:p>
    <w:p w14:paraId="47202F2D" w14:textId="372A2904" w:rsidR="00C94991" w:rsidRDefault="00C94991" w:rsidP="00985A47">
      <w:pPr>
        <w:spacing w:line="480" w:lineRule="auto"/>
        <w:rPr>
          <w:rFonts w:ascii="Times New Roman" w:hAnsi="Times New Roman" w:cs="Times New Roman"/>
          <w:sz w:val="24"/>
          <w:szCs w:val="24"/>
        </w:rPr>
      </w:pPr>
    </w:p>
    <w:p w14:paraId="67745C09" w14:textId="75FBC073" w:rsidR="00985A47" w:rsidRDefault="00985A47" w:rsidP="00985A47">
      <w:pPr>
        <w:spacing w:line="480" w:lineRule="auto"/>
        <w:rPr>
          <w:rFonts w:ascii="Times New Roman" w:hAnsi="Times New Roman" w:cs="Times New Roman"/>
          <w:sz w:val="24"/>
          <w:szCs w:val="24"/>
        </w:rPr>
      </w:pPr>
    </w:p>
    <w:p w14:paraId="5612ED4B" w14:textId="2F263748" w:rsidR="00985A47" w:rsidRDefault="00985A47" w:rsidP="00985A47">
      <w:pPr>
        <w:spacing w:line="480" w:lineRule="auto"/>
        <w:rPr>
          <w:rFonts w:ascii="Times New Roman" w:hAnsi="Times New Roman" w:cs="Times New Roman"/>
          <w:sz w:val="24"/>
          <w:szCs w:val="24"/>
        </w:rPr>
      </w:pPr>
    </w:p>
    <w:p w14:paraId="6823813F" w14:textId="352241A7" w:rsidR="00985A47" w:rsidRDefault="00985A47" w:rsidP="00985A47">
      <w:pPr>
        <w:spacing w:line="480" w:lineRule="auto"/>
        <w:rPr>
          <w:rFonts w:ascii="Times New Roman" w:hAnsi="Times New Roman" w:cs="Times New Roman"/>
          <w:sz w:val="24"/>
          <w:szCs w:val="24"/>
        </w:rPr>
      </w:pPr>
    </w:p>
    <w:p w14:paraId="7E3D6F7E" w14:textId="15EB2E16" w:rsidR="00985A47" w:rsidRDefault="00985A47" w:rsidP="00985A47">
      <w:pPr>
        <w:spacing w:line="480" w:lineRule="auto"/>
        <w:rPr>
          <w:rFonts w:ascii="Times New Roman" w:hAnsi="Times New Roman" w:cs="Times New Roman"/>
          <w:sz w:val="24"/>
          <w:szCs w:val="24"/>
        </w:rPr>
      </w:pPr>
    </w:p>
    <w:p w14:paraId="7A53B876" w14:textId="78D88917" w:rsidR="00985A47" w:rsidRDefault="00985A47" w:rsidP="00985A47">
      <w:pPr>
        <w:spacing w:line="480" w:lineRule="auto"/>
        <w:rPr>
          <w:rFonts w:ascii="Times New Roman" w:hAnsi="Times New Roman" w:cs="Times New Roman"/>
          <w:sz w:val="24"/>
          <w:szCs w:val="24"/>
        </w:rPr>
      </w:pPr>
    </w:p>
    <w:p w14:paraId="26102BDF" w14:textId="556FCEDF" w:rsidR="00985A47" w:rsidRDefault="00985A47" w:rsidP="00985A47">
      <w:pPr>
        <w:spacing w:line="480" w:lineRule="auto"/>
        <w:rPr>
          <w:rFonts w:ascii="Times New Roman" w:hAnsi="Times New Roman" w:cs="Times New Roman"/>
          <w:sz w:val="24"/>
          <w:szCs w:val="24"/>
        </w:rPr>
      </w:pPr>
    </w:p>
    <w:p w14:paraId="513DC3F6" w14:textId="3D447441" w:rsidR="00985A47" w:rsidRDefault="00985A47" w:rsidP="00985A47">
      <w:pPr>
        <w:spacing w:line="480" w:lineRule="auto"/>
        <w:rPr>
          <w:rFonts w:ascii="Times New Roman" w:hAnsi="Times New Roman" w:cs="Times New Roman"/>
          <w:sz w:val="24"/>
          <w:szCs w:val="24"/>
        </w:rPr>
      </w:pPr>
    </w:p>
    <w:p w14:paraId="062CC8CB" w14:textId="77777777" w:rsidR="008A40B2" w:rsidRDefault="008A40B2" w:rsidP="00985A47">
      <w:pPr>
        <w:spacing w:line="480" w:lineRule="auto"/>
        <w:rPr>
          <w:rFonts w:ascii="Times New Roman" w:hAnsi="Times New Roman" w:cs="Times New Roman"/>
          <w:sz w:val="24"/>
          <w:szCs w:val="24"/>
        </w:rPr>
      </w:pPr>
    </w:p>
    <w:p w14:paraId="405F4C34" w14:textId="22FB2B4D" w:rsidR="00C94991" w:rsidRDefault="00C94991" w:rsidP="003C54FB">
      <w:pPr>
        <w:spacing w:line="480" w:lineRule="auto"/>
        <w:ind w:firstLine="720"/>
        <w:rPr>
          <w:rFonts w:ascii="Times New Roman" w:hAnsi="Times New Roman" w:cs="Times New Roman"/>
          <w:sz w:val="24"/>
          <w:szCs w:val="24"/>
        </w:rPr>
      </w:pPr>
    </w:p>
    <w:p w14:paraId="1AEBA1C8" w14:textId="46457A14" w:rsidR="00C94991" w:rsidRPr="00C94991" w:rsidRDefault="00C94991" w:rsidP="00C94991">
      <w:pPr>
        <w:spacing w:line="480" w:lineRule="auto"/>
        <w:ind w:firstLine="720"/>
        <w:jc w:val="center"/>
        <w:rPr>
          <w:rFonts w:ascii="Times New Roman" w:hAnsi="Times New Roman" w:cs="Times New Roman"/>
          <w:b/>
          <w:bCs/>
          <w:sz w:val="24"/>
          <w:szCs w:val="24"/>
        </w:rPr>
      </w:pPr>
      <w:r w:rsidRPr="00C94991">
        <w:rPr>
          <w:rFonts w:ascii="Times New Roman" w:hAnsi="Times New Roman" w:cs="Times New Roman"/>
          <w:b/>
          <w:bCs/>
          <w:sz w:val="24"/>
          <w:szCs w:val="24"/>
        </w:rPr>
        <w:lastRenderedPageBreak/>
        <w:t>Referencias</w:t>
      </w:r>
    </w:p>
    <w:p w14:paraId="0BA0496C" w14:textId="7BBBB111" w:rsidR="00C94991" w:rsidRPr="002E172D" w:rsidRDefault="00C94991" w:rsidP="002E172D">
      <w:pPr>
        <w:spacing w:line="480" w:lineRule="auto"/>
        <w:ind w:left="720" w:hanging="720"/>
        <w:rPr>
          <w:rFonts w:ascii="Times New Roman" w:hAnsi="Times New Roman" w:cs="Times New Roman"/>
          <w:i/>
          <w:iCs/>
          <w:sz w:val="24"/>
          <w:szCs w:val="24"/>
        </w:rPr>
      </w:pPr>
      <w:r w:rsidRPr="00C94991">
        <w:rPr>
          <w:rFonts w:ascii="Times New Roman" w:hAnsi="Times New Roman" w:cs="Times New Roman"/>
          <w:sz w:val="24"/>
          <w:szCs w:val="24"/>
        </w:rPr>
        <w:t xml:space="preserve">Bravo, J., -1. (2022). Factores psicosociales que inciden en la permanencia de mujeres en relaciones </w:t>
      </w:r>
      <w:r w:rsidR="001241F8" w:rsidRPr="00C94991">
        <w:rPr>
          <w:rFonts w:ascii="Times New Roman" w:hAnsi="Times New Roman" w:cs="Times New Roman"/>
          <w:sz w:val="24"/>
          <w:szCs w:val="24"/>
        </w:rPr>
        <w:t>sentimentales con violencia doméstica</w:t>
      </w:r>
      <w:r w:rsidRPr="002E172D">
        <w:rPr>
          <w:rFonts w:ascii="Times New Roman" w:hAnsi="Times New Roman" w:cs="Times New Roman"/>
          <w:i/>
          <w:iCs/>
          <w:sz w:val="24"/>
          <w:szCs w:val="24"/>
        </w:rPr>
        <w:t xml:space="preserve">.  </w:t>
      </w:r>
      <w:r w:rsidR="001241F8" w:rsidRPr="002E172D">
        <w:rPr>
          <w:rFonts w:ascii="Times New Roman" w:hAnsi="Times New Roman" w:cs="Times New Roman"/>
          <w:i/>
          <w:iCs/>
          <w:sz w:val="24"/>
          <w:szCs w:val="24"/>
        </w:rPr>
        <w:t>Revista Estudios Psicológicos, 2</w:t>
      </w:r>
      <w:r w:rsidRPr="002E172D">
        <w:rPr>
          <w:rFonts w:ascii="Times New Roman" w:hAnsi="Times New Roman" w:cs="Times New Roman"/>
          <w:i/>
          <w:iCs/>
          <w:sz w:val="24"/>
          <w:szCs w:val="24"/>
        </w:rPr>
        <w:t>(2</w:t>
      </w:r>
      <w:r w:rsidR="001241F8" w:rsidRPr="002E172D">
        <w:rPr>
          <w:rFonts w:ascii="Times New Roman" w:hAnsi="Times New Roman" w:cs="Times New Roman"/>
          <w:i/>
          <w:iCs/>
          <w:sz w:val="24"/>
          <w:szCs w:val="24"/>
        </w:rPr>
        <w:t>), 116</w:t>
      </w:r>
      <w:r w:rsidRPr="002E172D">
        <w:rPr>
          <w:rFonts w:ascii="Times New Roman" w:hAnsi="Times New Roman" w:cs="Times New Roman"/>
          <w:i/>
          <w:iCs/>
          <w:sz w:val="24"/>
          <w:szCs w:val="24"/>
        </w:rPr>
        <w:t xml:space="preserve">-127. </w:t>
      </w:r>
      <w:hyperlink r:id="rId6" w:history="1">
        <w:r w:rsidR="002E172D" w:rsidRPr="008317A8">
          <w:rPr>
            <w:rStyle w:val="Hipervnculo"/>
            <w:rFonts w:ascii="Times New Roman" w:hAnsi="Times New Roman" w:cs="Times New Roman"/>
            <w:sz w:val="24"/>
            <w:szCs w:val="24"/>
          </w:rPr>
          <w:t>https://estudiospsicologicos.com/index.php/rep/article/view/51/106</w:t>
        </w:r>
      </w:hyperlink>
      <w:r w:rsidR="001241F8">
        <w:rPr>
          <w:rFonts w:ascii="Times New Roman" w:hAnsi="Times New Roman" w:cs="Times New Roman"/>
          <w:sz w:val="24"/>
          <w:szCs w:val="24"/>
        </w:rPr>
        <w:t xml:space="preserve"> </w:t>
      </w:r>
    </w:p>
    <w:p w14:paraId="1F2D664A" w14:textId="4F49834E" w:rsidR="00C94991" w:rsidRPr="00C94991" w:rsidRDefault="00C94991" w:rsidP="00C94991">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t xml:space="preserve">Bueno Ochoa, L. (2023). UNA REVISIÓN BIBLIOGRÁFICA Y JURISPRUDENCIAL DE LA JUSTICIA TERAPÉUTICA COMO NUEVO PARADIGMA IUSPSICOLÓGICO. </w:t>
      </w:r>
      <w:r w:rsidRPr="002E172D">
        <w:rPr>
          <w:rFonts w:ascii="Times New Roman" w:hAnsi="Times New Roman" w:cs="Times New Roman"/>
          <w:i/>
          <w:iCs/>
          <w:sz w:val="24"/>
          <w:szCs w:val="24"/>
        </w:rPr>
        <w:t>Anales De La Cátedra Francisco Suárez, 57, 145–169.</w:t>
      </w:r>
      <w:r w:rsidR="002E172D">
        <w:rPr>
          <w:rFonts w:ascii="Times New Roman" w:hAnsi="Times New Roman" w:cs="Times New Roman"/>
          <w:sz w:val="24"/>
          <w:szCs w:val="24"/>
        </w:rPr>
        <w:t xml:space="preserve"> </w:t>
      </w:r>
      <w:hyperlink r:id="rId7" w:history="1">
        <w:r w:rsidR="002E172D" w:rsidRPr="008317A8">
          <w:rPr>
            <w:rStyle w:val="Hipervnculo"/>
            <w:rFonts w:ascii="Times New Roman" w:hAnsi="Times New Roman" w:cs="Times New Roman"/>
            <w:sz w:val="24"/>
            <w:szCs w:val="24"/>
          </w:rPr>
          <w:t>https://doi.org/10.30827/acfs.v57i.23978</w:t>
        </w:r>
      </w:hyperlink>
      <w:r w:rsidR="001241F8">
        <w:rPr>
          <w:rFonts w:ascii="Times New Roman" w:hAnsi="Times New Roman" w:cs="Times New Roman"/>
          <w:sz w:val="24"/>
          <w:szCs w:val="24"/>
        </w:rPr>
        <w:t xml:space="preserve"> </w:t>
      </w:r>
    </w:p>
    <w:p w14:paraId="2BB9E53F" w14:textId="4EA5E8E5" w:rsidR="00C94991" w:rsidRDefault="00C94991" w:rsidP="00C94991">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t xml:space="preserve">Camps, V. (2012). </w:t>
      </w:r>
      <w:r w:rsidRPr="002E172D">
        <w:rPr>
          <w:rFonts w:ascii="Times New Roman" w:hAnsi="Times New Roman" w:cs="Times New Roman"/>
          <w:i/>
          <w:iCs/>
          <w:sz w:val="24"/>
          <w:szCs w:val="24"/>
        </w:rPr>
        <w:t>El gobierno de las emociones.</w:t>
      </w:r>
      <w:r w:rsidRPr="00C94991">
        <w:rPr>
          <w:rFonts w:ascii="Times New Roman" w:hAnsi="Times New Roman" w:cs="Times New Roman"/>
          <w:sz w:val="24"/>
          <w:szCs w:val="24"/>
        </w:rPr>
        <w:t xml:space="preserve"> Herder Editorial.</w:t>
      </w:r>
      <w:r w:rsidR="002E172D">
        <w:rPr>
          <w:rFonts w:ascii="Times New Roman" w:hAnsi="Times New Roman" w:cs="Times New Roman"/>
          <w:sz w:val="24"/>
          <w:szCs w:val="24"/>
        </w:rPr>
        <w:t xml:space="preserve"> </w:t>
      </w:r>
      <w:hyperlink r:id="rId8" w:anchor="v=onepage&amp;q=el%20gobierno%20de%20las%20emociones&amp;f=false" w:history="1">
        <w:r w:rsidR="002E172D" w:rsidRPr="008317A8">
          <w:rPr>
            <w:rStyle w:val="Hipervnculo"/>
            <w:rFonts w:ascii="Times New Roman" w:hAnsi="Times New Roman" w:cs="Times New Roman"/>
            <w:sz w:val="24"/>
            <w:szCs w:val="24"/>
          </w:rPr>
          <w:t>https://books.google.es/books?hl=es&amp;lr=&amp;id=gAmIDwAAQBAJ&amp;oi=fnd&amp;pg=PT4&amp;dq=el+gobierno+de+las+emociones&amp;ots=bhtO5eb3m7&amp;sig=Kz-YyyxZL1MF8yOxIgZnuK9IZQg#v=onepage&amp;q=el%20gobierno%20de%20las%20emociones&amp;f=false</w:t>
        </w:r>
      </w:hyperlink>
      <w:r w:rsidR="001241F8">
        <w:rPr>
          <w:rFonts w:ascii="Times New Roman" w:hAnsi="Times New Roman" w:cs="Times New Roman"/>
          <w:sz w:val="24"/>
          <w:szCs w:val="24"/>
        </w:rPr>
        <w:t xml:space="preserve"> </w:t>
      </w:r>
    </w:p>
    <w:p w14:paraId="4DE4811E" w14:textId="29275532" w:rsidR="00D55D22" w:rsidRPr="00C94991" w:rsidRDefault="00D55D22" w:rsidP="00C94991">
      <w:pPr>
        <w:spacing w:line="480" w:lineRule="auto"/>
        <w:ind w:left="720" w:hanging="720"/>
        <w:rPr>
          <w:rFonts w:ascii="Times New Roman" w:hAnsi="Times New Roman" w:cs="Times New Roman"/>
          <w:sz w:val="24"/>
          <w:szCs w:val="24"/>
        </w:rPr>
      </w:pPr>
      <w:r w:rsidRPr="00D55D22">
        <w:rPr>
          <w:rFonts w:ascii="Times New Roman" w:hAnsi="Times New Roman" w:cs="Times New Roman"/>
          <w:sz w:val="24"/>
          <w:szCs w:val="24"/>
        </w:rPr>
        <w:t>Cano</w:t>
      </w:r>
      <w:r>
        <w:rPr>
          <w:rFonts w:ascii="Times New Roman" w:hAnsi="Times New Roman" w:cs="Times New Roman"/>
          <w:sz w:val="24"/>
          <w:szCs w:val="24"/>
        </w:rPr>
        <w:t xml:space="preserve">, </w:t>
      </w:r>
      <w:r w:rsidRPr="00D55D22">
        <w:rPr>
          <w:rFonts w:ascii="Times New Roman" w:hAnsi="Times New Roman" w:cs="Times New Roman"/>
          <w:sz w:val="24"/>
          <w:szCs w:val="24"/>
        </w:rPr>
        <w:t xml:space="preserve">Vindel, A. (1995). </w:t>
      </w:r>
      <w:r w:rsidRPr="00D55D22">
        <w:rPr>
          <w:rFonts w:ascii="Times New Roman" w:hAnsi="Times New Roman" w:cs="Times New Roman"/>
          <w:i/>
          <w:iCs/>
          <w:sz w:val="24"/>
          <w:szCs w:val="24"/>
        </w:rPr>
        <w:t>Orientaciones en el estudio de la emoción</w:t>
      </w:r>
      <w:r w:rsidRPr="00D55D22">
        <w:rPr>
          <w:rFonts w:ascii="Times New Roman" w:hAnsi="Times New Roman" w:cs="Times New Roman"/>
          <w:sz w:val="24"/>
          <w:szCs w:val="24"/>
        </w:rPr>
        <w:t>. Editorial Centro de Estudios Ramón Areces.</w:t>
      </w:r>
      <w:r w:rsidRPr="00D55D22">
        <w:t xml:space="preserve"> </w:t>
      </w:r>
      <w:hyperlink r:id="rId9" w:history="1">
        <w:r w:rsidRPr="001F4BF9">
          <w:rPr>
            <w:rStyle w:val="Hipervnculo"/>
            <w:rFonts w:ascii="Times New Roman" w:hAnsi="Times New Roman" w:cs="Times New Roman"/>
            <w:sz w:val="24"/>
            <w:szCs w:val="24"/>
          </w:rPr>
          <w:t>https://www.researchgate.net/publication/257941649_Orientaciones_en_el_estudio_de_la_emocion</w:t>
        </w:r>
      </w:hyperlink>
      <w:r>
        <w:rPr>
          <w:rFonts w:ascii="Times New Roman" w:hAnsi="Times New Roman" w:cs="Times New Roman"/>
          <w:sz w:val="24"/>
          <w:szCs w:val="24"/>
        </w:rPr>
        <w:t xml:space="preserve"> </w:t>
      </w:r>
    </w:p>
    <w:p w14:paraId="159C7CDA" w14:textId="7F51FF26" w:rsidR="00C94991" w:rsidRDefault="00C94991" w:rsidP="002E172D">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t xml:space="preserve">Cantillo, I. A. P., &amp; Yáñez-Canal, J. (2020). Emociones básicas y emociones morales complejas: claves de comprensión y criterios de clasificación desde una perspectiva cognitiva. </w:t>
      </w:r>
      <w:r w:rsidRPr="002E172D">
        <w:rPr>
          <w:rFonts w:ascii="Times New Roman" w:hAnsi="Times New Roman" w:cs="Times New Roman"/>
          <w:i/>
          <w:iCs/>
          <w:sz w:val="24"/>
          <w:szCs w:val="24"/>
        </w:rPr>
        <w:t>Tesis Psicológica, 15(2), 1-33.</w:t>
      </w:r>
      <w:r w:rsidR="002E172D">
        <w:rPr>
          <w:rFonts w:ascii="Times New Roman" w:hAnsi="Times New Roman" w:cs="Times New Roman"/>
          <w:i/>
          <w:iCs/>
          <w:sz w:val="24"/>
          <w:szCs w:val="24"/>
        </w:rPr>
        <w:t xml:space="preserve"> </w:t>
      </w:r>
      <w:hyperlink r:id="rId10" w:history="1">
        <w:r w:rsidR="002E172D" w:rsidRPr="008317A8">
          <w:rPr>
            <w:rStyle w:val="Hipervnculo"/>
            <w:rFonts w:ascii="Times New Roman" w:hAnsi="Times New Roman" w:cs="Times New Roman"/>
            <w:sz w:val="24"/>
            <w:szCs w:val="24"/>
          </w:rPr>
          <w:t>https://www.redalyc.org/journal/1390/139069262012/</w:t>
        </w:r>
      </w:hyperlink>
      <w:r w:rsidR="001241F8">
        <w:rPr>
          <w:rFonts w:ascii="Times New Roman" w:hAnsi="Times New Roman" w:cs="Times New Roman"/>
          <w:sz w:val="24"/>
          <w:szCs w:val="24"/>
        </w:rPr>
        <w:t xml:space="preserve"> </w:t>
      </w:r>
      <w:r w:rsidRPr="00C94991">
        <w:rPr>
          <w:rFonts w:ascii="Times New Roman" w:hAnsi="Times New Roman" w:cs="Times New Roman"/>
          <w:sz w:val="24"/>
          <w:szCs w:val="24"/>
        </w:rPr>
        <w:t xml:space="preserve"> </w:t>
      </w:r>
    </w:p>
    <w:p w14:paraId="07B653E3" w14:textId="3E0CA064" w:rsidR="00DD1BAD" w:rsidRDefault="00DD1BAD" w:rsidP="002E172D">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Casa de las Estrategias. (2024). </w:t>
      </w:r>
      <w:r w:rsidRPr="002111B5">
        <w:rPr>
          <w:rFonts w:ascii="Times New Roman" w:hAnsi="Times New Roman" w:cs="Times New Roman"/>
          <w:i/>
          <w:iCs/>
          <w:sz w:val="24"/>
          <w:szCs w:val="24"/>
        </w:rPr>
        <w:t>Violencias en el contexto familiar.</w:t>
      </w:r>
      <w:r>
        <w:rPr>
          <w:rFonts w:ascii="Times New Roman" w:hAnsi="Times New Roman" w:cs="Times New Roman"/>
          <w:sz w:val="24"/>
          <w:szCs w:val="24"/>
        </w:rPr>
        <w:t xml:space="preserve"> </w:t>
      </w:r>
      <w:hyperlink r:id="rId11" w:history="1">
        <w:r w:rsidR="002111B5" w:rsidRPr="001F4BF9">
          <w:rPr>
            <w:rStyle w:val="Hipervnculo"/>
            <w:rFonts w:ascii="Times New Roman" w:hAnsi="Times New Roman" w:cs="Times New Roman"/>
            <w:sz w:val="24"/>
            <w:szCs w:val="24"/>
          </w:rPr>
          <w:t>https://casadelasestrategias.com/violencias-en-el-contexto-familiar/</w:t>
        </w:r>
      </w:hyperlink>
    </w:p>
    <w:p w14:paraId="0571FBF1" w14:textId="53C0111E" w:rsidR="002111B5" w:rsidRPr="002E172D" w:rsidRDefault="002111B5" w:rsidP="002E172D">
      <w:pPr>
        <w:spacing w:line="480" w:lineRule="auto"/>
        <w:ind w:left="720" w:hanging="720"/>
        <w:rPr>
          <w:rFonts w:ascii="Times New Roman" w:hAnsi="Times New Roman" w:cs="Times New Roman"/>
          <w:i/>
          <w:iCs/>
          <w:sz w:val="24"/>
          <w:szCs w:val="24"/>
        </w:rPr>
      </w:pPr>
      <w:r>
        <w:rPr>
          <w:rFonts w:ascii="Times New Roman" w:hAnsi="Times New Roman" w:cs="Times New Roman"/>
          <w:sz w:val="24"/>
          <w:szCs w:val="24"/>
        </w:rPr>
        <w:lastRenderedPageBreak/>
        <w:t xml:space="preserve">Carrasco, M.A. y González, M.J. (2006). </w:t>
      </w:r>
      <w:r w:rsidRPr="002111B5">
        <w:rPr>
          <w:rFonts w:ascii="Times New Roman" w:hAnsi="Times New Roman" w:cs="Times New Roman"/>
          <w:sz w:val="24"/>
          <w:szCs w:val="24"/>
        </w:rPr>
        <w:t>ASPECTOS CONCEPTUALES DE LA AGRESIÓN: DEFINICIÓN Y MODELOS EXPLICATIVOS</w:t>
      </w:r>
      <w:r>
        <w:rPr>
          <w:rFonts w:ascii="Times New Roman" w:hAnsi="Times New Roman" w:cs="Times New Roman"/>
          <w:sz w:val="24"/>
          <w:szCs w:val="24"/>
        </w:rPr>
        <w:t xml:space="preserve">. </w:t>
      </w:r>
      <w:r>
        <w:rPr>
          <w:rFonts w:ascii="Times New Roman" w:hAnsi="Times New Roman" w:cs="Times New Roman"/>
          <w:i/>
          <w:iCs/>
          <w:sz w:val="24"/>
          <w:szCs w:val="24"/>
        </w:rPr>
        <w:t xml:space="preserve">ACCIÓN PSICOLOGICA, vol. 4 n. 2, pp. 7-38. </w:t>
      </w:r>
    </w:p>
    <w:p w14:paraId="2F6E7E4E" w14:textId="478FF6DE" w:rsidR="00C94991" w:rsidRPr="00E6758F" w:rsidRDefault="001241F8" w:rsidP="00E6758F">
      <w:pPr>
        <w:spacing w:line="480" w:lineRule="auto"/>
        <w:ind w:left="720" w:hanging="720"/>
        <w:rPr>
          <w:rFonts w:ascii="Times New Roman" w:hAnsi="Times New Roman" w:cs="Times New Roman"/>
          <w:i/>
          <w:iCs/>
          <w:sz w:val="24"/>
          <w:szCs w:val="24"/>
        </w:rPr>
      </w:pPr>
      <w:r w:rsidRPr="00C94991">
        <w:rPr>
          <w:rFonts w:ascii="Times New Roman" w:hAnsi="Times New Roman" w:cs="Times New Roman"/>
          <w:sz w:val="24"/>
          <w:szCs w:val="24"/>
        </w:rPr>
        <w:t>Caruso, J.</w:t>
      </w:r>
      <w:r w:rsidR="00C94991" w:rsidRPr="00C94991">
        <w:rPr>
          <w:rFonts w:ascii="Times New Roman" w:hAnsi="Times New Roman" w:cs="Times New Roman"/>
          <w:sz w:val="24"/>
          <w:szCs w:val="24"/>
        </w:rPr>
        <w:t xml:space="preserve">  M.  (2020).  </w:t>
      </w:r>
      <w:r w:rsidRPr="00C94991">
        <w:rPr>
          <w:rFonts w:ascii="Times New Roman" w:hAnsi="Times New Roman" w:cs="Times New Roman"/>
          <w:sz w:val="24"/>
          <w:szCs w:val="24"/>
        </w:rPr>
        <w:t>Violencia Intrafamiliar y de Género</w:t>
      </w:r>
      <w:r w:rsidR="00E6758F">
        <w:rPr>
          <w:rFonts w:ascii="Times New Roman" w:hAnsi="Times New Roman" w:cs="Times New Roman"/>
          <w:sz w:val="24"/>
          <w:szCs w:val="24"/>
        </w:rPr>
        <w:t>.</w:t>
      </w:r>
      <w:r w:rsidRPr="00C94991">
        <w:rPr>
          <w:rFonts w:ascii="Times New Roman" w:hAnsi="Times New Roman" w:cs="Times New Roman"/>
          <w:sz w:val="24"/>
          <w:szCs w:val="24"/>
        </w:rPr>
        <w:t xml:space="preserve"> Estudio de Revisión Sistemática</w:t>
      </w:r>
      <w:r w:rsidR="00C94991" w:rsidRPr="00C94991">
        <w:rPr>
          <w:rFonts w:ascii="Times New Roman" w:hAnsi="Times New Roman" w:cs="Times New Roman"/>
          <w:sz w:val="24"/>
          <w:szCs w:val="24"/>
        </w:rPr>
        <w:t xml:space="preserve">: </w:t>
      </w:r>
      <w:r w:rsidRPr="00C94991">
        <w:rPr>
          <w:rFonts w:ascii="Times New Roman" w:hAnsi="Times New Roman" w:cs="Times New Roman"/>
          <w:sz w:val="24"/>
          <w:szCs w:val="24"/>
        </w:rPr>
        <w:t>Intervención sobre los varones</w:t>
      </w:r>
      <w:r w:rsidR="00C94991" w:rsidRPr="00C94991">
        <w:rPr>
          <w:rFonts w:ascii="Times New Roman" w:hAnsi="Times New Roman" w:cs="Times New Roman"/>
          <w:sz w:val="24"/>
          <w:szCs w:val="24"/>
        </w:rPr>
        <w:t xml:space="preserve"> implicados.</w:t>
      </w:r>
      <w:r>
        <w:rPr>
          <w:rFonts w:ascii="Times New Roman" w:hAnsi="Times New Roman" w:cs="Times New Roman"/>
          <w:sz w:val="24"/>
          <w:szCs w:val="24"/>
        </w:rPr>
        <w:t xml:space="preserve"> </w:t>
      </w:r>
      <w:r w:rsidRPr="00C94991">
        <w:rPr>
          <w:rFonts w:ascii="Times New Roman" w:hAnsi="Times New Roman" w:cs="Times New Roman"/>
          <w:sz w:val="24"/>
          <w:szCs w:val="24"/>
        </w:rPr>
        <w:t xml:space="preserve">Calidad de vida y salud, </w:t>
      </w:r>
      <w:r w:rsidRPr="00E6758F">
        <w:rPr>
          <w:rFonts w:ascii="Times New Roman" w:hAnsi="Times New Roman" w:cs="Times New Roman"/>
          <w:i/>
          <w:iCs/>
          <w:sz w:val="24"/>
          <w:szCs w:val="24"/>
        </w:rPr>
        <w:t>13</w:t>
      </w:r>
      <w:r w:rsidR="00C94991" w:rsidRPr="00E6758F">
        <w:rPr>
          <w:rFonts w:ascii="Times New Roman" w:hAnsi="Times New Roman" w:cs="Times New Roman"/>
          <w:i/>
          <w:iCs/>
          <w:sz w:val="24"/>
          <w:szCs w:val="24"/>
        </w:rPr>
        <w:t>(ESPECIAL</w:t>
      </w:r>
      <w:r w:rsidRPr="00E6758F">
        <w:rPr>
          <w:rFonts w:ascii="Times New Roman" w:hAnsi="Times New Roman" w:cs="Times New Roman"/>
          <w:i/>
          <w:iCs/>
          <w:sz w:val="24"/>
          <w:szCs w:val="24"/>
        </w:rPr>
        <w:t>), 53</w:t>
      </w:r>
      <w:r w:rsidR="00C94991" w:rsidRPr="00E6758F">
        <w:rPr>
          <w:rFonts w:ascii="Times New Roman" w:hAnsi="Times New Roman" w:cs="Times New Roman"/>
          <w:i/>
          <w:iCs/>
          <w:sz w:val="24"/>
          <w:szCs w:val="24"/>
        </w:rPr>
        <w:t xml:space="preserve">-82. </w:t>
      </w:r>
      <w:hyperlink r:id="rId12" w:history="1">
        <w:r w:rsidR="00E6758F" w:rsidRPr="008317A8">
          <w:rPr>
            <w:rStyle w:val="Hipervnculo"/>
            <w:rFonts w:ascii="Times New Roman" w:hAnsi="Times New Roman" w:cs="Times New Roman"/>
            <w:sz w:val="24"/>
            <w:szCs w:val="24"/>
          </w:rPr>
          <w:t>http://revistacdvs.uflo.edu.ar/index.php/CdVUFLO/article/view/263</w:t>
        </w:r>
      </w:hyperlink>
      <w:r>
        <w:rPr>
          <w:rFonts w:ascii="Times New Roman" w:hAnsi="Times New Roman" w:cs="Times New Roman"/>
          <w:sz w:val="24"/>
          <w:szCs w:val="24"/>
        </w:rPr>
        <w:t xml:space="preserve"> </w:t>
      </w:r>
    </w:p>
    <w:p w14:paraId="30708BDA" w14:textId="06CB1139" w:rsidR="00145934" w:rsidRPr="00E6758F" w:rsidRDefault="00C94991" w:rsidP="00E6758F">
      <w:pPr>
        <w:spacing w:line="480" w:lineRule="auto"/>
        <w:ind w:left="720" w:hanging="720"/>
        <w:rPr>
          <w:rFonts w:ascii="Times New Roman" w:hAnsi="Times New Roman" w:cs="Times New Roman"/>
          <w:i/>
          <w:iCs/>
          <w:sz w:val="24"/>
          <w:szCs w:val="24"/>
        </w:rPr>
      </w:pPr>
      <w:r w:rsidRPr="00C94991">
        <w:rPr>
          <w:rFonts w:ascii="Times New Roman" w:hAnsi="Times New Roman" w:cs="Times New Roman"/>
          <w:sz w:val="24"/>
          <w:szCs w:val="24"/>
        </w:rPr>
        <w:t>Cerón, M. F. &amp; Contreras, M. (2022). Estrategias de validación emocional y psicología positiva con niños, niñas y adolescentes.</w:t>
      </w:r>
      <w:r w:rsidR="001241F8">
        <w:rPr>
          <w:rFonts w:ascii="Times New Roman" w:hAnsi="Times New Roman" w:cs="Times New Roman"/>
          <w:i/>
          <w:iCs/>
          <w:sz w:val="24"/>
          <w:szCs w:val="24"/>
        </w:rPr>
        <w:t xml:space="preserve"> </w:t>
      </w:r>
      <w:r w:rsidR="00E6758F">
        <w:rPr>
          <w:rFonts w:ascii="Meiryo" w:eastAsia="Meiryo" w:hAnsi="Meiryo" w:cs="Times New Roman" w:hint="eastAsia"/>
          <w:i/>
          <w:iCs/>
          <w:sz w:val="24"/>
          <w:szCs w:val="24"/>
        </w:rPr>
        <w:t>[</w:t>
      </w:r>
      <w:r w:rsidR="00E6758F">
        <w:rPr>
          <w:rFonts w:ascii="Times New Roman" w:hAnsi="Times New Roman" w:cs="Times New Roman"/>
          <w:i/>
          <w:iCs/>
          <w:sz w:val="24"/>
          <w:szCs w:val="24"/>
        </w:rPr>
        <w:t xml:space="preserve">Trabajo de grado, </w:t>
      </w:r>
      <w:r w:rsidR="001241F8">
        <w:rPr>
          <w:rFonts w:ascii="Times New Roman" w:hAnsi="Times New Roman" w:cs="Times New Roman"/>
          <w:i/>
          <w:iCs/>
          <w:sz w:val="24"/>
          <w:szCs w:val="24"/>
        </w:rPr>
        <w:t>Facultad de Psicología Pontifica Universidad Javeriana.</w:t>
      </w:r>
      <w:r w:rsidR="00E6758F">
        <w:rPr>
          <w:rFonts w:ascii="Times New Roman" w:hAnsi="Times New Roman" w:cs="Times New Roman"/>
          <w:i/>
          <w:iCs/>
          <w:sz w:val="24"/>
          <w:szCs w:val="24"/>
        </w:rPr>
        <w:t xml:space="preserve"> Bogotá D.C.</w:t>
      </w:r>
      <w:r w:rsidR="00E6758F">
        <w:rPr>
          <w:rFonts w:ascii="Meiryo" w:eastAsia="Meiryo" w:hAnsi="Meiryo" w:cs="Times New Roman" w:hint="eastAsia"/>
          <w:i/>
          <w:iCs/>
          <w:sz w:val="24"/>
          <w:szCs w:val="24"/>
        </w:rPr>
        <w:t>]</w:t>
      </w:r>
      <w:r w:rsidR="00E6758F">
        <w:rPr>
          <w:rFonts w:ascii="Times New Roman" w:hAnsi="Times New Roman" w:cs="Times New Roman"/>
          <w:i/>
          <w:iCs/>
          <w:sz w:val="24"/>
          <w:szCs w:val="24"/>
        </w:rPr>
        <w:t xml:space="preserve"> </w:t>
      </w:r>
      <w:hyperlink r:id="rId13" w:history="1">
        <w:r w:rsidR="000B67B5" w:rsidRPr="008317A8">
          <w:rPr>
            <w:rStyle w:val="Hipervnculo"/>
            <w:rFonts w:ascii="Times New Roman" w:hAnsi="Times New Roman" w:cs="Times New Roman"/>
            <w:sz w:val="24"/>
            <w:szCs w:val="24"/>
          </w:rPr>
          <w:t>https://repository.javeriana.edu.co/handle/10554/60333</w:t>
        </w:r>
      </w:hyperlink>
      <w:r w:rsidR="00145934">
        <w:rPr>
          <w:rFonts w:ascii="Times New Roman" w:hAnsi="Times New Roman" w:cs="Times New Roman"/>
          <w:sz w:val="24"/>
          <w:szCs w:val="24"/>
        </w:rPr>
        <w:t xml:space="preserve"> </w:t>
      </w:r>
    </w:p>
    <w:p w14:paraId="343A3C4C" w14:textId="3753F524" w:rsidR="00145934" w:rsidRPr="00C94991" w:rsidRDefault="00C94991" w:rsidP="00E6758F">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t>Constitución Política de Colombia. (1991)</w:t>
      </w:r>
      <w:r w:rsidR="000B67B5">
        <w:rPr>
          <w:rFonts w:ascii="Times New Roman" w:hAnsi="Times New Roman" w:cs="Times New Roman"/>
          <w:sz w:val="24"/>
          <w:szCs w:val="24"/>
        </w:rPr>
        <w:t xml:space="preserve"> Gaceta Constitucional N° 114</w:t>
      </w:r>
      <w:r w:rsidRPr="00C94991">
        <w:rPr>
          <w:rFonts w:ascii="Times New Roman" w:hAnsi="Times New Roman" w:cs="Times New Roman"/>
          <w:sz w:val="24"/>
          <w:szCs w:val="24"/>
        </w:rPr>
        <w:t>.</w:t>
      </w:r>
      <w:r w:rsidR="000B67B5">
        <w:rPr>
          <w:rFonts w:ascii="Times New Roman" w:hAnsi="Times New Roman" w:cs="Times New Roman"/>
          <w:sz w:val="24"/>
          <w:szCs w:val="24"/>
        </w:rPr>
        <w:t xml:space="preserve"> </w:t>
      </w:r>
      <w:hyperlink r:id="rId14" w:history="1">
        <w:r w:rsidR="000B67B5" w:rsidRPr="008317A8">
          <w:rPr>
            <w:rStyle w:val="Hipervnculo"/>
            <w:rFonts w:ascii="Times New Roman" w:hAnsi="Times New Roman" w:cs="Times New Roman"/>
            <w:sz w:val="24"/>
            <w:szCs w:val="24"/>
          </w:rPr>
          <w:t>https://normativa.archivogeneral.gov.co/constitucion-politica-1991/</w:t>
        </w:r>
      </w:hyperlink>
      <w:r w:rsidR="00145934">
        <w:rPr>
          <w:rFonts w:ascii="Times New Roman" w:hAnsi="Times New Roman" w:cs="Times New Roman"/>
          <w:sz w:val="24"/>
          <w:szCs w:val="24"/>
        </w:rPr>
        <w:t xml:space="preserve"> </w:t>
      </w:r>
    </w:p>
    <w:p w14:paraId="5A8103CC" w14:textId="02E24CD0" w:rsidR="00C94991" w:rsidRPr="00C94991" w:rsidRDefault="00C94991" w:rsidP="00C94991">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t xml:space="preserve">Cure Requena, K y Prada Galvis, A. (2021). </w:t>
      </w:r>
      <w:r w:rsidR="00A960EE" w:rsidRPr="00A960EE">
        <w:rPr>
          <w:rFonts w:ascii="Times New Roman" w:hAnsi="Times New Roman" w:cs="Times New Roman"/>
          <w:sz w:val="24"/>
          <w:szCs w:val="24"/>
        </w:rPr>
        <w:t xml:space="preserve">Vista de Violencia intrafamiliar: caracterización y relatos de las víctimas. </w:t>
      </w:r>
      <w:r w:rsidR="00A960EE" w:rsidRPr="009B3158">
        <w:rPr>
          <w:rFonts w:ascii="Times New Roman" w:hAnsi="Times New Roman" w:cs="Times New Roman"/>
          <w:i/>
          <w:iCs/>
          <w:sz w:val="24"/>
          <w:szCs w:val="24"/>
        </w:rPr>
        <w:t xml:space="preserve">Usantotomas.edu.co. </w:t>
      </w:r>
      <w:hyperlink r:id="rId15" w:history="1">
        <w:r w:rsidR="00A960EE" w:rsidRPr="008317A8">
          <w:rPr>
            <w:rStyle w:val="Hipervnculo"/>
            <w:rFonts w:ascii="Times New Roman" w:hAnsi="Times New Roman" w:cs="Times New Roman"/>
            <w:sz w:val="24"/>
            <w:szCs w:val="24"/>
          </w:rPr>
          <w:t>https://revistas.usantotomas.edu.co/index.php/episteme/article/view/6893/6436</w:t>
        </w:r>
      </w:hyperlink>
      <w:r w:rsidR="00A960EE">
        <w:rPr>
          <w:rFonts w:ascii="Times New Roman" w:hAnsi="Times New Roman" w:cs="Times New Roman"/>
          <w:sz w:val="24"/>
          <w:szCs w:val="24"/>
        </w:rPr>
        <w:t xml:space="preserve"> </w:t>
      </w:r>
    </w:p>
    <w:p w14:paraId="227B7FBB" w14:textId="0DFC3663" w:rsidR="00C94991" w:rsidRPr="00C94991" w:rsidRDefault="00C94991" w:rsidP="00A960EE">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t xml:space="preserve">Charry-Lozano L, Cabezas-Charry AG. Recomendaciones para la valoración psicológica o psiquiátrica forense en víctimas de violencia contra la pareja en Colombia. </w:t>
      </w:r>
      <w:proofErr w:type="spellStart"/>
      <w:r w:rsidRPr="00A960EE">
        <w:rPr>
          <w:rFonts w:ascii="Times New Roman" w:hAnsi="Times New Roman" w:cs="Times New Roman"/>
          <w:i/>
          <w:iCs/>
          <w:sz w:val="24"/>
          <w:szCs w:val="24"/>
        </w:rPr>
        <w:t>Colomb</w:t>
      </w:r>
      <w:proofErr w:type="spellEnd"/>
      <w:r w:rsidRPr="00A960EE">
        <w:rPr>
          <w:rFonts w:ascii="Times New Roman" w:hAnsi="Times New Roman" w:cs="Times New Roman"/>
          <w:i/>
          <w:iCs/>
          <w:sz w:val="24"/>
          <w:szCs w:val="24"/>
        </w:rPr>
        <w:t>. Forense. 2020;7(2):1-16</w:t>
      </w:r>
      <w:r w:rsidRPr="00C94991">
        <w:rPr>
          <w:rFonts w:ascii="Times New Roman" w:hAnsi="Times New Roman" w:cs="Times New Roman"/>
          <w:sz w:val="24"/>
          <w:szCs w:val="24"/>
        </w:rPr>
        <w:t xml:space="preserve">. </w:t>
      </w:r>
      <w:hyperlink r:id="rId16" w:history="1">
        <w:r w:rsidR="00A960EE" w:rsidRPr="008317A8">
          <w:rPr>
            <w:rStyle w:val="Hipervnculo"/>
            <w:rFonts w:ascii="Times New Roman" w:hAnsi="Times New Roman" w:cs="Times New Roman"/>
            <w:sz w:val="24"/>
            <w:szCs w:val="24"/>
          </w:rPr>
          <w:t>https://doi.org/10.16925/2145-9649.2020.02.03</w:t>
        </w:r>
      </w:hyperlink>
      <w:r w:rsidR="00145934">
        <w:rPr>
          <w:rFonts w:ascii="Times New Roman" w:hAnsi="Times New Roman" w:cs="Times New Roman"/>
          <w:sz w:val="24"/>
          <w:szCs w:val="24"/>
        </w:rPr>
        <w:t xml:space="preserve"> </w:t>
      </w:r>
      <w:r w:rsidRPr="00C94991">
        <w:rPr>
          <w:rFonts w:ascii="Times New Roman" w:hAnsi="Times New Roman" w:cs="Times New Roman"/>
          <w:sz w:val="24"/>
          <w:szCs w:val="24"/>
        </w:rPr>
        <w:t xml:space="preserve">   </w:t>
      </w:r>
    </w:p>
    <w:p w14:paraId="76DFDB82" w14:textId="192A0D1D" w:rsidR="00C94991" w:rsidRPr="00C94991" w:rsidRDefault="00C94991" w:rsidP="00C94991">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lastRenderedPageBreak/>
        <w:t xml:space="preserve">Esper, Y. E. L., &amp; </w:t>
      </w:r>
      <w:proofErr w:type="spellStart"/>
      <w:r w:rsidRPr="00C94991">
        <w:rPr>
          <w:rFonts w:ascii="Times New Roman" w:hAnsi="Times New Roman" w:cs="Times New Roman"/>
          <w:sz w:val="24"/>
          <w:szCs w:val="24"/>
        </w:rPr>
        <w:t>Hern´Ández</w:t>
      </w:r>
      <w:proofErr w:type="spellEnd"/>
      <w:r w:rsidRPr="00C94991">
        <w:rPr>
          <w:rFonts w:ascii="Times New Roman" w:hAnsi="Times New Roman" w:cs="Times New Roman"/>
          <w:sz w:val="24"/>
          <w:szCs w:val="24"/>
        </w:rPr>
        <w:t xml:space="preserve">, L. P. H. (2024). Mecanismos administrativos que tienen las víctimas de violencia intrafamiliar. </w:t>
      </w:r>
      <w:r w:rsidRPr="00A960EE">
        <w:rPr>
          <w:rFonts w:ascii="Times New Roman" w:hAnsi="Times New Roman" w:cs="Times New Roman"/>
          <w:i/>
          <w:iCs/>
          <w:sz w:val="24"/>
          <w:szCs w:val="24"/>
        </w:rPr>
        <w:t>Prolegómenos, 27(53), 35–47</w:t>
      </w:r>
      <w:r w:rsidRPr="00C94991">
        <w:rPr>
          <w:rFonts w:ascii="Times New Roman" w:hAnsi="Times New Roman" w:cs="Times New Roman"/>
          <w:sz w:val="24"/>
          <w:szCs w:val="24"/>
        </w:rPr>
        <w:t>.</w:t>
      </w:r>
      <w:r w:rsidR="00A960EE">
        <w:rPr>
          <w:rFonts w:ascii="Times New Roman" w:hAnsi="Times New Roman" w:cs="Times New Roman"/>
          <w:sz w:val="24"/>
          <w:szCs w:val="24"/>
        </w:rPr>
        <w:t xml:space="preserve"> </w:t>
      </w:r>
      <w:hyperlink r:id="rId17" w:history="1">
        <w:r w:rsidR="00A960EE" w:rsidRPr="008317A8">
          <w:rPr>
            <w:rStyle w:val="Hipervnculo"/>
            <w:rFonts w:ascii="Times New Roman" w:hAnsi="Times New Roman" w:cs="Times New Roman"/>
            <w:sz w:val="24"/>
            <w:szCs w:val="24"/>
          </w:rPr>
          <w:t>https://doi.org/10.18359/prole.6183</w:t>
        </w:r>
      </w:hyperlink>
      <w:r w:rsidR="00145934">
        <w:rPr>
          <w:rFonts w:ascii="Times New Roman" w:hAnsi="Times New Roman" w:cs="Times New Roman"/>
          <w:sz w:val="24"/>
          <w:szCs w:val="24"/>
        </w:rPr>
        <w:t xml:space="preserve"> </w:t>
      </w:r>
      <w:r w:rsidRPr="00C94991">
        <w:rPr>
          <w:rFonts w:ascii="Times New Roman" w:hAnsi="Times New Roman" w:cs="Times New Roman"/>
          <w:sz w:val="24"/>
          <w:szCs w:val="24"/>
        </w:rPr>
        <w:t xml:space="preserve"> </w:t>
      </w:r>
    </w:p>
    <w:p w14:paraId="04F4FB5F" w14:textId="11A78EAC" w:rsidR="00C94991" w:rsidRPr="00C94991" w:rsidRDefault="00C94991" w:rsidP="00C94991">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t>Fernández-Abascal, E. (202</w:t>
      </w:r>
      <w:r w:rsidR="00A960EE">
        <w:rPr>
          <w:rFonts w:ascii="Times New Roman" w:hAnsi="Times New Roman" w:cs="Times New Roman"/>
          <w:sz w:val="24"/>
          <w:szCs w:val="24"/>
        </w:rPr>
        <w:t>1</w:t>
      </w:r>
      <w:r w:rsidRPr="00C94991">
        <w:rPr>
          <w:rFonts w:ascii="Times New Roman" w:hAnsi="Times New Roman" w:cs="Times New Roman"/>
          <w:sz w:val="24"/>
          <w:szCs w:val="24"/>
        </w:rPr>
        <w:t xml:space="preserve">). </w:t>
      </w:r>
      <w:r w:rsidRPr="00DF0E44">
        <w:rPr>
          <w:rFonts w:ascii="Times New Roman" w:hAnsi="Times New Roman" w:cs="Times New Roman"/>
          <w:i/>
          <w:iCs/>
          <w:sz w:val="24"/>
          <w:szCs w:val="24"/>
        </w:rPr>
        <w:t>LAS EMOCIONES, lo que da calidez a nuestras vidas</w:t>
      </w:r>
      <w:r w:rsidRPr="00C94991">
        <w:rPr>
          <w:rFonts w:ascii="Times New Roman" w:hAnsi="Times New Roman" w:cs="Times New Roman"/>
          <w:sz w:val="24"/>
          <w:szCs w:val="24"/>
        </w:rPr>
        <w:t xml:space="preserve">. </w:t>
      </w:r>
      <w:proofErr w:type="spellStart"/>
      <w:r w:rsidRPr="00C94991">
        <w:rPr>
          <w:rFonts w:ascii="Times New Roman" w:hAnsi="Times New Roman" w:cs="Times New Roman"/>
          <w:sz w:val="24"/>
          <w:szCs w:val="24"/>
        </w:rPr>
        <w:t>Bonalletra</w:t>
      </w:r>
      <w:proofErr w:type="spellEnd"/>
      <w:r w:rsidRPr="00C94991">
        <w:rPr>
          <w:rFonts w:ascii="Times New Roman" w:hAnsi="Times New Roman" w:cs="Times New Roman"/>
          <w:sz w:val="24"/>
          <w:szCs w:val="24"/>
        </w:rPr>
        <w:t xml:space="preserve"> </w:t>
      </w:r>
      <w:proofErr w:type="spellStart"/>
      <w:r w:rsidRPr="00C94991">
        <w:rPr>
          <w:rFonts w:ascii="Times New Roman" w:hAnsi="Times New Roman" w:cs="Times New Roman"/>
          <w:sz w:val="24"/>
          <w:szCs w:val="24"/>
        </w:rPr>
        <w:t>Alcompas</w:t>
      </w:r>
      <w:proofErr w:type="spellEnd"/>
      <w:r w:rsidRPr="00C94991">
        <w:rPr>
          <w:rFonts w:ascii="Times New Roman" w:hAnsi="Times New Roman" w:cs="Times New Roman"/>
          <w:sz w:val="24"/>
          <w:szCs w:val="24"/>
        </w:rPr>
        <w:t xml:space="preserve">. </w:t>
      </w:r>
    </w:p>
    <w:p w14:paraId="455C29C7" w14:textId="53EE703B" w:rsidR="00C94991" w:rsidRPr="00C94991" w:rsidRDefault="00C94991" w:rsidP="00C94991">
      <w:pPr>
        <w:spacing w:line="480" w:lineRule="auto"/>
        <w:ind w:left="720" w:hanging="720"/>
        <w:rPr>
          <w:rFonts w:ascii="Times New Roman" w:hAnsi="Times New Roman" w:cs="Times New Roman"/>
          <w:sz w:val="24"/>
          <w:szCs w:val="24"/>
        </w:rPr>
      </w:pPr>
      <w:r w:rsidRPr="009B3158">
        <w:rPr>
          <w:rFonts w:ascii="Times New Roman" w:hAnsi="Times New Roman" w:cs="Times New Roman"/>
          <w:sz w:val="24"/>
          <w:szCs w:val="24"/>
        </w:rPr>
        <w:t xml:space="preserve">Fernández, A. V., &amp; Garzón, Y. H. R. (2009). </w:t>
      </w:r>
      <w:r w:rsidRPr="009B3158">
        <w:rPr>
          <w:rFonts w:ascii="Times New Roman" w:hAnsi="Times New Roman" w:cs="Times New Roman"/>
          <w:i/>
          <w:iCs/>
          <w:sz w:val="24"/>
          <w:szCs w:val="24"/>
        </w:rPr>
        <w:t>NEUROPSICOLOGÍA DE LAS EMOCIONES: EL APORTE DE CHARLES DARWIN. Cuadernos de Neuropsicología</w:t>
      </w:r>
      <w:r w:rsidR="009B3158">
        <w:rPr>
          <w:rFonts w:ascii="Times New Roman" w:hAnsi="Times New Roman" w:cs="Times New Roman"/>
          <w:sz w:val="24"/>
          <w:szCs w:val="24"/>
        </w:rPr>
        <w:t xml:space="preserve">. </w:t>
      </w:r>
      <w:proofErr w:type="spellStart"/>
      <w:r w:rsidRPr="009B3158">
        <w:rPr>
          <w:rFonts w:ascii="Times New Roman" w:hAnsi="Times New Roman" w:cs="Times New Roman"/>
          <w:sz w:val="24"/>
          <w:szCs w:val="24"/>
        </w:rPr>
        <w:t>Panamerican</w:t>
      </w:r>
      <w:proofErr w:type="spellEnd"/>
      <w:r w:rsidRPr="009B3158">
        <w:rPr>
          <w:rFonts w:ascii="Times New Roman" w:hAnsi="Times New Roman" w:cs="Times New Roman"/>
          <w:sz w:val="24"/>
          <w:szCs w:val="24"/>
        </w:rPr>
        <w:t xml:space="preserve"> </w:t>
      </w:r>
      <w:proofErr w:type="spellStart"/>
      <w:r w:rsidRPr="009B3158">
        <w:rPr>
          <w:rFonts w:ascii="Times New Roman" w:hAnsi="Times New Roman" w:cs="Times New Roman"/>
          <w:sz w:val="24"/>
          <w:szCs w:val="24"/>
        </w:rPr>
        <w:t>Journal</w:t>
      </w:r>
      <w:proofErr w:type="spellEnd"/>
      <w:r w:rsidRPr="009B3158">
        <w:rPr>
          <w:rFonts w:ascii="Times New Roman" w:hAnsi="Times New Roman" w:cs="Times New Roman"/>
          <w:sz w:val="24"/>
          <w:szCs w:val="24"/>
        </w:rPr>
        <w:t xml:space="preserve"> </w:t>
      </w:r>
      <w:proofErr w:type="spellStart"/>
      <w:r w:rsidRPr="009B3158">
        <w:rPr>
          <w:rFonts w:ascii="Times New Roman" w:hAnsi="Times New Roman" w:cs="Times New Roman"/>
          <w:sz w:val="24"/>
          <w:szCs w:val="24"/>
        </w:rPr>
        <w:t>of</w:t>
      </w:r>
      <w:proofErr w:type="spellEnd"/>
      <w:r w:rsidRPr="009B3158">
        <w:rPr>
          <w:rFonts w:ascii="Times New Roman" w:hAnsi="Times New Roman" w:cs="Times New Roman"/>
          <w:sz w:val="24"/>
          <w:szCs w:val="24"/>
        </w:rPr>
        <w:t xml:space="preserve"> </w:t>
      </w:r>
      <w:proofErr w:type="spellStart"/>
      <w:r w:rsidRPr="009B3158">
        <w:rPr>
          <w:rFonts w:ascii="Times New Roman" w:hAnsi="Times New Roman" w:cs="Times New Roman"/>
          <w:sz w:val="24"/>
          <w:szCs w:val="24"/>
        </w:rPr>
        <w:t>Neuropsychology</w:t>
      </w:r>
      <w:proofErr w:type="spellEnd"/>
      <w:r w:rsidR="009B3158">
        <w:rPr>
          <w:rFonts w:ascii="Times New Roman" w:hAnsi="Times New Roman" w:cs="Times New Roman"/>
          <w:sz w:val="24"/>
          <w:szCs w:val="24"/>
        </w:rPr>
        <w:t>.</w:t>
      </w:r>
    </w:p>
    <w:p w14:paraId="7BBB8EF5" w14:textId="38E5B46E" w:rsidR="00C94991" w:rsidRDefault="00C94991" w:rsidP="00C94991">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t xml:space="preserve">Fonseca, R., &amp; Prieto de </w:t>
      </w:r>
      <w:proofErr w:type="spellStart"/>
      <w:r w:rsidRPr="00C94991">
        <w:rPr>
          <w:rFonts w:ascii="Times New Roman" w:hAnsi="Times New Roman" w:cs="Times New Roman"/>
          <w:sz w:val="24"/>
          <w:szCs w:val="24"/>
        </w:rPr>
        <w:t>Alizo</w:t>
      </w:r>
      <w:proofErr w:type="spellEnd"/>
      <w:r w:rsidRPr="00C94991">
        <w:rPr>
          <w:rFonts w:ascii="Times New Roman" w:hAnsi="Times New Roman" w:cs="Times New Roman"/>
          <w:sz w:val="24"/>
          <w:szCs w:val="24"/>
        </w:rPr>
        <w:t xml:space="preserve">, L. (2010). </w:t>
      </w:r>
      <w:r w:rsidRPr="009B3158">
        <w:rPr>
          <w:rFonts w:ascii="Times New Roman" w:hAnsi="Times New Roman" w:cs="Times New Roman"/>
          <w:i/>
          <w:iCs/>
          <w:sz w:val="24"/>
          <w:szCs w:val="24"/>
        </w:rPr>
        <w:t xml:space="preserve">Las emociones en la comunicación persuasiva: desde la retórica afectiva de Aristóteles. </w:t>
      </w:r>
      <w:r w:rsidRPr="00C94991">
        <w:rPr>
          <w:rFonts w:ascii="Times New Roman" w:hAnsi="Times New Roman" w:cs="Times New Roman"/>
          <w:sz w:val="24"/>
          <w:szCs w:val="24"/>
        </w:rPr>
        <w:t>Quorum académico</w:t>
      </w:r>
      <w:r w:rsidR="009B3158">
        <w:rPr>
          <w:rFonts w:ascii="Times New Roman" w:hAnsi="Times New Roman" w:cs="Times New Roman"/>
          <w:sz w:val="24"/>
          <w:szCs w:val="24"/>
        </w:rPr>
        <w:t>.</w:t>
      </w:r>
    </w:p>
    <w:p w14:paraId="0CC887D7" w14:textId="3F7DDED3" w:rsidR="00293091" w:rsidRPr="00C94991" w:rsidRDefault="00293091" w:rsidP="00C94991">
      <w:pPr>
        <w:spacing w:line="480" w:lineRule="auto"/>
        <w:ind w:left="720" w:hanging="720"/>
        <w:rPr>
          <w:rFonts w:ascii="Times New Roman" w:hAnsi="Times New Roman" w:cs="Times New Roman"/>
          <w:sz w:val="24"/>
          <w:szCs w:val="24"/>
        </w:rPr>
      </w:pPr>
      <w:r w:rsidRPr="00293091">
        <w:rPr>
          <w:rFonts w:ascii="Times New Roman" w:hAnsi="Times New Roman" w:cs="Times New Roman"/>
          <w:sz w:val="24"/>
          <w:szCs w:val="24"/>
        </w:rPr>
        <w:t xml:space="preserve">Gómez Afanador, D. M., &amp; Estrada Jaramillo, L. M. (2017). Dificultades en las competencias jurisdiccionales en materia de violencia intrafamiliar de las comisarías de familia. </w:t>
      </w:r>
      <w:r w:rsidRPr="0049062E">
        <w:rPr>
          <w:rFonts w:ascii="Times New Roman" w:hAnsi="Times New Roman" w:cs="Times New Roman"/>
          <w:i/>
          <w:iCs/>
          <w:sz w:val="24"/>
          <w:szCs w:val="24"/>
        </w:rPr>
        <w:t>CES Derecho, 8(1), 139–155.</w:t>
      </w:r>
      <w:r w:rsidRPr="00293091">
        <w:rPr>
          <w:rFonts w:ascii="Times New Roman" w:hAnsi="Times New Roman" w:cs="Times New Roman"/>
          <w:sz w:val="24"/>
          <w:szCs w:val="24"/>
        </w:rPr>
        <w:t xml:space="preserve"> </w:t>
      </w:r>
      <w:hyperlink r:id="rId18" w:history="1">
        <w:r w:rsidRPr="008317A8">
          <w:rPr>
            <w:rStyle w:val="Hipervnculo"/>
            <w:rFonts w:ascii="Times New Roman" w:hAnsi="Times New Roman" w:cs="Times New Roman"/>
            <w:sz w:val="24"/>
            <w:szCs w:val="24"/>
          </w:rPr>
          <w:t>https://doi.org/10.21615/cesder.8.1.7</w:t>
        </w:r>
      </w:hyperlink>
      <w:r>
        <w:rPr>
          <w:rFonts w:ascii="Times New Roman" w:hAnsi="Times New Roman" w:cs="Times New Roman"/>
          <w:sz w:val="24"/>
          <w:szCs w:val="24"/>
        </w:rPr>
        <w:t xml:space="preserve"> </w:t>
      </w:r>
    </w:p>
    <w:p w14:paraId="38B32A12" w14:textId="30E53E18" w:rsidR="00DF0E44" w:rsidRPr="0049062E" w:rsidRDefault="00C94991" w:rsidP="00C94991">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t>G</w:t>
      </w:r>
      <w:r w:rsidR="0049062E">
        <w:rPr>
          <w:rFonts w:ascii="Times New Roman" w:hAnsi="Times New Roman" w:cs="Times New Roman"/>
          <w:sz w:val="24"/>
          <w:szCs w:val="24"/>
        </w:rPr>
        <w:t>orjón</w:t>
      </w:r>
      <w:r w:rsidRPr="00C94991">
        <w:rPr>
          <w:rFonts w:ascii="Times New Roman" w:hAnsi="Times New Roman" w:cs="Times New Roman"/>
          <w:sz w:val="24"/>
          <w:szCs w:val="24"/>
        </w:rPr>
        <w:t>, F.</w:t>
      </w:r>
      <w:r w:rsidR="0049062E">
        <w:rPr>
          <w:rFonts w:ascii="Times New Roman" w:hAnsi="Times New Roman" w:cs="Times New Roman"/>
          <w:sz w:val="24"/>
          <w:szCs w:val="24"/>
        </w:rPr>
        <w:t>, Quintero de M</w:t>
      </w:r>
      <w:r w:rsidRPr="00C94991">
        <w:rPr>
          <w:rFonts w:ascii="Times New Roman" w:hAnsi="Times New Roman" w:cs="Times New Roman"/>
          <w:sz w:val="24"/>
          <w:szCs w:val="24"/>
        </w:rPr>
        <w:t xml:space="preserve">., </w:t>
      </w:r>
      <w:r w:rsidR="0049062E">
        <w:rPr>
          <w:rFonts w:ascii="Times New Roman" w:hAnsi="Times New Roman" w:cs="Times New Roman"/>
          <w:sz w:val="24"/>
          <w:szCs w:val="24"/>
        </w:rPr>
        <w:t>y</w:t>
      </w:r>
      <w:r w:rsidRPr="00C94991">
        <w:rPr>
          <w:rFonts w:ascii="Times New Roman" w:hAnsi="Times New Roman" w:cs="Times New Roman"/>
          <w:sz w:val="24"/>
          <w:szCs w:val="24"/>
        </w:rPr>
        <w:t xml:space="preserve"> </w:t>
      </w:r>
      <w:proofErr w:type="spellStart"/>
      <w:r w:rsidR="0049062E">
        <w:rPr>
          <w:rFonts w:ascii="Times New Roman" w:hAnsi="Times New Roman" w:cs="Times New Roman"/>
          <w:sz w:val="24"/>
          <w:szCs w:val="24"/>
        </w:rPr>
        <w:t>Hamudy</w:t>
      </w:r>
      <w:proofErr w:type="spellEnd"/>
      <w:r w:rsidR="0049062E">
        <w:rPr>
          <w:rFonts w:ascii="Times New Roman" w:hAnsi="Times New Roman" w:cs="Times New Roman"/>
          <w:sz w:val="24"/>
          <w:szCs w:val="24"/>
        </w:rPr>
        <w:t xml:space="preserve">, F. </w:t>
      </w:r>
      <w:r w:rsidRPr="00C94991">
        <w:rPr>
          <w:rFonts w:ascii="Times New Roman" w:hAnsi="Times New Roman" w:cs="Times New Roman"/>
          <w:sz w:val="24"/>
          <w:szCs w:val="24"/>
        </w:rPr>
        <w:t>(2021). La justicia terapéutica como política de bienestar social.</w:t>
      </w:r>
      <w:r w:rsidR="006761F5" w:rsidRPr="006761F5">
        <w:t xml:space="preserve"> </w:t>
      </w:r>
      <w:r w:rsidR="0049062E" w:rsidRPr="0049062E">
        <w:rPr>
          <w:rFonts w:ascii="Times New Roman" w:hAnsi="Times New Roman" w:cs="Times New Roman"/>
          <w:i/>
          <w:iCs/>
          <w:sz w:val="24"/>
          <w:szCs w:val="24"/>
        </w:rPr>
        <w:tab/>
        <w:t>Revista Iberoamericana de Justicia Terapéutica - Número 2</w:t>
      </w:r>
      <w:r w:rsidR="0049062E">
        <w:rPr>
          <w:rFonts w:ascii="Times New Roman" w:hAnsi="Times New Roman" w:cs="Times New Roman"/>
          <w:i/>
          <w:iCs/>
          <w:sz w:val="24"/>
          <w:szCs w:val="24"/>
        </w:rPr>
        <w:t xml:space="preserve">. </w:t>
      </w:r>
      <w:hyperlink r:id="rId19" w:history="1">
        <w:r w:rsidR="0049062E" w:rsidRPr="0049062E">
          <w:rPr>
            <w:rStyle w:val="Hipervnculo"/>
            <w:rFonts w:ascii="Times New Roman" w:hAnsi="Times New Roman" w:cs="Times New Roman"/>
            <w:sz w:val="24"/>
            <w:szCs w:val="24"/>
          </w:rPr>
          <w:t>https://ar.ijeditores.com/pop.php?option=articulo&amp;Hash=a500ec0235a9795fb7d97c521abeb0aa</w:t>
        </w:r>
      </w:hyperlink>
      <w:r w:rsidR="0049062E" w:rsidRPr="0049062E">
        <w:rPr>
          <w:rFonts w:ascii="Times New Roman" w:hAnsi="Times New Roman" w:cs="Times New Roman"/>
          <w:sz w:val="24"/>
          <w:szCs w:val="24"/>
        </w:rPr>
        <w:t xml:space="preserve"> </w:t>
      </w:r>
    </w:p>
    <w:p w14:paraId="219D6B42" w14:textId="2A36D720" w:rsidR="00C94991" w:rsidRPr="000D2392" w:rsidRDefault="00C94991" w:rsidP="00DF0E44">
      <w:pPr>
        <w:spacing w:line="480" w:lineRule="auto"/>
        <w:ind w:left="720" w:hanging="720"/>
        <w:rPr>
          <w:rFonts w:ascii="Times New Roman" w:hAnsi="Times New Roman" w:cs="Times New Roman"/>
          <w:sz w:val="24"/>
          <w:szCs w:val="24"/>
        </w:rPr>
      </w:pPr>
      <w:r w:rsidRPr="0049062E">
        <w:rPr>
          <w:rFonts w:ascii="Times New Roman" w:hAnsi="Times New Roman" w:cs="Times New Roman"/>
          <w:sz w:val="24"/>
          <w:szCs w:val="24"/>
        </w:rPr>
        <w:t>Instituto de Medi</w:t>
      </w:r>
      <w:r w:rsidRPr="00C94991">
        <w:rPr>
          <w:rFonts w:ascii="Times New Roman" w:hAnsi="Times New Roman" w:cs="Times New Roman"/>
          <w:sz w:val="24"/>
          <w:szCs w:val="24"/>
        </w:rPr>
        <w:t xml:space="preserve">cina Legal y Ciencias Forenses. (2024) </w:t>
      </w:r>
      <w:r w:rsidRPr="006761F5">
        <w:rPr>
          <w:rFonts w:ascii="Times New Roman" w:hAnsi="Times New Roman" w:cs="Times New Roman"/>
          <w:i/>
          <w:iCs/>
          <w:sz w:val="24"/>
          <w:szCs w:val="24"/>
        </w:rPr>
        <w:t>Boletín estadístico mensual. Grupo Centro de Referencia Nacional sobre violencia-GCERN.</w:t>
      </w:r>
      <w:r w:rsidR="000D2392" w:rsidRPr="000D2392">
        <w:t xml:space="preserve"> </w:t>
      </w:r>
      <w:hyperlink r:id="rId20" w:history="1">
        <w:r w:rsidR="000D2392" w:rsidRPr="001F4BF9">
          <w:rPr>
            <w:rStyle w:val="Hipervnculo"/>
            <w:rFonts w:ascii="Times New Roman" w:hAnsi="Times New Roman" w:cs="Times New Roman"/>
            <w:i/>
            <w:iCs/>
            <w:sz w:val="24"/>
            <w:szCs w:val="24"/>
          </w:rPr>
          <w:t>https://www.medicinalegal.gov.co/cifras-estadisticas/boletines-estadisticos-mensuales</w:t>
        </w:r>
      </w:hyperlink>
      <w:r w:rsidR="000D2392">
        <w:rPr>
          <w:rFonts w:ascii="Times New Roman" w:hAnsi="Times New Roman" w:cs="Times New Roman"/>
          <w:i/>
          <w:iCs/>
          <w:sz w:val="24"/>
          <w:szCs w:val="24"/>
        </w:rPr>
        <w:t xml:space="preserve"> </w:t>
      </w:r>
    </w:p>
    <w:p w14:paraId="1757DC26" w14:textId="77777777" w:rsidR="00DF0E44" w:rsidRDefault="00C94991" w:rsidP="00C94991">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lastRenderedPageBreak/>
        <w:t xml:space="preserve">Jaramillo, A. M., Sánchez, L. P., Delgado, A. L., Sánchez, A. C., &amp; Ramón, D. S. (2016). Repercusiones forenses de los trastornos disruptivos, del control de los impulsos y de la conducta. </w:t>
      </w:r>
      <w:r w:rsidRPr="000D2392">
        <w:rPr>
          <w:rFonts w:ascii="Times New Roman" w:hAnsi="Times New Roman" w:cs="Times New Roman"/>
          <w:i/>
          <w:iCs/>
          <w:sz w:val="24"/>
          <w:szCs w:val="24"/>
        </w:rPr>
        <w:t>Dialnet.</w:t>
      </w:r>
      <w:r w:rsidRPr="00C94991">
        <w:rPr>
          <w:rFonts w:ascii="Times New Roman" w:hAnsi="Times New Roman" w:cs="Times New Roman"/>
          <w:sz w:val="24"/>
          <w:szCs w:val="24"/>
        </w:rPr>
        <w:t xml:space="preserve"> </w:t>
      </w:r>
    </w:p>
    <w:p w14:paraId="2F287DA6" w14:textId="7AF5CB33" w:rsidR="00C94991" w:rsidRPr="00C94991" w:rsidRDefault="00A70CEF" w:rsidP="00DF0E44">
      <w:pPr>
        <w:spacing w:line="480" w:lineRule="auto"/>
        <w:ind w:left="720" w:hanging="12"/>
        <w:rPr>
          <w:rFonts w:ascii="Times New Roman" w:hAnsi="Times New Roman" w:cs="Times New Roman"/>
          <w:sz w:val="24"/>
          <w:szCs w:val="24"/>
        </w:rPr>
      </w:pPr>
      <w:hyperlink r:id="rId21" w:history="1">
        <w:r w:rsidR="00DF0E44" w:rsidRPr="008317A8">
          <w:rPr>
            <w:rStyle w:val="Hipervnculo"/>
            <w:rFonts w:ascii="Times New Roman" w:hAnsi="Times New Roman" w:cs="Times New Roman"/>
            <w:sz w:val="24"/>
            <w:szCs w:val="24"/>
          </w:rPr>
          <w:t>https://dialnet.unirioja.es/servlet/articulo?codigo=6671984</w:t>
        </w:r>
      </w:hyperlink>
      <w:r w:rsidR="00DF0E44">
        <w:rPr>
          <w:rFonts w:ascii="Times New Roman" w:hAnsi="Times New Roman" w:cs="Times New Roman"/>
          <w:sz w:val="24"/>
          <w:szCs w:val="24"/>
        </w:rPr>
        <w:t xml:space="preserve"> </w:t>
      </w:r>
    </w:p>
    <w:p w14:paraId="3F690566" w14:textId="5DA98505" w:rsidR="00C94991" w:rsidRPr="000D2392" w:rsidRDefault="00C94991" w:rsidP="00C94991">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t xml:space="preserve">Johnson, F. N. M., </w:t>
      </w:r>
      <w:proofErr w:type="spellStart"/>
      <w:r w:rsidRPr="00C94991">
        <w:rPr>
          <w:rFonts w:ascii="Times New Roman" w:hAnsi="Times New Roman" w:cs="Times New Roman"/>
          <w:sz w:val="24"/>
          <w:szCs w:val="24"/>
        </w:rPr>
        <w:t>Arduiz</w:t>
      </w:r>
      <w:proofErr w:type="spellEnd"/>
      <w:r w:rsidRPr="00C94991">
        <w:rPr>
          <w:rFonts w:ascii="Times New Roman" w:hAnsi="Times New Roman" w:cs="Times New Roman"/>
          <w:sz w:val="24"/>
          <w:szCs w:val="24"/>
        </w:rPr>
        <w:t xml:space="preserve">, N. D. C. O., &amp; Luis-Pascual, J. C. (2019). Perspectiva moral de las emociones en los contextos de educación formal. </w:t>
      </w:r>
      <w:r w:rsidRPr="000D2392">
        <w:rPr>
          <w:rFonts w:ascii="Times New Roman" w:hAnsi="Times New Roman" w:cs="Times New Roman"/>
          <w:i/>
          <w:iCs/>
          <w:sz w:val="24"/>
          <w:szCs w:val="24"/>
        </w:rPr>
        <w:t>Revista Ensayos Pedagógicos, 14(1), 69-90.</w:t>
      </w:r>
      <w:r w:rsidR="000D2392" w:rsidRPr="000D2392">
        <w:t xml:space="preserve"> </w:t>
      </w:r>
      <w:hyperlink r:id="rId22" w:history="1">
        <w:r w:rsidR="000D2392" w:rsidRPr="001F4BF9">
          <w:rPr>
            <w:rStyle w:val="Hipervnculo"/>
            <w:rFonts w:ascii="Times New Roman" w:hAnsi="Times New Roman" w:cs="Times New Roman"/>
            <w:i/>
            <w:iCs/>
            <w:sz w:val="24"/>
            <w:szCs w:val="24"/>
          </w:rPr>
          <w:t>https://www.semanticscholar.org/paper/Perspectiva-moral-de-las-emociones-en-los-contextos-Johnson-Arduiz/99b7aa1d84b679a86e17548d1988bfcdba6f4d90</w:t>
        </w:r>
      </w:hyperlink>
      <w:r w:rsidR="000D2392">
        <w:rPr>
          <w:rFonts w:ascii="Times New Roman" w:hAnsi="Times New Roman" w:cs="Times New Roman"/>
          <w:i/>
          <w:iCs/>
          <w:sz w:val="24"/>
          <w:szCs w:val="24"/>
        </w:rPr>
        <w:t xml:space="preserve"> </w:t>
      </w:r>
    </w:p>
    <w:p w14:paraId="2CBC3F55" w14:textId="4F7763ED" w:rsidR="00C94991" w:rsidRDefault="00C94991" w:rsidP="000D2392">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t>Ley 294 de 1996</w:t>
      </w:r>
      <w:r w:rsidR="00DF0E44">
        <w:rPr>
          <w:rFonts w:ascii="Times New Roman" w:hAnsi="Times New Roman" w:cs="Times New Roman"/>
          <w:sz w:val="24"/>
          <w:szCs w:val="24"/>
        </w:rPr>
        <w:t xml:space="preserve"> (1996, 16 de julio). Congreso de </w:t>
      </w:r>
      <w:r w:rsidR="000D2392">
        <w:rPr>
          <w:rFonts w:ascii="Times New Roman" w:hAnsi="Times New Roman" w:cs="Times New Roman"/>
          <w:sz w:val="24"/>
          <w:szCs w:val="24"/>
        </w:rPr>
        <w:t xml:space="preserve">la República de </w:t>
      </w:r>
      <w:r w:rsidR="00DF0E44">
        <w:rPr>
          <w:rFonts w:ascii="Times New Roman" w:hAnsi="Times New Roman" w:cs="Times New Roman"/>
          <w:sz w:val="24"/>
          <w:szCs w:val="24"/>
        </w:rPr>
        <w:t>Colombia</w:t>
      </w:r>
      <w:r w:rsidR="000D2392">
        <w:rPr>
          <w:rFonts w:ascii="Times New Roman" w:hAnsi="Times New Roman" w:cs="Times New Roman"/>
          <w:sz w:val="24"/>
          <w:szCs w:val="24"/>
        </w:rPr>
        <w:t xml:space="preserve">. </w:t>
      </w:r>
      <w:hyperlink r:id="rId23" w:history="1">
        <w:r w:rsidR="000D2392" w:rsidRPr="001F4BF9">
          <w:rPr>
            <w:rStyle w:val="Hipervnculo"/>
            <w:rFonts w:ascii="Times New Roman" w:hAnsi="Times New Roman" w:cs="Times New Roman"/>
            <w:sz w:val="24"/>
            <w:szCs w:val="24"/>
          </w:rPr>
          <w:t>https://www.funcionpublica.gov.co/eva/gestornormativo/norma.php?i=5387</w:t>
        </w:r>
      </w:hyperlink>
      <w:r w:rsidR="00DF0E44">
        <w:rPr>
          <w:rFonts w:ascii="Times New Roman" w:hAnsi="Times New Roman" w:cs="Times New Roman"/>
          <w:sz w:val="24"/>
          <w:szCs w:val="24"/>
        </w:rPr>
        <w:t xml:space="preserve"> </w:t>
      </w:r>
      <w:r w:rsidRPr="00C94991">
        <w:rPr>
          <w:rFonts w:ascii="Times New Roman" w:hAnsi="Times New Roman" w:cs="Times New Roman"/>
          <w:sz w:val="24"/>
          <w:szCs w:val="24"/>
        </w:rPr>
        <w:t xml:space="preserve"> </w:t>
      </w:r>
      <w:r w:rsidR="00DF0E44">
        <w:rPr>
          <w:rFonts w:ascii="Times New Roman" w:hAnsi="Times New Roman" w:cs="Times New Roman"/>
          <w:sz w:val="24"/>
          <w:szCs w:val="24"/>
        </w:rPr>
        <w:t xml:space="preserve"> </w:t>
      </w:r>
    </w:p>
    <w:p w14:paraId="3241498C" w14:textId="49939194" w:rsidR="007E5B2A" w:rsidRDefault="007E5B2A" w:rsidP="000D2392">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Ley 575 de 2000 (2000, 9 de febrero). Congreso de Colombia. Diario Oficial No. 52.986. </w:t>
      </w:r>
      <w:hyperlink r:id="rId24" w:history="1">
        <w:r w:rsidRPr="001F4BF9">
          <w:rPr>
            <w:rStyle w:val="Hipervnculo"/>
            <w:rFonts w:ascii="Times New Roman" w:hAnsi="Times New Roman" w:cs="Times New Roman"/>
            <w:sz w:val="24"/>
            <w:szCs w:val="24"/>
          </w:rPr>
          <w:t>http://www.secretariasenado.gov.co/senado/basedoc/ley_0575_2000.html</w:t>
        </w:r>
      </w:hyperlink>
      <w:r>
        <w:rPr>
          <w:rFonts w:ascii="Times New Roman" w:hAnsi="Times New Roman" w:cs="Times New Roman"/>
          <w:sz w:val="24"/>
          <w:szCs w:val="24"/>
        </w:rPr>
        <w:t xml:space="preserve"> </w:t>
      </w:r>
    </w:p>
    <w:p w14:paraId="3D44B31B" w14:textId="65AF4C28" w:rsidR="00985A47" w:rsidRPr="00C94991" w:rsidRDefault="00985A47" w:rsidP="000D2392">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Ley 1098 de 2006 (2006, 8 de noviembre). Congreso de la República. Diario Oficial No. 52.986. </w:t>
      </w:r>
      <w:hyperlink r:id="rId25" w:history="1">
        <w:r w:rsidRPr="001F4BF9">
          <w:rPr>
            <w:rStyle w:val="Hipervnculo"/>
            <w:rFonts w:ascii="Times New Roman" w:hAnsi="Times New Roman" w:cs="Times New Roman"/>
            <w:sz w:val="24"/>
            <w:szCs w:val="24"/>
          </w:rPr>
          <w:t>http://www.secretariasenado.gov.co/senado/basedoc/ley_1098_2006.html</w:t>
        </w:r>
      </w:hyperlink>
      <w:r>
        <w:rPr>
          <w:rFonts w:ascii="Times New Roman" w:hAnsi="Times New Roman" w:cs="Times New Roman"/>
          <w:sz w:val="24"/>
          <w:szCs w:val="24"/>
        </w:rPr>
        <w:t xml:space="preserve"> </w:t>
      </w:r>
    </w:p>
    <w:p w14:paraId="4CD672D3" w14:textId="58D3530A" w:rsidR="00C94991" w:rsidRDefault="00C94991" w:rsidP="00C94991">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t>Ley 1257 de 2008</w:t>
      </w:r>
      <w:r w:rsidR="000D2392">
        <w:rPr>
          <w:rFonts w:ascii="Times New Roman" w:hAnsi="Times New Roman" w:cs="Times New Roman"/>
          <w:sz w:val="24"/>
          <w:szCs w:val="24"/>
        </w:rPr>
        <w:t xml:space="preserve"> (2008, 4 de diciembre). Congreso de Colombia. Diario Oficial No. 52.986.</w:t>
      </w:r>
      <w:r w:rsidR="007E5B2A">
        <w:rPr>
          <w:rFonts w:ascii="Times New Roman" w:hAnsi="Times New Roman" w:cs="Times New Roman"/>
          <w:sz w:val="24"/>
          <w:szCs w:val="24"/>
        </w:rPr>
        <w:t xml:space="preserve"> </w:t>
      </w:r>
      <w:hyperlink r:id="rId26" w:history="1">
        <w:r w:rsidR="007E5B2A" w:rsidRPr="001F4BF9">
          <w:rPr>
            <w:rStyle w:val="Hipervnculo"/>
            <w:rFonts w:ascii="Times New Roman" w:hAnsi="Times New Roman" w:cs="Times New Roman"/>
            <w:sz w:val="24"/>
            <w:szCs w:val="24"/>
          </w:rPr>
          <w:t>http://www.secretariasenado.gov.co/senado/basedoc/ley_1257_2008.html</w:t>
        </w:r>
      </w:hyperlink>
      <w:r w:rsidR="007E5B2A">
        <w:rPr>
          <w:rFonts w:ascii="Times New Roman" w:hAnsi="Times New Roman" w:cs="Times New Roman"/>
          <w:sz w:val="24"/>
          <w:szCs w:val="24"/>
        </w:rPr>
        <w:t xml:space="preserve"> </w:t>
      </w:r>
    </w:p>
    <w:p w14:paraId="22EA6516" w14:textId="012EBDB9" w:rsidR="007E5B2A" w:rsidRDefault="007E5B2A" w:rsidP="00C94991">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Ley 1564 de 2012 (2012, 12 de julio). Congreso de la República</w:t>
      </w:r>
      <w:r w:rsidR="00985A47">
        <w:rPr>
          <w:rFonts w:ascii="Times New Roman" w:hAnsi="Times New Roman" w:cs="Times New Roman"/>
          <w:sz w:val="24"/>
          <w:szCs w:val="24"/>
        </w:rPr>
        <w:t xml:space="preserve">. Diario Oficial No. 52.986. </w:t>
      </w:r>
      <w:hyperlink r:id="rId27" w:history="1">
        <w:r w:rsidR="00985A47" w:rsidRPr="001F4BF9">
          <w:rPr>
            <w:rStyle w:val="Hipervnculo"/>
            <w:rFonts w:ascii="Times New Roman" w:hAnsi="Times New Roman" w:cs="Times New Roman"/>
            <w:sz w:val="24"/>
            <w:szCs w:val="24"/>
          </w:rPr>
          <w:t>http://www.secretariasenado.gov.co/senado/basedoc/ley_1564_2012.html</w:t>
        </w:r>
      </w:hyperlink>
      <w:r w:rsidR="00985A47">
        <w:rPr>
          <w:rFonts w:ascii="Times New Roman" w:hAnsi="Times New Roman" w:cs="Times New Roman"/>
          <w:sz w:val="24"/>
          <w:szCs w:val="24"/>
        </w:rPr>
        <w:t xml:space="preserve"> </w:t>
      </w:r>
    </w:p>
    <w:p w14:paraId="793110E2" w14:textId="76EE8558" w:rsidR="00985A47" w:rsidRDefault="00985A47" w:rsidP="00C94991">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Ley </w:t>
      </w:r>
      <w:r w:rsidR="008A3884">
        <w:rPr>
          <w:rFonts w:ascii="Times New Roman" w:hAnsi="Times New Roman" w:cs="Times New Roman"/>
          <w:sz w:val="24"/>
          <w:szCs w:val="24"/>
        </w:rPr>
        <w:t xml:space="preserve">1850 de 2017 (2017, 19 de julio). Congreso de la República. Diario Oficial No. 52.986. </w:t>
      </w:r>
      <w:hyperlink r:id="rId28" w:history="1">
        <w:r w:rsidR="008A3884" w:rsidRPr="001F4BF9">
          <w:rPr>
            <w:rStyle w:val="Hipervnculo"/>
            <w:rFonts w:ascii="Times New Roman" w:hAnsi="Times New Roman" w:cs="Times New Roman"/>
            <w:sz w:val="24"/>
            <w:szCs w:val="24"/>
          </w:rPr>
          <w:t>http://www.secretariasenado.gov.co/senado/basedoc/ley_1850_2017.html</w:t>
        </w:r>
      </w:hyperlink>
      <w:r w:rsidR="008A3884">
        <w:rPr>
          <w:rFonts w:ascii="Times New Roman" w:hAnsi="Times New Roman" w:cs="Times New Roman"/>
          <w:sz w:val="24"/>
          <w:szCs w:val="24"/>
        </w:rPr>
        <w:t xml:space="preserve"> </w:t>
      </w:r>
    </w:p>
    <w:p w14:paraId="1CC0B31B" w14:textId="2F730964" w:rsidR="00985A47" w:rsidRPr="00C94991" w:rsidRDefault="008A3884" w:rsidP="00C94991">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Ley 2126 de 2021 (2021, 4 de agosto). Congreso de Colombia. Diario Oficial No. 51.756.</w:t>
      </w:r>
      <w:r w:rsidRPr="008A3884">
        <w:t xml:space="preserve"> </w:t>
      </w:r>
      <w:hyperlink r:id="rId29" w:history="1">
        <w:r w:rsidRPr="001F4BF9">
          <w:rPr>
            <w:rStyle w:val="Hipervnculo"/>
          </w:rPr>
          <w:t>https://www.funcionpublica.gov.co/eva/gestornormativo/norma.php?i=168066</w:t>
        </w:r>
      </w:hyperlink>
      <w:r>
        <w:t xml:space="preserve"> </w:t>
      </w:r>
    </w:p>
    <w:p w14:paraId="4910E867" w14:textId="01A908AD" w:rsidR="00C94991" w:rsidRDefault="00C94991" w:rsidP="00D36695">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t xml:space="preserve">Lobatón Piñeres, G., Malaver, L. G., Zambrano Valderrama C. </w:t>
      </w:r>
      <w:proofErr w:type="spellStart"/>
      <w:r w:rsidRPr="00C94991">
        <w:rPr>
          <w:rFonts w:ascii="Times New Roman" w:hAnsi="Times New Roman" w:cs="Times New Roman"/>
          <w:sz w:val="24"/>
          <w:szCs w:val="24"/>
        </w:rPr>
        <w:t>L.,Monroy</w:t>
      </w:r>
      <w:proofErr w:type="spellEnd"/>
      <w:r w:rsidRPr="00C94991">
        <w:rPr>
          <w:rFonts w:ascii="Times New Roman" w:hAnsi="Times New Roman" w:cs="Times New Roman"/>
          <w:sz w:val="24"/>
          <w:szCs w:val="24"/>
        </w:rPr>
        <w:t xml:space="preserve"> Rodríguez C. D, Chaparro Penagos C., Coy Granados W. R., </w:t>
      </w:r>
      <w:proofErr w:type="spellStart"/>
      <w:r w:rsidRPr="00C94991">
        <w:rPr>
          <w:rFonts w:ascii="Times New Roman" w:hAnsi="Times New Roman" w:cs="Times New Roman"/>
          <w:sz w:val="24"/>
          <w:szCs w:val="24"/>
        </w:rPr>
        <w:t>Mejia</w:t>
      </w:r>
      <w:proofErr w:type="spellEnd"/>
      <w:r w:rsidRPr="00C94991">
        <w:rPr>
          <w:rFonts w:ascii="Times New Roman" w:hAnsi="Times New Roman" w:cs="Times New Roman"/>
          <w:sz w:val="24"/>
          <w:szCs w:val="24"/>
        </w:rPr>
        <w:t xml:space="preserve"> Fonseca, C. A., Leguizamo Jordán, G. A. Instituto de Medicina legal y ciencias forenses – Seccional Boyacá, Fiscalía general de la nación – Seccional Boyacá, Instituto Colombiano de Bienestar Familiar – Seccional Boyacá, Secretaria de Salud de Boyacá, Unidad para las Víctimas, </w:t>
      </w:r>
      <w:proofErr w:type="spellStart"/>
      <w:r w:rsidRPr="00C94991">
        <w:rPr>
          <w:rFonts w:ascii="Times New Roman" w:hAnsi="Times New Roman" w:cs="Times New Roman"/>
          <w:sz w:val="24"/>
          <w:szCs w:val="24"/>
        </w:rPr>
        <w:t>Sivigila</w:t>
      </w:r>
      <w:proofErr w:type="spellEnd"/>
      <w:r w:rsidRPr="00C94991">
        <w:rPr>
          <w:rFonts w:ascii="Times New Roman" w:hAnsi="Times New Roman" w:cs="Times New Roman"/>
          <w:sz w:val="24"/>
          <w:szCs w:val="24"/>
        </w:rPr>
        <w:t xml:space="preserve"> – Sistema nacional de vigilancia en salud pública, Gobernador de Boyacá, Secretaria de Planeación, Directora de Seguimiento y Planeación Territorial. (2024). </w:t>
      </w:r>
      <w:r w:rsidRPr="00D36695">
        <w:rPr>
          <w:rFonts w:ascii="Times New Roman" w:hAnsi="Times New Roman" w:cs="Times New Roman"/>
          <w:i/>
          <w:iCs/>
          <w:sz w:val="24"/>
          <w:szCs w:val="24"/>
        </w:rPr>
        <w:t>Boletín Red de Observatorios de Boyacá.</w:t>
      </w:r>
      <w:r w:rsidRPr="00C94991">
        <w:rPr>
          <w:rFonts w:ascii="Times New Roman" w:hAnsi="Times New Roman" w:cs="Times New Roman"/>
          <w:sz w:val="24"/>
          <w:szCs w:val="24"/>
        </w:rPr>
        <w:t xml:space="preserve"> </w:t>
      </w:r>
      <w:hyperlink r:id="rId30" w:history="1">
        <w:r w:rsidR="0037467C" w:rsidRPr="001F4BF9">
          <w:rPr>
            <w:rStyle w:val="Hipervnculo"/>
            <w:rFonts w:ascii="Times New Roman" w:hAnsi="Times New Roman" w:cs="Times New Roman"/>
            <w:sz w:val="24"/>
            <w:szCs w:val="24"/>
          </w:rPr>
          <w:t>https://planeacion.boyaca.gov.co/wp-content/uploads/2024/12/BOLETIN-1-de-Violencia-10-dic-2024.pdf</w:t>
        </w:r>
      </w:hyperlink>
      <w:r w:rsidR="0037467C">
        <w:rPr>
          <w:rFonts w:ascii="Times New Roman" w:hAnsi="Times New Roman" w:cs="Times New Roman"/>
          <w:sz w:val="24"/>
          <w:szCs w:val="24"/>
        </w:rPr>
        <w:t xml:space="preserve"> </w:t>
      </w:r>
      <w:r w:rsidRPr="00C94991">
        <w:rPr>
          <w:rFonts w:ascii="Times New Roman" w:hAnsi="Times New Roman" w:cs="Times New Roman"/>
          <w:sz w:val="24"/>
          <w:szCs w:val="24"/>
        </w:rPr>
        <w:t xml:space="preserve"> </w:t>
      </w:r>
    </w:p>
    <w:p w14:paraId="28B0898B" w14:textId="77777777" w:rsidR="00C94991" w:rsidRPr="00C94991" w:rsidRDefault="00C94991" w:rsidP="00C94991">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t>Marco Aurelio (2023). Meditaciones. Blanco y negro</w:t>
      </w:r>
    </w:p>
    <w:p w14:paraId="47C59217" w14:textId="520FD1DF" w:rsidR="0072078C" w:rsidRDefault="0072078C" w:rsidP="00C94991">
      <w:pPr>
        <w:spacing w:line="480" w:lineRule="auto"/>
        <w:ind w:left="720" w:hanging="720"/>
        <w:rPr>
          <w:rFonts w:ascii="Times New Roman" w:hAnsi="Times New Roman" w:cs="Times New Roman"/>
          <w:sz w:val="24"/>
          <w:szCs w:val="24"/>
        </w:rPr>
      </w:pPr>
      <w:r w:rsidRPr="001348F0">
        <w:rPr>
          <w:rFonts w:ascii="Times New Roman" w:hAnsi="Times New Roman" w:cs="Times New Roman"/>
          <w:sz w:val="24"/>
          <w:szCs w:val="24"/>
        </w:rPr>
        <w:t xml:space="preserve">MELAMED, A. F., (2016). LAS TEORÍAS DE LAS EMOCIONES Y SU RELACIÓN CON LA COGNICIÓN: UN ANÁLISIS DESDE LA FILOSOFÍA DE LA MENTE. </w:t>
      </w:r>
      <w:r w:rsidRPr="001348F0">
        <w:rPr>
          <w:rFonts w:ascii="Times New Roman" w:hAnsi="Times New Roman" w:cs="Times New Roman"/>
          <w:i/>
          <w:iCs/>
          <w:sz w:val="24"/>
          <w:szCs w:val="24"/>
        </w:rPr>
        <w:t>Cuadernos de la Facultad de Humanidades y Ciencias Sociales - Universidad Nacional de Jujuy, (49), 13-38.</w:t>
      </w:r>
      <w:r w:rsidRPr="0072078C">
        <w:rPr>
          <w:rFonts w:ascii="Times New Roman" w:hAnsi="Times New Roman" w:cs="Times New Roman"/>
          <w:sz w:val="24"/>
          <w:szCs w:val="24"/>
        </w:rPr>
        <w:t xml:space="preserve"> </w:t>
      </w:r>
    </w:p>
    <w:p w14:paraId="3175CCA6" w14:textId="21091EC6" w:rsidR="00C94991" w:rsidRPr="00C94991" w:rsidRDefault="00C94991" w:rsidP="00C94991">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t xml:space="preserve">Mora </w:t>
      </w:r>
      <w:proofErr w:type="spellStart"/>
      <w:r w:rsidRPr="00C94991">
        <w:rPr>
          <w:rFonts w:ascii="Times New Roman" w:hAnsi="Times New Roman" w:cs="Times New Roman"/>
          <w:sz w:val="24"/>
          <w:szCs w:val="24"/>
        </w:rPr>
        <w:t>Anto</w:t>
      </w:r>
      <w:proofErr w:type="spellEnd"/>
      <w:r w:rsidRPr="00C94991">
        <w:rPr>
          <w:rFonts w:ascii="Times New Roman" w:hAnsi="Times New Roman" w:cs="Times New Roman"/>
          <w:sz w:val="24"/>
          <w:szCs w:val="24"/>
        </w:rPr>
        <w:t xml:space="preserve">, A, Román Muñoz, M y Varela Martínez, V. (2015). Atención integral a los problemas de convivencia familiar, en una comisaría de familia de la ciudad de Cali. </w:t>
      </w:r>
      <w:r w:rsidR="001348F0">
        <w:rPr>
          <w:rFonts w:ascii="Times New Roman" w:hAnsi="Times New Roman" w:cs="Times New Roman"/>
          <w:i/>
          <w:iCs/>
          <w:sz w:val="24"/>
          <w:szCs w:val="24"/>
        </w:rPr>
        <w:t xml:space="preserve">Revista </w:t>
      </w:r>
      <w:proofErr w:type="spellStart"/>
      <w:r w:rsidR="001348F0">
        <w:rPr>
          <w:rFonts w:ascii="Times New Roman" w:hAnsi="Times New Roman" w:cs="Times New Roman"/>
          <w:i/>
          <w:iCs/>
          <w:sz w:val="24"/>
          <w:szCs w:val="24"/>
        </w:rPr>
        <w:t>usantotomas</w:t>
      </w:r>
      <w:proofErr w:type="spellEnd"/>
      <w:r w:rsidR="001348F0">
        <w:rPr>
          <w:rFonts w:ascii="Times New Roman" w:hAnsi="Times New Roman" w:cs="Times New Roman"/>
          <w:i/>
          <w:iCs/>
          <w:sz w:val="24"/>
          <w:szCs w:val="24"/>
        </w:rPr>
        <w:t xml:space="preserve">. Vol.11. No. 1, pp. 099-111. </w:t>
      </w:r>
      <w:hyperlink r:id="rId31" w:history="1">
        <w:r w:rsidR="001348F0" w:rsidRPr="001F4BF9">
          <w:rPr>
            <w:rStyle w:val="Hipervnculo"/>
            <w:rFonts w:ascii="Times New Roman" w:hAnsi="Times New Roman" w:cs="Times New Roman"/>
            <w:sz w:val="24"/>
            <w:szCs w:val="24"/>
          </w:rPr>
          <w:t>https://revistas.usantotomas.edu.co/index.php/diversitas/article/view/2500/2430</w:t>
        </w:r>
      </w:hyperlink>
      <w:r w:rsidR="001348F0">
        <w:rPr>
          <w:rFonts w:ascii="Times New Roman" w:hAnsi="Times New Roman" w:cs="Times New Roman"/>
          <w:sz w:val="24"/>
          <w:szCs w:val="24"/>
        </w:rPr>
        <w:t xml:space="preserve"> </w:t>
      </w:r>
      <w:r w:rsidRPr="00C94991">
        <w:rPr>
          <w:rFonts w:ascii="Times New Roman" w:hAnsi="Times New Roman" w:cs="Times New Roman"/>
          <w:sz w:val="24"/>
          <w:szCs w:val="24"/>
        </w:rPr>
        <w:t xml:space="preserve"> </w:t>
      </w:r>
    </w:p>
    <w:p w14:paraId="0F38DB9E" w14:textId="256C4255" w:rsidR="00C94991" w:rsidRPr="00C94991" w:rsidRDefault="00C94991" w:rsidP="00C94991">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t xml:space="preserve">Navarro Morales, P. Y. (2019). </w:t>
      </w:r>
      <w:r w:rsidRPr="001348F0">
        <w:rPr>
          <w:rFonts w:ascii="Times New Roman" w:hAnsi="Times New Roman" w:cs="Times New Roman"/>
          <w:i/>
          <w:iCs/>
          <w:sz w:val="24"/>
          <w:szCs w:val="24"/>
        </w:rPr>
        <w:t xml:space="preserve">Emoción y personalidad: fundamentos tomistas de la" </w:t>
      </w:r>
      <w:proofErr w:type="spellStart"/>
      <w:r w:rsidRPr="001348F0">
        <w:rPr>
          <w:rFonts w:ascii="Times New Roman" w:hAnsi="Times New Roman" w:cs="Times New Roman"/>
          <w:i/>
          <w:iCs/>
          <w:sz w:val="24"/>
          <w:szCs w:val="24"/>
        </w:rPr>
        <w:t>appraisal</w:t>
      </w:r>
      <w:proofErr w:type="spellEnd"/>
      <w:r w:rsidRPr="001348F0">
        <w:rPr>
          <w:rFonts w:ascii="Times New Roman" w:hAnsi="Times New Roman" w:cs="Times New Roman"/>
          <w:i/>
          <w:iCs/>
          <w:sz w:val="24"/>
          <w:szCs w:val="24"/>
        </w:rPr>
        <w:t xml:space="preserve"> </w:t>
      </w:r>
      <w:proofErr w:type="spellStart"/>
      <w:r w:rsidRPr="001348F0">
        <w:rPr>
          <w:rFonts w:ascii="Times New Roman" w:hAnsi="Times New Roman" w:cs="Times New Roman"/>
          <w:i/>
          <w:iCs/>
          <w:sz w:val="24"/>
          <w:szCs w:val="24"/>
        </w:rPr>
        <w:t>theory</w:t>
      </w:r>
      <w:proofErr w:type="spellEnd"/>
      <w:r w:rsidR="00F145C7" w:rsidRPr="001348F0">
        <w:rPr>
          <w:rFonts w:ascii="Times New Roman" w:hAnsi="Times New Roman" w:cs="Times New Roman"/>
          <w:i/>
          <w:iCs/>
          <w:sz w:val="24"/>
          <w:szCs w:val="24"/>
        </w:rPr>
        <w:t>”.</w:t>
      </w:r>
      <w:r w:rsidR="00F145C7">
        <w:rPr>
          <w:rFonts w:ascii="Times New Roman" w:hAnsi="Times New Roman" w:cs="Times New Roman"/>
          <w:sz w:val="24"/>
          <w:szCs w:val="24"/>
        </w:rPr>
        <w:t xml:space="preserve"> </w:t>
      </w:r>
      <w:r w:rsidRPr="00C94991">
        <w:rPr>
          <w:rFonts w:ascii="Times New Roman" w:hAnsi="Times New Roman" w:cs="Times New Roman"/>
          <w:sz w:val="24"/>
          <w:szCs w:val="24"/>
        </w:rPr>
        <w:t>Magda B. Arnold.</w:t>
      </w:r>
    </w:p>
    <w:p w14:paraId="134DF1AD" w14:textId="77777777" w:rsidR="00C94991" w:rsidRPr="00F145C7" w:rsidRDefault="00C94991" w:rsidP="00C94991">
      <w:pPr>
        <w:spacing w:line="480" w:lineRule="auto"/>
        <w:ind w:left="720" w:hanging="720"/>
        <w:rPr>
          <w:rFonts w:ascii="Times New Roman" w:hAnsi="Times New Roman" w:cs="Times New Roman"/>
          <w:i/>
          <w:iCs/>
          <w:sz w:val="24"/>
          <w:szCs w:val="24"/>
        </w:rPr>
      </w:pPr>
      <w:r w:rsidRPr="00C94991">
        <w:rPr>
          <w:rFonts w:ascii="Times New Roman" w:hAnsi="Times New Roman" w:cs="Times New Roman"/>
          <w:sz w:val="24"/>
          <w:szCs w:val="24"/>
        </w:rPr>
        <w:lastRenderedPageBreak/>
        <w:t xml:space="preserve">Ostrosky, F., &amp; Vélez, A. (2013). Neurobiología de las emociones. </w:t>
      </w:r>
      <w:r w:rsidRPr="00F145C7">
        <w:rPr>
          <w:rFonts w:ascii="Times New Roman" w:hAnsi="Times New Roman" w:cs="Times New Roman"/>
          <w:i/>
          <w:iCs/>
          <w:sz w:val="24"/>
          <w:szCs w:val="24"/>
        </w:rPr>
        <w:t>Revista Neuropsicología, Neuropsiquiatría y Neurociencias, 13(1), 1-13.</w:t>
      </w:r>
    </w:p>
    <w:p w14:paraId="303D32F2" w14:textId="5654505B" w:rsidR="00C94991" w:rsidRPr="00C94991" w:rsidRDefault="00C94991" w:rsidP="00C94991">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t xml:space="preserve">Pedraza Ortiz, A. P., Y Sánchez Salgado, y I.A. González Tobar. (2020). Abordajes investigativos sobre violencia intrafamiliar en Colombia desde la literatura científica. </w:t>
      </w:r>
      <w:r w:rsidRPr="00F145C7">
        <w:rPr>
          <w:rFonts w:ascii="Times New Roman" w:hAnsi="Times New Roman" w:cs="Times New Roman"/>
          <w:i/>
          <w:iCs/>
          <w:sz w:val="24"/>
          <w:szCs w:val="24"/>
        </w:rPr>
        <w:t>Actualidades Pedagógicas, (75), 81-102.</w:t>
      </w:r>
      <w:r w:rsidRPr="00C94991">
        <w:rPr>
          <w:rFonts w:ascii="Times New Roman" w:hAnsi="Times New Roman" w:cs="Times New Roman"/>
          <w:sz w:val="24"/>
          <w:szCs w:val="24"/>
        </w:rPr>
        <w:t xml:space="preserve"> </w:t>
      </w:r>
      <w:hyperlink r:id="rId32" w:history="1">
        <w:r w:rsidR="00F145C7" w:rsidRPr="001F4BF9">
          <w:rPr>
            <w:rStyle w:val="Hipervnculo"/>
            <w:rFonts w:ascii="Times New Roman" w:hAnsi="Times New Roman" w:cs="Times New Roman"/>
            <w:sz w:val="24"/>
            <w:szCs w:val="24"/>
          </w:rPr>
          <w:t>https://doi.org/10.19052/ap.vol1.iss75.5</w:t>
        </w:r>
      </w:hyperlink>
      <w:r w:rsidR="00F145C7">
        <w:rPr>
          <w:rFonts w:ascii="Times New Roman" w:hAnsi="Times New Roman" w:cs="Times New Roman"/>
          <w:sz w:val="24"/>
          <w:szCs w:val="24"/>
        </w:rPr>
        <w:t xml:space="preserve"> </w:t>
      </w:r>
      <w:r w:rsidRPr="00C94991">
        <w:rPr>
          <w:rFonts w:ascii="Times New Roman" w:hAnsi="Times New Roman" w:cs="Times New Roman"/>
          <w:sz w:val="24"/>
          <w:szCs w:val="24"/>
        </w:rPr>
        <w:t xml:space="preserve"> </w:t>
      </w:r>
    </w:p>
    <w:p w14:paraId="36D83120" w14:textId="77777777" w:rsidR="00C94991" w:rsidRPr="00C94991" w:rsidRDefault="00C94991" w:rsidP="00C94991">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t xml:space="preserve">Restrepo Betancur, L. F. (2023). Violencia intrafamiliar en Colombia en los últimos doce años. </w:t>
      </w:r>
      <w:r w:rsidRPr="00F145C7">
        <w:rPr>
          <w:rFonts w:ascii="Times New Roman" w:hAnsi="Times New Roman" w:cs="Times New Roman"/>
          <w:i/>
          <w:iCs/>
          <w:sz w:val="24"/>
          <w:szCs w:val="24"/>
        </w:rPr>
        <w:t>El Ágora USB, 23(1), 154–165.</w:t>
      </w:r>
      <w:r w:rsidRPr="00C94991">
        <w:rPr>
          <w:rFonts w:ascii="Times New Roman" w:hAnsi="Times New Roman" w:cs="Times New Roman"/>
          <w:sz w:val="24"/>
          <w:szCs w:val="24"/>
        </w:rPr>
        <w:t xml:space="preserve"> https://doi.org/10.21500/16578031.6040 </w:t>
      </w:r>
    </w:p>
    <w:p w14:paraId="1EE16FD8" w14:textId="4165C54B" w:rsidR="00C94991" w:rsidRPr="00C94991" w:rsidRDefault="00F145C7" w:rsidP="00C94991">
      <w:pPr>
        <w:spacing w:line="480" w:lineRule="auto"/>
        <w:ind w:left="720" w:hanging="720"/>
        <w:rPr>
          <w:rFonts w:ascii="Times New Roman" w:hAnsi="Times New Roman" w:cs="Times New Roman"/>
          <w:sz w:val="24"/>
          <w:szCs w:val="24"/>
        </w:rPr>
      </w:pPr>
      <w:r w:rsidRPr="00F145C7">
        <w:rPr>
          <w:rFonts w:ascii="Times New Roman" w:hAnsi="Times New Roman" w:cs="Times New Roman"/>
          <w:sz w:val="24"/>
          <w:szCs w:val="24"/>
        </w:rPr>
        <w:t>Saiz Ruiz, J., Carrasco, J., Concepto, P., Tipos, N., &amp; Agresividad, D. (</w:t>
      </w:r>
      <w:proofErr w:type="spellStart"/>
      <w:r w:rsidRPr="00F145C7">
        <w:rPr>
          <w:rFonts w:ascii="Times New Roman" w:hAnsi="Times New Roman" w:cs="Times New Roman"/>
          <w:sz w:val="24"/>
          <w:szCs w:val="24"/>
        </w:rPr>
        <w:t>n.d</w:t>
      </w:r>
      <w:proofErr w:type="spellEnd"/>
      <w:r w:rsidRPr="00F145C7">
        <w:rPr>
          <w:rFonts w:ascii="Times New Roman" w:hAnsi="Times New Roman" w:cs="Times New Roman"/>
          <w:sz w:val="24"/>
          <w:szCs w:val="24"/>
        </w:rPr>
        <w:t xml:space="preserve">.). </w:t>
      </w:r>
      <w:r w:rsidRPr="00F145C7">
        <w:rPr>
          <w:rFonts w:ascii="Times New Roman" w:hAnsi="Times New Roman" w:cs="Times New Roman"/>
          <w:i/>
          <w:iCs/>
          <w:sz w:val="24"/>
          <w:szCs w:val="24"/>
        </w:rPr>
        <w:t>Conductas violentas.</w:t>
      </w:r>
      <w:r w:rsidRPr="00F145C7">
        <w:rPr>
          <w:rFonts w:ascii="Times New Roman" w:hAnsi="Times New Roman" w:cs="Times New Roman"/>
          <w:sz w:val="24"/>
          <w:szCs w:val="24"/>
        </w:rPr>
        <w:t xml:space="preserve"> </w:t>
      </w:r>
      <w:hyperlink r:id="rId33" w:history="1">
        <w:r w:rsidRPr="001F4BF9">
          <w:rPr>
            <w:rStyle w:val="Hipervnculo"/>
            <w:rFonts w:ascii="Times New Roman" w:hAnsi="Times New Roman" w:cs="Times New Roman"/>
            <w:sz w:val="24"/>
            <w:szCs w:val="24"/>
          </w:rPr>
          <w:t>https://psiquiatria.com/tratado/cap_48.pdf</w:t>
        </w:r>
      </w:hyperlink>
      <w:r>
        <w:rPr>
          <w:rFonts w:ascii="Times New Roman" w:hAnsi="Times New Roman" w:cs="Times New Roman"/>
          <w:sz w:val="24"/>
          <w:szCs w:val="24"/>
        </w:rPr>
        <w:t xml:space="preserve"> </w:t>
      </w:r>
    </w:p>
    <w:p w14:paraId="498C756E" w14:textId="3BAB75C5" w:rsidR="00C94991" w:rsidRPr="00C94991" w:rsidRDefault="00C94991" w:rsidP="00C94991">
      <w:pPr>
        <w:spacing w:line="480" w:lineRule="auto"/>
        <w:ind w:left="720" w:hanging="720"/>
        <w:rPr>
          <w:rFonts w:ascii="Times New Roman" w:hAnsi="Times New Roman" w:cs="Times New Roman"/>
          <w:sz w:val="24"/>
          <w:szCs w:val="24"/>
        </w:rPr>
      </w:pPr>
      <w:r w:rsidRPr="00C94991">
        <w:rPr>
          <w:rFonts w:ascii="Times New Roman" w:hAnsi="Times New Roman" w:cs="Times New Roman"/>
          <w:sz w:val="24"/>
          <w:szCs w:val="24"/>
        </w:rPr>
        <w:t xml:space="preserve">Ministro de Justicia y del Derecho. (2013). </w:t>
      </w:r>
      <w:r w:rsidRPr="00F145C7">
        <w:rPr>
          <w:rFonts w:ascii="Times New Roman" w:hAnsi="Times New Roman" w:cs="Times New Roman"/>
          <w:i/>
          <w:iCs/>
          <w:sz w:val="24"/>
          <w:szCs w:val="24"/>
        </w:rPr>
        <w:t>Guía Pedagógica para Comisarías de Familia sobre el procedimiento para el abordaje de la violencia intrafamiliar con enfoque de género.</w:t>
      </w:r>
      <w:r w:rsidRPr="00C94991">
        <w:rPr>
          <w:rFonts w:ascii="Times New Roman" w:hAnsi="Times New Roman" w:cs="Times New Roman"/>
          <w:sz w:val="24"/>
          <w:szCs w:val="24"/>
        </w:rPr>
        <w:t xml:space="preserve"> </w:t>
      </w:r>
      <w:hyperlink r:id="rId34" w:history="1">
        <w:r w:rsidR="00F145C7" w:rsidRPr="001F4BF9">
          <w:rPr>
            <w:rStyle w:val="Hipervnculo"/>
            <w:rFonts w:ascii="Times New Roman" w:hAnsi="Times New Roman" w:cs="Times New Roman"/>
            <w:sz w:val="24"/>
            <w:szCs w:val="24"/>
          </w:rPr>
          <w:t>https://www.minjusticia.gov.co/Sala-de-prensa/PublicacionesMinJusticia/Gu%C3%ADa%20Pedag%C3%B3gica%20para%20Comisar%C3%ADas%20de%20Familia.pdf</w:t>
        </w:r>
      </w:hyperlink>
      <w:r w:rsidR="00F145C7">
        <w:rPr>
          <w:rFonts w:ascii="Times New Roman" w:hAnsi="Times New Roman" w:cs="Times New Roman"/>
          <w:sz w:val="24"/>
          <w:szCs w:val="24"/>
        </w:rPr>
        <w:t xml:space="preserve"> </w:t>
      </w:r>
    </w:p>
    <w:p w14:paraId="55D330EF" w14:textId="41D8681E" w:rsidR="00C94991" w:rsidRPr="00C94991" w:rsidRDefault="00D36695" w:rsidP="002111B5">
      <w:pPr>
        <w:spacing w:line="480" w:lineRule="auto"/>
        <w:ind w:left="720" w:hanging="720"/>
        <w:rPr>
          <w:rFonts w:ascii="Times New Roman" w:hAnsi="Times New Roman" w:cs="Times New Roman"/>
          <w:sz w:val="24"/>
          <w:szCs w:val="24"/>
        </w:rPr>
      </w:pPr>
      <w:proofErr w:type="spellStart"/>
      <w:r w:rsidRPr="00D36695">
        <w:rPr>
          <w:rFonts w:ascii="Times New Roman" w:hAnsi="Times New Roman" w:cs="Times New Roman"/>
          <w:sz w:val="24"/>
          <w:szCs w:val="24"/>
        </w:rPr>
        <w:t>Squillace</w:t>
      </w:r>
      <w:proofErr w:type="spellEnd"/>
      <w:r w:rsidRPr="00D36695">
        <w:rPr>
          <w:rFonts w:ascii="Times New Roman" w:hAnsi="Times New Roman" w:cs="Times New Roman"/>
          <w:sz w:val="24"/>
          <w:szCs w:val="24"/>
        </w:rPr>
        <w:t xml:space="preserve"> </w:t>
      </w:r>
      <w:proofErr w:type="spellStart"/>
      <w:r w:rsidRPr="00D36695">
        <w:rPr>
          <w:rFonts w:ascii="Times New Roman" w:hAnsi="Times New Roman" w:cs="Times New Roman"/>
          <w:sz w:val="24"/>
          <w:szCs w:val="24"/>
        </w:rPr>
        <w:t>Louhau</w:t>
      </w:r>
      <w:proofErr w:type="spellEnd"/>
      <w:r w:rsidRPr="00D36695">
        <w:rPr>
          <w:rFonts w:ascii="Times New Roman" w:hAnsi="Times New Roman" w:cs="Times New Roman"/>
          <w:sz w:val="24"/>
          <w:szCs w:val="24"/>
        </w:rPr>
        <w:t xml:space="preserve">, M. R., Menéndez, J. A., &amp; </w:t>
      </w:r>
      <w:proofErr w:type="spellStart"/>
      <w:r w:rsidRPr="00D36695">
        <w:rPr>
          <w:rFonts w:ascii="Times New Roman" w:hAnsi="Times New Roman" w:cs="Times New Roman"/>
          <w:sz w:val="24"/>
          <w:szCs w:val="24"/>
        </w:rPr>
        <w:t>Ferreres</w:t>
      </w:r>
      <w:proofErr w:type="spellEnd"/>
      <w:r w:rsidRPr="00D36695">
        <w:rPr>
          <w:rFonts w:ascii="Times New Roman" w:hAnsi="Times New Roman" w:cs="Times New Roman"/>
          <w:sz w:val="24"/>
          <w:szCs w:val="24"/>
        </w:rPr>
        <w:t xml:space="preserve">, A. R. (2021). Emociones: Una perspectiva desde la psicología evolucionista. </w:t>
      </w:r>
      <w:r w:rsidRPr="00D36695">
        <w:rPr>
          <w:rFonts w:ascii="Times New Roman" w:hAnsi="Times New Roman" w:cs="Times New Roman"/>
          <w:i/>
          <w:iCs/>
          <w:sz w:val="24"/>
          <w:szCs w:val="24"/>
        </w:rPr>
        <w:t>Neuropsicología Latinoamericana, 13(2).</w:t>
      </w:r>
      <w:r>
        <w:rPr>
          <w:rFonts w:ascii="Times New Roman" w:hAnsi="Times New Roman" w:cs="Times New Roman"/>
          <w:sz w:val="24"/>
          <w:szCs w:val="24"/>
        </w:rPr>
        <w:t xml:space="preserve"> </w:t>
      </w:r>
      <w:hyperlink r:id="rId35" w:history="1">
        <w:r w:rsidRPr="001F4BF9">
          <w:rPr>
            <w:rStyle w:val="Hipervnculo"/>
            <w:rFonts w:ascii="Times New Roman" w:hAnsi="Times New Roman" w:cs="Times New Roman"/>
            <w:sz w:val="24"/>
            <w:szCs w:val="24"/>
          </w:rPr>
          <w:t>https://www.neuropsicolatina.org/index.php/Neuropsicologia_Latinoamericana/article/view/728/314</w:t>
        </w:r>
      </w:hyperlink>
      <w:r>
        <w:rPr>
          <w:rFonts w:ascii="Times New Roman" w:hAnsi="Times New Roman" w:cs="Times New Roman"/>
          <w:sz w:val="24"/>
          <w:szCs w:val="24"/>
        </w:rPr>
        <w:t xml:space="preserve"> </w:t>
      </w:r>
    </w:p>
    <w:p w14:paraId="7C1CA5DB" w14:textId="77777777" w:rsidR="00C94991" w:rsidRPr="00C94991" w:rsidRDefault="00C94991" w:rsidP="00C94991">
      <w:pPr>
        <w:spacing w:line="480" w:lineRule="auto"/>
        <w:ind w:left="720" w:hanging="720"/>
        <w:rPr>
          <w:rFonts w:ascii="Times New Roman" w:hAnsi="Times New Roman" w:cs="Times New Roman"/>
          <w:sz w:val="24"/>
          <w:szCs w:val="24"/>
        </w:rPr>
      </w:pPr>
    </w:p>
    <w:p w14:paraId="18B8FC98" w14:textId="77777777" w:rsidR="00C94991" w:rsidRPr="000E548F" w:rsidRDefault="00C94991" w:rsidP="003C54FB">
      <w:pPr>
        <w:spacing w:line="480" w:lineRule="auto"/>
        <w:ind w:firstLine="720"/>
        <w:rPr>
          <w:rFonts w:ascii="Times New Roman" w:hAnsi="Times New Roman" w:cs="Times New Roman"/>
          <w:sz w:val="24"/>
          <w:szCs w:val="24"/>
        </w:rPr>
      </w:pPr>
    </w:p>
    <w:sectPr w:rsidR="00C94991" w:rsidRPr="000E548F" w:rsidSect="000E548F">
      <w:headerReference w:type="default" r:id="rId36"/>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B63F092" w14:textId="77777777" w:rsidR="00A70CEF" w:rsidRDefault="00A70CEF" w:rsidP="000E548F">
      <w:pPr>
        <w:spacing w:after="0" w:line="240" w:lineRule="auto"/>
      </w:pPr>
      <w:r>
        <w:separator/>
      </w:r>
    </w:p>
  </w:endnote>
  <w:endnote w:type="continuationSeparator" w:id="0">
    <w:p w14:paraId="0404B9F9" w14:textId="77777777" w:rsidR="00A70CEF" w:rsidRDefault="00A70CEF" w:rsidP="000E54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eiryo">
    <w:charset w:val="80"/>
    <w:family w:val="swiss"/>
    <w:pitch w:val="variable"/>
    <w:sig w:usb0="E00002FF" w:usb1="6AC7FFFF"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6C6A09" w14:textId="77777777" w:rsidR="00A70CEF" w:rsidRDefault="00A70CEF" w:rsidP="000E548F">
      <w:pPr>
        <w:spacing w:after="0" w:line="240" w:lineRule="auto"/>
      </w:pPr>
      <w:r>
        <w:separator/>
      </w:r>
    </w:p>
  </w:footnote>
  <w:footnote w:type="continuationSeparator" w:id="0">
    <w:p w14:paraId="1709EF74" w14:textId="77777777" w:rsidR="00A70CEF" w:rsidRDefault="00A70CEF" w:rsidP="000E54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17567799"/>
      <w:docPartObj>
        <w:docPartGallery w:val="Page Numbers (Top of Page)"/>
        <w:docPartUnique/>
      </w:docPartObj>
    </w:sdtPr>
    <w:sdtEndPr/>
    <w:sdtContent>
      <w:p w14:paraId="59A8A966" w14:textId="272B99BF" w:rsidR="000E548F" w:rsidRDefault="000E548F">
        <w:pPr>
          <w:pStyle w:val="Encabezado"/>
          <w:jc w:val="right"/>
        </w:pPr>
        <w:r>
          <w:fldChar w:fldCharType="begin"/>
        </w:r>
        <w:r>
          <w:instrText>PAGE   \* MERGEFORMAT</w:instrText>
        </w:r>
        <w:r>
          <w:fldChar w:fldCharType="separate"/>
        </w:r>
        <w:r>
          <w:rPr>
            <w:lang w:val="es-ES"/>
          </w:rPr>
          <w:t>2</w:t>
        </w:r>
        <w:r>
          <w:fldChar w:fldCharType="end"/>
        </w:r>
      </w:p>
    </w:sdtContent>
  </w:sdt>
  <w:p w14:paraId="1686A6DF" w14:textId="77777777" w:rsidR="000E548F" w:rsidRDefault="000E548F">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548F"/>
    <w:rsid w:val="000B67B5"/>
    <w:rsid w:val="000D2392"/>
    <w:rsid w:val="000E548F"/>
    <w:rsid w:val="001241F8"/>
    <w:rsid w:val="001348F0"/>
    <w:rsid w:val="00145934"/>
    <w:rsid w:val="002111B5"/>
    <w:rsid w:val="00293091"/>
    <w:rsid w:val="002E172D"/>
    <w:rsid w:val="0037467C"/>
    <w:rsid w:val="003A27EA"/>
    <w:rsid w:val="003A34C4"/>
    <w:rsid w:val="003C54FB"/>
    <w:rsid w:val="0042486D"/>
    <w:rsid w:val="0049062E"/>
    <w:rsid w:val="00493CCD"/>
    <w:rsid w:val="004C0BC3"/>
    <w:rsid w:val="00571672"/>
    <w:rsid w:val="00647B12"/>
    <w:rsid w:val="006761F5"/>
    <w:rsid w:val="0072078C"/>
    <w:rsid w:val="007E5B2A"/>
    <w:rsid w:val="008A3884"/>
    <w:rsid w:val="008A40B2"/>
    <w:rsid w:val="008A5DE1"/>
    <w:rsid w:val="00985A47"/>
    <w:rsid w:val="009B3158"/>
    <w:rsid w:val="00A70CEF"/>
    <w:rsid w:val="00A960EE"/>
    <w:rsid w:val="00C94991"/>
    <w:rsid w:val="00D36695"/>
    <w:rsid w:val="00D55D22"/>
    <w:rsid w:val="00DD1BAD"/>
    <w:rsid w:val="00DF0E44"/>
    <w:rsid w:val="00E2126F"/>
    <w:rsid w:val="00E6758F"/>
    <w:rsid w:val="00F145C7"/>
    <w:rsid w:val="00FD4A1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62AEBC"/>
  <w15:chartTrackingRefBased/>
  <w15:docId w15:val="{43196BD2-9927-4C3A-80F5-C8641D2646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E548F"/>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0E548F"/>
    <w:rPr>
      <w:lang w:val="es-ES_tradnl"/>
    </w:rPr>
  </w:style>
  <w:style w:type="paragraph" w:styleId="Piedepgina">
    <w:name w:val="footer"/>
    <w:basedOn w:val="Normal"/>
    <w:link w:val="PiedepginaCar"/>
    <w:uiPriority w:val="99"/>
    <w:unhideWhenUsed/>
    <w:rsid w:val="000E548F"/>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0E548F"/>
    <w:rPr>
      <w:lang w:val="es-ES_tradnl"/>
    </w:rPr>
  </w:style>
  <w:style w:type="character" w:styleId="Hipervnculo">
    <w:name w:val="Hyperlink"/>
    <w:basedOn w:val="Fuentedeprrafopredeter"/>
    <w:uiPriority w:val="99"/>
    <w:unhideWhenUsed/>
    <w:rsid w:val="001241F8"/>
    <w:rPr>
      <w:color w:val="0563C1" w:themeColor="hyperlink"/>
      <w:u w:val="single"/>
    </w:rPr>
  </w:style>
  <w:style w:type="character" w:styleId="Mencinsinresolver">
    <w:name w:val="Unresolved Mention"/>
    <w:basedOn w:val="Fuentedeprrafopredeter"/>
    <w:uiPriority w:val="99"/>
    <w:semiHidden/>
    <w:unhideWhenUsed/>
    <w:rsid w:val="001241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epository.javeriana.edu.co/handle/10554/60333" TargetMode="External"/><Relationship Id="rId18" Type="http://schemas.openxmlformats.org/officeDocument/2006/relationships/hyperlink" Target="https://doi.org/10.21615/cesder.8.1.7" TargetMode="External"/><Relationship Id="rId26" Type="http://schemas.openxmlformats.org/officeDocument/2006/relationships/hyperlink" Target="http://www.secretariasenado.gov.co/senado/basedoc/ley_1257_2008.html" TargetMode="External"/><Relationship Id="rId21" Type="http://schemas.openxmlformats.org/officeDocument/2006/relationships/hyperlink" Target="https://dialnet.unirioja.es/servlet/articulo?codigo=6671984" TargetMode="External"/><Relationship Id="rId34" Type="http://schemas.openxmlformats.org/officeDocument/2006/relationships/hyperlink" Target="https://www.minjusticia.gov.co/Sala-de-prensa/PublicacionesMinJusticia/Gu%C3%ADa%20Pedag%C3%B3gica%20para%20Comisar%C3%ADas%20de%20Familia.pdf" TargetMode="External"/><Relationship Id="rId7" Type="http://schemas.openxmlformats.org/officeDocument/2006/relationships/hyperlink" Target="https://doi.org/10.30827/acfs.v57i.23978" TargetMode="External"/><Relationship Id="rId12" Type="http://schemas.openxmlformats.org/officeDocument/2006/relationships/hyperlink" Target="http://revistacdvs.uflo.edu.ar/index.php/CdVUFLO/article/view/263" TargetMode="External"/><Relationship Id="rId17" Type="http://schemas.openxmlformats.org/officeDocument/2006/relationships/hyperlink" Target="https://doi.org/10.18359/prole.6183" TargetMode="External"/><Relationship Id="rId25" Type="http://schemas.openxmlformats.org/officeDocument/2006/relationships/hyperlink" Target="http://www.secretariasenado.gov.co/senado/basedoc/ley_1098_2006.html" TargetMode="External"/><Relationship Id="rId33" Type="http://schemas.openxmlformats.org/officeDocument/2006/relationships/hyperlink" Target="https://psiquiatria.com/tratado/cap_48.pdf" TargetMode="External"/><Relationship Id="rId38"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doi.org/10.16925/2145-9649.2020.02.03" TargetMode="External"/><Relationship Id="rId20" Type="http://schemas.openxmlformats.org/officeDocument/2006/relationships/hyperlink" Target="https://www.medicinalegal.gov.co/cifras-estadisticas/boletines-estadisticos-mensuales" TargetMode="External"/><Relationship Id="rId29" Type="http://schemas.openxmlformats.org/officeDocument/2006/relationships/hyperlink" Target="https://www.funcionpublica.gov.co/eva/gestornormativo/norma.php?i=168066" TargetMode="External"/><Relationship Id="rId1" Type="http://schemas.openxmlformats.org/officeDocument/2006/relationships/styles" Target="styles.xml"/><Relationship Id="rId6" Type="http://schemas.openxmlformats.org/officeDocument/2006/relationships/hyperlink" Target="https://estudiospsicologicos.com/index.php/rep/article/view/51/106" TargetMode="External"/><Relationship Id="rId11" Type="http://schemas.openxmlformats.org/officeDocument/2006/relationships/hyperlink" Target="https://casadelasestrategias.com/violencias-en-el-contexto-familiar/" TargetMode="External"/><Relationship Id="rId24" Type="http://schemas.openxmlformats.org/officeDocument/2006/relationships/hyperlink" Target="http://www.secretariasenado.gov.co/senado/basedoc/ley_0575_2000.html" TargetMode="External"/><Relationship Id="rId32" Type="http://schemas.openxmlformats.org/officeDocument/2006/relationships/hyperlink" Target="https://doi.org/10.19052/ap.vol1.iss75.5" TargetMode="External"/><Relationship Id="rId37"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hyperlink" Target="https://revistas.usantotomas.edu.co/index.php/episteme/article/view/6893/6436" TargetMode="External"/><Relationship Id="rId23" Type="http://schemas.openxmlformats.org/officeDocument/2006/relationships/hyperlink" Target="https://www.funcionpublica.gov.co/eva/gestornormativo/norma.php?i=5387" TargetMode="External"/><Relationship Id="rId28" Type="http://schemas.openxmlformats.org/officeDocument/2006/relationships/hyperlink" Target="http://www.secretariasenado.gov.co/senado/basedoc/ley_1850_2017.html" TargetMode="External"/><Relationship Id="rId36" Type="http://schemas.openxmlformats.org/officeDocument/2006/relationships/header" Target="header1.xml"/><Relationship Id="rId10" Type="http://schemas.openxmlformats.org/officeDocument/2006/relationships/hyperlink" Target="https://www.redalyc.org/journal/1390/139069262012/" TargetMode="External"/><Relationship Id="rId19" Type="http://schemas.openxmlformats.org/officeDocument/2006/relationships/hyperlink" Target="https://ar.ijeditores.com/pop.php?option=articulo&amp;Hash=a500ec0235a9795fb7d97c521abeb0aa" TargetMode="External"/><Relationship Id="rId31" Type="http://schemas.openxmlformats.org/officeDocument/2006/relationships/hyperlink" Target="https://revistas.usantotomas.edu.co/index.php/diversitas/article/view/2500/2430" TargetMode="External"/><Relationship Id="rId4" Type="http://schemas.openxmlformats.org/officeDocument/2006/relationships/footnotes" Target="footnotes.xml"/><Relationship Id="rId9" Type="http://schemas.openxmlformats.org/officeDocument/2006/relationships/hyperlink" Target="https://www.researchgate.net/publication/257941649_Orientaciones_en_el_estudio_de_la_emocion" TargetMode="External"/><Relationship Id="rId14" Type="http://schemas.openxmlformats.org/officeDocument/2006/relationships/hyperlink" Target="https://normativa.archivogeneral.gov.co/constitucion-politica-1991/" TargetMode="External"/><Relationship Id="rId22" Type="http://schemas.openxmlformats.org/officeDocument/2006/relationships/hyperlink" Target="https://www.semanticscholar.org/paper/Perspectiva-moral-de-las-emociones-en-los-contextos-Johnson-Arduiz/99b7aa1d84b679a86e17548d1988bfcdba6f4d90" TargetMode="External"/><Relationship Id="rId27" Type="http://schemas.openxmlformats.org/officeDocument/2006/relationships/hyperlink" Target="http://www.secretariasenado.gov.co/senado/basedoc/ley_1564_2012.html" TargetMode="External"/><Relationship Id="rId30" Type="http://schemas.openxmlformats.org/officeDocument/2006/relationships/hyperlink" Target="https://planeacion.boyaca.gov.co/wp-content/uploads/2024/12/BOLETIN-1-de-Violencia-10-dic-2024.pdf" TargetMode="External"/><Relationship Id="rId35" Type="http://schemas.openxmlformats.org/officeDocument/2006/relationships/hyperlink" Target="https://www.neuropsicolatina.org/index.php/Neuropsicologia_Latinoamericana/article/view/728/314" TargetMode="External"/><Relationship Id="rId8" Type="http://schemas.openxmlformats.org/officeDocument/2006/relationships/hyperlink" Target="https://books.google.es/books?hl=es&amp;lr=&amp;id=gAmIDwAAQBAJ&amp;oi=fnd&amp;pg=PT4&amp;dq=el+gobierno+de+las+emociones&amp;ots=bhtO5eb3m7&amp;sig=Kz-YyyxZL1MF8yOxIgZnuK9IZQg" TargetMode="External"/><Relationship Id="rId3"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327</TotalTime>
  <Pages>39</Pages>
  <Words>10418</Words>
  <Characters>57301</Characters>
  <Application>Microsoft Office Word</Application>
  <DocSecurity>0</DocSecurity>
  <Lines>477</Lines>
  <Paragraphs>135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LUZ ANGELA MAYELI BARRERA HERRERA</dc:creator>
  <cp:keywords/>
  <dc:description/>
  <cp:lastModifiedBy>LUZ ANGELA MAYELI BARRERA HERRERA</cp:lastModifiedBy>
  <cp:revision>11</cp:revision>
  <dcterms:created xsi:type="dcterms:W3CDTF">2025-02-18T00:35:00Z</dcterms:created>
  <dcterms:modified xsi:type="dcterms:W3CDTF">2025-02-19T19:16:00Z</dcterms:modified>
</cp:coreProperties>
</file>