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7056" w:rsidRPr="00E112DE" w:rsidRDefault="002F7056" w:rsidP="002F7056">
      <w:pPr>
        <w:spacing w:line="240" w:lineRule="auto"/>
        <w:jc w:val="center"/>
        <w:rPr>
          <w:rFonts w:ascii="Arial" w:hAnsi="Arial" w:cs="Arial"/>
          <w:b/>
          <w:sz w:val="20"/>
          <w:szCs w:val="20"/>
          <w:lang w:val="es-ES"/>
        </w:rPr>
      </w:pPr>
      <w:r w:rsidRPr="00E112DE">
        <w:rPr>
          <w:rFonts w:ascii="Arial" w:eastAsia="Calibri" w:hAnsi="Arial" w:cs="Arial"/>
          <w:b/>
          <w:sz w:val="20"/>
          <w:szCs w:val="20"/>
          <w:lang w:val="es-ES"/>
        </w:rPr>
        <w:t>Marco</w:t>
      </w:r>
      <w:r w:rsidRPr="00E112DE">
        <w:rPr>
          <w:rFonts w:ascii="Arial" w:hAnsi="Arial" w:cs="Arial"/>
          <w:b/>
          <w:sz w:val="20"/>
          <w:szCs w:val="20"/>
          <w:lang w:val="es-ES"/>
        </w:rPr>
        <w:t xml:space="preserve"> </w:t>
      </w:r>
      <w:r w:rsidRPr="00E112DE">
        <w:rPr>
          <w:rFonts w:ascii="Arial" w:eastAsia="Calibri" w:hAnsi="Arial" w:cs="Arial"/>
          <w:b/>
          <w:sz w:val="20"/>
          <w:szCs w:val="20"/>
          <w:lang w:val="es-ES"/>
        </w:rPr>
        <w:t>conceptual</w:t>
      </w:r>
      <w:r w:rsidRPr="00E112DE">
        <w:rPr>
          <w:rFonts w:ascii="Arial" w:hAnsi="Arial" w:cs="Arial"/>
          <w:b/>
          <w:sz w:val="20"/>
          <w:szCs w:val="20"/>
          <w:lang w:val="es-ES"/>
        </w:rPr>
        <w:t xml:space="preserve"> </w:t>
      </w:r>
      <w:r w:rsidRPr="00E112DE">
        <w:rPr>
          <w:rFonts w:ascii="Arial" w:eastAsia="Calibri" w:hAnsi="Arial" w:cs="Arial"/>
          <w:b/>
          <w:sz w:val="20"/>
          <w:szCs w:val="20"/>
          <w:lang w:val="es-ES"/>
        </w:rPr>
        <w:t>Proyecto</w:t>
      </w:r>
      <w:r w:rsidRPr="00E112DE">
        <w:rPr>
          <w:rFonts w:ascii="Arial" w:hAnsi="Arial" w:cs="Arial"/>
          <w:b/>
          <w:sz w:val="20"/>
          <w:szCs w:val="20"/>
          <w:lang w:val="es-ES"/>
        </w:rPr>
        <w:t xml:space="preserve"> </w:t>
      </w:r>
      <w:r w:rsidRPr="00E112DE">
        <w:rPr>
          <w:rFonts w:ascii="Arial" w:eastAsia="Calibri" w:hAnsi="Arial" w:cs="Arial"/>
          <w:b/>
          <w:sz w:val="20"/>
          <w:szCs w:val="20"/>
          <w:lang w:val="es-ES"/>
        </w:rPr>
        <w:t>de</w:t>
      </w:r>
      <w:r w:rsidRPr="00E112DE">
        <w:rPr>
          <w:rFonts w:ascii="Arial" w:hAnsi="Arial" w:cs="Arial"/>
          <w:b/>
          <w:sz w:val="20"/>
          <w:szCs w:val="20"/>
          <w:lang w:val="es-ES"/>
        </w:rPr>
        <w:t xml:space="preserve"> </w:t>
      </w:r>
      <w:r w:rsidRPr="00E112DE">
        <w:rPr>
          <w:rFonts w:ascii="Arial" w:eastAsia="Calibri" w:hAnsi="Arial" w:cs="Arial"/>
          <w:b/>
          <w:sz w:val="20"/>
          <w:szCs w:val="20"/>
          <w:lang w:val="es-ES"/>
        </w:rPr>
        <w:t>Investigación</w:t>
      </w:r>
      <w:r w:rsidRPr="00E112DE">
        <w:rPr>
          <w:rFonts w:ascii="Arial" w:hAnsi="Arial" w:cs="Arial"/>
          <w:b/>
          <w:sz w:val="20"/>
          <w:szCs w:val="20"/>
          <w:lang w:val="es-ES"/>
        </w:rPr>
        <w:t xml:space="preserve"> </w:t>
      </w:r>
      <w:r w:rsidRPr="00E112DE">
        <w:rPr>
          <w:rFonts w:ascii="Arial" w:eastAsia="Calibri" w:hAnsi="Arial" w:cs="Arial"/>
          <w:b/>
          <w:sz w:val="20"/>
          <w:szCs w:val="20"/>
          <w:lang w:val="es-ES"/>
        </w:rPr>
        <w:t>FODEIN</w:t>
      </w:r>
      <w:r w:rsidRPr="00E112DE">
        <w:rPr>
          <w:rFonts w:ascii="Arial" w:hAnsi="Arial" w:cs="Arial"/>
          <w:b/>
          <w:sz w:val="20"/>
          <w:szCs w:val="20"/>
          <w:lang w:val="es-ES"/>
        </w:rPr>
        <w:t xml:space="preserve"> 2020</w:t>
      </w:r>
    </w:p>
    <w:p w:rsidR="002F7056" w:rsidRPr="00416BBE" w:rsidRDefault="002F7056" w:rsidP="002F7056">
      <w:pPr>
        <w:pStyle w:val="Prrafodelista"/>
        <w:numPr>
          <w:ilvl w:val="0"/>
          <w:numId w:val="3"/>
        </w:numPr>
        <w:spacing w:after="0" w:line="240" w:lineRule="auto"/>
        <w:jc w:val="center"/>
        <w:rPr>
          <w:rFonts w:ascii="Arial" w:hAnsi="Arial" w:cs="Arial"/>
          <w:b/>
          <w:lang w:val="es-ES"/>
        </w:rPr>
      </w:pPr>
      <w:r w:rsidRPr="00416BBE">
        <w:rPr>
          <w:rFonts w:ascii="Arial" w:eastAsia="Calibri" w:hAnsi="Arial" w:cs="Arial"/>
          <w:b/>
          <w:lang w:val="es-ES"/>
        </w:rPr>
        <w:t>Nuevos</w:t>
      </w:r>
      <w:r w:rsidRPr="00416BBE">
        <w:rPr>
          <w:rFonts w:ascii="Arial" w:hAnsi="Arial" w:cs="Arial"/>
          <w:b/>
          <w:lang w:val="es-ES"/>
        </w:rPr>
        <w:t xml:space="preserve"> </w:t>
      </w:r>
      <w:r w:rsidRPr="00416BBE">
        <w:rPr>
          <w:rFonts w:ascii="Arial" w:eastAsia="Calibri" w:hAnsi="Arial" w:cs="Arial"/>
          <w:b/>
          <w:lang w:val="es-ES"/>
        </w:rPr>
        <w:t>perfiles</w:t>
      </w:r>
      <w:r w:rsidRPr="00416BBE">
        <w:rPr>
          <w:rFonts w:ascii="Arial" w:hAnsi="Arial" w:cs="Arial"/>
          <w:b/>
          <w:lang w:val="es-ES"/>
        </w:rPr>
        <w:t xml:space="preserve"> </w:t>
      </w:r>
      <w:r w:rsidRPr="00416BBE">
        <w:rPr>
          <w:rFonts w:ascii="Arial" w:eastAsia="Calibri" w:hAnsi="Arial" w:cs="Arial"/>
          <w:b/>
          <w:lang w:val="es-ES"/>
        </w:rPr>
        <w:t>académico</w:t>
      </w:r>
      <w:r w:rsidRPr="00416BBE">
        <w:rPr>
          <w:rFonts w:ascii="Arial" w:hAnsi="Arial" w:cs="Arial"/>
          <w:b/>
          <w:lang w:val="es-ES"/>
        </w:rPr>
        <w:t xml:space="preserve"> – </w:t>
      </w:r>
      <w:r w:rsidRPr="00416BBE">
        <w:rPr>
          <w:rFonts w:ascii="Arial" w:eastAsia="Calibri" w:hAnsi="Arial" w:cs="Arial"/>
          <w:b/>
          <w:lang w:val="es-ES"/>
        </w:rPr>
        <w:t>profesionales</w:t>
      </w:r>
      <w:r w:rsidRPr="00416BBE">
        <w:rPr>
          <w:rFonts w:ascii="Arial" w:hAnsi="Arial" w:cs="Arial"/>
          <w:b/>
          <w:lang w:val="es-ES"/>
        </w:rPr>
        <w:t xml:space="preserve"> </w:t>
      </w:r>
      <w:r w:rsidRPr="00416BBE">
        <w:rPr>
          <w:rFonts w:ascii="Arial" w:eastAsia="Calibri" w:hAnsi="Arial" w:cs="Arial"/>
          <w:b/>
          <w:lang w:val="es-ES"/>
        </w:rPr>
        <w:t>como</w:t>
      </w:r>
      <w:r w:rsidRPr="00416BBE">
        <w:rPr>
          <w:rFonts w:ascii="Arial" w:hAnsi="Arial" w:cs="Arial"/>
          <w:b/>
          <w:lang w:val="es-ES"/>
        </w:rPr>
        <w:t xml:space="preserve"> </w:t>
      </w:r>
      <w:r w:rsidRPr="00416BBE">
        <w:rPr>
          <w:rFonts w:ascii="Arial" w:eastAsia="Calibri" w:hAnsi="Arial" w:cs="Arial"/>
          <w:b/>
          <w:lang w:val="es-ES"/>
        </w:rPr>
        <w:t>consecuencia</w:t>
      </w:r>
      <w:r w:rsidRPr="00416BBE">
        <w:rPr>
          <w:rFonts w:ascii="Arial" w:hAnsi="Arial" w:cs="Arial"/>
          <w:b/>
          <w:lang w:val="es-ES"/>
        </w:rPr>
        <w:t xml:space="preserve"> </w:t>
      </w:r>
      <w:r w:rsidRPr="00416BBE">
        <w:rPr>
          <w:rFonts w:ascii="Arial" w:eastAsia="Calibri" w:hAnsi="Arial" w:cs="Arial"/>
          <w:b/>
          <w:lang w:val="es-ES"/>
        </w:rPr>
        <w:t>de</w:t>
      </w:r>
      <w:r w:rsidRPr="00416BBE">
        <w:rPr>
          <w:rFonts w:ascii="Arial" w:hAnsi="Arial" w:cs="Arial"/>
          <w:b/>
          <w:lang w:val="es-ES"/>
        </w:rPr>
        <w:t xml:space="preserve"> </w:t>
      </w:r>
      <w:r w:rsidRPr="00416BBE">
        <w:rPr>
          <w:rFonts w:ascii="Arial" w:eastAsia="Calibri" w:hAnsi="Arial" w:cs="Arial"/>
          <w:b/>
          <w:lang w:val="es-ES"/>
        </w:rPr>
        <w:t>la</w:t>
      </w:r>
      <w:r w:rsidRPr="00416BBE">
        <w:rPr>
          <w:rFonts w:ascii="Arial" w:hAnsi="Arial" w:cs="Arial"/>
          <w:b/>
          <w:lang w:val="es-ES"/>
        </w:rPr>
        <w:t xml:space="preserve"> </w:t>
      </w:r>
      <w:bookmarkStart w:id="0" w:name="_GoBack"/>
      <w:bookmarkEnd w:id="0"/>
      <w:r w:rsidRPr="00416BBE">
        <w:rPr>
          <w:rFonts w:ascii="Arial" w:eastAsia="Calibri" w:hAnsi="Arial" w:cs="Arial"/>
          <w:b/>
          <w:lang w:val="es-ES"/>
        </w:rPr>
        <w:t>Globalización</w:t>
      </w:r>
    </w:p>
    <w:p w:rsidR="002F7056" w:rsidRPr="00E112DE" w:rsidRDefault="002F7056" w:rsidP="002F7056">
      <w:pPr>
        <w:spacing w:line="240" w:lineRule="auto"/>
        <w:rPr>
          <w:rFonts w:ascii="Arial" w:hAnsi="Arial" w:cs="Arial"/>
          <w:sz w:val="20"/>
          <w:szCs w:val="20"/>
          <w:lang w:val="es-ES"/>
        </w:rPr>
      </w:pPr>
    </w:p>
    <w:p w:rsidR="002F7056" w:rsidRDefault="002F7056" w:rsidP="002F7056">
      <w:pPr>
        <w:spacing w:after="0" w:line="240" w:lineRule="auto"/>
        <w:ind w:firstLine="567"/>
        <w:jc w:val="both"/>
        <w:rPr>
          <w:rFonts w:ascii="Helvetica" w:eastAsia="Times New Roman" w:hAnsi="Helvetica" w:cs="Helvetica"/>
          <w:color w:val="222222"/>
          <w:lang w:eastAsia="es-CO"/>
        </w:rPr>
      </w:pPr>
      <w:r w:rsidRPr="00E112DE">
        <w:rPr>
          <w:rFonts w:ascii="Helvetica" w:eastAsia="Times New Roman" w:hAnsi="Helvetica" w:cs="Helvetica"/>
          <w:color w:val="222222"/>
          <w:lang w:eastAsia="es-CO"/>
        </w:rPr>
        <w:t xml:space="preserve">Las transformaciones a las que ha dado lugar la globalización han tenido como consecuencia un cambio de paradigma en la práctica jurídica; los conflictos jurídicos se han internacionalizado, la práctica profesional trasciende las fronteras nacionales y las tecnologías de la información y de la comunicación (TIC) han supuesto una evolución en el funcionamiento de empresas, operadores e incluso de las personas físicas. El ámbito jurídico no es, ni puede ser, una excepción a este cambio. Los organismos internacionales ostentan un papel destacado en los ordenamientos jurídicos internos y las fuentes del Derecho son creadas por agentes que van más allá del poder legislativo estatal. Puede colegirse de estas realidades que la forma en la que sea crea y práctica el Derecho ha evolucionado. En consonancia con esto, la formación jurídica debería evolucionar de igual manera con el fin de lograr que los graduados en Derecho estén preparados para hacer frente a las demandas y necesidades de la sociedad actual. </w:t>
      </w:r>
    </w:p>
    <w:p w:rsidR="002F7056" w:rsidRPr="00E112DE" w:rsidRDefault="002F7056" w:rsidP="002F7056">
      <w:pPr>
        <w:spacing w:after="0" w:line="240" w:lineRule="auto"/>
        <w:ind w:firstLine="567"/>
        <w:jc w:val="both"/>
        <w:rPr>
          <w:rFonts w:ascii="Helvetica" w:eastAsia="Times New Roman" w:hAnsi="Helvetica" w:cs="Helvetica"/>
          <w:color w:val="222222"/>
          <w:lang w:eastAsia="es-CO"/>
        </w:rPr>
      </w:pPr>
      <w:r w:rsidRPr="00E112DE">
        <w:rPr>
          <w:rFonts w:ascii="Helvetica" w:eastAsia="Times New Roman" w:hAnsi="Helvetica" w:cs="Helvetica"/>
          <w:color w:val="222222"/>
          <w:lang w:eastAsia="es-CO"/>
        </w:rPr>
        <w:t>Teniendo en cuenta lo anterior, el jurista actual desarrolla su profesión en un contexto muy diferente al de hace tan solo veinte años</w:t>
      </w:r>
      <w:r w:rsidRPr="00E112DE">
        <w:rPr>
          <w:rFonts w:ascii="Helvetica" w:eastAsia="Times New Roman" w:hAnsi="Helvetica" w:cs="Helvetica"/>
          <w:color w:val="222222"/>
          <w:lang w:eastAsia="es-CO"/>
        </w:rPr>
        <w:footnoteReference w:id="1"/>
      </w:r>
      <w:r w:rsidRPr="00E112DE">
        <w:rPr>
          <w:rFonts w:ascii="Helvetica" w:eastAsia="Times New Roman" w:hAnsi="Helvetica" w:cs="Helvetica"/>
          <w:color w:val="222222"/>
          <w:lang w:eastAsia="es-CO"/>
        </w:rPr>
        <w:t>. En términos formales, el uso de internet ha cambiado el acceso a los expedientes, la búsqueda de jurisprudencia o legislación nacional e internacional, así como la relación entre clientes y colegas. En términos materiales, gran parte los conflictos jurídicos se han internacionalizado, contando con un elemento extranjero</w:t>
      </w:r>
      <w:r w:rsidRPr="00E112DE">
        <w:rPr>
          <w:rFonts w:ascii="Helvetica" w:eastAsia="Times New Roman" w:hAnsi="Helvetica" w:cs="Helvetica"/>
          <w:color w:val="222222"/>
          <w:lang w:eastAsia="es-CO"/>
        </w:rPr>
        <w:footnoteReference w:id="2"/>
      </w:r>
      <w:r w:rsidRPr="00E112DE">
        <w:rPr>
          <w:rFonts w:ascii="Helvetica" w:eastAsia="Times New Roman" w:hAnsi="Helvetica" w:cs="Helvetica"/>
          <w:color w:val="222222"/>
          <w:lang w:eastAsia="es-CO"/>
        </w:rPr>
        <w:t xml:space="preserve">. </w:t>
      </w:r>
    </w:p>
    <w:p w:rsidR="002F7056" w:rsidRDefault="002F7056" w:rsidP="002F7056">
      <w:pPr>
        <w:spacing w:after="0" w:line="240" w:lineRule="auto"/>
        <w:ind w:firstLine="567"/>
        <w:jc w:val="both"/>
        <w:rPr>
          <w:rFonts w:ascii="Helvetica" w:eastAsia="Times New Roman" w:hAnsi="Helvetica" w:cs="Helvetica"/>
          <w:color w:val="222222"/>
          <w:lang w:eastAsia="es-CO"/>
        </w:rPr>
      </w:pPr>
      <w:r w:rsidRPr="00E112DE">
        <w:rPr>
          <w:rFonts w:ascii="Helvetica" w:eastAsia="Times New Roman" w:hAnsi="Helvetica" w:cs="Helvetica"/>
          <w:color w:val="222222"/>
          <w:lang w:eastAsia="es-CO"/>
        </w:rPr>
        <w:t xml:space="preserve">En la esfera civil han aumentado significativamente los matrimonios entre personas de diferente nacionalidad; el número de divorcios que deben reconocerse en un país diferente a aquel en donde fue celebrado; la cantidad de adopciones de menores extranjeros; el número de testamentos y herencias de carácter transfronterizos, o las reclamaciones de alimentos en el extranjero, entre otros. </w:t>
      </w:r>
    </w:p>
    <w:p w:rsidR="002F7056" w:rsidRPr="00E112DE" w:rsidRDefault="002F7056" w:rsidP="002F7056">
      <w:pPr>
        <w:spacing w:after="0" w:line="240" w:lineRule="auto"/>
        <w:ind w:firstLine="567"/>
        <w:jc w:val="both"/>
        <w:rPr>
          <w:rFonts w:ascii="Helvetica" w:eastAsia="Times New Roman" w:hAnsi="Helvetica" w:cs="Helvetica"/>
          <w:color w:val="222222"/>
          <w:lang w:eastAsia="es-CO"/>
        </w:rPr>
      </w:pPr>
      <w:r w:rsidRPr="00E112DE">
        <w:rPr>
          <w:rFonts w:ascii="Helvetica" w:eastAsia="Times New Roman" w:hAnsi="Helvetica" w:cs="Helvetica"/>
          <w:color w:val="222222"/>
          <w:lang w:eastAsia="es-CO"/>
        </w:rPr>
        <w:t xml:space="preserve">En el ámbito comercial y de inversión cada vez son más los litigios de carácter internacional entre empresas extranjeras y cada día se firman nuevos Tratados de Libre Comercio de carácter bilateral o multilateral. Gran parte de estos casos son solucionados a través de mecanismos alternativos de resolución de conflictos y en concreto, a través del </w:t>
      </w:r>
      <w:r w:rsidRPr="00E112DE">
        <w:rPr>
          <w:rFonts w:ascii="Helvetica" w:eastAsia="Times New Roman" w:hAnsi="Helvetica" w:cs="Helvetica"/>
          <w:color w:val="222222"/>
          <w:lang w:eastAsia="es-CO"/>
        </w:rPr>
        <w:lastRenderedPageBreak/>
        <w:t>Arbitraje. España ocupa el ranking de pleitos internacionales ante el CIADI y el Derecho de Inversión cobra relevancia como un área nueva del Derecho</w:t>
      </w:r>
      <w:r w:rsidRPr="00E112DE">
        <w:rPr>
          <w:rFonts w:ascii="Helvetica" w:eastAsia="Times New Roman" w:hAnsi="Helvetica" w:cs="Helvetica"/>
          <w:color w:val="222222"/>
          <w:lang w:eastAsia="es-CO"/>
        </w:rPr>
        <w:footnoteReference w:id="3"/>
      </w:r>
      <w:r w:rsidRPr="00E112DE">
        <w:rPr>
          <w:rFonts w:ascii="Helvetica" w:eastAsia="Times New Roman" w:hAnsi="Helvetica" w:cs="Helvetica"/>
          <w:color w:val="222222"/>
          <w:lang w:eastAsia="es-CO"/>
        </w:rPr>
        <w:t xml:space="preserve">. </w:t>
      </w:r>
    </w:p>
    <w:p w:rsidR="002F7056" w:rsidRDefault="002F7056" w:rsidP="002F7056">
      <w:pPr>
        <w:spacing w:after="480" w:line="240" w:lineRule="auto"/>
        <w:ind w:firstLine="567"/>
        <w:jc w:val="both"/>
        <w:rPr>
          <w:rFonts w:ascii="Helvetica" w:eastAsia="Times New Roman" w:hAnsi="Helvetica" w:cs="Helvetica"/>
          <w:color w:val="222222"/>
          <w:lang w:eastAsia="es-CO"/>
        </w:rPr>
      </w:pPr>
      <w:r w:rsidRPr="00E112DE">
        <w:rPr>
          <w:rFonts w:ascii="Helvetica" w:eastAsia="Times New Roman" w:hAnsi="Helvetica" w:cs="Helvetica"/>
          <w:color w:val="222222"/>
          <w:lang w:eastAsia="es-CO"/>
        </w:rPr>
        <w:t>Es decir, la internacionalización y globalización de la profesión jurídica afecta a todas las áreas del Derecho y no sólo a las relacionadas Derecho Internacional. Por ello resulta</w:t>
      </w:r>
      <w:r w:rsidRPr="00416BBE">
        <w:rPr>
          <w:rFonts w:ascii="Helvetica" w:eastAsia="Times New Roman" w:hAnsi="Helvetica" w:cs="Helvetica"/>
          <w:color w:val="222222"/>
          <w:lang w:eastAsia="es-CO"/>
        </w:rPr>
        <w:t xml:space="preserve"> necesario lograr la internacionalización del programa de Derecho entendido de manera integral. </w:t>
      </w:r>
    </w:p>
    <w:p w:rsidR="002F7056" w:rsidRDefault="002F7056" w:rsidP="002F7056">
      <w:pPr>
        <w:spacing w:after="0" w:line="240" w:lineRule="auto"/>
        <w:ind w:firstLine="567"/>
        <w:jc w:val="both"/>
        <w:rPr>
          <w:rFonts w:ascii="Helvetica" w:eastAsia="Times New Roman" w:hAnsi="Helvetica" w:cs="Helvetica"/>
          <w:color w:val="222222"/>
          <w:lang w:eastAsia="es-CO"/>
        </w:rPr>
      </w:pPr>
      <w:r w:rsidRPr="00416BBE">
        <w:rPr>
          <w:rFonts w:ascii="Helvetica" w:eastAsia="Times New Roman" w:hAnsi="Helvetica" w:cs="Helvetica"/>
          <w:color w:val="222222"/>
          <w:lang w:eastAsia="es-CO"/>
        </w:rPr>
        <w:t>En este marco de transformaciones, es necesario analizar el perfil académico-profesional de los juristas, en general, y en particular, del estudiante de la Maestría en Derecho Contractual Público y privado</w:t>
      </w:r>
      <w:r w:rsidRPr="00416BBE">
        <w:rPr>
          <w:rFonts w:ascii="Helvetica" w:eastAsia="Times New Roman" w:hAnsi="Helvetica" w:cs="Helvetica"/>
          <w:color w:val="222222"/>
          <w:lang w:eastAsia="es-CO"/>
        </w:rPr>
        <w:footnoteReference w:id="4"/>
      </w:r>
      <w:r w:rsidRPr="00416BBE">
        <w:rPr>
          <w:rFonts w:ascii="Helvetica" w:eastAsia="Times New Roman" w:hAnsi="Helvetica" w:cs="Helvetica"/>
          <w:color w:val="222222"/>
          <w:lang w:eastAsia="es-CO"/>
        </w:rPr>
        <w:t>. La definición de perfiles académicos-profesionales en las titulaciones se hace imprescindible para lograr una formación acorde con la sociedad actual</w:t>
      </w:r>
      <w:r w:rsidRPr="00416BBE">
        <w:rPr>
          <w:rFonts w:ascii="Helvetica" w:eastAsia="Times New Roman" w:hAnsi="Helvetica" w:cs="Helvetica"/>
          <w:color w:val="222222"/>
          <w:lang w:eastAsia="es-CO"/>
        </w:rPr>
        <w:footnoteReference w:id="5"/>
      </w:r>
      <w:r w:rsidRPr="00416BBE">
        <w:rPr>
          <w:rFonts w:ascii="Helvetica" w:eastAsia="Times New Roman" w:hAnsi="Helvetica" w:cs="Helvetica"/>
          <w:color w:val="222222"/>
          <w:lang w:eastAsia="es-CO"/>
        </w:rPr>
        <w:t>. Se trata de definir las competencias genéricas y específicas que deben adquirir los estudiantes de una determinada titulación teniendo en cuenta las exigencias de la sociedad y del mercado laboral. Partiendo de ellas, articular los conocimientos teóricos y prácticos y las metodologías a llevar a cabo para garantizar que al final del proceso de aprendizaje esas competencias hayan sido adquiridas</w:t>
      </w:r>
      <w:r w:rsidRPr="00416BBE">
        <w:rPr>
          <w:rFonts w:ascii="Helvetica" w:eastAsia="Times New Roman" w:hAnsi="Helvetica" w:cs="Helvetica"/>
          <w:color w:val="222222"/>
          <w:lang w:eastAsia="es-CO"/>
        </w:rPr>
        <w:footnoteReference w:id="6"/>
      </w:r>
      <w:r w:rsidRPr="00416BBE">
        <w:rPr>
          <w:rFonts w:ascii="Helvetica" w:eastAsia="Times New Roman" w:hAnsi="Helvetica" w:cs="Helvetica"/>
          <w:color w:val="222222"/>
          <w:lang w:eastAsia="es-CO"/>
        </w:rPr>
        <w:t xml:space="preserve">. </w:t>
      </w:r>
    </w:p>
    <w:p w:rsidR="002F7056" w:rsidRPr="00416BBE" w:rsidRDefault="002F7056" w:rsidP="002F7056">
      <w:pPr>
        <w:spacing w:after="0" w:line="240" w:lineRule="auto"/>
        <w:ind w:firstLine="567"/>
        <w:jc w:val="both"/>
        <w:rPr>
          <w:rFonts w:ascii="Helvetica" w:eastAsia="Times New Roman" w:hAnsi="Helvetica" w:cs="Helvetica"/>
          <w:color w:val="222222"/>
          <w:lang w:eastAsia="es-CO"/>
        </w:rPr>
      </w:pPr>
    </w:p>
    <w:p w:rsidR="002F7056" w:rsidRPr="00E112DE" w:rsidRDefault="002F7056" w:rsidP="002F7056">
      <w:pPr>
        <w:spacing w:after="0" w:line="240" w:lineRule="auto"/>
        <w:ind w:firstLine="567"/>
        <w:jc w:val="both"/>
        <w:rPr>
          <w:rFonts w:ascii="Arial" w:eastAsia="MS Mincho" w:hAnsi="Arial" w:cs="Arial"/>
          <w:spacing w:val="22"/>
          <w:lang w:eastAsia="ja-JP"/>
        </w:rPr>
      </w:pPr>
      <w:r w:rsidRPr="00416BBE">
        <w:rPr>
          <w:rFonts w:ascii="Helvetica" w:eastAsia="Times New Roman" w:hAnsi="Helvetica" w:cs="Helvetica"/>
          <w:color w:val="222222"/>
          <w:lang w:eastAsia="es-CO"/>
        </w:rPr>
        <w:t xml:space="preserve">La interdisciplinariedad de las ciencias juega un papel destacado en la definición de este nuevo perfil académico-profesional. Este hecho se ve reflejado en el rediseño de los programas de Derecho ofrecidos por la mayoría de </w:t>
      </w:r>
      <w:proofErr w:type="gramStart"/>
      <w:r w:rsidRPr="00416BBE">
        <w:rPr>
          <w:rFonts w:ascii="Helvetica" w:eastAsia="Times New Roman" w:hAnsi="Helvetica" w:cs="Helvetica"/>
          <w:color w:val="222222"/>
          <w:lang w:eastAsia="es-CO"/>
        </w:rPr>
        <w:t>facultades</w:t>
      </w:r>
      <w:proofErr w:type="gramEnd"/>
      <w:r w:rsidRPr="00416BBE">
        <w:rPr>
          <w:rFonts w:ascii="Helvetica" w:eastAsia="Times New Roman" w:hAnsi="Helvetica" w:cs="Helvetica"/>
          <w:color w:val="222222"/>
          <w:lang w:eastAsia="es-CO"/>
        </w:rPr>
        <w:t xml:space="preserve"> tanto en España como especialmente en buena parte del resto del mundo. Así, hoy en día estos planes de estudio han evolucionado hacia carreras conjuntas en que no sólo se estudia la relación entre el Derecho y la Economía, tal y como venía acostumbrándose desde hace unas décadas, sino con las relaciones con la Informática, las Ciencias Políticas, las Relaciones Laborales o las Relaciones Internacionales</w:t>
      </w:r>
      <w:r w:rsidRPr="00E112DE">
        <w:rPr>
          <w:rFonts w:ascii="Arial" w:eastAsia="MS Mincho" w:hAnsi="Arial" w:cs="Arial"/>
          <w:spacing w:val="22"/>
          <w:vertAlign w:val="superscript"/>
          <w:lang w:eastAsia="ja-JP"/>
        </w:rPr>
        <w:footnoteReference w:id="7"/>
      </w:r>
      <w:r w:rsidRPr="00E112DE">
        <w:rPr>
          <w:rFonts w:ascii="Arial" w:eastAsia="MS Mincho" w:hAnsi="Arial" w:cs="Arial"/>
          <w:spacing w:val="22"/>
          <w:lang w:eastAsia="ja-JP"/>
        </w:rPr>
        <w:t xml:space="preserve">. </w:t>
      </w:r>
      <w:bookmarkStart w:id="1" w:name="_Toc289448892"/>
      <w:bookmarkStart w:id="2" w:name="_Toc289449297"/>
      <w:bookmarkStart w:id="3" w:name="_Toc299546154"/>
      <w:bookmarkStart w:id="4" w:name="_Toc310069663"/>
      <w:bookmarkStart w:id="5" w:name="_Toc254686532"/>
      <w:bookmarkStart w:id="6" w:name="_Toc264123595"/>
      <w:bookmarkStart w:id="7" w:name="_Toc289448888"/>
      <w:bookmarkStart w:id="8" w:name="_Toc289449293"/>
      <w:bookmarkStart w:id="9" w:name="_Toc299546150"/>
      <w:bookmarkStart w:id="10" w:name="_Toc310069659"/>
    </w:p>
    <w:p w:rsidR="002F7056" w:rsidRPr="00416BBE" w:rsidRDefault="002F7056" w:rsidP="002F7056">
      <w:pPr>
        <w:spacing w:after="0" w:line="240" w:lineRule="auto"/>
        <w:jc w:val="both"/>
        <w:rPr>
          <w:rFonts w:ascii="Helvetica" w:eastAsia="Times New Roman" w:hAnsi="Helvetica" w:cs="Helvetica"/>
          <w:color w:val="222222"/>
          <w:lang w:eastAsia="es-CO"/>
        </w:rPr>
      </w:pPr>
    </w:p>
    <w:p w:rsidR="002F7056" w:rsidRPr="00416BBE" w:rsidRDefault="002F7056" w:rsidP="002F7056">
      <w:pPr>
        <w:pStyle w:val="Prrafodelista"/>
        <w:numPr>
          <w:ilvl w:val="0"/>
          <w:numId w:val="4"/>
        </w:numPr>
        <w:spacing w:after="0" w:line="240" w:lineRule="auto"/>
        <w:jc w:val="both"/>
        <w:rPr>
          <w:rFonts w:ascii="Helvetica" w:eastAsia="Times New Roman" w:hAnsi="Helvetica" w:cs="Helvetica"/>
          <w:b/>
          <w:bCs/>
          <w:color w:val="222222"/>
          <w:lang w:eastAsia="es-CO"/>
        </w:rPr>
      </w:pPr>
      <w:r w:rsidRPr="00416BBE">
        <w:rPr>
          <w:rFonts w:ascii="Helvetica" w:eastAsia="Times New Roman" w:hAnsi="Helvetica" w:cs="Helvetica"/>
          <w:b/>
          <w:bCs/>
          <w:color w:val="222222"/>
          <w:lang w:eastAsia="es-CO"/>
        </w:rPr>
        <w:t>Implementación del modelo de Aprendizaje Basado en Competencias</w:t>
      </w:r>
      <w:bookmarkEnd w:id="1"/>
      <w:bookmarkEnd w:id="2"/>
      <w:bookmarkEnd w:id="3"/>
      <w:bookmarkEnd w:id="4"/>
      <w:r w:rsidRPr="00416BBE">
        <w:rPr>
          <w:rFonts w:ascii="Helvetica" w:eastAsia="Times New Roman" w:hAnsi="Helvetica" w:cs="Helvetica"/>
          <w:b/>
          <w:bCs/>
          <w:color w:val="222222"/>
          <w:lang w:eastAsia="es-CO"/>
        </w:rPr>
        <w:t xml:space="preserve"> </w:t>
      </w:r>
    </w:p>
    <w:p w:rsidR="002F7056" w:rsidRPr="00416BBE" w:rsidRDefault="002F7056" w:rsidP="002F7056">
      <w:pPr>
        <w:pStyle w:val="Paula"/>
        <w:spacing w:after="0" w:line="240" w:lineRule="auto"/>
        <w:ind w:firstLine="0"/>
        <w:rPr>
          <w:rFonts w:ascii="Helvetica" w:eastAsia="Times New Roman" w:hAnsi="Helvetica" w:cs="Helvetica"/>
          <w:color w:val="222222"/>
          <w:spacing w:val="0"/>
          <w:sz w:val="22"/>
          <w:szCs w:val="22"/>
          <w:lang w:val="es-CO" w:eastAsia="es-CO"/>
        </w:rPr>
      </w:pPr>
      <w:r w:rsidRPr="00416BBE">
        <w:rPr>
          <w:rFonts w:ascii="Helvetica" w:eastAsia="Times New Roman" w:hAnsi="Helvetica" w:cs="Helvetica"/>
          <w:color w:val="222222"/>
          <w:spacing w:val="0"/>
          <w:sz w:val="22"/>
          <w:szCs w:val="22"/>
          <w:lang w:val="es-CO" w:eastAsia="es-CO"/>
        </w:rPr>
        <w:t xml:space="preserve">Entre las características de este modelo destacan la atención centrada en el estudiante, y el aprendizaje de valores y actitudes personales y sociales de manera autónoma, a través de la adquisición de competencias académicas-profesionales. Para el óptimo desarrollo de las competencias elegidas, el MAUD ha establecido un modelo totalmente revolucionario a través del cual la totalidad de las competencias, tanto genéricas como específicas, a adquirir por el estudiante, son repartidas entre el elenco de asignaturas y a su vez son establecidos niveles de desarrollo e indicadores </w:t>
      </w:r>
      <w:proofErr w:type="gramStart"/>
      <w:r w:rsidRPr="00416BBE">
        <w:rPr>
          <w:rFonts w:ascii="Helvetica" w:eastAsia="Times New Roman" w:hAnsi="Helvetica" w:cs="Helvetica"/>
          <w:color w:val="222222"/>
          <w:spacing w:val="0"/>
          <w:sz w:val="22"/>
          <w:szCs w:val="22"/>
          <w:lang w:val="es-CO" w:eastAsia="es-CO"/>
        </w:rPr>
        <w:t>del mismo</w:t>
      </w:r>
      <w:proofErr w:type="gramEnd"/>
      <w:r w:rsidRPr="00416BBE">
        <w:rPr>
          <w:rFonts w:ascii="Helvetica" w:eastAsia="Times New Roman" w:hAnsi="Helvetica" w:cs="Helvetica"/>
          <w:color w:val="222222"/>
          <w:spacing w:val="0"/>
          <w:sz w:val="22"/>
          <w:szCs w:val="22"/>
          <w:lang w:val="es-CO" w:eastAsia="es-CO"/>
        </w:rPr>
        <w:t xml:space="preserve">. Así se asegura la colaboración entre los profesores con el fin garantizar que el estudiante adquiera a lo largo de los distintos cursos del grado en derecho, las competencias académico-profesionales que previamente se han establecido como fundamentales. </w:t>
      </w:r>
    </w:p>
    <w:p w:rsidR="002F7056" w:rsidRPr="00E112DE" w:rsidRDefault="002F7056" w:rsidP="002F7056">
      <w:pPr>
        <w:pStyle w:val="Paula"/>
        <w:spacing w:after="0" w:line="240" w:lineRule="auto"/>
        <w:ind w:firstLine="0"/>
        <w:rPr>
          <w:rFonts w:cs="Arial"/>
          <w:sz w:val="22"/>
          <w:szCs w:val="22"/>
        </w:rPr>
      </w:pPr>
      <w:r w:rsidRPr="00416BBE">
        <w:rPr>
          <w:rFonts w:ascii="Helvetica" w:eastAsia="Times New Roman" w:hAnsi="Helvetica" w:cs="Helvetica"/>
          <w:color w:val="222222"/>
          <w:spacing w:val="0"/>
          <w:sz w:val="22"/>
          <w:szCs w:val="22"/>
          <w:lang w:val="es-CO" w:eastAsia="es-CO"/>
        </w:rPr>
        <w:t>Tras este estudio pormenorizado de las competencias genéricas y específicas anteriormente desarrolladas, desde el Proyecto Tuning se llegó a la conclusión de que debían ser abordadas como puntos dinámicos de referencia. Tal y como ha sido explicado anteriormente, estos puntos de referencia engloban los resultados del aprendizaje y las competencias. De esta forma, logrando que las titulaciones a lo largo de los países del EEES estén establecidos en términos de puntos de referencia, se logra la reflexión y trabajo conjunto de las Universidades Europeas, el aumento de los niveles de empleabilidad y ciudadanía, la creación del EEES, el fomento de la transparencia de la educación europea, el desarrollo de titulaciones fácilmente legibles y comparables y dar respuesta a las demandas crecientes de la sociedad de aprendizaje permanente</w:t>
      </w:r>
      <w:r w:rsidRPr="00E112DE">
        <w:rPr>
          <w:rStyle w:val="Refdenotaalpie"/>
          <w:rFonts w:cs="Arial"/>
          <w:sz w:val="22"/>
          <w:szCs w:val="22"/>
        </w:rPr>
        <w:footnoteReference w:id="8"/>
      </w:r>
      <w:r w:rsidRPr="00E112DE">
        <w:rPr>
          <w:rFonts w:cs="Arial"/>
          <w:sz w:val="22"/>
          <w:szCs w:val="22"/>
        </w:rPr>
        <w:t xml:space="preserve">. </w:t>
      </w:r>
    </w:p>
    <w:p w:rsidR="002F7056" w:rsidRPr="00416BBE" w:rsidRDefault="002F7056" w:rsidP="002F7056">
      <w:pPr>
        <w:pStyle w:val="1"/>
        <w:numPr>
          <w:ilvl w:val="0"/>
          <w:numId w:val="4"/>
        </w:numPr>
        <w:spacing w:line="240" w:lineRule="auto"/>
        <w:rPr>
          <w:rFonts w:ascii="Helvetica" w:eastAsia="Times New Roman" w:hAnsi="Helvetica" w:cs="Helvetica"/>
          <w:iCs w:val="0"/>
          <w:color w:val="222222"/>
          <w:sz w:val="22"/>
          <w:szCs w:val="22"/>
          <w:lang w:val="es-CO" w:eastAsia="es-CO"/>
        </w:rPr>
      </w:pPr>
      <w:r w:rsidRPr="00416BBE">
        <w:rPr>
          <w:rFonts w:ascii="Helvetica" w:eastAsia="Times New Roman" w:hAnsi="Helvetica" w:cs="Helvetica"/>
          <w:iCs w:val="0"/>
          <w:color w:val="222222"/>
          <w:sz w:val="22"/>
          <w:szCs w:val="22"/>
          <w:lang w:val="es-CO" w:eastAsia="es-CO"/>
        </w:rPr>
        <w:t>Concepto de competencia</w:t>
      </w:r>
      <w:bookmarkEnd w:id="5"/>
      <w:bookmarkEnd w:id="6"/>
      <w:bookmarkEnd w:id="7"/>
      <w:bookmarkEnd w:id="8"/>
      <w:bookmarkEnd w:id="9"/>
      <w:bookmarkEnd w:id="10"/>
      <w:r w:rsidRPr="00416BBE">
        <w:rPr>
          <w:rFonts w:ascii="Helvetica" w:eastAsia="Times New Roman" w:hAnsi="Helvetica" w:cs="Helvetica"/>
          <w:iCs w:val="0"/>
          <w:color w:val="222222"/>
          <w:sz w:val="22"/>
          <w:szCs w:val="22"/>
          <w:lang w:val="es-CO" w:eastAsia="es-CO"/>
        </w:rPr>
        <w:t xml:space="preserve"> </w:t>
      </w:r>
    </w:p>
    <w:p w:rsidR="002F7056" w:rsidRDefault="002F7056" w:rsidP="002F7056">
      <w:pPr>
        <w:pStyle w:val="Paula"/>
        <w:spacing w:after="120" w:line="240" w:lineRule="auto"/>
        <w:ind w:firstLine="0"/>
        <w:rPr>
          <w:rFonts w:ascii="Helvetica" w:eastAsia="Times New Roman" w:hAnsi="Helvetica" w:cs="Helvetica"/>
          <w:color w:val="222222"/>
          <w:spacing w:val="0"/>
          <w:sz w:val="16"/>
          <w:szCs w:val="16"/>
          <w:lang w:val="es-CO" w:eastAsia="es-CO"/>
        </w:rPr>
      </w:pPr>
      <w:r w:rsidRPr="00416BBE">
        <w:rPr>
          <w:rFonts w:ascii="Helvetica" w:eastAsia="Times New Roman" w:hAnsi="Helvetica" w:cs="Helvetica"/>
          <w:color w:val="222222"/>
          <w:spacing w:val="0"/>
          <w:sz w:val="22"/>
          <w:szCs w:val="22"/>
          <w:lang w:val="es-CO" w:eastAsia="es-CO"/>
        </w:rPr>
        <w:t xml:space="preserve">El término competencia proviene del latín cum y </w:t>
      </w:r>
      <w:proofErr w:type="spellStart"/>
      <w:r w:rsidRPr="00416BBE">
        <w:rPr>
          <w:rFonts w:ascii="Helvetica" w:eastAsia="Times New Roman" w:hAnsi="Helvetica" w:cs="Helvetica"/>
          <w:color w:val="222222"/>
          <w:spacing w:val="0"/>
          <w:sz w:val="22"/>
          <w:szCs w:val="22"/>
          <w:lang w:val="es-CO" w:eastAsia="es-CO"/>
        </w:rPr>
        <w:t>petere</w:t>
      </w:r>
      <w:proofErr w:type="spellEnd"/>
      <w:r w:rsidRPr="00416BBE">
        <w:rPr>
          <w:rFonts w:ascii="Helvetica" w:eastAsia="Times New Roman" w:hAnsi="Helvetica" w:cs="Helvetica"/>
          <w:color w:val="222222"/>
          <w:spacing w:val="0"/>
          <w:sz w:val="22"/>
          <w:szCs w:val="22"/>
          <w:lang w:val="es-CO" w:eastAsia="es-CO"/>
        </w:rPr>
        <w:t>, haciendo referencia a la “capacidad para concurrir, coincidir en la dirección”</w:t>
      </w:r>
      <w:r w:rsidRPr="00416BBE">
        <w:rPr>
          <w:rFonts w:ascii="Helvetica" w:eastAsia="Times New Roman" w:hAnsi="Helvetica" w:cs="Helvetica"/>
          <w:color w:val="222222"/>
          <w:spacing w:val="0"/>
          <w:sz w:val="22"/>
          <w:szCs w:val="22"/>
          <w:lang w:val="es-CO" w:eastAsia="es-CO"/>
        </w:rPr>
        <w:footnoteReference w:id="9"/>
      </w:r>
      <w:r w:rsidRPr="00416BBE">
        <w:rPr>
          <w:rFonts w:ascii="Helvetica" w:eastAsia="Times New Roman" w:hAnsi="Helvetica" w:cs="Helvetica"/>
          <w:color w:val="222222"/>
          <w:spacing w:val="0"/>
          <w:sz w:val="22"/>
          <w:szCs w:val="22"/>
          <w:lang w:val="es-CO" w:eastAsia="es-CO"/>
        </w:rPr>
        <w:t xml:space="preserve">. En palabras de Aurelio Villa y Manuel Poblete, las competencias son entendidas como “el buen desempeño en contextos diversos y auténticos basado en la integración y activación de conocimientos, normas, técnicas, procedimientos, </w:t>
      </w:r>
      <w:r w:rsidRPr="00416BBE">
        <w:rPr>
          <w:rFonts w:ascii="Helvetica" w:eastAsia="Times New Roman" w:hAnsi="Helvetica" w:cs="Helvetica"/>
          <w:color w:val="222222"/>
          <w:spacing w:val="0"/>
          <w:sz w:val="22"/>
          <w:szCs w:val="22"/>
          <w:lang w:val="es-CO" w:eastAsia="es-CO"/>
        </w:rPr>
        <w:lastRenderedPageBreak/>
        <w:t>habilidades y destrezas, actitudes y valores”</w:t>
      </w:r>
      <w:r w:rsidRPr="00416BBE">
        <w:rPr>
          <w:rFonts w:ascii="Helvetica" w:eastAsia="Times New Roman" w:hAnsi="Helvetica" w:cs="Helvetica"/>
          <w:color w:val="222222"/>
          <w:spacing w:val="0"/>
          <w:lang w:val="es-CO" w:eastAsia="es-CO"/>
        </w:rPr>
        <w:footnoteReference w:id="10"/>
      </w:r>
      <w:r w:rsidRPr="00416BBE">
        <w:rPr>
          <w:rFonts w:ascii="Helvetica" w:eastAsia="Times New Roman" w:hAnsi="Helvetica" w:cs="Helvetica"/>
          <w:color w:val="222222"/>
          <w:spacing w:val="0"/>
          <w:sz w:val="22"/>
          <w:szCs w:val="22"/>
          <w:lang w:val="es-CO" w:eastAsia="es-CO"/>
        </w:rPr>
        <w:t>. Por su parte, para el Proyecto Tuning, las competencias “representan una combinación dinámica de las capacidades cognitivas y metacognitivas, de conocimiento y entendimiento, interpersonales, intelectuales y prácticas, así como de los valores éticos”</w:t>
      </w:r>
      <w:r w:rsidRPr="00416BBE">
        <w:rPr>
          <w:rFonts w:ascii="Helvetica" w:eastAsia="Times New Roman" w:hAnsi="Helvetica" w:cs="Helvetica"/>
          <w:color w:val="222222"/>
          <w:spacing w:val="0"/>
          <w:sz w:val="18"/>
          <w:szCs w:val="18"/>
          <w:lang w:val="es-CO" w:eastAsia="es-CO"/>
        </w:rPr>
        <w:footnoteReference w:id="11"/>
      </w:r>
      <w:r w:rsidRPr="00416BBE">
        <w:rPr>
          <w:rFonts w:ascii="Helvetica" w:eastAsia="Times New Roman" w:hAnsi="Helvetica" w:cs="Helvetica"/>
          <w:color w:val="222222"/>
          <w:spacing w:val="0"/>
          <w:sz w:val="16"/>
          <w:szCs w:val="16"/>
          <w:lang w:val="es-CO" w:eastAsia="es-CO"/>
        </w:rPr>
        <w:t xml:space="preserve">. </w:t>
      </w: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r w:rsidRPr="00F4249C">
        <w:rPr>
          <w:rFonts w:ascii="Helvetica" w:eastAsia="Times New Roman" w:hAnsi="Helvetica" w:cs="Helvetica"/>
          <w:color w:val="222222"/>
          <w:spacing w:val="0"/>
          <w:sz w:val="22"/>
          <w:szCs w:val="22"/>
          <w:lang w:val="es-CO" w:eastAsia="es-CO"/>
        </w:rPr>
        <w:t>La Agencia Nacional de Evaluación de la Calidad y Acreditación en España se denomina ordinariamente con su acrónimo ANECA</w:t>
      </w:r>
      <w:r w:rsidRPr="00F4249C">
        <w:rPr>
          <w:rFonts w:ascii="Helvetica" w:eastAsia="Times New Roman" w:hAnsi="Helvetica" w:cs="Helvetica"/>
          <w:color w:val="222222"/>
          <w:spacing w:val="0"/>
          <w:lang w:val="es-CO" w:eastAsia="es-CO"/>
        </w:rPr>
        <w:footnoteReference w:id="12"/>
      </w:r>
      <w:r w:rsidRPr="00F4249C">
        <w:rPr>
          <w:rFonts w:ascii="Helvetica" w:eastAsia="Times New Roman" w:hAnsi="Helvetica" w:cs="Helvetica"/>
          <w:color w:val="222222"/>
          <w:spacing w:val="0"/>
          <w:sz w:val="22"/>
          <w:szCs w:val="22"/>
          <w:lang w:val="es-CO" w:eastAsia="es-CO"/>
        </w:rPr>
        <w:t>. Este organismo estableció posteriormente, en el año 2010 la siguiente definición de competencia: “el conjunto de conocimientos, habilidades, actitudes que se adquieren o desarrollan mediante experiencias formativas coordinadas, las cuales tienen el propósito de lograr conocimientos funcionales que den</w:t>
      </w:r>
    </w:p>
    <w:p w:rsidR="002F7056" w:rsidRPr="00F4249C"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r w:rsidRPr="00F4249C">
        <w:rPr>
          <w:rFonts w:ascii="Helvetica" w:eastAsia="Times New Roman" w:hAnsi="Helvetica" w:cs="Helvetica"/>
          <w:color w:val="222222"/>
          <w:spacing w:val="0"/>
          <w:sz w:val="22"/>
          <w:szCs w:val="22"/>
          <w:lang w:val="es-CO" w:eastAsia="es-CO"/>
        </w:rPr>
        <w:t>respuesta de modo eficiente a una tarea o problema de la vida cotidiana y profesional que requiera un proceso de enseñanza y aprendizaje”</w:t>
      </w:r>
      <w:r w:rsidRPr="00F4249C">
        <w:rPr>
          <w:rFonts w:ascii="Helvetica" w:eastAsia="Times New Roman" w:hAnsi="Helvetica" w:cs="Helvetica"/>
          <w:color w:val="222222"/>
          <w:spacing w:val="0"/>
          <w:lang w:val="es-CO" w:eastAsia="es-CO"/>
        </w:rPr>
        <w:footnoteReference w:id="13"/>
      </w:r>
      <w:r w:rsidRPr="00F4249C">
        <w:rPr>
          <w:rFonts w:ascii="Helvetica" w:eastAsia="Times New Roman" w:hAnsi="Helvetica" w:cs="Helvetica"/>
          <w:color w:val="222222"/>
          <w:spacing w:val="0"/>
          <w:sz w:val="22"/>
          <w:szCs w:val="22"/>
          <w:lang w:val="es-CO" w:eastAsia="es-CO"/>
        </w:rPr>
        <w:t xml:space="preserve">. </w:t>
      </w:r>
    </w:p>
    <w:p w:rsidR="002F7056" w:rsidRPr="00F4249C"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r w:rsidRPr="00F4249C">
        <w:rPr>
          <w:rFonts w:ascii="Helvetica" w:eastAsia="Times New Roman" w:hAnsi="Helvetica" w:cs="Helvetica"/>
          <w:color w:val="222222"/>
          <w:spacing w:val="0"/>
          <w:sz w:val="22"/>
          <w:szCs w:val="22"/>
          <w:lang w:val="es-CO" w:eastAsia="es-CO"/>
        </w:rPr>
        <w:t xml:space="preserve">Otros </w:t>
      </w:r>
      <w:proofErr w:type="gramStart"/>
      <w:r w:rsidRPr="00F4249C">
        <w:rPr>
          <w:rFonts w:ascii="Helvetica" w:eastAsia="Times New Roman" w:hAnsi="Helvetica" w:cs="Helvetica"/>
          <w:color w:val="222222"/>
          <w:spacing w:val="0"/>
          <w:sz w:val="22"/>
          <w:szCs w:val="22"/>
          <w:lang w:val="es-CO" w:eastAsia="es-CO"/>
        </w:rPr>
        <w:t>autores</w:t>
      </w:r>
      <w:proofErr w:type="gramEnd"/>
      <w:r w:rsidRPr="00F4249C">
        <w:rPr>
          <w:rFonts w:ascii="Helvetica" w:eastAsia="Times New Roman" w:hAnsi="Helvetica" w:cs="Helvetica"/>
          <w:color w:val="222222"/>
          <w:spacing w:val="0"/>
          <w:sz w:val="22"/>
          <w:szCs w:val="22"/>
          <w:lang w:val="es-CO" w:eastAsia="es-CO"/>
        </w:rPr>
        <w:t xml:space="preserve"> sin embargo, definen las competencias en función de la perspectiva que se les asigne. Así, desde el punto de vista de la función o sentido que se le da en el currículo a la competencia, ésta podría ser definida como “la capacidad para enfrentarse con garantías de éxito a una tarea en un contexto determinado”</w:t>
      </w:r>
      <w:r w:rsidRPr="00F4249C">
        <w:rPr>
          <w:rFonts w:ascii="Helvetica" w:eastAsia="Times New Roman" w:hAnsi="Helvetica" w:cs="Helvetica"/>
          <w:color w:val="222222"/>
          <w:spacing w:val="0"/>
          <w:lang w:val="es-CO" w:eastAsia="es-CO"/>
        </w:rPr>
        <w:footnoteReference w:id="14"/>
      </w:r>
      <w:r w:rsidRPr="00F4249C">
        <w:rPr>
          <w:rFonts w:ascii="Helvetica" w:eastAsia="Times New Roman" w:hAnsi="Helvetica" w:cs="Helvetica"/>
          <w:color w:val="222222"/>
          <w:spacing w:val="0"/>
          <w:sz w:val="22"/>
          <w:szCs w:val="22"/>
          <w:lang w:val="es-CO" w:eastAsia="es-CO"/>
        </w:rPr>
        <w:t xml:space="preserve">. Por otra parte, la competencia puede ser entendida desde una perspectiva subjetiva, la cual correspondería a la utilizada por el Proyecto Tuning y se trata, tal y como ha sido plasmado anteriormente, de “lo que una persona es capaz o competente de ejecutar, el grado de preparación, </w:t>
      </w:r>
      <w:r w:rsidRPr="00F4249C">
        <w:rPr>
          <w:rFonts w:ascii="Helvetica" w:eastAsia="Times New Roman" w:hAnsi="Helvetica" w:cs="Helvetica"/>
          <w:color w:val="222222"/>
          <w:spacing w:val="0"/>
          <w:sz w:val="22"/>
          <w:szCs w:val="22"/>
          <w:lang w:val="es-CO" w:eastAsia="es-CO"/>
        </w:rPr>
        <w:lastRenderedPageBreak/>
        <w:t>suficiencia y/o responsabilidad para ciertas tareas”</w:t>
      </w:r>
      <w:r w:rsidRPr="00F4249C">
        <w:rPr>
          <w:rFonts w:ascii="Helvetica" w:eastAsia="Times New Roman" w:hAnsi="Helvetica" w:cs="Helvetica"/>
          <w:color w:val="222222"/>
          <w:spacing w:val="0"/>
          <w:lang w:val="es-CO" w:eastAsia="es-CO"/>
        </w:rPr>
        <w:footnoteReference w:id="15"/>
      </w:r>
      <w:r w:rsidRPr="00F4249C">
        <w:rPr>
          <w:rFonts w:ascii="Helvetica" w:eastAsia="Times New Roman" w:hAnsi="Helvetica" w:cs="Helvetica"/>
          <w:color w:val="222222"/>
          <w:spacing w:val="0"/>
          <w:sz w:val="22"/>
          <w:szCs w:val="22"/>
          <w:lang w:val="es-CO" w:eastAsia="es-CO"/>
        </w:rPr>
        <w:t>. Por su parte, Juan Antonio García Fraile la define como “un planteamiento de la formación que refuerza la orientación hacia la práctica o el desempeño y lo hace tomando como punto de referencia el perfil profesional”</w:t>
      </w:r>
      <w:r w:rsidRPr="00F4249C">
        <w:rPr>
          <w:rFonts w:ascii="Helvetica" w:eastAsia="Times New Roman" w:hAnsi="Helvetica" w:cs="Helvetica"/>
          <w:color w:val="222222"/>
          <w:spacing w:val="0"/>
          <w:lang w:val="es-CO" w:eastAsia="es-CO"/>
        </w:rPr>
        <w:footnoteReference w:id="16"/>
      </w:r>
      <w:r w:rsidRPr="00F4249C">
        <w:rPr>
          <w:rFonts w:ascii="Helvetica" w:eastAsia="Times New Roman" w:hAnsi="Helvetica" w:cs="Helvetica"/>
          <w:color w:val="222222"/>
          <w:spacing w:val="0"/>
          <w:sz w:val="22"/>
          <w:szCs w:val="22"/>
          <w:lang w:val="es-CO" w:eastAsia="es-CO"/>
        </w:rPr>
        <w:t xml:space="preserve">. </w:t>
      </w:r>
    </w:p>
    <w:p w:rsidR="002F7056" w:rsidRPr="00F4249C"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r w:rsidRPr="00F4249C">
        <w:rPr>
          <w:rFonts w:ascii="Helvetica" w:eastAsia="Times New Roman" w:hAnsi="Helvetica" w:cs="Helvetica"/>
          <w:color w:val="222222"/>
          <w:spacing w:val="0"/>
          <w:sz w:val="22"/>
          <w:szCs w:val="22"/>
          <w:lang w:val="es-CO" w:eastAsia="es-CO"/>
        </w:rPr>
        <w:t>Como puede observarse, existen numerosas definiciones en torno al concepto de competencia e incluso se discute la idoneidad del uso de otros términos como: capacidad, atributo, destreza, habilidad, etc.</w:t>
      </w:r>
      <w:r w:rsidRPr="00F4249C">
        <w:rPr>
          <w:rFonts w:ascii="Helvetica" w:eastAsia="Times New Roman" w:hAnsi="Helvetica" w:cs="Helvetica"/>
          <w:color w:val="222222"/>
          <w:spacing w:val="0"/>
          <w:lang w:val="es-CO" w:eastAsia="es-CO"/>
        </w:rPr>
        <w:footnoteReference w:id="17"/>
      </w:r>
      <w:r w:rsidRPr="00F4249C">
        <w:rPr>
          <w:rFonts w:ascii="Helvetica" w:eastAsia="Times New Roman" w:hAnsi="Helvetica" w:cs="Helvetica"/>
          <w:color w:val="222222"/>
          <w:spacing w:val="0"/>
          <w:sz w:val="22"/>
          <w:szCs w:val="22"/>
          <w:lang w:val="es-CO" w:eastAsia="es-CO"/>
        </w:rPr>
        <w:t xml:space="preserve"> Para el marco de esta investigación, se ha decido usar el término de competencia por ser el menos ambiguo de todos y por reflejar una relación entre las competencias profesionales que posteriormente le serán requeridas a los estudiantes en el mercado laboral. </w:t>
      </w:r>
    </w:p>
    <w:p w:rsidR="002F7056" w:rsidRPr="00F4249C"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r w:rsidRPr="00F4249C">
        <w:rPr>
          <w:rFonts w:ascii="Helvetica" w:eastAsia="Times New Roman" w:hAnsi="Helvetica" w:cs="Helvetica"/>
          <w:color w:val="222222"/>
          <w:spacing w:val="0"/>
          <w:sz w:val="22"/>
          <w:szCs w:val="22"/>
          <w:lang w:val="es-CO" w:eastAsia="es-CO"/>
        </w:rPr>
        <w:t>Una vez analizado el concepto de competencia, es necesario explicar la diferencia que existe entre éste y resultados de aprendizaje. Los resultados de aprendizaje engloban el conjunto de competencias que se espera que el estudiante alcance al finalizar un determinado proceso de aprendizaje</w:t>
      </w:r>
      <w:r w:rsidRPr="00F4249C">
        <w:rPr>
          <w:rFonts w:ascii="Helvetica" w:eastAsia="Times New Roman" w:hAnsi="Helvetica" w:cs="Helvetica"/>
          <w:color w:val="222222"/>
          <w:spacing w:val="0"/>
          <w:lang w:val="es-CO" w:eastAsia="es-CO"/>
        </w:rPr>
        <w:footnoteReference w:id="18"/>
      </w:r>
      <w:r w:rsidRPr="00F4249C">
        <w:rPr>
          <w:rFonts w:ascii="Helvetica" w:eastAsia="Times New Roman" w:hAnsi="Helvetica" w:cs="Helvetica"/>
          <w:color w:val="222222"/>
          <w:spacing w:val="0"/>
          <w:sz w:val="22"/>
          <w:szCs w:val="22"/>
          <w:lang w:val="es-CO" w:eastAsia="es-CO"/>
        </w:rPr>
        <w:t>. En otras palabras, los resultados del aprendizaje serían la meta de dicho proceso y además supone la concreción de las competencias para que posteriormente puedan ser evaluadas, es decir, que se espera que los estudiantes sean capaces de hacer al finalizar el proceso de aprendizaje. Por lo tanto, los resultados del aprendizaje serán elaborados por los responsables de dicho proceso mientras que las competencias son adquiridas por los estudiantes como resultado de su aprendizaje</w:t>
      </w:r>
      <w:r w:rsidRPr="00F4249C">
        <w:rPr>
          <w:rFonts w:ascii="Helvetica" w:eastAsia="Times New Roman" w:hAnsi="Helvetica" w:cs="Helvetica"/>
          <w:color w:val="222222"/>
          <w:spacing w:val="0"/>
          <w:lang w:val="es-CO" w:eastAsia="es-CO"/>
        </w:rPr>
        <w:footnoteReference w:id="19"/>
      </w:r>
      <w:r w:rsidRPr="00F4249C">
        <w:rPr>
          <w:rFonts w:ascii="Helvetica" w:eastAsia="Times New Roman" w:hAnsi="Helvetica" w:cs="Helvetica"/>
          <w:color w:val="222222"/>
          <w:spacing w:val="0"/>
          <w:sz w:val="22"/>
          <w:szCs w:val="22"/>
          <w:lang w:val="es-CO" w:eastAsia="es-CO"/>
        </w:rPr>
        <w:t xml:space="preserve">. </w:t>
      </w:r>
    </w:p>
    <w:p w:rsidR="002F7056" w:rsidRPr="00F4249C" w:rsidRDefault="002F7056" w:rsidP="002F7056">
      <w:pPr>
        <w:pStyle w:val="1"/>
        <w:numPr>
          <w:ilvl w:val="0"/>
          <w:numId w:val="4"/>
        </w:numPr>
        <w:spacing w:after="120" w:line="240" w:lineRule="auto"/>
        <w:rPr>
          <w:rFonts w:ascii="Helvetica" w:eastAsia="Times New Roman" w:hAnsi="Helvetica" w:cs="Helvetica"/>
          <w:iCs w:val="0"/>
          <w:color w:val="222222"/>
          <w:sz w:val="22"/>
          <w:szCs w:val="22"/>
          <w:lang w:val="es-CO" w:eastAsia="es-CO"/>
        </w:rPr>
      </w:pPr>
      <w:r w:rsidRPr="00F4249C">
        <w:rPr>
          <w:rFonts w:ascii="Helvetica" w:eastAsia="Times New Roman" w:hAnsi="Helvetica" w:cs="Helvetica"/>
          <w:iCs w:val="0"/>
          <w:color w:val="222222"/>
          <w:sz w:val="22"/>
          <w:szCs w:val="22"/>
          <w:lang w:val="es-CO" w:eastAsia="es-CO"/>
        </w:rPr>
        <w:t xml:space="preserve">Aprendizaje Basado en Competencias </w:t>
      </w:r>
    </w:p>
    <w:p w:rsidR="002F7056" w:rsidRPr="00F4249C"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r w:rsidRPr="00F4249C">
        <w:rPr>
          <w:rFonts w:ascii="Helvetica" w:eastAsia="Times New Roman" w:hAnsi="Helvetica" w:cs="Helvetica"/>
          <w:color w:val="222222"/>
          <w:spacing w:val="0"/>
          <w:sz w:val="22"/>
          <w:szCs w:val="22"/>
          <w:lang w:val="es-CO" w:eastAsia="es-CO"/>
        </w:rPr>
        <w:t xml:space="preserve">El Aprendizaje Basado en Competencias ha sido el modelo elegido por la mayoría de los países para implementar los objetivos consagrados en la Declaración de Bolonia, que, como fue expuesto anteriormente, se ha extendido a nivel mundial. En este sentido, la </w:t>
      </w:r>
      <w:r w:rsidRPr="00F4249C">
        <w:rPr>
          <w:rFonts w:ascii="Helvetica" w:eastAsia="Times New Roman" w:hAnsi="Helvetica" w:cs="Helvetica"/>
          <w:color w:val="222222"/>
          <w:spacing w:val="0"/>
          <w:sz w:val="22"/>
          <w:szCs w:val="22"/>
          <w:lang w:val="es-CO" w:eastAsia="es-CO"/>
        </w:rPr>
        <w:lastRenderedPageBreak/>
        <w:t>Declaración de Bolonia estableció de manera explícita que los cambios educativos debían tender a formar a estudiantes en “las competencias necesarias para responder a los retos del nuevo milenio y reforzar los valores compartidos y de la pertinencia a un espacio social y cultural común”</w:t>
      </w:r>
      <w:r w:rsidRPr="00F4249C">
        <w:rPr>
          <w:rFonts w:ascii="Helvetica" w:eastAsia="Times New Roman" w:hAnsi="Helvetica" w:cs="Helvetica"/>
          <w:color w:val="222222"/>
          <w:spacing w:val="0"/>
          <w:lang w:val="es-CO" w:eastAsia="es-CO"/>
        </w:rPr>
        <w:footnoteReference w:id="20"/>
      </w:r>
      <w:r w:rsidRPr="00F4249C">
        <w:rPr>
          <w:rFonts w:ascii="Helvetica" w:eastAsia="Times New Roman" w:hAnsi="Helvetica" w:cs="Helvetica"/>
          <w:color w:val="222222"/>
          <w:spacing w:val="0"/>
          <w:sz w:val="22"/>
          <w:szCs w:val="22"/>
          <w:lang w:val="es-CO" w:eastAsia="es-CO"/>
        </w:rPr>
        <w:t xml:space="preserve">. </w:t>
      </w:r>
    </w:p>
    <w:p w:rsidR="002F7056" w:rsidRPr="00F4249C"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r w:rsidRPr="00F4249C">
        <w:rPr>
          <w:rFonts w:ascii="Helvetica" w:eastAsia="Times New Roman" w:hAnsi="Helvetica" w:cs="Helvetica"/>
          <w:color w:val="222222"/>
          <w:spacing w:val="0"/>
          <w:sz w:val="22"/>
          <w:szCs w:val="22"/>
          <w:lang w:val="es-CO" w:eastAsia="es-CO"/>
        </w:rPr>
        <w:t>En términos generales, este modelo de enseñanza-aprendizaje tiene por objeto que los estudiantes adquieran una serie de competencias, genéricas y específicas, como consecuencia de un proceso de enseñanza-aprendizaje. Además, se considera un método beneficioso desde el punto de vista que permite adaptar dichas competencias a las necesidades de la sociedad del s. XXI</w:t>
      </w:r>
      <w:r w:rsidRPr="00F4249C">
        <w:rPr>
          <w:rFonts w:ascii="Helvetica" w:eastAsia="Times New Roman" w:hAnsi="Helvetica" w:cs="Helvetica"/>
          <w:color w:val="222222"/>
          <w:spacing w:val="0"/>
          <w:lang w:val="es-CO" w:eastAsia="es-CO"/>
        </w:rPr>
        <w:footnoteReference w:id="21"/>
      </w:r>
      <w:r w:rsidRPr="00F4249C">
        <w:rPr>
          <w:rFonts w:ascii="Helvetica" w:eastAsia="Times New Roman" w:hAnsi="Helvetica" w:cs="Helvetica"/>
          <w:color w:val="222222"/>
          <w:spacing w:val="0"/>
          <w:sz w:val="22"/>
          <w:szCs w:val="22"/>
          <w:lang w:val="es-CO" w:eastAsia="es-CO"/>
        </w:rPr>
        <w:t xml:space="preserve">. Para ello, este tipo de metodología parte de la definición del perfil académico-profesional de los estudiantes, con el fin de formarlos en las competencias que les serán requeridas en el mercado laboral actual y que demanda la sociedad actual. </w:t>
      </w:r>
    </w:p>
    <w:p w:rsidR="002F7056" w:rsidRPr="00F4249C"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r w:rsidRPr="00F4249C">
        <w:rPr>
          <w:rFonts w:ascii="Helvetica" w:eastAsia="Times New Roman" w:hAnsi="Helvetica" w:cs="Helvetica"/>
          <w:color w:val="222222"/>
          <w:spacing w:val="0"/>
          <w:sz w:val="22"/>
          <w:szCs w:val="22"/>
          <w:lang w:val="es-CO" w:eastAsia="es-CO"/>
        </w:rPr>
        <w:t xml:space="preserve">Cabe destacar que este enfoque de enseñanza centrado en la adquisición de </w:t>
      </w:r>
      <w:proofErr w:type="gramStart"/>
      <w:r w:rsidRPr="00F4249C">
        <w:rPr>
          <w:rFonts w:ascii="Helvetica" w:eastAsia="Times New Roman" w:hAnsi="Helvetica" w:cs="Helvetica"/>
          <w:color w:val="222222"/>
          <w:spacing w:val="0"/>
          <w:sz w:val="22"/>
          <w:szCs w:val="22"/>
          <w:lang w:val="es-CO" w:eastAsia="es-CO"/>
        </w:rPr>
        <w:t>competencias,</w:t>
      </w:r>
      <w:proofErr w:type="gramEnd"/>
      <w:r w:rsidRPr="00F4249C">
        <w:rPr>
          <w:rFonts w:ascii="Helvetica" w:eastAsia="Times New Roman" w:hAnsi="Helvetica" w:cs="Helvetica"/>
          <w:color w:val="222222"/>
          <w:spacing w:val="0"/>
          <w:sz w:val="22"/>
          <w:szCs w:val="22"/>
          <w:lang w:val="es-CO" w:eastAsia="es-CO"/>
        </w:rPr>
        <w:t xml:space="preserve"> no es nuevo, ya que, como será detallado más adelante, ya en el s. XIX, Tyler revolucionó la educación con su enseñanza por objetivos de tipo conductista, estableciendo aquello que el estudiante tendría que ser capaz de hacer al finalizar el curso. No obstante, sí se ha producido un cambio de paradigma en el que se espera que el estudiante sea el protagonista en su proceso de aprendizaje y el profesor, un guía a lo largo de dicho proceso. Este cambio de paradigma implica que la atención esté en el estudiante, desde el diseño de las competencias que se espera que el estudiante desarrolle al finalizar el curso, las metodologías activas que llevarán a la adquisición de estas competencias y una evaluación continua y formativa. En el paradigma anterior, el protagonista era el profesor y de esta manera, diseñaba el curso pensando en los objetivos que él tenía para el curso, lo que él iba a hacer en términos de metodología, en donde primaba la clase magistral, y una evaluación finalista y sumativa en la que él seguía siendo el protagonista.</w:t>
      </w:r>
    </w:p>
    <w:p w:rsidR="002F7056" w:rsidRPr="00F4249C" w:rsidRDefault="002F7056" w:rsidP="002F7056">
      <w:pPr>
        <w:pStyle w:val="Paula"/>
        <w:spacing w:line="240" w:lineRule="auto"/>
        <w:ind w:firstLine="0"/>
        <w:rPr>
          <w:rFonts w:ascii="Helvetica" w:eastAsia="Times New Roman" w:hAnsi="Helvetica" w:cs="Helvetica"/>
          <w:color w:val="222222"/>
          <w:spacing w:val="0"/>
          <w:sz w:val="22"/>
          <w:szCs w:val="22"/>
          <w:lang w:val="es-CO" w:eastAsia="es-CO"/>
        </w:rPr>
      </w:pPr>
      <w:r w:rsidRPr="00F4249C">
        <w:rPr>
          <w:rFonts w:ascii="Helvetica" w:eastAsia="Times New Roman" w:hAnsi="Helvetica" w:cs="Helvetica"/>
          <w:color w:val="222222"/>
          <w:spacing w:val="0"/>
          <w:sz w:val="22"/>
          <w:szCs w:val="22"/>
          <w:lang w:val="es-CO" w:eastAsia="es-CO"/>
        </w:rPr>
        <w:t xml:space="preserve">Las competencias deben ser adquiridas por el estudiante a lo largo del proceso de aprendizaje y cabe diferenciar entre competencias genéricas y específicas. Por lo que respecta a las primeras, son compartidas por </w:t>
      </w:r>
      <w:proofErr w:type="gramStart"/>
      <w:r w:rsidRPr="00F4249C">
        <w:rPr>
          <w:rFonts w:ascii="Helvetica" w:eastAsia="Times New Roman" w:hAnsi="Helvetica" w:cs="Helvetica"/>
          <w:color w:val="222222"/>
          <w:spacing w:val="0"/>
          <w:sz w:val="22"/>
          <w:szCs w:val="22"/>
          <w:lang w:val="es-CO" w:eastAsia="es-CO"/>
        </w:rPr>
        <w:t>todos las titulaciones</w:t>
      </w:r>
      <w:proofErr w:type="gramEnd"/>
      <w:r w:rsidRPr="00F4249C">
        <w:rPr>
          <w:rFonts w:ascii="Helvetica" w:eastAsia="Times New Roman" w:hAnsi="Helvetica" w:cs="Helvetica"/>
          <w:color w:val="222222"/>
          <w:spacing w:val="0"/>
          <w:sz w:val="22"/>
          <w:szCs w:val="22"/>
          <w:lang w:val="es-CO" w:eastAsia="es-CO"/>
        </w:rPr>
        <w:t xml:space="preserve">, mientras que las específicas, tal y como su propio nombre indica, son aquellas que están relacionadas directamente con cada área del conocimiento. </w:t>
      </w:r>
      <w:bookmarkStart w:id="11" w:name="_Toc289448890"/>
      <w:bookmarkStart w:id="12" w:name="_Toc289449295"/>
      <w:bookmarkStart w:id="13" w:name="_Toc299546152"/>
    </w:p>
    <w:p w:rsidR="002F7056" w:rsidRPr="00F4249C" w:rsidRDefault="002F7056" w:rsidP="002F7056">
      <w:pPr>
        <w:pStyle w:val="A"/>
        <w:numPr>
          <w:ilvl w:val="0"/>
          <w:numId w:val="2"/>
        </w:numPr>
        <w:spacing w:after="120" w:line="240" w:lineRule="auto"/>
        <w:rPr>
          <w:rFonts w:ascii="Helvetica" w:eastAsia="Times New Roman" w:hAnsi="Helvetica" w:cs="Helvetica"/>
          <w:bCs/>
          <w:color w:val="222222"/>
          <w:sz w:val="22"/>
          <w:szCs w:val="22"/>
          <w:lang w:val="es-CO" w:eastAsia="es-CO"/>
        </w:rPr>
      </w:pPr>
      <w:bookmarkStart w:id="14" w:name="_Toc310069661"/>
      <w:r w:rsidRPr="00F4249C">
        <w:rPr>
          <w:rFonts w:ascii="Helvetica" w:eastAsia="Times New Roman" w:hAnsi="Helvetica" w:cs="Helvetica"/>
          <w:bCs/>
          <w:color w:val="222222"/>
          <w:sz w:val="22"/>
          <w:szCs w:val="22"/>
          <w:lang w:val="es-CO" w:eastAsia="es-CO"/>
        </w:rPr>
        <w:t>Competencias genéricas</w:t>
      </w:r>
      <w:bookmarkEnd w:id="11"/>
      <w:bookmarkEnd w:id="12"/>
      <w:bookmarkEnd w:id="13"/>
      <w:bookmarkEnd w:id="14"/>
      <w:r w:rsidRPr="00F4249C">
        <w:rPr>
          <w:rFonts w:ascii="Helvetica" w:eastAsia="Times New Roman" w:hAnsi="Helvetica" w:cs="Helvetica"/>
          <w:bCs/>
          <w:color w:val="222222"/>
          <w:sz w:val="22"/>
          <w:szCs w:val="22"/>
          <w:lang w:val="es-CO" w:eastAsia="es-CO"/>
        </w:rPr>
        <w:t xml:space="preserve"> </w:t>
      </w:r>
    </w:p>
    <w:p w:rsidR="002F7056" w:rsidRPr="00F4249C"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r w:rsidRPr="00F4249C">
        <w:rPr>
          <w:rFonts w:ascii="Helvetica" w:eastAsia="Times New Roman" w:hAnsi="Helvetica" w:cs="Helvetica"/>
          <w:color w:val="222222"/>
          <w:spacing w:val="0"/>
          <w:sz w:val="22"/>
          <w:szCs w:val="22"/>
          <w:lang w:val="es-CO" w:eastAsia="es-CO"/>
        </w:rPr>
        <w:t>Dentro de las competencias genéricas es posible realizar una clasificación entre instrumentales, interpersonales y sistémicas. Las competencias genéricas instrumentales guardan relación con capacidades cognitivas, metodológicas, tecnológicas y lingüísticas. Por su parte, las genéricas interpersonales están relaciones con capacidades individuales como las habilidades sociales e interpersonales. Por último, las genéricas sistémicas tienen un carácter holístico, como son por ejemplo la capacidad de emprendimiento, organización o liderazgo. Cabe destacar, que es necesario adquirir previamente las competencias de tipo instrumental o interpersonal para poder adquirir cualquier tipo de competencias sistémicas</w:t>
      </w:r>
      <w:r w:rsidRPr="00F4249C">
        <w:rPr>
          <w:rFonts w:ascii="Helvetica" w:eastAsia="Times New Roman" w:hAnsi="Helvetica" w:cs="Helvetica"/>
          <w:color w:val="222222"/>
          <w:spacing w:val="0"/>
          <w:lang w:val="es-CO" w:eastAsia="es-CO"/>
        </w:rPr>
        <w:footnoteReference w:id="22"/>
      </w:r>
      <w:r w:rsidRPr="00F4249C">
        <w:rPr>
          <w:rFonts w:ascii="Helvetica" w:eastAsia="Times New Roman" w:hAnsi="Helvetica" w:cs="Helvetica"/>
          <w:color w:val="222222"/>
          <w:spacing w:val="0"/>
          <w:sz w:val="22"/>
          <w:szCs w:val="22"/>
          <w:lang w:val="es-CO" w:eastAsia="es-CO"/>
        </w:rPr>
        <w:t xml:space="preserve">. </w:t>
      </w:r>
    </w:p>
    <w:p w:rsidR="002F7056" w:rsidRPr="00F4249C"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r w:rsidRPr="00F4249C">
        <w:rPr>
          <w:rFonts w:ascii="Helvetica" w:eastAsia="Times New Roman" w:hAnsi="Helvetica" w:cs="Helvetica"/>
          <w:color w:val="222222"/>
          <w:spacing w:val="0"/>
          <w:sz w:val="22"/>
          <w:szCs w:val="22"/>
          <w:lang w:val="es-CO" w:eastAsia="es-CO"/>
        </w:rPr>
        <w:lastRenderedPageBreak/>
        <w:t>En la primera fase del Proyecto Tuning se identificaron las competencias genéricas más importantes a través de un gran número de cuestionarios que fueron realizados a estudiantes, graduados, empleadores y académicos a lo largo de Europa</w:t>
      </w:r>
      <w:r w:rsidRPr="00F4249C">
        <w:rPr>
          <w:rFonts w:ascii="Helvetica" w:eastAsia="Times New Roman" w:hAnsi="Helvetica" w:cs="Helvetica"/>
          <w:color w:val="222222"/>
          <w:spacing w:val="0"/>
          <w:lang w:val="es-CO" w:eastAsia="es-CO"/>
        </w:rPr>
        <w:footnoteReference w:id="23"/>
      </w:r>
      <w:r w:rsidRPr="00F4249C">
        <w:rPr>
          <w:rFonts w:ascii="Helvetica" w:eastAsia="Times New Roman" w:hAnsi="Helvetica" w:cs="Helvetica"/>
          <w:color w:val="222222"/>
          <w:spacing w:val="0"/>
          <w:sz w:val="22"/>
          <w:szCs w:val="22"/>
          <w:lang w:val="es-CO" w:eastAsia="es-CO"/>
        </w:rPr>
        <w:t xml:space="preserve">. Se preguntó acerca de la importancia e idoneidad de las siguientes 30 competencias genéricas, tanto instrumentales como interpersonales y sistémicas. Por lo que respecta a las competencias genéricas instrumentales, se preguntó acerca de las siguientes: capacidad de análisis y síntesis; capacidad de organizar y planificar; conocimientos generales básicos; conocimientos básicos de la profesión; comunicación oral y escrita en la propia lengua; conocimiento de una segunda lengua; habilidades básicas de manejo del ordenador; habilidades de gestión de la información; resolución de problemas, y toma de decisiones. En cuanto a las competencias genéricas interpersonales: capacidad crítica y autocrítica; trabajo en equipo; habilidades interpersonales; capacidad de trabajar en un equipo interdisciplinar; capacidad para comunicarse con expertos de otras áreas: apreciación de la diversidad y multiculturalidad; habilidad de trabajar en un contexto internacional, y compromiso ético. Por lo que respecta a las competencias genéricas sistémicas, se cuestionó acerca de las siguientes: capacidad de aplicar los conocimientos en la práctica; habilidades de investigación; capacidad de aprender; capacidad para adaptarse a nuevas situaciones; capacidad para generar nuevas ideas (creatividad); liderazgo; conocimiento de culturas y costumbres de otros países; habilidad para trabajar de forma autónoma; diseño y gestión de proyectos; iniciativa y espíritu emprendedor; preocupación por la calidad, y motivación de logro. </w:t>
      </w:r>
    </w:p>
    <w:p w:rsidR="002F7056" w:rsidRPr="00F4249C"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r w:rsidRPr="00F4249C">
        <w:rPr>
          <w:rFonts w:ascii="Helvetica" w:eastAsia="Times New Roman" w:hAnsi="Helvetica" w:cs="Helvetica"/>
          <w:color w:val="222222"/>
          <w:spacing w:val="0"/>
          <w:sz w:val="22"/>
          <w:szCs w:val="22"/>
          <w:lang w:val="es-CO" w:eastAsia="es-CO"/>
        </w:rPr>
        <w:t>El análisis de los cuestionarios mencionados reveló como competencias genéricas más relevantes la capacidad de análisis y síntesis y la capacidad de aprender y resolver problemas. En cuanto a las más importantes, según académicos, empleadores y estudiantes, a la hora de buscar trabajo son las siguientes: capacidad para aplicar los conocimientos adquiridos, capacidad de adaptarse a nuevas situaciones, gestión de la información, capacidad de trabajar de manera autónoma, trabajo en equipo, comunicación oral y escrita, y capacidad de organización y planificación.</w:t>
      </w:r>
    </w:p>
    <w:p w:rsidR="002F7056" w:rsidRPr="00F4249C"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r w:rsidRPr="00F4249C">
        <w:rPr>
          <w:rFonts w:ascii="Helvetica" w:eastAsia="Times New Roman" w:hAnsi="Helvetica" w:cs="Helvetica"/>
          <w:color w:val="222222"/>
          <w:spacing w:val="0"/>
          <w:sz w:val="22"/>
          <w:szCs w:val="22"/>
          <w:lang w:val="es-CO" w:eastAsia="es-CO"/>
        </w:rPr>
        <w:t xml:space="preserve">Con base en los resultados anteriores, se elaboró el Verifica de la Facultad de Derecho de la Universidad de Deusto 2013-2014. Las competencias elegidas en </w:t>
      </w:r>
      <w:proofErr w:type="gramStart"/>
      <w:r w:rsidRPr="00F4249C">
        <w:rPr>
          <w:rFonts w:ascii="Helvetica" w:eastAsia="Times New Roman" w:hAnsi="Helvetica" w:cs="Helvetica"/>
          <w:color w:val="222222"/>
          <w:spacing w:val="0"/>
          <w:sz w:val="22"/>
          <w:szCs w:val="22"/>
          <w:lang w:val="es-CO" w:eastAsia="es-CO"/>
        </w:rPr>
        <w:t>concreto,</w:t>
      </w:r>
      <w:proofErr w:type="gramEnd"/>
      <w:r w:rsidRPr="00F4249C">
        <w:rPr>
          <w:rFonts w:ascii="Helvetica" w:eastAsia="Times New Roman" w:hAnsi="Helvetica" w:cs="Helvetica"/>
          <w:color w:val="222222"/>
          <w:spacing w:val="0"/>
          <w:sz w:val="22"/>
          <w:szCs w:val="22"/>
          <w:lang w:val="es-CO" w:eastAsia="es-CO"/>
        </w:rPr>
        <w:t xml:space="preserve"> son: pensamiento analítico, pensamiento sistémico, pensamiento crítico, resolución de problemas, toma de decisiones, orientación al aprendizaje, utilización de las Tics, comunicación oral, comunicación escrita, trabajo en equipo, sentido ético, diversidad e interculturalidad. Tal y como será explicado posteriormente, el Modelo de Aprendizaje la Universidad de Deusto (MAUD) está basado en el desarrollo de las competencias del perfil de manera transversal a lo largo de la carrera, teniendo en cuenta la naturaleza de cada asignatura y </w:t>
      </w:r>
      <w:proofErr w:type="gramStart"/>
      <w:r w:rsidRPr="00F4249C">
        <w:rPr>
          <w:rFonts w:ascii="Helvetica" w:eastAsia="Times New Roman" w:hAnsi="Helvetica" w:cs="Helvetica"/>
          <w:color w:val="222222"/>
          <w:spacing w:val="0"/>
          <w:sz w:val="22"/>
          <w:szCs w:val="22"/>
          <w:lang w:val="es-CO" w:eastAsia="es-CO"/>
        </w:rPr>
        <w:t>el niveles</w:t>
      </w:r>
      <w:proofErr w:type="gramEnd"/>
      <w:r w:rsidRPr="00F4249C">
        <w:rPr>
          <w:rFonts w:ascii="Helvetica" w:eastAsia="Times New Roman" w:hAnsi="Helvetica" w:cs="Helvetica"/>
          <w:color w:val="222222"/>
          <w:spacing w:val="0"/>
          <w:sz w:val="22"/>
          <w:szCs w:val="22"/>
          <w:lang w:val="es-CO" w:eastAsia="es-CO"/>
        </w:rPr>
        <w:t xml:space="preserve"> de dominio que debe alcanzarse en cada año académico</w:t>
      </w:r>
      <w:r w:rsidRPr="00F4249C">
        <w:rPr>
          <w:rFonts w:ascii="Helvetica" w:eastAsia="Times New Roman" w:hAnsi="Helvetica" w:cs="Helvetica"/>
          <w:color w:val="222222"/>
          <w:spacing w:val="0"/>
          <w:lang w:val="es-CO" w:eastAsia="es-CO"/>
        </w:rPr>
        <w:footnoteReference w:id="24"/>
      </w:r>
      <w:r w:rsidRPr="00F4249C">
        <w:rPr>
          <w:rFonts w:ascii="Helvetica" w:eastAsia="Times New Roman" w:hAnsi="Helvetica" w:cs="Helvetica"/>
          <w:color w:val="222222"/>
          <w:spacing w:val="0"/>
          <w:sz w:val="22"/>
          <w:szCs w:val="22"/>
          <w:lang w:val="es-CO" w:eastAsia="es-CO"/>
        </w:rPr>
        <w:t>.</w:t>
      </w:r>
    </w:p>
    <w:p w:rsidR="002F7056" w:rsidRPr="00F4249C" w:rsidRDefault="002F7056" w:rsidP="002F7056">
      <w:pPr>
        <w:pStyle w:val="A"/>
        <w:tabs>
          <w:tab w:val="clear" w:pos="360"/>
        </w:tabs>
        <w:spacing w:after="120" w:line="240" w:lineRule="auto"/>
        <w:rPr>
          <w:rFonts w:ascii="Helvetica" w:eastAsia="Times New Roman" w:hAnsi="Helvetica" w:cs="Helvetica"/>
          <w:bCs/>
          <w:color w:val="222222"/>
          <w:sz w:val="22"/>
          <w:szCs w:val="22"/>
          <w:lang w:val="es-CO" w:eastAsia="es-CO"/>
        </w:rPr>
      </w:pPr>
      <w:bookmarkStart w:id="15" w:name="_Toc289448891"/>
      <w:bookmarkStart w:id="16" w:name="_Toc289449296"/>
      <w:bookmarkStart w:id="17" w:name="_Toc299546153"/>
      <w:bookmarkStart w:id="18" w:name="_Toc310069662"/>
      <w:r w:rsidRPr="00F4249C">
        <w:rPr>
          <w:rFonts w:ascii="Helvetica" w:eastAsia="Times New Roman" w:hAnsi="Helvetica" w:cs="Helvetica"/>
          <w:bCs/>
          <w:color w:val="222222"/>
          <w:sz w:val="22"/>
          <w:szCs w:val="22"/>
          <w:lang w:val="es-CO" w:eastAsia="es-CO"/>
        </w:rPr>
        <w:t>Competencias específicas en el área del Derecho</w:t>
      </w:r>
      <w:bookmarkEnd w:id="15"/>
      <w:bookmarkEnd w:id="16"/>
      <w:bookmarkEnd w:id="17"/>
      <w:bookmarkEnd w:id="18"/>
      <w:r w:rsidRPr="00F4249C">
        <w:rPr>
          <w:rFonts w:ascii="Helvetica" w:eastAsia="Times New Roman" w:hAnsi="Helvetica" w:cs="Helvetica"/>
          <w:bCs/>
          <w:color w:val="222222"/>
          <w:sz w:val="22"/>
          <w:szCs w:val="22"/>
          <w:lang w:val="es-CO" w:eastAsia="es-CO"/>
        </w:rPr>
        <w:t xml:space="preserve"> </w:t>
      </w:r>
    </w:p>
    <w:p w:rsidR="002F7056" w:rsidRPr="00F4249C"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r w:rsidRPr="00F4249C">
        <w:rPr>
          <w:rFonts w:ascii="Helvetica" w:eastAsia="Times New Roman" w:hAnsi="Helvetica" w:cs="Helvetica"/>
          <w:color w:val="222222"/>
          <w:spacing w:val="0"/>
          <w:sz w:val="22"/>
          <w:szCs w:val="22"/>
          <w:lang w:val="es-CO" w:eastAsia="es-CO"/>
        </w:rPr>
        <w:t xml:space="preserve">Con el fin de analizar las competencias específicas a desarrollar por los estudiantes en el área de Derecho, se tendrán en cuenta distintos programas de carrera o verificas de varias </w:t>
      </w:r>
      <w:r w:rsidRPr="00F4249C">
        <w:rPr>
          <w:rFonts w:ascii="Helvetica" w:eastAsia="Times New Roman" w:hAnsi="Helvetica" w:cs="Helvetica"/>
          <w:color w:val="222222"/>
          <w:spacing w:val="0"/>
          <w:sz w:val="22"/>
          <w:szCs w:val="22"/>
          <w:lang w:val="es-CO" w:eastAsia="es-CO"/>
        </w:rPr>
        <w:lastRenderedPageBreak/>
        <w:t>universidades españolas, así como los resultados de la investigación llevada a cabo por el Proyecto Tuning en América Latina</w:t>
      </w:r>
      <w:r w:rsidRPr="00F4249C">
        <w:rPr>
          <w:rFonts w:ascii="Helvetica" w:eastAsia="Times New Roman" w:hAnsi="Helvetica" w:cs="Helvetica"/>
          <w:color w:val="222222"/>
          <w:spacing w:val="0"/>
          <w:lang w:val="es-CO" w:eastAsia="es-CO"/>
        </w:rPr>
        <w:footnoteReference w:id="25"/>
      </w:r>
      <w:r w:rsidRPr="00F4249C">
        <w:rPr>
          <w:rFonts w:ascii="Helvetica" w:eastAsia="Times New Roman" w:hAnsi="Helvetica" w:cs="Helvetica"/>
          <w:color w:val="222222"/>
          <w:spacing w:val="0"/>
          <w:sz w:val="22"/>
          <w:szCs w:val="22"/>
          <w:lang w:val="es-CO" w:eastAsia="es-CO"/>
        </w:rPr>
        <w:t xml:space="preserve">. </w:t>
      </w:r>
    </w:p>
    <w:p w:rsidR="002F7056" w:rsidRPr="00F4249C"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r w:rsidRPr="00F4249C">
        <w:rPr>
          <w:rFonts w:ascii="Helvetica" w:eastAsia="Times New Roman" w:hAnsi="Helvetica" w:cs="Helvetica"/>
          <w:color w:val="222222"/>
          <w:spacing w:val="0"/>
          <w:sz w:val="22"/>
          <w:szCs w:val="22"/>
          <w:lang w:val="es-CO" w:eastAsia="es-CO"/>
        </w:rPr>
        <w:t>A la luz de la investigación realizada por el Proyecto Tuning en América Latina, se establecieron 24 competencias específicas para el Grado en Derecho. Posteriormente, se pidió a un grupo de estudiantes, graduados, empleados y académicos de 19 países latinoamericanos para que establecieran las competencias específicas más importantes según su experiencia</w:t>
      </w:r>
      <w:r w:rsidRPr="00F4249C">
        <w:rPr>
          <w:rFonts w:ascii="Helvetica" w:eastAsia="Times New Roman" w:hAnsi="Helvetica" w:cs="Helvetica"/>
          <w:color w:val="222222"/>
          <w:spacing w:val="0"/>
          <w:lang w:val="es-CO" w:eastAsia="es-CO"/>
        </w:rPr>
        <w:footnoteReference w:id="26"/>
      </w:r>
      <w:r w:rsidRPr="00F4249C">
        <w:rPr>
          <w:rFonts w:ascii="Helvetica" w:eastAsia="Times New Roman" w:hAnsi="Helvetica" w:cs="Helvetica"/>
          <w:color w:val="222222"/>
          <w:spacing w:val="0"/>
          <w:sz w:val="22"/>
          <w:szCs w:val="22"/>
          <w:lang w:val="es-CO" w:eastAsia="es-CO"/>
        </w:rPr>
        <w:t>. El resultado, en orden de importancia de las seis competencias específicas, fue el siguiente</w:t>
      </w:r>
      <w:r w:rsidRPr="00F4249C">
        <w:rPr>
          <w:rFonts w:ascii="Helvetica" w:eastAsia="Times New Roman" w:hAnsi="Helvetica" w:cs="Helvetica"/>
          <w:color w:val="222222"/>
          <w:spacing w:val="0"/>
          <w:lang w:val="es-CO" w:eastAsia="es-CO"/>
        </w:rPr>
        <w:footnoteReference w:id="27"/>
      </w:r>
      <w:r w:rsidRPr="00F4249C">
        <w:rPr>
          <w:rFonts w:ascii="Helvetica" w:eastAsia="Times New Roman" w:hAnsi="Helvetica" w:cs="Helvetica"/>
          <w:color w:val="222222"/>
          <w:spacing w:val="0"/>
          <w:sz w:val="22"/>
          <w:szCs w:val="22"/>
          <w:lang w:val="es-CO" w:eastAsia="es-CO"/>
        </w:rPr>
        <w:t>: capacidad para razonar y argumentar jurídicamente; actuar de manera leal, diligente y transparente en la defensa de intereses de las personas que representa; conocer, interpretar y aplicar los principios generales del derecho y del ordenamiento jurídico; ser consciente de la dimensión ética de la profesión jurídica y de la responsabilidad social del graduado en derecho y actuar en consecuencia; capacidad de tomar decisiones jurídicas fundamentadas; capacidad para redactar textos y expresarse oralmente en un lenguaje fluido y técnico, usando términos jurídicos precisos y claros.</w:t>
      </w:r>
    </w:p>
    <w:p w:rsidR="002F7056" w:rsidRPr="00F4249C" w:rsidRDefault="002F7056" w:rsidP="002F7056">
      <w:pPr>
        <w:pStyle w:val="Paula"/>
        <w:spacing w:after="120" w:line="240" w:lineRule="auto"/>
        <w:rPr>
          <w:rFonts w:ascii="Helvetica" w:eastAsia="Times New Roman" w:hAnsi="Helvetica" w:cs="Helvetica"/>
          <w:color w:val="222222"/>
          <w:spacing w:val="0"/>
          <w:sz w:val="22"/>
          <w:szCs w:val="22"/>
          <w:lang w:val="es-CO" w:eastAsia="es-CO"/>
        </w:rPr>
      </w:pPr>
      <w:r w:rsidRPr="00F4249C">
        <w:rPr>
          <w:rFonts w:ascii="Helvetica" w:eastAsia="Times New Roman" w:hAnsi="Helvetica" w:cs="Helvetica"/>
          <w:color w:val="222222"/>
          <w:spacing w:val="0"/>
          <w:sz w:val="22"/>
          <w:szCs w:val="22"/>
          <w:lang w:val="es-CO" w:eastAsia="es-CO"/>
        </w:rPr>
        <w:t xml:space="preserve">En el caso de la Universidad de Deusto, las competencias específicas del perfil académico-profesional para el Grado en Derecho 2013-2014, son: 1. Demostrar conocimiento y comprensión de los principios, fuentes, método, conceptos, instituciones y procedimientos en cada una de las ramas del Derecho. 2. Demostrar conocimiento y </w:t>
      </w:r>
      <w:r w:rsidRPr="00F4249C">
        <w:rPr>
          <w:rFonts w:ascii="Helvetica" w:eastAsia="Times New Roman" w:hAnsi="Helvetica" w:cs="Helvetica"/>
          <w:color w:val="222222"/>
          <w:spacing w:val="0"/>
          <w:sz w:val="22"/>
          <w:szCs w:val="22"/>
          <w:lang w:val="es-CO" w:eastAsia="es-CO"/>
        </w:rPr>
        <w:lastRenderedPageBreak/>
        <w:t>comprensión de los principios, conceptos y métodos propios de las materias no jurídicas incluidas en el Programa de formación. 3. Analizar realidades sociales desde una perspectiva científica (jurídica, ética, histórica, económica y filosófica...) 4. Identificar y localizar las fuentes jurídicas aplicables. 5. Sintetizar de forma precisa el contenido conceptual y argumental de textos no jurídicos, así como los contenidos de las normas jurídicas y los argumentos de la doctrina y jurisprudencia relativos a ellas. 6. Adoptar, a partir de los argumentos estudiados, una posición razonada o una decisión jurídica fundamentada aplicable al caso. 7. Redactar documentos jurídicos básicos (contratos, demandas...). 8. Identificar y aplicar los aspectos fundamentales de ordenamientos jurídicos distintos al interno. 9. Razonar y argumentar jurídicamente de forma personal y creativa. 10. Integrar en la argumentación jurídica la perspectiva de las diferentes áreas implicadas de los ordenamientos jurídicos en presencia. 11. Utilizar los fundamentos filosóficos y teóricos del Derecho en su aplicación práctica. 12. Identificar y tomar en consideración los valores subyacentes a los principios y las reglas jurídicas. 13. Analizar los fenómenos políticos, sociales, económicos, psicológicos, etc., ponderándolos en la argumentación científica y/o jurídica. 14. Tomar en consideración las exigencias de la ética en la argumentación jurídica. 15. Informar sobre los posibles resultados de un caso y diseñar estrategias alternativas conducentes a la satisfacción de los intereses en juego. 16. Ponderar la pertinencia de recurrir a los medios ordinarios de resolución de conflictos (instancias judiciales o administrativas) o a los medios alternativos (arbitraje, mediación, conciliación). 17. Valorar de manera crítica las normas jurídicas y en su caso realizar propuestas correctivas en el campo de la interpretación y de las reformas legislativas.</w:t>
      </w:r>
    </w:p>
    <w:p w:rsidR="002F7056" w:rsidRPr="00F4249C" w:rsidRDefault="002F7056" w:rsidP="002F7056">
      <w:pPr>
        <w:pStyle w:val="Prrafodelista"/>
        <w:numPr>
          <w:ilvl w:val="0"/>
          <w:numId w:val="4"/>
        </w:numPr>
        <w:spacing w:after="120" w:line="240" w:lineRule="auto"/>
        <w:jc w:val="both"/>
        <w:rPr>
          <w:rFonts w:ascii="Helvetica" w:eastAsia="Times New Roman" w:hAnsi="Helvetica" w:cs="Helvetica"/>
          <w:b/>
          <w:bCs/>
          <w:color w:val="222222"/>
          <w:lang w:eastAsia="es-CO"/>
        </w:rPr>
      </w:pPr>
      <w:r w:rsidRPr="00F4249C">
        <w:rPr>
          <w:rFonts w:ascii="Helvetica" w:eastAsia="Times New Roman" w:hAnsi="Helvetica" w:cs="Helvetica"/>
          <w:b/>
          <w:bCs/>
          <w:color w:val="222222"/>
          <w:lang w:eastAsia="es-CO"/>
        </w:rPr>
        <w:t>Metodologías activas para la formación de competencias</w:t>
      </w:r>
    </w:p>
    <w:p w:rsidR="002F7056" w:rsidRPr="00F4249C"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r w:rsidRPr="00F4249C">
        <w:rPr>
          <w:rFonts w:ascii="Helvetica" w:eastAsia="Times New Roman" w:hAnsi="Helvetica" w:cs="Helvetica"/>
          <w:color w:val="222222"/>
          <w:spacing w:val="0"/>
          <w:sz w:val="22"/>
          <w:szCs w:val="22"/>
          <w:lang w:val="es-CO" w:eastAsia="es-CO"/>
        </w:rPr>
        <w:t>El Aprendizaje Basado en Competencias ha sido el modelo elegido por la mayoría de los países para implementar los objetivos consagrados en la Declaración de Bolonia, que, como fue expuesto anteriormente, se ha extendido a nivel mundial. En este sentido, la Declaración de Bolonia estableció de manera explícita que los cambios educativos debían tender a formar a estudiantes en “las competencias necesarias para responder a los retos del nuevo milenio y reforzar los valores compartidos y de la pertinencia a un espacio social y cultural común”</w:t>
      </w:r>
      <w:r w:rsidRPr="00F4249C">
        <w:rPr>
          <w:rFonts w:ascii="Helvetica" w:eastAsia="Times New Roman" w:hAnsi="Helvetica" w:cs="Helvetica"/>
          <w:color w:val="222222"/>
          <w:spacing w:val="0"/>
          <w:lang w:val="es-CO" w:eastAsia="es-CO"/>
        </w:rPr>
        <w:footnoteReference w:id="28"/>
      </w:r>
      <w:r w:rsidRPr="00F4249C">
        <w:rPr>
          <w:rFonts w:ascii="Helvetica" w:eastAsia="Times New Roman" w:hAnsi="Helvetica" w:cs="Helvetica"/>
          <w:color w:val="222222"/>
          <w:spacing w:val="0"/>
          <w:sz w:val="22"/>
          <w:szCs w:val="22"/>
          <w:lang w:val="es-CO" w:eastAsia="es-CO"/>
        </w:rPr>
        <w:t xml:space="preserve">. </w:t>
      </w:r>
    </w:p>
    <w:p w:rsidR="002F7056" w:rsidRPr="00F4249C"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r w:rsidRPr="00F4249C">
        <w:rPr>
          <w:rFonts w:ascii="Helvetica" w:eastAsia="Times New Roman" w:hAnsi="Helvetica" w:cs="Helvetica"/>
          <w:color w:val="222222"/>
          <w:spacing w:val="0"/>
          <w:sz w:val="22"/>
          <w:szCs w:val="22"/>
          <w:lang w:val="es-CO" w:eastAsia="es-CO"/>
        </w:rPr>
        <w:t>En términos generales, este modelo de enseñanza-aprendizaje tiene por objeto que los estudiantes adquieran una serie de competencias, genéricas y específicas, como consecuencia de un proceso de enseñanza-aprendizaje. Además, se considera un método beneficioso desde el punto de vista que permite adaptar dichas competencias a las necesidades de la sociedad del s. XXI</w:t>
      </w:r>
      <w:r w:rsidRPr="00F4249C">
        <w:rPr>
          <w:rFonts w:ascii="Helvetica" w:eastAsia="Times New Roman" w:hAnsi="Helvetica" w:cs="Helvetica"/>
          <w:color w:val="222222"/>
          <w:spacing w:val="0"/>
          <w:lang w:val="es-CO" w:eastAsia="es-CO"/>
        </w:rPr>
        <w:footnoteReference w:id="29"/>
      </w:r>
      <w:r w:rsidRPr="00F4249C">
        <w:rPr>
          <w:rFonts w:ascii="Helvetica" w:eastAsia="Times New Roman" w:hAnsi="Helvetica" w:cs="Helvetica"/>
          <w:color w:val="222222"/>
          <w:spacing w:val="0"/>
          <w:sz w:val="22"/>
          <w:szCs w:val="22"/>
          <w:lang w:val="es-CO" w:eastAsia="es-CO"/>
        </w:rPr>
        <w:t xml:space="preserve">. Para ello, este tipo de metodología parte de la definición del perfil académico-profesional de los estudiantes, con el fin de formarlos en las competencias que les serán requeridas en el mercado laboral actual y que demanda la sociedad actual. </w:t>
      </w: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r w:rsidRPr="00F4249C">
        <w:rPr>
          <w:rFonts w:ascii="Helvetica" w:eastAsia="Times New Roman" w:hAnsi="Helvetica" w:cs="Helvetica"/>
          <w:color w:val="222222"/>
          <w:spacing w:val="0"/>
          <w:sz w:val="22"/>
          <w:szCs w:val="22"/>
          <w:lang w:val="es-CO" w:eastAsia="es-CO"/>
        </w:rPr>
        <w:t xml:space="preserve">Cabe destacar que este enfoque de enseñanza centrado en la adquisición de competencias no es nuevo, ya que, como será detallado más adelante, ya en el s. XIX, Tyler revolucionó la educación con su enseñanza por objetivos de tipo conductista, estableciendo aquello que el estudiante tendría que ser capaz de hacer al finalizar el curso. No obstante, sí se ha producido un cambio de paradigma en el que se espera que el estudiante sea el protagonista en su proceso de aprendizaje y el profesor, un guía a lo largo de dicho proceso. Este cambio de paradigma implica que la atención esté en el estudiante, desde el diseño </w:t>
      </w:r>
      <w:r w:rsidRPr="00F4249C">
        <w:rPr>
          <w:rFonts w:ascii="Helvetica" w:eastAsia="Times New Roman" w:hAnsi="Helvetica" w:cs="Helvetica"/>
          <w:color w:val="222222"/>
          <w:spacing w:val="0"/>
          <w:sz w:val="22"/>
          <w:szCs w:val="22"/>
          <w:lang w:val="es-CO" w:eastAsia="es-CO"/>
        </w:rPr>
        <w:lastRenderedPageBreak/>
        <w:t>de las competencias que se espera que el estudiante desarrolle al finalizar el curso, las metodologías activas que llevarán a la adquisición de estas competencias y una evaluación continua y formativa. En el paradigma anterior, el protagonista era el profesor y de esta manera, diseñaba el curso pensando en los objetivos que él tenía para el curso, lo que él iba a hacer en términos de metodología, en donde primaba la clase magistral, y una evaluación finalista y sumativa en la que él seguía siendo el protagonista.</w:t>
      </w: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Default="002F7056" w:rsidP="002F7056">
      <w:pPr>
        <w:pStyle w:val="Paula"/>
        <w:spacing w:after="120" w:line="240" w:lineRule="auto"/>
        <w:ind w:firstLine="0"/>
        <w:rPr>
          <w:rFonts w:ascii="Helvetica" w:eastAsia="Times New Roman" w:hAnsi="Helvetica" w:cs="Helvetica"/>
          <w:color w:val="222222"/>
          <w:spacing w:val="0"/>
          <w:sz w:val="22"/>
          <w:szCs w:val="22"/>
          <w:lang w:val="es-CO" w:eastAsia="es-CO"/>
        </w:rPr>
      </w:pPr>
    </w:p>
    <w:p w:rsidR="002F7056" w:rsidRPr="00E112DE" w:rsidRDefault="002F7056" w:rsidP="002F7056">
      <w:pPr>
        <w:pStyle w:val="Paula"/>
        <w:spacing w:after="120" w:line="240" w:lineRule="auto"/>
        <w:ind w:firstLine="0"/>
        <w:rPr>
          <w:rFonts w:eastAsia="Times New Roman" w:cs="Arial"/>
          <w:color w:val="222222"/>
          <w:lang w:eastAsia="es-CO"/>
        </w:rPr>
      </w:pPr>
    </w:p>
    <w:p w:rsidR="002F7056" w:rsidRDefault="002F7056"/>
    <w:sectPr w:rsidR="002F705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60A9" w:rsidRDefault="00B560A9" w:rsidP="002F7056">
      <w:pPr>
        <w:spacing w:after="0" w:line="240" w:lineRule="auto"/>
      </w:pPr>
      <w:r>
        <w:separator/>
      </w:r>
    </w:p>
  </w:endnote>
  <w:endnote w:type="continuationSeparator" w:id="0">
    <w:p w:rsidR="00B560A9" w:rsidRDefault="00B560A9" w:rsidP="002F7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60A9" w:rsidRDefault="00B560A9" w:rsidP="002F7056">
      <w:pPr>
        <w:spacing w:after="0" w:line="240" w:lineRule="auto"/>
      </w:pPr>
      <w:r>
        <w:separator/>
      </w:r>
    </w:p>
  </w:footnote>
  <w:footnote w:type="continuationSeparator" w:id="0">
    <w:p w:rsidR="00B560A9" w:rsidRDefault="00B560A9" w:rsidP="002F7056">
      <w:pPr>
        <w:spacing w:after="0" w:line="240" w:lineRule="auto"/>
      </w:pPr>
      <w:r>
        <w:continuationSeparator/>
      </w:r>
    </w:p>
  </w:footnote>
  <w:footnote w:id="1">
    <w:p w:rsidR="002F7056" w:rsidRPr="00416BBE" w:rsidRDefault="002F7056" w:rsidP="002F7056">
      <w:pPr>
        <w:pStyle w:val="Sinespaciado"/>
        <w:jc w:val="both"/>
        <w:rPr>
          <w:rFonts w:ascii="Arial" w:hAnsi="Arial" w:cs="Arial"/>
          <w:sz w:val="20"/>
          <w:szCs w:val="20"/>
        </w:rPr>
      </w:pPr>
      <w:r>
        <w:rPr>
          <w:rStyle w:val="Refdenotaalpie"/>
        </w:rPr>
        <w:footnoteRef/>
      </w:r>
      <w:r>
        <w:t xml:space="preserve"> </w:t>
      </w:r>
      <w:r w:rsidRPr="00416BBE">
        <w:rPr>
          <w:rFonts w:ascii="Arial" w:hAnsi="Arial" w:cs="Arial"/>
          <w:sz w:val="20"/>
          <w:szCs w:val="20"/>
        </w:rPr>
        <w:t xml:space="preserve">“Vivimos en un tiempo de replanteamientos, de los cuales los juristas, a pesar de su característica pereza, no pueden sentirse eximidos: viejas certezas, en las cuales veían encarnadas determinados valores, aparecen ahora como ídolos caídos, mientras las nuevas exigencias desorientan a quienes se habían acostumbrado a una navegación tranquila”, p. 343. </w:t>
      </w:r>
      <w:r w:rsidRPr="00416BBE">
        <w:rPr>
          <w:rFonts w:ascii="Arial" w:hAnsi="Arial" w:cs="Arial"/>
          <w:smallCaps/>
          <w:sz w:val="20"/>
          <w:szCs w:val="20"/>
        </w:rPr>
        <w:t>Grossi</w:t>
      </w:r>
      <w:r w:rsidRPr="00416BBE">
        <w:rPr>
          <w:rFonts w:ascii="Arial" w:hAnsi="Arial" w:cs="Arial"/>
          <w:sz w:val="20"/>
          <w:szCs w:val="20"/>
        </w:rPr>
        <w:t>, P. De la codificación a la globalización del Derecho. Navarra: Aranzadi, 2010.</w:t>
      </w:r>
    </w:p>
  </w:footnote>
  <w:footnote w:id="2">
    <w:p w:rsidR="002F7056" w:rsidRPr="00416BBE" w:rsidRDefault="002F7056" w:rsidP="002F7056">
      <w:pPr>
        <w:pStyle w:val="Sinespaciado"/>
        <w:jc w:val="both"/>
        <w:rPr>
          <w:rFonts w:ascii="Arial" w:hAnsi="Arial" w:cs="Arial"/>
          <w:sz w:val="20"/>
          <w:szCs w:val="20"/>
        </w:rPr>
      </w:pPr>
      <w:r w:rsidRPr="00416BBE">
        <w:rPr>
          <w:rStyle w:val="Refdenotaalpie"/>
          <w:rFonts w:ascii="Arial" w:hAnsi="Arial" w:cs="Arial"/>
          <w:sz w:val="20"/>
          <w:szCs w:val="20"/>
        </w:rPr>
        <w:footnoteRef/>
      </w:r>
      <w:r w:rsidRPr="00416BBE">
        <w:rPr>
          <w:rStyle w:val="SinespaciadoCar"/>
          <w:rFonts w:cs="Arial"/>
          <w:sz w:val="20"/>
          <w:szCs w:val="18"/>
        </w:rPr>
        <w:t xml:space="preserve"> Véase: “Las Universidades de todo el mundo están luchando para comprender cómo preparar mejor a sus estudiantes para un mundo en el que las ideas se han convertido en globales, en el que la investigación en las fronteras del pensamiento en todas las disciplinas requiere contacto y colaboración con colegas a de todo el planeta, y en el que, de forma creciente, comprendemos el papel esencial de las ideas para la gobernanza mundial. Si consideras que una economía es un sistema de input-output que debe ser gestionado, imaginarás el poder público de una forma – si, por el contrario, piensas que una economía es un mercado que distribuye recursos para su uso más productivo a la sombra de un sistema de precios, harás algo completamente distinto. Desafortunadamente, el conocimiento sobre cómo funciona el mundo se halla distribuido de forma muy desigual y, con demasiada frecuencia, las ideas viajan del centro a la periferia sin las críticas que las acompañan ab origine.</w:t>
      </w:r>
      <w:r w:rsidRPr="00416BBE">
        <w:rPr>
          <w:rFonts w:ascii="Arial" w:hAnsi="Arial" w:cs="Arial"/>
          <w:sz w:val="20"/>
          <w:szCs w:val="20"/>
        </w:rPr>
        <w:t xml:space="preserve"> </w:t>
      </w:r>
      <w:r w:rsidRPr="00416BBE">
        <w:rPr>
          <w:rStyle w:val="SinespaciadoCar"/>
          <w:rFonts w:cs="Arial"/>
          <w:sz w:val="20"/>
          <w:szCs w:val="18"/>
        </w:rPr>
        <w:t>Las universidades, a menudo, son el eje impulsor para estos movimientos y podrían hacer mucho más para asegurar una distribución más equitativa del conocimiento y un compromiso más completo, no sólo con lo que es conocido, sino, asimismo, con lo que se desconoce, las debilidades y los vacíos críticos en nuestro conocimiento”.</w:t>
      </w:r>
      <w:r w:rsidRPr="00416BBE">
        <w:rPr>
          <w:rFonts w:ascii="Arial" w:hAnsi="Arial" w:cs="Arial"/>
          <w:sz w:val="20"/>
          <w:szCs w:val="20"/>
        </w:rPr>
        <w:t xml:space="preserve"> </w:t>
      </w:r>
    </w:p>
  </w:footnote>
  <w:footnote w:id="3">
    <w:p w:rsidR="002F7056" w:rsidRPr="00416BBE" w:rsidRDefault="002F7056" w:rsidP="002F7056">
      <w:pPr>
        <w:pStyle w:val="Sinespaciado"/>
        <w:jc w:val="both"/>
        <w:rPr>
          <w:rFonts w:ascii="Arial" w:hAnsi="Arial" w:cs="Arial"/>
          <w:sz w:val="20"/>
          <w:szCs w:val="20"/>
        </w:rPr>
      </w:pPr>
      <w:r w:rsidRPr="00416BBE">
        <w:rPr>
          <w:rStyle w:val="Refdenotaalpie"/>
          <w:rFonts w:ascii="Arial" w:hAnsi="Arial" w:cs="Arial"/>
          <w:sz w:val="20"/>
          <w:szCs w:val="20"/>
        </w:rPr>
        <w:footnoteRef/>
      </w:r>
      <w:r w:rsidRPr="00416BBE">
        <w:rPr>
          <w:rFonts w:ascii="Arial" w:hAnsi="Arial" w:cs="Arial"/>
          <w:sz w:val="20"/>
          <w:szCs w:val="20"/>
        </w:rPr>
        <w:t xml:space="preserve">Véase: </w:t>
      </w:r>
      <w:hyperlink r:id="rId1" w:history="1">
        <w:r w:rsidRPr="00416BBE">
          <w:rPr>
            <w:rStyle w:val="Hipervnculo1"/>
            <w:rFonts w:ascii="Arial" w:hAnsi="Arial" w:cs="Arial"/>
            <w:sz w:val="20"/>
            <w:szCs w:val="20"/>
          </w:rPr>
          <w:t>http://www.elmundo.es/economia/2015/05/13/5550fd67268e3ee11e8b456e.html</w:t>
        </w:r>
      </w:hyperlink>
      <w:r w:rsidRPr="00416BBE">
        <w:rPr>
          <w:rFonts w:ascii="Arial" w:hAnsi="Arial" w:cs="Arial"/>
          <w:sz w:val="20"/>
          <w:szCs w:val="20"/>
        </w:rPr>
        <w:t xml:space="preserve"> (Fecha de última consulta: 6 de junio de 2015).</w:t>
      </w:r>
    </w:p>
  </w:footnote>
  <w:footnote w:id="4">
    <w:p w:rsidR="002F7056" w:rsidRPr="00416BBE" w:rsidRDefault="002F7056" w:rsidP="002F7056">
      <w:pPr>
        <w:pStyle w:val="Sinespaciado"/>
        <w:jc w:val="both"/>
        <w:rPr>
          <w:rFonts w:ascii="Arial" w:hAnsi="Arial" w:cs="Arial"/>
          <w:sz w:val="18"/>
          <w:szCs w:val="18"/>
        </w:rPr>
      </w:pPr>
      <w:r w:rsidRPr="00416BBE">
        <w:rPr>
          <w:rStyle w:val="Refdenotaalpie"/>
          <w:rFonts w:ascii="Arial" w:hAnsi="Arial" w:cs="Arial"/>
          <w:sz w:val="18"/>
          <w:szCs w:val="18"/>
        </w:rPr>
        <w:footnoteRef/>
      </w:r>
      <w:r w:rsidRPr="00416BBE">
        <w:rPr>
          <w:rFonts w:ascii="Arial" w:hAnsi="Arial" w:cs="Arial"/>
          <w:sz w:val="18"/>
          <w:szCs w:val="18"/>
        </w:rPr>
        <w:t xml:space="preserve"> “Hay un fortísimo estado de opinión que sugiere que estamos ya entrando en una nueva “era” como consecuencia de una nueva “revolución”, y, claro está, todos suponemos que tal cosa exigirá un nuevo tipo de jurista. Pero no sabemos a ciencia cierta en qué consistirá ser jurista en el nuevo mundo que se nos anuncia como ineluctable. Hasta hace bien poco parecía que la figura del jurista como tal tendía a desdibujarse en un mundo profundamente invadido por criterios económicos, de total maleabilidad y cruzando por corrientes supranacionales de poder. En tal mundo, las viejas estructuras jurídicas que proporcionaron su asiento al Estado nacional empezaban a esfumarse y el papel del jurista como articulador de la convivencia en ese ámbito se iba con ellas”, p. 14. </w:t>
      </w:r>
      <w:r w:rsidRPr="00416BBE">
        <w:rPr>
          <w:rFonts w:ascii="Arial" w:hAnsi="Arial" w:cs="Arial"/>
          <w:smallCaps/>
          <w:sz w:val="18"/>
          <w:szCs w:val="18"/>
        </w:rPr>
        <w:t>Laporta</w:t>
      </w:r>
      <w:r w:rsidRPr="00416BBE">
        <w:rPr>
          <w:rFonts w:ascii="Arial" w:hAnsi="Arial" w:cs="Arial"/>
          <w:sz w:val="18"/>
          <w:szCs w:val="18"/>
        </w:rPr>
        <w:t xml:space="preserve">, F. J. </w:t>
      </w:r>
      <w:r w:rsidRPr="00416BBE">
        <w:rPr>
          <w:rFonts w:ascii="Arial" w:hAnsi="Arial" w:cs="Arial"/>
          <w:i/>
          <w:sz w:val="18"/>
          <w:szCs w:val="18"/>
        </w:rPr>
        <w:t>La enseñanza del Derecho. Anuario de la Facultad de Derecho de la Universidad Autónoma de Madrid</w:t>
      </w:r>
      <w:r w:rsidRPr="00416BBE">
        <w:rPr>
          <w:rFonts w:ascii="Arial" w:hAnsi="Arial" w:cs="Arial"/>
          <w:sz w:val="18"/>
          <w:szCs w:val="18"/>
        </w:rPr>
        <w:t>. Madrid: Librería del BOE, 2002.</w:t>
      </w:r>
    </w:p>
  </w:footnote>
  <w:footnote w:id="5">
    <w:p w:rsidR="002F7056" w:rsidRPr="00416BBE" w:rsidRDefault="002F7056" w:rsidP="002F7056">
      <w:pPr>
        <w:pStyle w:val="Textonotapie"/>
        <w:jc w:val="both"/>
        <w:rPr>
          <w:rFonts w:ascii="Arial" w:hAnsi="Arial" w:cs="Arial"/>
          <w:sz w:val="16"/>
          <w:szCs w:val="16"/>
          <w:lang w:val="en-GB"/>
        </w:rPr>
      </w:pPr>
      <w:r w:rsidRPr="00416BBE">
        <w:rPr>
          <w:rStyle w:val="Refdenotaalpie"/>
          <w:rFonts w:ascii="Arial" w:hAnsi="Arial" w:cs="Arial"/>
          <w:sz w:val="16"/>
          <w:szCs w:val="16"/>
        </w:rPr>
        <w:footnoteRef/>
      </w:r>
      <w:r w:rsidRPr="00416BBE">
        <w:rPr>
          <w:rFonts w:ascii="Arial" w:hAnsi="Arial" w:cs="Arial"/>
          <w:sz w:val="16"/>
          <w:szCs w:val="16"/>
        </w:rPr>
        <w:t xml:space="preserve"> En este sentido, véase: </w:t>
      </w:r>
      <w:r w:rsidRPr="00416BBE">
        <w:rPr>
          <w:rFonts w:ascii="Arial" w:hAnsi="Arial" w:cs="Arial"/>
          <w:smallCaps/>
          <w:sz w:val="16"/>
          <w:szCs w:val="16"/>
        </w:rPr>
        <w:t>González, J.</w:t>
      </w:r>
      <w:r w:rsidRPr="00416BBE">
        <w:rPr>
          <w:rFonts w:ascii="Arial" w:hAnsi="Arial" w:cs="Arial"/>
          <w:sz w:val="16"/>
          <w:szCs w:val="16"/>
        </w:rPr>
        <w:t xml:space="preserve"> y </w:t>
      </w:r>
      <w:proofErr w:type="spellStart"/>
      <w:r w:rsidRPr="00416BBE">
        <w:rPr>
          <w:rFonts w:ascii="Arial" w:hAnsi="Arial" w:cs="Arial"/>
          <w:smallCaps/>
          <w:sz w:val="16"/>
          <w:szCs w:val="16"/>
        </w:rPr>
        <w:t>Yarosh</w:t>
      </w:r>
      <w:proofErr w:type="spellEnd"/>
      <w:r w:rsidRPr="00416BBE">
        <w:rPr>
          <w:rFonts w:ascii="Arial" w:hAnsi="Arial" w:cs="Arial"/>
          <w:smallCaps/>
          <w:sz w:val="16"/>
          <w:szCs w:val="16"/>
        </w:rPr>
        <w:t>, M. “</w:t>
      </w:r>
      <w:proofErr w:type="spellStart"/>
      <w:r w:rsidRPr="00416BBE">
        <w:rPr>
          <w:rFonts w:ascii="Arial" w:hAnsi="Arial" w:cs="Arial"/>
          <w:sz w:val="16"/>
          <w:szCs w:val="16"/>
          <w:lang w:val="es-ES"/>
        </w:rPr>
        <w:t>Building</w:t>
      </w:r>
      <w:proofErr w:type="spellEnd"/>
      <w:r w:rsidRPr="00416BBE">
        <w:rPr>
          <w:rFonts w:ascii="Arial" w:hAnsi="Arial" w:cs="Arial"/>
          <w:sz w:val="16"/>
          <w:szCs w:val="16"/>
          <w:lang w:val="es-ES"/>
        </w:rPr>
        <w:t xml:space="preserve"> </w:t>
      </w:r>
      <w:proofErr w:type="spellStart"/>
      <w:r w:rsidRPr="00416BBE">
        <w:rPr>
          <w:rFonts w:ascii="Arial" w:hAnsi="Arial" w:cs="Arial"/>
          <w:sz w:val="16"/>
          <w:szCs w:val="16"/>
          <w:lang w:val="es-ES"/>
        </w:rPr>
        <w:t>Degree</w:t>
      </w:r>
      <w:proofErr w:type="spellEnd"/>
      <w:r w:rsidRPr="00416BBE">
        <w:rPr>
          <w:rFonts w:ascii="Arial" w:hAnsi="Arial" w:cs="Arial"/>
          <w:sz w:val="16"/>
          <w:szCs w:val="16"/>
          <w:lang w:val="es-ES"/>
        </w:rPr>
        <w:t xml:space="preserve"> </w:t>
      </w:r>
      <w:proofErr w:type="spellStart"/>
      <w:r w:rsidRPr="00416BBE">
        <w:rPr>
          <w:rFonts w:ascii="Arial" w:hAnsi="Arial" w:cs="Arial"/>
          <w:sz w:val="16"/>
          <w:szCs w:val="16"/>
          <w:lang w:val="es-ES"/>
        </w:rPr>
        <w:t>Profiles</w:t>
      </w:r>
      <w:proofErr w:type="spellEnd"/>
      <w:r w:rsidRPr="00416BBE">
        <w:rPr>
          <w:rFonts w:ascii="Arial" w:hAnsi="Arial" w:cs="Arial"/>
          <w:sz w:val="16"/>
          <w:szCs w:val="16"/>
          <w:lang w:val="es-ES"/>
        </w:rPr>
        <w:t xml:space="preserve">. </w:t>
      </w:r>
      <w:r w:rsidRPr="00416BBE">
        <w:rPr>
          <w:rFonts w:ascii="Arial" w:hAnsi="Arial" w:cs="Arial"/>
          <w:sz w:val="16"/>
          <w:szCs w:val="16"/>
          <w:lang w:val="en-US"/>
        </w:rPr>
        <w:t xml:space="preserve">The Tuning Approach”. </w:t>
      </w:r>
      <w:r w:rsidRPr="00416BBE">
        <w:rPr>
          <w:rFonts w:ascii="Arial" w:hAnsi="Arial" w:cs="Arial"/>
          <w:i/>
          <w:sz w:val="16"/>
          <w:szCs w:val="16"/>
          <w:lang w:val="en-US"/>
        </w:rPr>
        <w:t>Tuning Journal for Higher Education.</w:t>
      </w:r>
      <w:r w:rsidRPr="00416BBE">
        <w:rPr>
          <w:rFonts w:ascii="Arial" w:hAnsi="Arial" w:cs="Arial"/>
          <w:sz w:val="16"/>
          <w:szCs w:val="16"/>
          <w:lang w:val="en-US"/>
        </w:rPr>
        <w:t xml:space="preserve"> Issue No. 1, November 2013, pp. 37-71. “The definition of degree profiles has advanced significantly through reflection during the latest period of the Tuning project. It appeared first as a rather tentative definition in a Framework for Qualifications of the European Higher Education Area: either the specific (subject) field(s) of learning of a qualification or to the broader aggregation of clusters of qualifications of </w:t>
      </w:r>
      <w:proofErr w:type="spellStart"/>
      <w:r w:rsidRPr="00416BBE">
        <w:rPr>
          <w:rFonts w:ascii="Arial" w:hAnsi="Arial" w:cs="Arial"/>
          <w:sz w:val="16"/>
          <w:szCs w:val="16"/>
          <w:lang w:val="en-US"/>
        </w:rPr>
        <w:t>programmes</w:t>
      </w:r>
      <w:proofErr w:type="spellEnd"/>
      <w:r w:rsidRPr="00416BBE">
        <w:rPr>
          <w:rFonts w:ascii="Arial" w:hAnsi="Arial" w:cs="Arial"/>
          <w:sz w:val="16"/>
          <w:szCs w:val="16"/>
          <w:lang w:val="en-US"/>
        </w:rPr>
        <w:t xml:space="preserve"> from different fields that share a common emphasis or purpose”, pp. 45-46</w:t>
      </w:r>
      <w:r w:rsidRPr="00416BBE">
        <w:rPr>
          <w:rFonts w:ascii="Arial" w:hAnsi="Arial" w:cs="Arial"/>
          <w:sz w:val="16"/>
          <w:szCs w:val="16"/>
          <w:lang w:val="en-GB"/>
        </w:rPr>
        <w:t xml:space="preserve"> </w:t>
      </w:r>
    </w:p>
  </w:footnote>
  <w:footnote w:id="6">
    <w:p w:rsidR="002F7056" w:rsidRPr="00416BBE" w:rsidRDefault="002F7056" w:rsidP="002F7056">
      <w:pPr>
        <w:pStyle w:val="Sinespaciado"/>
        <w:jc w:val="both"/>
        <w:rPr>
          <w:rFonts w:ascii="Arial" w:hAnsi="Arial" w:cs="Arial"/>
          <w:sz w:val="18"/>
          <w:szCs w:val="18"/>
        </w:rPr>
      </w:pPr>
      <w:r w:rsidRPr="00416BBE">
        <w:rPr>
          <w:rStyle w:val="Refdenotaalpie"/>
          <w:rFonts w:ascii="Arial" w:hAnsi="Arial" w:cs="Arial"/>
          <w:sz w:val="18"/>
          <w:szCs w:val="18"/>
        </w:rPr>
        <w:footnoteRef/>
      </w:r>
      <w:r w:rsidRPr="00416BBE">
        <w:rPr>
          <w:rFonts w:ascii="Arial" w:hAnsi="Arial" w:cs="Arial"/>
          <w:sz w:val="18"/>
          <w:szCs w:val="18"/>
        </w:rPr>
        <w:t xml:space="preserve"> </w:t>
      </w:r>
      <w:r w:rsidRPr="00416BBE">
        <w:rPr>
          <w:rFonts w:ascii="Arial" w:hAnsi="Arial" w:cs="Arial"/>
          <w:smallCaps/>
          <w:sz w:val="18"/>
          <w:szCs w:val="18"/>
        </w:rPr>
        <w:t xml:space="preserve">Rodríguez-Arana Muñoz, J. y Goñi Rodríguez De Almeida, </w:t>
      </w:r>
      <w:r w:rsidRPr="00416BBE">
        <w:rPr>
          <w:rFonts w:ascii="Arial" w:hAnsi="Arial" w:cs="Arial"/>
          <w:sz w:val="18"/>
          <w:szCs w:val="18"/>
        </w:rPr>
        <w:t xml:space="preserve">M. </w:t>
      </w:r>
      <w:r w:rsidRPr="00416BBE">
        <w:rPr>
          <w:rFonts w:ascii="Arial" w:hAnsi="Arial" w:cs="Arial"/>
          <w:i/>
          <w:sz w:val="18"/>
          <w:szCs w:val="18"/>
        </w:rPr>
        <w:t>Enseñar Derecho en el Siglo XXI</w:t>
      </w:r>
      <w:r w:rsidRPr="00416BBE">
        <w:rPr>
          <w:rFonts w:ascii="Arial" w:hAnsi="Arial" w:cs="Arial"/>
          <w:sz w:val="18"/>
          <w:szCs w:val="18"/>
        </w:rPr>
        <w:t>. Una guía práctica sobre el Grado en Derecho. Pamplona: Thomson Aranzadi, 2009, p. 93.</w:t>
      </w:r>
    </w:p>
  </w:footnote>
  <w:footnote w:id="7">
    <w:p w:rsidR="002F7056" w:rsidRPr="00416BBE" w:rsidRDefault="002F7056" w:rsidP="002F7056">
      <w:pPr>
        <w:pStyle w:val="Sinespaciado"/>
        <w:jc w:val="both"/>
        <w:rPr>
          <w:rFonts w:ascii="Arial" w:hAnsi="Arial" w:cs="Arial"/>
          <w:sz w:val="18"/>
          <w:szCs w:val="18"/>
        </w:rPr>
      </w:pPr>
      <w:r w:rsidRPr="00416BBE">
        <w:rPr>
          <w:rStyle w:val="Refdenotaalpie"/>
          <w:rFonts w:ascii="Arial" w:hAnsi="Arial" w:cs="Arial"/>
          <w:sz w:val="18"/>
          <w:szCs w:val="18"/>
        </w:rPr>
        <w:footnoteRef/>
      </w:r>
      <w:r w:rsidRPr="00416BBE">
        <w:rPr>
          <w:rFonts w:ascii="Arial" w:hAnsi="Arial" w:cs="Arial"/>
          <w:sz w:val="18"/>
          <w:szCs w:val="18"/>
        </w:rPr>
        <w:t xml:space="preserve"> Véanse la oferta de Grados interdisciplinares en el Área del Derecho ofertadas por diferentes universidad públicas y privadas en España: </w:t>
      </w:r>
    </w:p>
    <w:p w:rsidR="002F7056" w:rsidRPr="00416BBE" w:rsidRDefault="002F7056" w:rsidP="002F7056">
      <w:pPr>
        <w:pStyle w:val="Sinespaciado"/>
        <w:jc w:val="both"/>
        <w:rPr>
          <w:rFonts w:ascii="Arial" w:hAnsi="Arial" w:cs="Arial"/>
          <w:sz w:val="18"/>
          <w:szCs w:val="18"/>
        </w:rPr>
      </w:pPr>
      <w:r w:rsidRPr="00416BBE">
        <w:rPr>
          <w:rFonts w:ascii="Arial" w:hAnsi="Arial" w:cs="Arial"/>
          <w:sz w:val="18"/>
          <w:szCs w:val="18"/>
        </w:rPr>
        <w:t xml:space="preserve">Universidad de Deusto: Derecho y Especialidad Económica, Derecho y Administración de Empresas, Derecho y Especialidad en el Derecho de las TIC, Derecho y Relaciones Laborales, Relaciones Internacionales y Derecho: </w:t>
      </w:r>
      <w:hyperlink r:id="rId2" w:history="1">
        <w:r w:rsidRPr="00416BBE">
          <w:rPr>
            <w:rStyle w:val="Hipervnculo1"/>
            <w:rFonts w:ascii="Arial" w:hAnsi="Arial" w:cs="Arial"/>
            <w:sz w:val="18"/>
            <w:szCs w:val="18"/>
          </w:rPr>
          <w:t>http://www.deusto.es/cs/Satellite/deusto/es/estudios/grados-1?buscar=si&amp;pagename=Estudiantes%2FPage%2FEST_BuscadorGrados_TPL&amp;cid=1340042340763&amp;c=Page&amp;hizkuntza=es&amp;localizador=3000527900%3B1340042333346%3B1340042340763%3B&amp;todosCampus=todos&amp;bilbao=Bilbao&amp;sanSebastian=Donosti&amp;numAreas=10&amp;areaInteres1=1336640880790&amp;todosGrados=todos&amp;tipoGrado1=1336640811384&amp;tipoGrado2=1336640811407&amp;numTipo=2#resultados</w:t>
        </w:r>
      </w:hyperlink>
      <w:r w:rsidRPr="00416BBE">
        <w:rPr>
          <w:rFonts w:ascii="Arial" w:hAnsi="Arial" w:cs="Arial"/>
          <w:sz w:val="18"/>
          <w:szCs w:val="18"/>
        </w:rPr>
        <w:t xml:space="preserve"> (Fecha de última consulta: 31 de marzo de 2015).</w:t>
      </w:r>
    </w:p>
    <w:p w:rsidR="002F7056" w:rsidRPr="00416BBE" w:rsidRDefault="002F7056" w:rsidP="002F7056">
      <w:pPr>
        <w:pStyle w:val="Sinespaciado"/>
        <w:rPr>
          <w:rFonts w:ascii="Arial" w:hAnsi="Arial" w:cs="Arial"/>
          <w:sz w:val="18"/>
          <w:szCs w:val="18"/>
        </w:rPr>
      </w:pPr>
      <w:r w:rsidRPr="00416BBE">
        <w:rPr>
          <w:rFonts w:ascii="Arial" w:hAnsi="Arial" w:cs="Arial"/>
          <w:sz w:val="18"/>
          <w:szCs w:val="18"/>
        </w:rPr>
        <w:t>Universidad Carlos III: Derecho, Doble Grado en Derecho y Administración de Empresas, Doble Grado en Derecho y Ciencias Políticas, Doble Grado en Derecho y Economía, Doble Grado en Estudios Internacionales y Derecho (</w:t>
      </w:r>
      <w:hyperlink r:id="rId3" w:history="1">
        <w:r w:rsidRPr="00416BBE">
          <w:rPr>
            <w:rStyle w:val="Hipervnculo1"/>
            <w:rFonts w:ascii="Arial" w:hAnsi="Arial" w:cs="Arial"/>
            <w:sz w:val="18"/>
            <w:szCs w:val="18"/>
          </w:rPr>
          <w:t>http://www.uc3m.es/ss/Satellite/UC3MInstitucional/es/ListadoCategorias/1371206607588/Titulaciones_de_Grado</w:t>
        </w:r>
      </w:hyperlink>
      <w:r w:rsidRPr="00416BBE">
        <w:rPr>
          <w:rFonts w:ascii="Arial" w:hAnsi="Arial" w:cs="Arial"/>
          <w:sz w:val="18"/>
          <w:szCs w:val="18"/>
        </w:rPr>
        <w:t xml:space="preserve"> Fecha de última consulta: 31 de marzo de 2015).</w:t>
      </w:r>
    </w:p>
    <w:p w:rsidR="002F7056" w:rsidRPr="00416BBE" w:rsidRDefault="002F7056" w:rsidP="002F7056">
      <w:pPr>
        <w:pStyle w:val="Sinespaciado"/>
        <w:rPr>
          <w:rFonts w:ascii="Arial" w:hAnsi="Arial" w:cs="Arial"/>
          <w:sz w:val="18"/>
          <w:szCs w:val="18"/>
        </w:rPr>
      </w:pPr>
      <w:r w:rsidRPr="00416BBE">
        <w:rPr>
          <w:rFonts w:ascii="Arial" w:hAnsi="Arial" w:cs="Arial"/>
          <w:sz w:val="18"/>
          <w:szCs w:val="18"/>
        </w:rPr>
        <w:t xml:space="preserve">ESADE: Derecho, Derecho y Global </w:t>
      </w:r>
      <w:proofErr w:type="spellStart"/>
      <w:r w:rsidRPr="00416BBE">
        <w:rPr>
          <w:rFonts w:ascii="Arial" w:hAnsi="Arial" w:cs="Arial"/>
          <w:sz w:val="18"/>
          <w:szCs w:val="18"/>
        </w:rPr>
        <w:t>Governance</w:t>
      </w:r>
      <w:proofErr w:type="spellEnd"/>
      <w:r w:rsidRPr="00416BBE">
        <w:rPr>
          <w:rFonts w:ascii="Arial" w:hAnsi="Arial" w:cs="Arial"/>
          <w:sz w:val="18"/>
          <w:szCs w:val="18"/>
        </w:rPr>
        <w:t>, Doble Grado Derecho y Administración de Empresas (</w:t>
      </w:r>
      <w:hyperlink r:id="rId4" w:history="1">
        <w:r w:rsidRPr="00416BBE">
          <w:rPr>
            <w:rStyle w:val="Hipervnculo1"/>
            <w:rFonts w:ascii="Arial" w:hAnsi="Arial" w:cs="Arial"/>
            <w:sz w:val="18"/>
            <w:szCs w:val="18"/>
          </w:rPr>
          <w:t>http://www.esade.edu/grados/esp/ged</w:t>
        </w:r>
      </w:hyperlink>
      <w:r w:rsidRPr="00416BBE">
        <w:rPr>
          <w:rFonts w:ascii="Arial" w:hAnsi="Arial" w:cs="Arial"/>
          <w:sz w:val="18"/>
          <w:szCs w:val="18"/>
        </w:rPr>
        <w:t xml:space="preserve"> Fecha de última consulta: 31 de marzo de 2015).</w:t>
      </w:r>
    </w:p>
    <w:p w:rsidR="002F7056" w:rsidRPr="00AB5B5C" w:rsidRDefault="002F7056" w:rsidP="002F7056">
      <w:pPr>
        <w:pStyle w:val="Sinespaciado"/>
      </w:pPr>
      <w:r w:rsidRPr="00416BBE">
        <w:rPr>
          <w:rFonts w:ascii="Arial" w:hAnsi="Arial" w:cs="Arial"/>
          <w:sz w:val="18"/>
          <w:szCs w:val="18"/>
        </w:rPr>
        <w:t>Universidad de Sevilla: Derecho, Doble Grado en Administración y Dirección de Empresas y Derecho, Doble Grado en Derecho y Economía, Doble Grado en Derecho y en Finanzas y Contabilidad, Doble Grado en Derecho y Gestión y Administración Pública (</w:t>
      </w:r>
      <w:hyperlink r:id="rId5" w:history="1">
        <w:r w:rsidRPr="00416BBE">
          <w:rPr>
            <w:rStyle w:val="Hipervnculo1"/>
            <w:rFonts w:ascii="Arial" w:hAnsi="Arial" w:cs="Arial"/>
            <w:sz w:val="18"/>
            <w:szCs w:val="18"/>
          </w:rPr>
          <w:t>http://www.us.es/estudios/grados/alfabetico</w:t>
        </w:r>
      </w:hyperlink>
      <w:r w:rsidRPr="00416BBE">
        <w:rPr>
          <w:rFonts w:ascii="Arial" w:hAnsi="Arial" w:cs="Arial"/>
          <w:sz w:val="18"/>
          <w:szCs w:val="18"/>
        </w:rPr>
        <w:t xml:space="preserve"> Fecha de última consulta: 31 de marzo de 2015).</w:t>
      </w:r>
    </w:p>
  </w:footnote>
  <w:footnote w:id="8">
    <w:p w:rsidR="002F7056" w:rsidRPr="00A73737" w:rsidRDefault="002F7056" w:rsidP="002F7056">
      <w:pPr>
        <w:pStyle w:val="Sinespaciado"/>
        <w:jc w:val="both"/>
      </w:pPr>
      <w:r w:rsidRPr="00654E4F">
        <w:rPr>
          <w:rStyle w:val="Refdenotaalpie"/>
        </w:rPr>
        <w:footnoteRef/>
      </w:r>
      <w:r w:rsidRPr="00654E4F">
        <w:t xml:space="preserve"> </w:t>
      </w:r>
      <w:r w:rsidRPr="003A61A0">
        <w:rPr>
          <w:smallCaps/>
        </w:rPr>
        <w:t>González</w:t>
      </w:r>
      <w:r w:rsidRPr="003A61A0">
        <w:t xml:space="preserve">, J. y </w:t>
      </w:r>
      <w:proofErr w:type="spellStart"/>
      <w:r w:rsidRPr="003A61A0">
        <w:rPr>
          <w:smallCaps/>
        </w:rPr>
        <w:t>Wagenaar</w:t>
      </w:r>
      <w:proofErr w:type="spellEnd"/>
      <w:r w:rsidRPr="003A61A0">
        <w:t xml:space="preserve">, R. (eds.). </w:t>
      </w:r>
      <w:r w:rsidRPr="00C26F81">
        <w:rPr>
          <w:i/>
          <w:lang w:val="en-US"/>
        </w:rPr>
        <w:t xml:space="preserve">Tuning Educational Structures in Europe. </w:t>
      </w:r>
      <w:r w:rsidRPr="00C26F81">
        <w:rPr>
          <w:i/>
        </w:rPr>
        <w:t>La contribución de las universidades al proceso de Bolonia. Una introducción</w:t>
      </w:r>
      <w:r w:rsidRPr="00C26F81">
        <w:t>. Bilb</w:t>
      </w:r>
      <w:r>
        <w:t>ao: Universidad de Deusto, 2006: “</w:t>
      </w:r>
      <w:r w:rsidRPr="00654E4F">
        <w:t>Los puntos de referencia se expresan en términos de</w:t>
      </w:r>
      <w:r>
        <w:t xml:space="preserve"> </w:t>
      </w:r>
      <w:r w:rsidRPr="00654E4F">
        <w:t>resultados del aprendizaje y competencias. Los resultados del aprendizaje</w:t>
      </w:r>
      <w:r>
        <w:t xml:space="preserve"> </w:t>
      </w:r>
      <w:r w:rsidRPr="00654E4F">
        <w:t>son manifestaciones de lo que se espera que un estudiante sepa,</w:t>
      </w:r>
      <w:r>
        <w:t xml:space="preserve"> </w:t>
      </w:r>
      <w:r w:rsidRPr="00654E4F">
        <w:t xml:space="preserve">entienda y sea capaz de demostrar una vez concluido el aprendizaje. Según </w:t>
      </w:r>
      <w:proofErr w:type="spellStart"/>
      <w:r w:rsidRPr="00654E4F">
        <w:t>Tuning</w:t>
      </w:r>
      <w:proofErr w:type="spellEnd"/>
      <w:r w:rsidRPr="00654E4F">
        <w:t>, los resultados</w:t>
      </w:r>
      <w:r>
        <w:t xml:space="preserve"> del aprendizaje se expresan en </w:t>
      </w:r>
      <w:r w:rsidRPr="00654E4F">
        <w:t>niveles de</w:t>
      </w:r>
      <w:r>
        <w:t xml:space="preserve"> </w:t>
      </w:r>
      <w:r w:rsidRPr="00654E4F">
        <w:t>competencia que debe conseguir el estudiante. Las competencias representan</w:t>
      </w:r>
      <w:r>
        <w:t xml:space="preserve"> </w:t>
      </w:r>
      <w:r w:rsidRPr="00654E4F">
        <w:t>una combinación dinámica de las capacidades cognitivas</w:t>
      </w:r>
      <w:r>
        <w:t xml:space="preserve"> </w:t>
      </w:r>
      <w:r w:rsidRPr="00654E4F">
        <w:t>y metacognitivas, de conocimiento y entendimiento, interpersonales,</w:t>
      </w:r>
      <w:r>
        <w:t xml:space="preserve"> </w:t>
      </w:r>
      <w:r w:rsidRPr="00654E4F">
        <w:t>intelectuales y prácticas, así como de los valores éticos</w:t>
      </w:r>
      <w:r>
        <w:t xml:space="preserve">”, p. 9 </w:t>
      </w:r>
    </w:p>
  </w:footnote>
  <w:footnote w:id="9">
    <w:p w:rsidR="002F7056" w:rsidRPr="001D7D6D" w:rsidRDefault="002F7056" w:rsidP="002F7056">
      <w:pPr>
        <w:pStyle w:val="Sinespaciado"/>
        <w:jc w:val="both"/>
      </w:pPr>
      <w:r w:rsidRPr="001D7D6D">
        <w:rPr>
          <w:rStyle w:val="Refdenotaalpie"/>
        </w:rPr>
        <w:footnoteRef/>
      </w:r>
      <w:r w:rsidRPr="001D7D6D">
        <w:t xml:space="preserve"> </w:t>
      </w:r>
      <w:r w:rsidRPr="001D7D6D">
        <w:rPr>
          <w:smallCaps/>
        </w:rPr>
        <w:t>García Fraile</w:t>
      </w:r>
      <w:r w:rsidRPr="001D7D6D">
        <w:t xml:space="preserve">, J. A y </w:t>
      </w:r>
      <w:proofErr w:type="spellStart"/>
      <w:r w:rsidRPr="001D7D6D">
        <w:rPr>
          <w:smallCaps/>
        </w:rPr>
        <w:t>Sabán</w:t>
      </w:r>
      <w:proofErr w:type="spellEnd"/>
      <w:r w:rsidRPr="001D7D6D">
        <w:rPr>
          <w:smallCaps/>
        </w:rPr>
        <w:t xml:space="preserve"> Vera</w:t>
      </w:r>
      <w:r w:rsidRPr="001D7D6D">
        <w:t xml:space="preserve">, C. </w:t>
      </w:r>
      <w:r w:rsidRPr="00464CC6">
        <w:rPr>
          <w:i/>
        </w:rPr>
        <w:t>Un nuevo modelo de formación para el siglo XXI: la enseñanza basada en competencias</w:t>
      </w:r>
      <w:r w:rsidRPr="001D7D6D">
        <w:t xml:space="preserve">. Barcelona: </w:t>
      </w:r>
      <w:proofErr w:type="spellStart"/>
      <w:r w:rsidRPr="001D7D6D">
        <w:t>Davinci</w:t>
      </w:r>
      <w:proofErr w:type="spellEnd"/>
      <w:r w:rsidRPr="001D7D6D">
        <w:t>, 2008, p.7.</w:t>
      </w:r>
    </w:p>
  </w:footnote>
  <w:footnote w:id="10">
    <w:p w:rsidR="002F7056" w:rsidRPr="001D7D6D" w:rsidRDefault="002F7056" w:rsidP="002F7056">
      <w:pPr>
        <w:pStyle w:val="Sinespaciado"/>
        <w:jc w:val="both"/>
      </w:pPr>
      <w:r w:rsidRPr="001D7D6D">
        <w:rPr>
          <w:rStyle w:val="Refdenotaalpie"/>
        </w:rPr>
        <w:footnoteRef/>
      </w:r>
      <w:r w:rsidRPr="001D7D6D">
        <w:t xml:space="preserve"> </w:t>
      </w:r>
      <w:proofErr w:type="spellStart"/>
      <w:r w:rsidRPr="001D7D6D">
        <w:t>Op</w:t>
      </w:r>
      <w:proofErr w:type="spellEnd"/>
      <w:r w:rsidRPr="001D7D6D">
        <w:t>. Cit., p.23</w:t>
      </w:r>
      <w:r>
        <w:t>.</w:t>
      </w:r>
    </w:p>
  </w:footnote>
  <w:footnote w:id="11">
    <w:p w:rsidR="002F7056" w:rsidRPr="001D7D6D" w:rsidRDefault="002F7056" w:rsidP="002F7056">
      <w:pPr>
        <w:pStyle w:val="Sinespaciado"/>
        <w:jc w:val="both"/>
      </w:pPr>
      <w:r w:rsidRPr="001D7D6D">
        <w:rPr>
          <w:rStyle w:val="Refdenotaalpie"/>
        </w:rPr>
        <w:footnoteRef/>
      </w:r>
      <w:r w:rsidRPr="001D7D6D">
        <w:t xml:space="preserve"> </w:t>
      </w:r>
      <w:r w:rsidRPr="003163CA">
        <w:rPr>
          <w:smallCaps/>
        </w:rPr>
        <w:t>González</w:t>
      </w:r>
      <w:r w:rsidRPr="003163CA">
        <w:t xml:space="preserve">, J. y </w:t>
      </w:r>
      <w:proofErr w:type="spellStart"/>
      <w:r w:rsidRPr="003163CA">
        <w:rPr>
          <w:smallCaps/>
        </w:rPr>
        <w:t>Wagenaar</w:t>
      </w:r>
      <w:proofErr w:type="spellEnd"/>
      <w:r w:rsidRPr="003163CA">
        <w:t xml:space="preserve">, R. (eds.). </w:t>
      </w:r>
      <w:r w:rsidRPr="00464CC6">
        <w:rPr>
          <w:i/>
        </w:rPr>
        <w:t xml:space="preserve">Una introducción a </w:t>
      </w:r>
      <w:proofErr w:type="spellStart"/>
      <w:r w:rsidRPr="00464CC6">
        <w:rPr>
          <w:i/>
        </w:rPr>
        <w:t>Tuning</w:t>
      </w:r>
      <w:proofErr w:type="spellEnd"/>
      <w:r w:rsidRPr="00464CC6">
        <w:rPr>
          <w:i/>
        </w:rPr>
        <w:t xml:space="preserve"> </w:t>
      </w:r>
      <w:proofErr w:type="spellStart"/>
      <w:r w:rsidRPr="00464CC6">
        <w:rPr>
          <w:i/>
        </w:rPr>
        <w:t>Educational</w:t>
      </w:r>
      <w:proofErr w:type="spellEnd"/>
      <w:r w:rsidRPr="00464CC6">
        <w:rPr>
          <w:i/>
        </w:rPr>
        <w:t xml:space="preserve"> </w:t>
      </w:r>
      <w:proofErr w:type="spellStart"/>
      <w:r w:rsidRPr="00464CC6">
        <w:rPr>
          <w:i/>
        </w:rPr>
        <w:t>Structures</w:t>
      </w:r>
      <w:proofErr w:type="spellEnd"/>
      <w:r w:rsidRPr="00464CC6">
        <w:rPr>
          <w:i/>
        </w:rPr>
        <w:t xml:space="preserve"> in </w:t>
      </w:r>
      <w:proofErr w:type="spellStart"/>
      <w:r w:rsidRPr="00464CC6">
        <w:rPr>
          <w:i/>
        </w:rPr>
        <w:t>Europe</w:t>
      </w:r>
      <w:proofErr w:type="spellEnd"/>
      <w:r w:rsidRPr="00464CC6">
        <w:rPr>
          <w:i/>
        </w:rPr>
        <w:t>. La contribución de las universidades al proceso de Bolonia</w:t>
      </w:r>
      <w:r w:rsidRPr="001D7D6D">
        <w:t>. Una introducción. Bilbao: Universidad de Deusto, 2009.</w:t>
      </w:r>
    </w:p>
  </w:footnote>
  <w:footnote w:id="12">
    <w:p w:rsidR="002F7056" w:rsidRPr="00AB10BC" w:rsidRDefault="002F7056" w:rsidP="002F7056">
      <w:pPr>
        <w:pStyle w:val="Sinespaciado"/>
        <w:jc w:val="both"/>
      </w:pPr>
      <w:r>
        <w:rPr>
          <w:rStyle w:val="Refdenotaalpie"/>
        </w:rPr>
        <w:footnoteRef/>
      </w:r>
      <w:r>
        <w:t xml:space="preserve"> </w:t>
      </w:r>
      <w:r w:rsidRPr="000A534D">
        <w:t xml:space="preserve">El 19 de julio de 2002, a través de un acuerdo del Consejo de Ministros, se autorizó al Ministerio de Educación, Cultura y Deporte para crear la Fundación </w:t>
      </w:r>
      <w:r>
        <w:t xml:space="preserve">de la </w:t>
      </w:r>
      <w:r w:rsidRPr="000A534D">
        <w:t>Agencia Nacional de Evaluación de la Calidad y Acreditación, en adelante ANECA. Su creación estaba prevista ya en la Ley Orgánica 6/2001 de 21 de diciembre, en concreto en su artículo 32</w:t>
      </w:r>
      <w:r>
        <w:t xml:space="preserve"> y a través del a</w:t>
      </w:r>
      <w:r w:rsidRPr="00231965">
        <w:t>cuerdo de Consejo de Ministros de Educación, de 29 de julio de 2</w:t>
      </w:r>
      <w:r>
        <w:t>002, se creó la misma</w:t>
      </w:r>
      <w:r w:rsidRPr="00231965">
        <w:t>.</w:t>
      </w:r>
      <w:r>
        <w:t xml:space="preserve"> Véase: </w:t>
      </w:r>
      <w:hyperlink r:id="rId6" w:history="1">
        <w:r w:rsidRPr="007A5B0C">
          <w:rPr>
            <w:rStyle w:val="Hipervnculo"/>
          </w:rPr>
          <w:t>http://www.aneca.es/ANECA/Marco-legal</w:t>
        </w:r>
      </w:hyperlink>
      <w:r>
        <w:rPr>
          <w:rStyle w:val="Hipervnculo"/>
        </w:rPr>
        <w:t xml:space="preserve"> </w:t>
      </w:r>
      <w:r w:rsidRPr="00AB10BC">
        <w:rPr>
          <w:rStyle w:val="Hipervnculo"/>
        </w:rPr>
        <w:t>(</w:t>
      </w:r>
      <w:r w:rsidRPr="00AB10BC">
        <w:t>Fecha de última consulta 28 de enero de 2015</w:t>
      </w:r>
      <w:r w:rsidRPr="00464CC6">
        <w:rPr>
          <w:rStyle w:val="TextonotapieCar"/>
        </w:rPr>
        <w:t>).</w:t>
      </w:r>
    </w:p>
    <w:p w:rsidR="002F7056" w:rsidRPr="00AB10BC" w:rsidRDefault="002F7056" w:rsidP="002F7056">
      <w:pPr>
        <w:pStyle w:val="Textonotapie"/>
        <w:jc w:val="both"/>
      </w:pPr>
      <w:r w:rsidRPr="000A534D">
        <w:t>Las funciones principales de la ANECA son medir el rendimiento de la educación superior española y reforzar la transparencia y competitividad en pro del progreso en la calidad de la educación superior. De este modo, es la encargada de elaborar los protocolos de verificación de los planes de estudios conducentes a la obtención del Grado, Máster y Doctorado desarrollad</w:t>
      </w:r>
      <w:r>
        <w:t>os por las universidades. Esta A</w:t>
      </w:r>
      <w:r w:rsidRPr="000A534D">
        <w:t xml:space="preserve">gencia fue establecida con el fin de contribuir al aumento de la calidad del sistema de educación superior a través de la evaluación, certificación y acreditación de enseñanzas, profesorado e instituciones. Esta misión se desarrolla a través de cuatro funciones: potenciar la mejora de la actividad docente, investigadora y de gestión de las universidades; contribuir a la medición del rendimiento de la Educación Superior conforme a procedimientos objetivos y procesos transparentes; proporcionar a las Administraciones Públicas información adecuada para la toma de decisiones; informar a la sociedad sobre el cumplimiento de objetivos en las actividades de las universidades. </w:t>
      </w:r>
      <w:r>
        <w:t xml:space="preserve">Véase: </w:t>
      </w:r>
      <w:hyperlink r:id="rId7" w:history="1">
        <w:r w:rsidRPr="007A5B0C">
          <w:rPr>
            <w:rStyle w:val="Hipervnculo"/>
          </w:rPr>
          <w:t>http://www.aneca.es/ANECA/Mision</w:t>
        </w:r>
      </w:hyperlink>
      <w:r>
        <w:rPr>
          <w:rStyle w:val="Hipervnculo"/>
        </w:rPr>
        <w:t xml:space="preserve"> </w:t>
      </w:r>
      <w:r>
        <w:t>(Fecha de última consulta 14 de febrero de 2015).</w:t>
      </w:r>
    </w:p>
  </w:footnote>
  <w:footnote w:id="13">
    <w:p w:rsidR="002F7056" w:rsidRDefault="002F7056" w:rsidP="002F7056">
      <w:pPr>
        <w:pStyle w:val="Sinespaciado"/>
        <w:jc w:val="both"/>
      </w:pPr>
      <w:r w:rsidRPr="001D7D6D">
        <w:rPr>
          <w:rStyle w:val="Refdenotaalpie"/>
        </w:rPr>
        <w:footnoteRef/>
      </w:r>
      <w:r w:rsidRPr="001D7D6D">
        <w:t xml:space="preserve"> </w:t>
      </w:r>
      <w:proofErr w:type="spellStart"/>
      <w:r w:rsidRPr="001D7D6D">
        <w:rPr>
          <w:smallCaps/>
        </w:rPr>
        <w:t>Aneca</w:t>
      </w:r>
      <w:proofErr w:type="spellEnd"/>
      <w:r w:rsidRPr="001D7D6D">
        <w:t>. Guía de apoyo para la elaboración de la Memoria de Verificación de Títulos Oficiales Universitarios (Grado y Máster) 2012. Recuperado de:</w:t>
      </w:r>
    </w:p>
    <w:p w:rsidR="002F7056" w:rsidRPr="00507DE0" w:rsidRDefault="002F7056" w:rsidP="002F7056">
      <w:pPr>
        <w:pStyle w:val="Sinespaciado"/>
        <w:jc w:val="both"/>
        <w:rPr>
          <w:color w:val="0563C1" w:themeColor="hyperlink"/>
          <w:u w:val="single"/>
        </w:rPr>
      </w:pPr>
      <w:r w:rsidRPr="001D7D6D">
        <w:t xml:space="preserve"> </w:t>
      </w:r>
      <w:hyperlink r:id="rId8" w:history="1">
        <w:r w:rsidRPr="001D7D6D">
          <w:rPr>
            <w:rStyle w:val="Hipervnculo"/>
          </w:rPr>
          <w:t>http://www.aneca.es/var/media/325330/verifica_guia_gradoymaster_090108.pdf</w:t>
        </w:r>
      </w:hyperlink>
      <w:r>
        <w:rPr>
          <w:rStyle w:val="Hipervnculo"/>
        </w:rPr>
        <w:t xml:space="preserve"> </w:t>
      </w:r>
      <w:r w:rsidRPr="001D7D6D">
        <w:t>(</w:t>
      </w:r>
      <w:r>
        <w:t>Fecha de última consulta</w:t>
      </w:r>
      <w:r w:rsidRPr="001D7D6D">
        <w:t xml:space="preserve">: 8 </w:t>
      </w:r>
      <w:r>
        <w:t xml:space="preserve">de </w:t>
      </w:r>
      <w:r w:rsidRPr="001D7D6D">
        <w:t>enero</w:t>
      </w:r>
      <w:r>
        <w:t xml:space="preserve"> de</w:t>
      </w:r>
      <w:r w:rsidRPr="001D7D6D">
        <w:t xml:space="preserve"> 2013).</w:t>
      </w:r>
    </w:p>
  </w:footnote>
  <w:footnote w:id="14">
    <w:p w:rsidR="002F7056" w:rsidRPr="001D7D6D" w:rsidRDefault="002F7056" w:rsidP="002F7056">
      <w:pPr>
        <w:pStyle w:val="Sinespaciado"/>
        <w:jc w:val="both"/>
      </w:pPr>
      <w:r w:rsidRPr="001D7D6D">
        <w:rPr>
          <w:rStyle w:val="Refdenotaalpie"/>
        </w:rPr>
        <w:footnoteRef/>
      </w:r>
      <w:r w:rsidRPr="001D7D6D">
        <w:t xml:space="preserve"> </w:t>
      </w:r>
      <w:r w:rsidRPr="001D7D6D">
        <w:rPr>
          <w:smallCaps/>
        </w:rPr>
        <w:t xml:space="preserve">Goñi Zabala, J. M. </w:t>
      </w:r>
      <w:r w:rsidRPr="001D7D6D">
        <w:rPr>
          <w:i/>
        </w:rPr>
        <w:t xml:space="preserve">El Espacio Europeo de Educación un reto para la Universidad. </w:t>
      </w:r>
      <w:r w:rsidRPr="001D7D6D">
        <w:t>Barcelona: Ed. Octaedro/Ice Universidad de Barcelona, 2005, p. 86.</w:t>
      </w:r>
    </w:p>
  </w:footnote>
  <w:footnote w:id="15">
    <w:p w:rsidR="002F7056" w:rsidRPr="00462775" w:rsidRDefault="002F7056" w:rsidP="002F7056">
      <w:pPr>
        <w:pStyle w:val="Sinespaciado"/>
        <w:jc w:val="both"/>
      </w:pPr>
      <w:r w:rsidRPr="00462775">
        <w:rPr>
          <w:rStyle w:val="Refdenotaalpie"/>
        </w:rPr>
        <w:footnoteRef/>
      </w:r>
      <w:r w:rsidRPr="00462775">
        <w:t xml:space="preserve"> </w:t>
      </w:r>
      <w:r w:rsidRPr="003163CA">
        <w:rPr>
          <w:smallCaps/>
        </w:rPr>
        <w:t>González</w:t>
      </w:r>
      <w:r w:rsidRPr="003163CA">
        <w:t xml:space="preserve">, J. y </w:t>
      </w:r>
      <w:proofErr w:type="spellStart"/>
      <w:r w:rsidRPr="003163CA">
        <w:rPr>
          <w:smallCaps/>
        </w:rPr>
        <w:t>Wagenaar</w:t>
      </w:r>
      <w:proofErr w:type="spellEnd"/>
      <w:r w:rsidRPr="003163CA">
        <w:t xml:space="preserve">, R. (eds.). </w:t>
      </w:r>
      <w:r w:rsidRPr="00462775">
        <w:rPr>
          <w:i/>
          <w:lang w:val="en-US"/>
        </w:rPr>
        <w:t xml:space="preserve">Tuning Educational Structures in Europe. </w:t>
      </w:r>
      <w:r w:rsidRPr="00462775">
        <w:rPr>
          <w:i/>
        </w:rPr>
        <w:t>La contribución de las universidades al proceso de Bolonia. Una introducción</w:t>
      </w:r>
      <w:r w:rsidRPr="00462775">
        <w:t>. Bilbao: Universidad de Deusto, 2006, pp. 27-28.</w:t>
      </w:r>
    </w:p>
  </w:footnote>
  <w:footnote w:id="16">
    <w:p w:rsidR="002F7056" w:rsidRPr="00462775" w:rsidRDefault="002F7056" w:rsidP="002F7056">
      <w:pPr>
        <w:pStyle w:val="Sinespaciado"/>
        <w:jc w:val="both"/>
      </w:pPr>
      <w:r w:rsidRPr="00462775">
        <w:rPr>
          <w:rStyle w:val="Refdenotaalpie"/>
        </w:rPr>
        <w:footnoteRef/>
      </w:r>
      <w:r w:rsidRPr="00462775">
        <w:t xml:space="preserve"> </w:t>
      </w:r>
      <w:r w:rsidRPr="00462775">
        <w:rPr>
          <w:smallCaps/>
        </w:rPr>
        <w:t>García Fraile</w:t>
      </w:r>
      <w:r w:rsidRPr="00462775">
        <w:t xml:space="preserve">, J. A y </w:t>
      </w:r>
      <w:proofErr w:type="spellStart"/>
      <w:r w:rsidRPr="00462775">
        <w:rPr>
          <w:smallCaps/>
        </w:rPr>
        <w:t>Sabán</w:t>
      </w:r>
      <w:proofErr w:type="spellEnd"/>
      <w:r w:rsidRPr="00462775">
        <w:rPr>
          <w:smallCaps/>
        </w:rPr>
        <w:t xml:space="preserve"> Vera</w:t>
      </w:r>
      <w:r w:rsidRPr="00462775">
        <w:t xml:space="preserve">, C. </w:t>
      </w:r>
      <w:r w:rsidRPr="00462775">
        <w:rPr>
          <w:i/>
        </w:rPr>
        <w:t>Un nuevo modelo de formación para el siglo XXI: la enseñanza basada en competencias</w:t>
      </w:r>
      <w:r w:rsidRPr="00462775">
        <w:t xml:space="preserve">. Barcelona: </w:t>
      </w:r>
      <w:proofErr w:type="spellStart"/>
      <w:r w:rsidRPr="00462775">
        <w:t>Davinci</w:t>
      </w:r>
      <w:proofErr w:type="spellEnd"/>
      <w:r w:rsidRPr="00462775">
        <w:t>, 2008, p.9.</w:t>
      </w:r>
    </w:p>
  </w:footnote>
  <w:footnote w:id="17">
    <w:p w:rsidR="002F7056" w:rsidRPr="00462775" w:rsidRDefault="002F7056" w:rsidP="002F7056">
      <w:pPr>
        <w:pStyle w:val="Sinespaciado"/>
        <w:jc w:val="both"/>
      </w:pPr>
      <w:r w:rsidRPr="00462775">
        <w:rPr>
          <w:rStyle w:val="Refdenotaalpie"/>
        </w:rPr>
        <w:footnoteRef/>
      </w:r>
      <w:r w:rsidRPr="00462775">
        <w:t xml:space="preserve"> En palabras de Juan Antonio García Fraile: “En educación, la noción de competencia que se emplea habitualmente no proviene de un único paradigma, sino que se ha ido conformando con aportes de aluvión provenientes de diferentes ámbitos teóricos (filosofía, psicología, lingüística, sociología, economía y formación laboral). Aquí radican tanto la debilidad como la fortaleza del concepto y las posibilidades de aplicación exacta del mismo, en la medida en que contiene tanto los referentes teóricos en que han visto su necesidad y opciones de aplicación a diferentes ámbitos científicos”. </w:t>
      </w:r>
      <w:proofErr w:type="spellStart"/>
      <w:r w:rsidRPr="00462775">
        <w:t>Ibíd</w:t>
      </w:r>
      <w:proofErr w:type="spellEnd"/>
      <w:r w:rsidRPr="00462775">
        <w:t>., p.7.</w:t>
      </w:r>
    </w:p>
  </w:footnote>
  <w:footnote w:id="18">
    <w:p w:rsidR="002F7056" w:rsidRPr="00C44CBF" w:rsidRDefault="002F7056" w:rsidP="002F7056">
      <w:pPr>
        <w:pStyle w:val="Sinespaciado"/>
        <w:jc w:val="both"/>
      </w:pPr>
      <w:r w:rsidRPr="00462775">
        <w:rPr>
          <w:rStyle w:val="Refdenotaalpie"/>
        </w:rPr>
        <w:footnoteRef/>
      </w:r>
      <w:r w:rsidRPr="00462775">
        <w:t xml:space="preserve"> Atendiendo a la definición de resultados de aprendizaje recogida en la metodología del Proyecto </w:t>
      </w:r>
      <w:proofErr w:type="spellStart"/>
      <w:r w:rsidRPr="00462775">
        <w:t>Tuning</w:t>
      </w:r>
      <w:proofErr w:type="spellEnd"/>
      <w:r w:rsidRPr="00462775">
        <w:t xml:space="preserve">: “Por resultados del aprendizaje queremos significar el conjunto de competencias que incluye conocimientos, comprensión y habilidades que se espera que el estudiante domine, comprenda y demuestre después de completar un proceso corto o largo de aprendizaje. Pueden ser identificados y relacionados con </w:t>
      </w:r>
      <w:r w:rsidRPr="00C44CBF">
        <w:t xml:space="preserve">programas completos de estudio (de primero o segundo ciclo) y con unidades individuales de aprendizaje (módulos)”. </w:t>
      </w:r>
      <w:r w:rsidRPr="003163CA">
        <w:rPr>
          <w:smallCaps/>
        </w:rPr>
        <w:t>González</w:t>
      </w:r>
      <w:r w:rsidRPr="003163CA">
        <w:t xml:space="preserve">, J. y </w:t>
      </w:r>
      <w:proofErr w:type="spellStart"/>
      <w:r w:rsidRPr="003163CA">
        <w:rPr>
          <w:smallCaps/>
        </w:rPr>
        <w:t>Wagenaar</w:t>
      </w:r>
      <w:proofErr w:type="spellEnd"/>
      <w:r w:rsidRPr="003163CA">
        <w:t xml:space="preserve">, R. (eds.). </w:t>
      </w:r>
      <w:proofErr w:type="spellStart"/>
      <w:r w:rsidRPr="00C44CBF">
        <w:rPr>
          <w:i/>
        </w:rPr>
        <w:t>Tuning</w:t>
      </w:r>
      <w:proofErr w:type="spellEnd"/>
      <w:r w:rsidRPr="00C44CBF">
        <w:rPr>
          <w:i/>
        </w:rPr>
        <w:t xml:space="preserve"> </w:t>
      </w:r>
      <w:proofErr w:type="spellStart"/>
      <w:r w:rsidRPr="00C44CBF">
        <w:rPr>
          <w:i/>
        </w:rPr>
        <w:t>Educational</w:t>
      </w:r>
      <w:proofErr w:type="spellEnd"/>
      <w:r w:rsidRPr="00C44CBF">
        <w:rPr>
          <w:i/>
        </w:rPr>
        <w:t xml:space="preserve"> </w:t>
      </w:r>
      <w:proofErr w:type="spellStart"/>
      <w:r w:rsidRPr="00C44CBF">
        <w:rPr>
          <w:i/>
        </w:rPr>
        <w:t>Structures</w:t>
      </w:r>
      <w:proofErr w:type="spellEnd"/>
      <w:r w:rsidRPr="00C44CBF">
        <w:rPr>
          <w:i/>
        </w:rPr>
        <w:t xml:space="preserve"> in </w:t>
      </w:r>
      <w:proofErr w:type="spellStart"/>
      <w:r w:rsidRPr="00C44CBF">
        <w:rPr>
          <w:i/>
        </w:rPr>
        <w:t>Europe</w:t>
      </w:r>
      <w:proofErr w:type="spellEnd"/>
      <w:r w:rsidRPr="00C44CBF">
        <w:rPr>
          <w:i/>
        </w:rPr>
        <w:t>. Informe Final – Fase 1</w:t>
      </w:r>
      <w:r w:rsidRPr="00C44CBF">
        <w:t>. Bilbao: Universidad de Deusto, 2003, p. 28.</w:t>
      </w:r>
    </w:p>
  </w:footnote>
  <w:footnote w:id="19">
    <w:p w:rsidR="002F7056" w:rsidRPr="00C44CBF" w:rsidRDefault="002F7056" w:rsidP="002F7056">
      <w:pPr>
        <w:pStyle w:val="Sinespaciado"/>
        <w:jc w:val="both"/>
      </w:pPr>
      <w:r w:rsidRPr="00C44CBF">
        <w:rPr>
          <w:rStyle w:val="Refdenotaalpie"/>
        </w:rPr>
        <w:footnoteRef/>
      </w:r>
      <w:r w:rsidRPr="00C44CBF">
        <w:t xml:space="preserve"> </w:t>
      </w:r>
      <w:r w:rsidRPr="003163CA">
        <w:rPr>
          <w:smallCaps/>
        </w:rPr>
        <w:t>González</w:t>
      </w:r>
      <w:r w:rsidRPr="003163CA">
        <w:t xml:space="preserve">, J. y </w:t>
      </w:r>
      <w:proofErr w:type="spellStart"/>
      <w:r w:rsidRPr="003163CA">
        <w:rPr>
          <w:smallCaps/>
        </w:rPr>
        <w:t>Wagenaar</w:t>
      </w:r>
      <w:proofErr w:type="spellEnd"/>
      <w:r w:rsidRPr="003163CA">
        <w:t xml:space="preserve">, R. (eds.). </w:t>
      </w:r>
      <w:r w:rsidRPr="00C44CBF">
        <w:rPr>
          <w:i/>
        </w:rPr>
        <w:t xml:space="preserve">Una introducción a </w:t>
      </w:r>
      <w:proofErr w:type="spellStart"/>
      <w:r w:rsidRPr="00C44CBF">
        <w:rPr>
          <w:i/>
        </w:rPr>
        <w:t>Tuning</w:t>
      </w:r>
      <w:proofErr w:type="spellEnd"/>
      <w:r w:rsidRPr="00C44CBF">
        <w:rPr>
          <w:i/>
        </w:rPr>
        <w:t xml:space="preserve"> </w:t>
      </w:r>
      <w:proofErr w:type="spellStart"/>
      <w:r w:rsidRPr="00C44CBF">
        <w:rPr>
          <w:i/>
        </w:rPr>
        <w:t>Educational</w:t>
      </w:r>
      <w:proofErr w:type="spellEnd"/>
      <w:r w:rsidRPr="00C44CBF">
        <w:rPr>
          <w:i/>
        </w:rPr>
        <w:t xml:space="preserve"> </w:t>
      </w:r>
      <w:proofErr w:type="spellStart"/>
      <w:r w:rsidRPr="00C44CBF">
        <w:rPr>
          <w:i/>
        </w:rPr>
        <w:t>Structures</w:t>
      </w:r>
      <w:proofErr w:type="spellEnd"/>
      <w:r w:rsidRPr="00C44CBF">
        <w:rPr>
          <w:i/>
        </w:rPr>
        <w:t xml:space="preserve"> in </w:t>
      </w:r>
      <w:proofErr w:type="spellStart"/>
      <w:r w:rsidRPr="003163CA">
        <w:rPr>
          <w:i/>
        </w:rPr>
        <w:t>Europe</w:t>
      </w:r>
      <w:proofErr w:type="spellEnd"/>
      <w:r w:rsidRPr="00C44CBF">
        <w:rPr>
          <w:i/>
        </w:rPr>
        <w:t>. La contribución de las universidades al proceso de Bolonia</w:t>
      </w:r>
      <w:r w:rsidRPr="00C44CBF">
        <w:t>. Una introducción. Bilbao: Universidad de Deusto, 2009, pp. 59-60.</w:t>
      </w:r>
      <w:r w:rsidRPr="0030234E">
        <w:t xml:space="preserve"> </w:t>
      </w:r>
    </w:p>
  </w:footnote>
  <w:footnote w:id="20">
    <w:p w:rsidR="002F7056" w:rsidRPr="00F4249C" w:rsidRDefault="002F7056" w:rsidP="002F7056">
      <w:pPr>
        <w:pStyle w:val="Sinespaciado"/>
        <w:jc w:val="both"/>
        <w:rPr>
          <w:sz w:val="20"/>
          <w:szCs w:val="20"/>
        </w:rPr>
      </w:pPr>
      <w:r w:rsidRPr="00F4249C">
        <w:rPr>
          <w:rStyle w:val="Refdenotaalpie"/>
          <w:sz w:val="20"/>
          <w:szCs w:val="20"/>
        </w:rPr>
        <w:footnoteRef/>
      </w:r>
      <w:r w:rsidRPr="00F4249C">
        <w:rPr>
          <w:sz w:val="20"/>
          <w:szCs w:val="20"/>
        </w:rPr>
        <w:t xml:space="preserve"> Declaración conjunta de los Ministros Europeos de Educación. Bolonia, 19 de junio de 1999.</w:t>
      </w:r>
    </w:p>
  </w:footnote>
  <w:footnote w:id="21">
    <w:p w:rsidR="002F7056" w:rsidRPr="00F4249C" w:rsidRDefault="002F7056" w:rsidP="002F7056">
      <w:pPr>
        <w:pStyle w:val="Sinespaciado"/>
        <w:jc w:val="both"/>
        <w:rPr>
          <w:sz w:val="20"/>
          <w:szCs w:val="20"/>
        </w:rPr>
      </w:pPr>
      <w:r w:rsidRPr="00F4249C">
        <w:rPr>
          <w:rStyle w:val="Refdenotaalpie"/>
          <w:sz w:val="20"/>
          <w:szCs w:val="20"/>
        </w:rPr>
        <w:footnoteRef/>
      </w:r>
      <w:r w:rsidRPr="00F4249C">
        <w:rPr>
          <w:sz w:val="20"/>
          <w:szCs w:val="20"/>
        </w:rPr>
        <w:t xml:space="preserve"> </w:t>
      </w:r>
      <w:r w:rsidRPr="00F4249C">
        <w:rPr>
          <w:smallCaps/>
          <w:sz w:val="20"/>
          <w:szCs w:val="20"/>
        </w:rPr>
        <w:t>Villa Sánchez</w:t>
      </w:r>
      <w:r w:rsidRPr="00F4249C">
        <w:rPr>
          <w:sz w:val="20"/>
          <w:szCs w:val="20"/>
        </w:rPr>
        <w:t xml:space="preserve">, A. </w:t>
      </w:r>
      <w:r w:rsidRPr="00F4249C">
        <w:rPr>
          <w:smallCaps/>
          <w:sz w:val="20"/>
          <w:szCs w:val="20"/>
        </w:rPr>
        <w:t>y</w:t>
      </w:r>
      <w:r w:rsidRPr="00F4249C">
        <w:rPr>
          <w:sz w:val="20"/>
          <w:szCs w:val="20"/>
        </w:rPr>
        <w:t xml:space="preserve"> </w:t>
      </w:r>
      <w:r w:rsidRPr="00F4249C">
        <w:rPr>
          <w:smallCaps/>
          <w:sz w:val="20"/>
          <w:szCs w:val="20"/>
        </w:rPr>
        <w:t>Poblete Ruiz</w:t>
      </w:r>
      <w:r w:rsidRPr="00F4249C">
        <w:rPr>
          <w:sz w:val="20"/>
          <w:szCs w:val="20"/>
        </w:rPr>
        <w:t xml:space="preserve">, M. </w:t>
      </w:r>
      <w:r w:rsidRPr="00F4249C">
        <w:rPr>
          <w:i/>
          <w:sz w:val="20"/>
          <w:szCs w:val="20"/>
        </w:rPr>
        <w:t>Aprendizaje basado en competencias. Una propuesta para la evaluación de las competencias genéricas</w:t>
      </w:r>
      <w:r w:rsidRPr="00F4249C">
        <w:rPr>
          <w:sz w:val="20"/>
          <w:szCs w:val="20"/>
        </w:rPr>
        <w:t>. Bilbao: Universidad de Deusto, 2007, p. 29.</w:t>
      </w:r>
    </w:p>
  </w:footnote>
  <w:footnote w:id="22">
    <w:p w:rsidR="002F7056" w:rsidRPr="00F4249C" w:rsidRDefault="002F7056" w:rsidP="002F7056">
      <w:pPr>
        <w:pStyle w:val="Sinespaciado"/>
        <w:rPr>
          <w:sz w:val="20"/>
          <w:szCs w:val="20"/>
        </w:rPr>
      </w:pPr>
      <w:r w:rsidRPr="00F4249C">
        <w:rPr>
          <w:rStyle w:val="Refdenotaalpie"/>
          <w:sz w:val="20"/>
          <w:szCs w:val="20"/>
        </w:rPr>
        <w:footnoteRef/>
      </w:r>
      <w:r w:rsidRPr="00F4249C">
        <w:rPr>
          <w:sz w:val="20"/>
          <w:szCs w:val="20"/>
        </w:rPr>
        <w:t xml:space="preserve"> </w:t>
      </w:r>
      <w:r w:rsidRPr="00F4249C">
        <w:rPr>
          <w:smallCaps/>
          <w:sz w:val="20"/>
          <w:szCs w:val="20"/>
        </w:rPr>
        <w:t>Villa Sánchez</w:t>
      </w:r>
      <w:r w:rsidRPr="00F4249C">
        <w:rPr>
          <w:sz w:val="20"/>
          <w:szCs w:val="20"/>
        </w:rPr>
        <w:t xml:space="preserve">, A. </w:t>
      </w:r>
      <w:r w:rsidRPr="00F4249C">
        <w:rPr>
          <w:smallCaps/>
          <w:sz w:val="20"/>
          <w:szCs w:val="20"/>
        </w:rPr>
        <w:t>y</w:t>
      </w:r>
      <w:r w:rsidRPr="00F4249C">
        <w:rPr>
          <w:sz w:val="20"/>
          <w:szCs w:val="20"/>
        </w:rPr>
        <w:t xml:space="preserve"> </w:t>
      </w:r>
      <w:r w:rsidRPr="00F4249C">
        <w:rPr>
          <w:smallCaps/>
          <w:sz w:val="20"/>
          <w:szCs w:val="20"/>
        </w:rPr>
        <w:t>Poblete Ruiz</w:t>
      </w:r>
      <w:r w:rsidRPr="00F4249C">
        <w:rPr>
          <w:sz w:val="20"/>
          <w:szCs w:val="20"/>
        </w:rPr>
        <w:t>, M. Aprendizaje basado en competencias. Una propuesta para la evaluación de las competencias genéricas. Bilbao: Universidad de Deusto, 2007, p. 24</w:t>
      </w:r>
    </w:p>
  </w:footnote>
  <w:footnote w:id="23">
    <w:p w:rsidR="002F7056" w:rsidRPr="00F4249C" w:rsidRDefault="002F7056" w:rsidP="002F7056">
      <w:pPr>
        <w:pStyle w:val="Sinespaciado"/>
        <w:rPr>
          <w:sz w:val="20"/>
          <w:szCs w:val="20"/>
        </w:rPr>
      </w:pPr>
      <w:r w:rsidRPr="00F4249C">
        <w:rPr>
          <w:rStyle w:val="Refdenotaalpie"/>
          <w:sz w:val="20"/>
          <w:szCs w:val="20"/>
        </w:rPr>
        <w:footnoteRef/>
      </w:r>
      <w:r w:rsidRPr="00F4249C">
        <w:rPr>
          <w:sz w:val="20"/>
          <w:szCs w:val="20"/>
        </w:rPr>
        <w:t xml:space="preserve"> En concreto, fueron realizados 5.183 cuestionarios a graduados, 944 cuestionarios a empleadores y 988 cuestionarios a académicos. </w:t>
      </w:r>
    </w:p>
  </w:footnote>
  <w:footnote w:id="24">
    <w:p w:rsidR="002F7056" w:rsidRPr="00F4249C" w:rsidRDefault="002F7056" w:rsidP="002F7056">
      <w:pPr>
        <w:pStyle w:val="Sinespaciado"/>
        <w:rPr>
          <w:sz w:val="20"/>
          <w:szCs w:val="20"/>
        </w:rPr>
      </w:pPr>
      <w:r w:rsidRPr="00F4249C">
        <w:rPr>
          <w:rStyle w:val="Refdenotaalpie"/>
          <w:sz w:val="20"/>
          <w:szCs w:val="20"/>
        </w:rPr>
        <w:footnoteRef/>
      </w:r>
      <w:r w:rsidRPr="00F4249C">
        <w:rPr>
          <w:sz w:val="20"/>
          <w:szCs w:val="20"/>
        </w:rPr>
        <w:t xml:space="preserve"> Agradezco públicamente a la Facultad de Derecho de Universidad de Deusto por haberme facilitado el acceso y consulta de las competencias contenidas en el Verifica.</w:t>
      </w:r>
    </w:p>
  </w:footnote>
  <w:footnote w:id="25">
    <w:p w:rsidR="002F7056" w:rsidRPr="00F4249C" w:rsidRDefault="002F7056" w:rsidP="002F7056">
      <w:pPr>
        <w:pStyle w:val="Sinespaciado"/>
        <w:rPr>
          <w:sz w:val="20"/>
          <w:szCs w:val="20"/>
          <w:highlight w:val="yellow"/>
        </w:rPr>
      </w:pPr>
      <w:r w:rsidRPr="00F4249C">
        <w:rPr>
          <w:rStyle w:val="Refdenotaalpie"/>
          <w:sz w:val="20"/>
          <w:szCs w:val="20"/>
        </w:rPr>
        <w:footnoteRef/>
      </w:r>
      <w:r w:rsidRPr="00F4249C">
        <w:rPr>
          <w:sz w:val="20"/>
          <w:szCs w:val="20"/>
        </w:rPr>
        <w:t xml:space="preserve"> Teniendo en cuenta la investigación realizada por el Proyecto </w:t>
      </w:r>
      <w:proofErr w:type="spellStart"/>
      <w:r w:rsidRPr="00F4249C">
        <w:rPr>
          <w:sz w:val="20"/>
          <w:szCs w:val="20"/>
        </w:rPr>
        <w:t>Tuning</w:t>
      </w:r>
      <w:proofErr w:type="spellEnd"/>
      <w:r w:rsidRPr="00F4249C">
        <w:rPr>
          <w:sz w:val="20"/>
          <w:szCs w:val="20"/>
        </w:rPr>
        <w:t xml:space="preserve"> en América Latina en el área de Derecho bajo la dirección de la Prof. Dr. María Pilar Canedo Arrillaga entre 2004 y 2007. Véase la página web oficial del proyecto para más información: </w:t>
      </w:r>
      <w:hyperlink r:id="rId9" w:history="1">
        <w:r w:rsidRPr="00F4249C">
          <w:rPr>
            <w:rStyle w:val="Hipervnculo"/>
            <w:sz w:val="20"/>
            <w:szCs w:val="20"/>
          </w:rPr>
          <w:t>http://www.tuningal.org</w:t>
        </w:r>
      </w:hyperlink>
      <w:r w:rsidRPr="00F4249C">
        <w:rPr>
          <w:sz w:val="20"/>
          <w:szCs w:val="20"/>
        </w:rPr>
        <w:t xml:space="preserve"> </w:t>
      </w:r>
    </w:p>
  </w:footnote>
  <w:footnote w:id="26">
    <w:p w:rsidR="002F7056" w:rsidRPr="00F4249C" w:rsidRDefault="002F7056" w:rsidP="002F7056">
      <w:pPr>
        <w:pStyle w:val="Sinespaciado"/>
        <w:jc w:val="both"/>
        <w:rPr>
          <w:rFonts w:ascii="Arial" w:hAnsi="Arial" w:cs="Arial"/>
          <w:sz w:val="20"/>
          <w:szCs w:val="20"/>
          <w:highlight w:val="green"/>
        </w:rPr>
      </w:pPr>
      <w:r w:rsidRPr="00F4249C">
        <w:rPr>
          <w:rStyle w:val="Refdenotaalpie"/>
          <w:sz w:val="20"/>
          <w:szCs w:val="20"/>
        </w:rPr>
        <w:footnoteRef/>
      </w:r>
      <w:r w:rsidRPr="00F4249C">
        <w:rPr>
          <w:rStyle w:val="Refdenotaalpie"/>
          <w:sz w:val="20"/>
          <w:szCs w:val="20"/>
        </w:rPr>
        <w:t xml:space="preserve"> </w:t>
      </w:r>
      <w:r w:rsidRPr="00F4249C">
        <w:rPr>
          <w:sz w:val="20"/>
          <w:szCs w:val="20"/>
        </w:rPr>
        <w:t xml:space="preserve">Las 24 competencias específicas sobre las que se encuestó, eran las siguientes: Conocer, interpretar y aplicar los principios generales del Derecho y del ordenamiento jurídico; Conocer, interpretar y aplicar las normas y principios del sistema jurídico nacional e internacional en casos concretos; Buscar la justicia y equidad en todas las situaciones en las que interviene; Estar comprometido con los Derechos Humanos y con el Estado social y democrático de Derecho; Capacidad de ejercer su profesión trabajando en equipo con colegas; Capacidad de trabajar en equipos interdisciplinarios como experto en Derecho contribuyendo de manera efectiva a sus tareas; Comprender adecuadamente los fenómenos políticos, sociales, económicos, personales y psicológicos – entre otros – considerándolos en la interpretación y aplicación del Derecho; Ser consciente de la dimensión ética de las profesiones jurídicas y de la responsabilidad social del graduado en Derecho, y actuar en consecuencia; capacidad de razonar y argumentar jurídicamente; capacidad de dialogar y debatir desde una perspectiva jurídica, comprendiendo los distintos puntos de vista y articulándolos a efecto de proponer una solución razonable; considerar la pertinencia del uso de medios alternativos en la solución de conflictos; conocer una lengua extranjera que permita el desempeño eficiente en el ámbito jurídico (inglés, portugués y español); capacidad para usar la tecnología necesaria </w:t>
      </w:r>
      <w:r w:rsidRPr="00F4249C">
        <w:rPr>
          <w:rFonts w:ascii="Arial" w:hAnsi="Arial" w:cs="Arial"/>
          <w:sz w:val="20"/>
          <w:szCs w:val="20"/>
        </w:rPr>
        <w:t xml:space="preserve">en la búsqueda de información relevante para el desempeño y actualización profesional; capacidad para aplicar criterios de investigación científica en su actividad profesional; capacidad para aplicar sus conocimientos de manera especialmente eficaz en un área determinada de su profesión; capacidad de enfrentar nuevas situaciones y contribuir a la creación de instituciones y soluciones jurídicas en casos generales y particulares; capacidad para redactar textos y expresarse oralmente en un lenguaje fluidos y técnico usando términos jurídicos precisos y claros; capacidad para analizar una amplia diversidad de trabajos complejos en relación con el Derecho y sintetizar sus argumentos de forma precisa; capacidad para tomar decisiones jurídicas razonadas; comprender y relacionar los fundamentos filosóficos y teóricos del Derecho con su aplicación prácticas; demostrar conciencia crítica en el análisis del ordenamiento jurídico; capacidad de actuar jurídica y técnicamente en diferentes instancias administrativas o judiciales con la debida utilización de procesos, actos y procedimientos; capacidad para decidir si las circunstancias de hecho están suficientemente claras para poder adoptar una decisión fundada en Derecho; actuar de manera leal, diligente y transparente en la defensa de intereses de las personas a las que representa. </w:t>
      </w:r>
      <w:r w:rsidRPr="00F4249C">
        <w:rPr>
          <w:rFonts w:ascii="Arial" w:hAnsi="Arial" w:cs="Arial"/>
          <w:smallCaps/>
          <w:sz w:val="20"/>
          <w:szCs w:val="20"/>
        </w:rPr>
        <w:t>González</w:t>
      </w:r>
      <w:r w:rsidRPr="00F4249C">
        <w:rPr>
          <w:rFonts w:ascii="Arial" w:hAnsi="Arial" w:cs="Arial"/>
          <w:sz w:val="20"/>
          <w:szCs w:val="20"/>
        </w:rPr>
        <w:t xml:space="preserve">, J. y </w:t>
      </w:r>
      <w:proofErr w:type="spellStart"/>
      <w:r w:rsidRPr="00F4249C">
        <w:rPr>
          <w:rFonts w:ascii="Arial" w:hAnsi="Arial" w:cs="Arial"/>
          <w:smallCaps/>
          <w:sz w:val="20"/>
          <w:szCs w:val="20"/>
        </w:rPr>
        <w:t>Wagenaar</w:t>
      </w:r>
      <w:proofErr w:type="spellEnd"/>
      <w:r w:rsidRPr="00F4249C">
        <w:rPr>
          <w:rFonts w:ascii="Arial" w:hAnsi="Arial" w:cs="Arial"/>
          <w:sz w:val="20"/>
          <w:szCs w:val="20"/>
        </w:rPr>
        <w:t xml:space="preserve">, R. (eds.). </w:t>
      </w:r>
      <w:proofErr w:type="spellStart"/>
      <w:r w:rsidRPr="00F4249C">
        <w:rPr>
          <w:rFonts w:ascii="Arial" w:hAnsi="Arial" w:cs="Arial"/>
          <w:i/>
          <w:sz w:val="20"/>
          <w:szCs w:val="20"/>
        </w:rPr>
        <w:t>Tuning</w:t>
      </w:r>
      <w:proofErr w:type="spellEnd"/>
      <w:r w:rsidRPr="00F4249C">
        <w:rPr>
          <w:rFonts w:ascii="Arial" w:hAnsi="Arial" w:cs="Arial"/>
          <w:i/>
          <w:sz w:val="20"/>
          <w:szCs w:val="20"/>
        </w:rPr>
        <w:t xml:space="preserve"> América Latina</w:t>
      </w:r>
      <w:r w:rsidRPr="00F4249C">
        <w:rPr>
          <w:rFonts w:ascii="Arial" w:hAnsi="Arial" w:cs="Arial"/>
          <w:sz w:val="20"/>
          <w:szCs w:val="20"/>
        </w:rPr>
        <w:t>. Bilbao: Universidad de Deusto, 2006, pp. 113-114</w:t>
      </w:r>
    </w:p>
  </w:footnote>
  <w:footnote w:id="27">
    <w:p w:rsidR="002F7056" w:rsidRPr="00F4249C" w:rsidRDefault="002F7056" w:rsidP="002F7056">
      <w:pPr>
        <w:pStyle w:val="Sinespaciado"/>
        <w:jc w:val="both"/>
        <w:rPr>
          <w:rFonts w:ascii="Arial" w:hAnsi="Arial" w:cs="Arial"/>
          <w:sz w:val="20"/>
          <w:szCs w:val="20"/>
        </w:rPr>
      </w:pPr>
      <w:r w:rsidRPr="00F4249C">
        <w:rPr>
          <w:rStyle w:val="Refdenotaalpie"/>
          <w:rFonts w:ascii="Arial" w:hAnsi="Arial" w:cs="Arial"/>
          <w:sz w:val="20"/>
          <w:szCs w:val="20"/>
        </w:rPr>
        <w:footnoteRef/>
      </w:r>
      <w:r w:rsidRPr="00F4249C">
        <w:rPr>
          <w:rFonts w:ascii="Arial" w:hAnsi="Arial" w:cs="Arial"/>
          <w:sz w:val="20"/>
          <w:szCs w:val="20"/>
        </w:rPr>
        <w:t xml:space="preserve"> </w:t>
      </w:r>
      <w:proofErr w:type="spellStart"/>
      <w:r w:rsidRPr="00F4249C">
        <w:rPr>
          <w:rFonts w:ascii="Arial" w:hAnsi="Arial" w:cs="Arial"/>
          <w:sz w:val="20"/>
          <w:szCs w:val="20"/>
        </w:rPr>
        <w:t>Ibíd</w:t>
      </w:r>
      <w:proofErr w:type="spellEnd"/>
      <w:r w:rsidRPr="00F4249C">
        <w:rPr>
          <w:rFonts w:ascii="Arial" w:hAnsi="Arial" w:cs="Arial"/>
          <w:sz w:val="20"/>
          <w:szCs w:val="20"/>
        </w:rPr>
        <w:t xml:space="preserve">., p. 123. </w:t>
      </w:r>
    </w:p>
  </w:footnote>
  <w:footnote w:id="28">
    <w:p w:rsidR="002F7056" w:rsidRPr="00F4249C" w:rsidRDefault="002F7056" w:rsidP="002F7056">
      <w:pPr>
        <w:pStyle w:val="Sinespaciado"/>
        <w:rPr>
          <w:rFonts w:ascii="Arial" w:hAnsi="Arial" w:cs="Arial"/>
          <w:sz w:val="20"/>
          <w:szCs w:val="20"/>
        </w:rPr>
      </w:pPr>
      <w:r w:rsidRPr="00F4249C">
        <w:rPr>
          <w:rStyle w:val="Refdenotaalpie"/>
          <w:rFonts w:ascii="Arial" w:hAnsi="Arial" w:cs="Arial"/>
          <w:sz w:val="20"/>
          <w:szCs w:val="20"/>
        </w:rPr>
        <w:footnoteRef/>
      </w:r>
      <w:r w:rsidRPr="00F4249C">
        <w:rPr>
          <w:rFonts w:ascii="Arial" w:hAnsi="Arial" w:cs="Arial"/>
          <w:sz w:val="20"/>
          <w:szCs w:val="20"/>
        </w:rPr>
        <w:t xml:space="preserve"> Declaración conjunta de los Ministros Europeos de Educación. Bolonia, 19 de junio de 1999.</w:t>
      </w:r>
    </w:p>
  </w:footnote>
  <w:footnote w:id="29">
    <w:p w:rsidR="002F7056" w:rsidRPr="002452C6" w:rsidRDefault="002F7056" w:rsidP="002F7056">
      <w:pPr>
        <w:pStyle w:val="Sinespaciado"/>
      </w:pPr>
      <w:r w:rsidRPr="002452C6">
        <w:rPr>
          <w:rStyle w:val="Refdenotaalpie"/>
        </w:rPr>
        <w:footnoteRef/>
      </w:r>
      <w:r w:rsidRPr="002452C6">
        <w:t xml:space="preserve"> </w:t>
      </w:r>
      <w:r w:rsidRPr="002452C6">
        <w:rPr>
          <w:smallCaps/>
        </w:rPr>
        <w:t>Villa Sánchez</w:t>
      </w:r>
      <w:r w:rsidRPr="002452C6">
        <w:t xml:space="preserve">, A. </w:t>
      </w:r>
      <w:r w:rsidRPr="002452C6">
        <w:rPr>
          <w:smallCaps/>
        </w:rPr>
        <w:t>y</w:t>
      </w:r>
      <w:r w:rsidRPr="002452C6">
        <w:t xml:space="preserve"> </w:t>
      </w:r>
      <w:r w:rsidRPr="002452C6">
        <w:rPr>
          <w:smallCaps/>
        </w:rPr>
        <w:t>Poblete Ruiz</w:t>
      </w:r>
      <w:r w:rsidRPr="002452C6">
        <w:t xml:space="preserve">, M. </w:t>
      </w:r>
      <w:r w:rsidRPr="00464CC6">
        <w:rPr>
          <w:i/>
        </w:rPr>
        <w:t>Aprendizaje basado en competencias. Una propuesta para la evaluación de las competencias genéricas</w:t>
      </w:r>
      <w:r w:rsidRPr="002452C6">
        <w:t>. Bilbao: Universidad de Deusto, 2007, p. 29.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CD4BE6"/>
    <w:multiLevelType w:val="hybridMultilevel"/>
    <w:tmpl w:val="98A0DD32"/>
    <w:lvl w:ilvl="0" w:tplc="5FA6E030">
      <w:start w:val="1"/>
      <w:numFmt w:val="upperLetter"/>
      <w:pStyle w:val="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950388"/>
    <w:multiLevelType w:val="hybridMultilevel"/>
    <w:tmpl w:val="DA127436"/>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 w15:restartNumberingAfterBreak="0">
    <w:nsid w:val="7DAB68AA"/>
    <w:multiLevelType w:val="hybridMultilevel"/>
    <w:tmpl w:val="7988F3EA"/>
    <w:lvl w:ilvl="0" w:tplc="E16C9CEC">
      <w:start w:val="2"/>
      <w:numFmt w:val="decimal"/>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num w:numId="1">
    <w:abstractNumId w:val="0"/>
  </w:num>
  <w:num w:numId="2">
    <w:abstractNumId w:val="0"/>
    <w:lvlOverride w:ilvl="0">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056"/>
    <w:rsid w:val="000B2228"/>
    <w:rsid w:val="002F7056"/>
    <w:rsid w:val="00B560A9"/>
    <w:rsid w:val="00CD5FBB"/>
    <w:rsid w:val="00FB3B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B95F8"/>
  <w15:chartTrackingRefBased/>
  <w15:docId w15:val="{06795AB8-BD04-4CE7-ADE9-F49000F68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056"/>
  </w:style>
  <w:style w:type="paragraph" w:styleId="Ttulo4">
    <w:name w:val="heading 4"/>
    <w:basedOn w:val="Normal"/>
    <w:next w:val="Normal"/>
    <w:link w:val="Ttulo4Car"/>
    <w:uiPriority w:val="9"/>
    <w:semiHidden/>
    <w:unhideWhenUsed/>
    <w:qFormat/>
    <w:rsid w:val="002F705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2F705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guion,NOTAS AL PIE"/>
    <w:link w:val="SinespaciadoCar1"/>
    <w:uiPriority w:val="1"/>
    <w:qFormat/>
    <w:rsid w:val="002F7056"/>
    <w:pPr>
      <w:spacing w:after="0" w:line="240" w:lineRule="auto"/>
    </w:pPr>
    <w:rPr>
      <w:rFonts w:ascii="Calibri" w:eastAsia="Calibri" w:hAnsi="Calibri" w:cs="Times New Roman"/>
      <w:lang w:val="es-ES"/>
    </w:rPr>
  </w:style>
  <w:style w:type="character" w:styleId="Hipervnculo">
    <w:name w:val="Hyperlink"/>
    <w:basedOn w:val="Fuentedeprrafopredeter"/>
    <w:uiPriority w:val="99"/>
    <w:unhideWhenUsed/>
    <w:rsid w:val="002F7056"/>
    <w:rPr>
      <w:color w:val="0563C1"/>
      <w:u w:val="single"/>
    </w:rPr>
  </w:style>
  <w:style w:type="paragraph" w:styleId="Prrafodelista">
    <w:name w:val="List Paragraph"/>
    <w:basedOn w:val="Normal"/>
    <w:uiPriority w:val="34"/>
    <w:qFormat/>
    <w:rsid w:val="002F7056"/>
    <w:pPr>
      <w:ind w:left="720"/>
      <w:contextualSpacing/>
    </w:pPr>
  </w:style>
  <w:style w:type="paragraph" w:styleId="Textonotapie">
    <w:name w:val="footnote text"/>
    <w:basedOn w:val="Normal"/>
    <w:link w:val="TextonotapieCar"/>
    <w:uiPriority w:val="99"/>
    <w:unhideWhenUsed/>
    <w:rsid w:val="002F7056"/>
    <w:pPr>
      <w:spacing w:after="0" w:line="240" w:lineRule="auto"/>
    </w:pPr>
    <w:rPr>
      <w:sz w:val="20"/>
      <w:szCs w:val="20"/>
    </w:rPr>
  </w:style>
  <w:style w:type="character" w:customStyle="1" w:styleId="TextonotapieCar">
    <w:name w:val="Texto nota pie Car"/>
    <w:basedOn w:val="Fuentedeprrafopredeter"/>
    <w:link w:val="Textonotapie"/>
    <w:uiPriority w:val="99"/>
    <w:rsid w:val="002F7056"/>
    <w:rPr>
      <w:sz w:val="20"/>
      <w:szCs w:val="20"/>
    </w:rPr>
  </w:style>
  <w:style w:type="character" w:styleId="Refdenotaalpie">
    <w:name w:val="footnote reference"/>
    <w:basedOn w:val="Fuentedeprrafopredeter"/>
    <w:uiPriority w:val="99"/>
    <w:unhideWhenUsed/>
    <w:rsid w:val="002F7056"/>
    <w:rPr>
      <w:vertAlign w:val="superscript"/>
    </w:rPr>
  </w:style>
  <w:style w:type="character" w:customStyle="1" w:styleId="SinespaciadoCar">
    <w:name w:val="Sin espaciado Car"/>
    <w:aliases w:val="guion Car"/>
    <w:basedOn w:val="Fuentedeprrafopredeter"/>
    <w:uiPriority w:val="1"/>
    <w:locked/>
    <w:rsid w:val="002F7056"/>
    <w:rPr>
      <w:rFonts w:ascii="Arial" w:eastAsia="Calibri" w:hAnsi="Arial" w:cs="Times New Roman"/>
      <w:iCs/>
      <w:color w:val="000000"/>
      <w:sz w:val="22"/>
      <w:szCs w:val="20"/>
      <w:lang w:val="es-ES"/>
    </w:rPr>
  </w:style>
  <w:style w:type="paragraph" w:customStyle="1" w:styleId="A">
    <w:name w:val="A."/>
    <w:basedOn w:val="Ttulo5"/>
    <w:qFormat/>
    <w:rsid w:val="002F7056"/>
    <w:pPr>
      <w:numPr>
        <w:numId w:val="1"/>
      </w:numPr>
      <w:tabs>
        <w:tab w:val="num" w:pos="360"/>
      </w:tabs>
      <w:spacing w:before="240" w:after="360" w:line="360" w:lineRule="auto"/>
      <w:ind w:left="714" w:hanging="357"/>
      <w:jc w:val="both"/>
    </w:pPr>
    <w:rPr>
      <w:rFonts w:ascii="Arial" w:hAnsi="Arial" w:cs="Times New Roman"/>
      <w:b/>
      <w:color w:val="auto"/>
      <w:sz w:val="26"/>
      <w:szCs w:val="24"/>
      <w:u w:color="000000"/>
      <w:lang w:val="es-ES_tradnl"/>
    </w:rPr>
  </w:style>
  <w:style w:type="paragraph" w:customStyle="1" w:styleId="1">
    <w:name w:val="1."/>
    <w:basedOn w:val="Ttulo4"/>
    <w:link w:val="1Car"/>
    <w:qFormat/>
    <w:rsid w:val="002F7056"/>
    <w:pPr>
      <w:spacing w:before="360" w:after="240" w:line="360" w:lineRule="auto"/>
      <w:jc w:val="both"/>
    </w:pPr>
    <w:rPr>
      <w:rFonts w:ascii="Arial" w:hAnsi="Arial" w:cs="Times New Roman"/>
      <w:b/>
      <w:bCs/>
      <w:i w:val="0"/>
      <w:sz w:val="28"/>
      <w:szCs w:val="24"/>
      <w:lang w:val="es-ES_tradnl" w:eastAsia="ja-JP"/>
    </w:rPr>
  </w:style>
  <w:style w:type="character" w:customStyle="1" w:styleId="1Car">
    <w:name w:val="1. Car"/>
    <w:basedOn w:val="Ttulo4Car"/>
    <w:link w:val="1"/>
    <w:rsid w:val="002F7056"/>
    <w:rPr>
      <w:rFonts w:ascii="Arial" w:eastAsiaTheme="majorEastAsia" w:hAnsi="Arial" w:cs="Times New Roman"/>
      <w:b/>
      <w:bCs/>
      <w:i w:val="0"/>
      <w:iCs/>
      <w:color w:val="2F5496" w:themeColor="accent1" w:themeShade="BF"/>
      <w:sz w:val="28"/>
      <w:szCs w:val="24"/>
      <w:lang w:val="es-ES_tradnl" w:eastAsia="ja-JP"/>
    </w:rPr>
  </w:style>
  <w:style w:type="paragraph" w:customStyle="1" w:styleId="Paula">
    <w:name w:val="Paula"/>
    <w:basedOn w:val="Normal"/>
    <w:qFormat/>
    <w:rsid w:val="002F7056"/>
    <w:pPr>
      <w:spacing w:after="480" w:line="360" w:lineRule="auto"/>
      <w:ind w:firstLine="567"/>
      <w:jc w:val="both"/>
    </w:pPr>
    <w:rPr>
      <w:rFonts w:ascii="Arial" w:eastAsiaTheme="minorEastAsia" w:hAnsi="Arial"/>
      <w:spacing w:val="22"/>
      <w:sz w:val="24"/>
      <w:szCs w:val="24"/>
      <w:lang w:val="es-ES_tradnl" w:eastAsia="ja-JP"/>
    </w:rPr>
  </w:style>
  <w:style w:type="character" w:customStyle="1" w:styleId="SinespaciadoCar1">
    <w:name w:val="Sin espaciado Car1"/>
    <w:aliases w:val="guion Car1,NOTAS AL PIE Car"/>
    <w:basedOn w:val="Fuentedeprrafopredeter"/>
    <w:link w:val="Sinespaciado"/>
    <w:uiPriority w:val="1"/>
    <w:locked/>
    <w:rsid w:val="002F7056"/>
    <w:rPr>
      <w:rFonts w:ascii="Calibri" w:eastAsia="Calibri" w:hAnsi="Calibri" w:cs="Times New Roman"/>
      <w:lang w:val="es-ES"/>
    </w:rPr>
  </w:style>
  <w:style w:type="character" w:customStyle="1" w:styleId="Hipervnculo1">
    <w:name w:val="Hipervínculo1"/>
    <w:basedOn w:val="Fuentedeprrafopredeter"/>
    <w:uiPriority w:val="99"/>
    <w:unhideWhenUsed/>
    <w:rsid w:val="002F7056"/>
    <w:rPr>
      <w:color w:val="0000FF"/>
      <w:u w:val="single"/>
    </w:rPr>
  </w:style>
  <w:style w:type="character" w:customStyle="1" w:styleId="Ttulo5Car">
    <w:name w:val="Título 5 Car"/>
    <w:basedOn w:val="Fuentedeprrafopredeter"/>
    <w:link w:val="Ttulo5"/>
    <w:uiPriority w:val="9"/>
    <w:semiHidden/>
    <w:rsid w:val="002F7056"/>
    <w:rPr>
      <w:rFonts w:asciiTheme="majorHAnsi" w:eastAsiaTheme="majorEastAsia" w:hAnsiTheme="majorHAnsi" w:cstheme="majorBidi"/>
      <w:color w:val="2F5496" w:themeColor="accent1" w:themeShade="BF"/>
    </w:rPr>
  </w:style>
  <w:style w:type="character" w:customStyle="1" w:styleId="Ttulo4Car">
    <w:name w:val="Título 4 Car"/>
    <w:basedOn w:val="Fuentedeprrafopredeter"/>
    <w:link w:val="Ttulo4"/>
    <w:uiPriority w:val="9"/>
    <w:semiHidden/>
    <w:rsid w:val="002F7056"/>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www.aneca.es/var/media/325330/verifica_guia_gradoymaster_090108.pdf" TargetMode="External"/><Relationship Id="rId3" Type="http://schemas.openxmlformats.org/officeDocument/2006/relationships/hyperlink" Target="http://www.uc3m.es/ss/Satellite/UC3MInstitucional/es/ListadoCategorias/1371206607588/Titulaciones_de_Grado" TargetMode="External"/><Relationship Id="rId7" Type="http://schemas.openxmlformats.org/officeDocument/2006/relationships/hyperlink" Target="http://www.aneca.es/ANECA/Mision" TargetMode="External"/><Relationship Id="rId2" Type="http://schemas.openxmlformats.org/officeDocument/2006/relationships/hyperlink" Target="http://www.deusto.es/cs/Satellite/deusto/es/estudios/grados-1?buscar=si&amp;pagename=Estudiantes%2FPage%2FEST_BuscadorGrados_TPL&amp;cid=1340042340763&amp;c=Page&amp;hizkuntza=es&amp;localizador=3000527900%3B1340042333346%3B1340042340763%3B&amp;todosCampus=todos&amp;bilbao=Bilbao&amp;san" TargetMode="External"/><Relationship Id="rId1" Type="http://schemas.openxmlformats.org/officeDocument/2006/relationships/hyperlink" Target="http://www.elmundo.es/economia/2015/05/13/5550fd67268e3ee11e8b456e.html" TargetMode="External"/><Relationship Id="rId6" Type="http://schemas.openxmlformats.org/officeDocument/2006/relationships/hyperlink" Target="http://www.aneca.es/ANECA/Marco-legal" TargetMode="External"/><Relationship Id="rId5" Type="http://schemas.openxmlformats.org/officeDocument/2006/relationships/hyperlink" Target="http://www.us.es/estudios/grados/alfabetico" TargetMode="External"/><Relationship Id="rId4" Type="http://schemas.openxmlformats.org/officeDocument/2006/relationships/hyperlink" Target="http://www.esade.edu/grados/esp/ged" TargetMode="External"/><Relationship Id="rId9" Type="http://schemas.openxmlformats.org/officeDocument/2006/relationships/hyperlink" Target="http://www.tuningal.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3376</Words>
  <Characters>18569</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Baez Mesa</dc:creator>
  <cp:keywords/>
  <dc:description/>
  <cp:lastModifiedBy>Andrea  Baez Mesa</cp:lastModifiedBy>
  <cp:revision>1</cp:revision>
  <dcterms:created xsi:type="dcterms:W3CDTF">2019-08-08T14:54:00Z</dcterms:created>
  <dcterms:modified xsi:type="dcterms:W3CDTF">2019-08-08T16:12:00Z</dcterms:modified>
</cp:coreProperties>
</file>