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128F" w:rsidRPr="000A128F" w:rsidRDefault="000A128F" w:rsidP="000A128F">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A128F">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Lugar de ejecución</w:t>
            </w:r>
          </w:p>
        </w:tc>
      </w:tr>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Tendencias En La Punibilidad En Colombia: Análisis Cualitativo Y Cuantitativo</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Bogotá</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A128F" w:rsidRPr="000A128F" w:rsidTr="000A128F">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CvLAC</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Google Académico</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Grupo de investigación</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Estudios críticos en derecho, derechos humanos, derecho internacional humanitario, justicia, prudencia y paz - Bioderecho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Investigación socio humanística del derecho</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A128F" w:rsidRPr="000A128F" w:rsidTr="000A128F">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CvLAC</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Google Académico</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Grupo de investigación</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 público “francisco de vitoria”</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Gobernabilidad y democracia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Grupo de estudios en gobierno y relaciones internacionales – gegri</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A128F" w:rsidRPr="000A128F" w:rsidTr="000A128F">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Palabras clave</w:t>
            </w:r>
          </w:p>
        </w:tc>
      </w:tr>
      <w:tr w:rsidR="000A128F" w:rsidRPr="000A128F" w:rsidTr="000A128F">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Este proyecto de investigación se preocupa por una de las manifestaciones del populismo punitivo: el endurecimiento de las penas. Plantea el problema de definir a través de un análisis de la producción de leyes penales en Colombia, durante el período 1980-2018, si en el sistema penal colombiano existe efectivamente una tendencia reciente a hacer más severas las penas, y respecto de qué delitos se presenta tal tendencia. El diseño de la investigación es histórico y cualitativo-cuantitativo. Las variables a observar son: i) el tipo de penas establecidas en las codificaciones penales recientes (privativas de la libertad o alternativas a estas) y ii) la duración de las penas mínimas y máximas establecidas en los códigos penales.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Populismo punitivo, derecho penal, punibilidad, penas, Código Penal.</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Planteamiento del problema y pregunta de investigación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La política pública en materia penal en Colombia es extremadamente débil, tanto en sus fundamentos como en sus estrategias y acciones concretas. Esta es una conclusión de una Comisión compuesta por expertos de la institucionalidad pública, la academia y la sociedad civil para analizar la situación actual y plantear recomendaciones. En 2012, esta comisión presentó un informe sobre la política criminal en Colombia, que concluyó que “carecemos de una política criminal consistente y de largo plazo, fundada empíricamente y enmarcada constitucionalmente.” Según la Comisión la política criminal colombiana es: a) “reactiva, sin adecuada fundamentación empírica, con incoherencias y falta de perspectiva clara de derechos humanos”; b) tendiente al endurecimiento punitivo (populismo punitivo); c) poco reflexiva frente a las especificidades del contexto nacional; d) subordinada a la política de seguridad y, e) aunque hay esfuerzos recientes de darle mayor estabilidad y consistencia a la política criminal, f) sigue siendo volátil, débil e incoherente, en gran medida, debido a la debilidad institucional de la cual depende (Colombia. Ministerio de Justicia, 2012, pp. 25-ss). Pregunta: ¿El análisis empírico de la producción normativa penal (tipos penales) en Colombia, en el período 1980-2018 permite evidenciar una tendencia al endurecimiento general de las penas, medido en términos del tipo de pena (privativa/no privativa de la libertad) y la duración mínima y máxima de las mismas?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lastRenderedPageBreak/>
              <w:t>Justificación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El derecho penal es concebido desde posturas democráticas como la forma extrema que asume la violencia de Estado, justificada desde la prevención de nuevas vulneraciones de derechos perpetradas por los asociados entre sí, y por parte de los agentes del Estado, como ha planteado con acierto Luigi Ferrajoli, teórico del derecho y de la democracia (2011) . A pesar de la violencia sobre el cuerpo, la libertad, los bienes, la honra, el patrimonio y los demás derechos de las personas que acarrea una sanción penal, el debate público sobre las penas suele ser superficial, con ausencia de estudios empíricos, altamente emocional e ideologizado. La legislación penal especial, es decir, los tipos penales, son la forma en que se seleccionan conductas supuestamente lesivas del orden social, desde la perspectiva de los participantes en la práctica social. Existen análisis en Colombia, caracterizados por adoptar enfoques cualitativos, que asumen que el sistema penal se ha endurecido o, por el contrario, que claman por un mayor endurecimiento de las penas y disminución de beneficios penales. En Colombia han prevalecido los análisis de tipo cualitativo en la producción académica. Y, a nivel del legislativo-gobierno, predominan las prácticas sin teoría criminológica. La academia ha adoptado, en términos generales, la primera de las posturas definidas. Las instituciones del sector justicia tienden a adoptar la segunda. Hace falta avanzar hacia un modelo teórico-empírico que permita caracterizar las reformas penales más recientes, de tal manera que sea posible poner en evidencia qué bienes jurídicos tutelados están en auge y cuáles tienden a decaer.</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Objetivo general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Analizar las tendencias recientes (1980-2018) en la punibilidad en el sistema penal colombiano, bajo un enfoque mixto, cualitativo (en cuanto al tipo de penas) y cuantitativo (en cuanto a la duración de las penas).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Objetivos específicos</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 Elaborar el inventario, desagregando los textos legales, de los tipos penales establecidos en los códigos penales colombianos, 1980, 2000 y leyes reformatorias de este último. 2. Agrupar tipos penales, de acuerdo con el bien jurídico tutelado. 3. Reconstruir los debates previos a la adopción de la codificación penal, enfatizando en argumentos justificadores del incremento o de la rebaja de penas. 4. Analizar la validez, desde una perspectiva de criminología crítica, de los argumentos esgrimidos por los redactores de las normas punitivas.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Marco teórico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El archivo adjunto es: Peñas, Ramírez, Rodríguez. 2019. Marco teórico y bibliografía.pdf</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Metodología</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549D3" w:rsidRPr="001F37E9" w:rsidRDefault="007549D3" w:rsidP="007549D3">
            <w:pPr>
              <w:spacing w:line="360" w:lineRule="auto"/>
              <w:jc w:val="both"/>
              <w:rPr>
                <w:rFonts w:eastAsia="Times New Roman" w:cs="Arial"/>
                <w:color w:val="222222"/>
              </w:rPr>
            </w:pPr>
          </w:p>
          <w:p w:rsidR="007549D3" w:rsidRPr="001F37E9" w:rsidRDefault="007549D3" w:rsidP="007549D3">
            <w:pPr>
              <w:spacing w:line="360" w:lineRule="auto"/>
              <w:jc w:val="both"/>
            </w:pPr>
            <w:r w:rsidRPr="001F37E9">
              <w:t>Existen estudios que analizan las tendencias cuantitativas en la legislación penal, con enfoque comparatista. En este sentido, pueden citarse  las investigaciones desarrolladas por el Instituto Max Planck de Derecho Comparado, dentro del proyecto “Comparación de las estructuras del derecho penal” (1995-2015), se examinan las similitudes y diferencias entre el derecho penal sustantivo de varios países europeos. Una de las variables de la comparación es la cuantificación de la duración de las penas (mínimas y máximas) para tipos penales con similares características, en cuanto al sujeto activo, al sujeto pasivo de la conducta y la conducta antijurídica</w:t>
            </w:r>
            <w:r w:rsidRPr="001F37E9">
              <w:rPr>
                <w:rStyle w:val="Refdenotaalpie"/>
              </w:rPr>
              <w:footnoteReference w:id="1"/>
            </w:r>
            <w:r w:rsidRPr="001F37E9">
              <w:t>.</w:t>
            </w:r>
          </w:p>
          <w:p w:rsidR="007549D3" w:rsidRPr="001F37E9" w:rsidRDefault="007549D3" w:rsidP="007549D3">
            <w:pPr>
              <w:pStyle w:val="Textonotapie"/>
              <w:spacing w:line="360" w:lineRule="auto"/>
              <w:jc w:val="both"/>
              <w:rPr>
                <w:rFonts w:asciiTheme="minorHAnsi" w:hAnsiTheme="minorHAnsi" w:cs="Arial"/>
                <w:sz w:val="24"/>
                <w:szCs w:val="24"/>
              </w:rPr>
            </w:pPr>
            <w:r w:rsidRPr="001F37E9">
              <w:rPr>
                <w:rFonts w:asciiTheme="minorHAnsi" w:hAnsiTheme="minorHAnsi" w:cs="Arial"/>
                <w:sz w:val="24"/>
                <w:szCs w:val="24"/>
              </w:rPr>
              <w:t>En otros países de Latinoamérica, la Universidad y la institucionalidad del sector justicia han desarrollado con éxito alianzas estratégicas para documentar con rigor metodológico y teórico las transformaciones de los sistemas punitivos</w:t>
            </w:r>
            <w:r>
              <w:rPr>
                <w:rFonts w:asciiTheme="minorHAnsi" w:hAnsiTheme="minorHAnsi" w:cs="Arial"/>
                <w:sz w:val="24"/>
                <w:szCs w:val="24"/>
              </w:rPr>
              <w:t xml:space="preserve"> nacionales</w:t>
            </w:r>
            <w:r w:rsidRPr="001F37E9">
              <w:rPr>
                <w:rFonts w:asciiTheme="minorHAnsi" w:hAnsiTheme="minorHAnsi" w:cs="Arial"/>
                <w:sz w:val="24"/>
                <w:szCs w:val="24"/>
              </w:rPr>
              <w:t xml:space="preserve">. En este sentido, se trae la experiencia exitosa de alianza entre el Ministerio de Justicia y la Fundación Getulio Vargas en Brasil, la cual a través de su Facultad de Derecho propició la discusión sobre política criminal, a través del </w:t>
            </w:r>
            <w:r w:rsidRPr="001F37E9">
              <w:rPr>
                <w:rFonts w:asciiTheme="minorHAnsi" w:hAnsiTheme="minorHAnsi" w:cs="Arial"/>
                <w:sz w:val="24"/>
                <w:szCs w:val="24"/>
                <w:lang w:val="es-MX"/>
              </w:rPr>
              <w:t>Proyecto “Pensando el Derecho”</w:t>
            </w:r>
            <w:r w:rsidRPr="001F37E9">
              <w:rPr>
                <w:rStyle w:val="Refdenotaalpie"/>
                <w:rFonts w:asciiTheme="minorHAnsi" w:hAnsiTheme="minorHAnsi" w:cs="Arial"/>
                <w:sz w:val="24"/>
                <w:szCs w:val="24"/>
              </w:rPr>
              <w:footnoteReference w:id="2"/>
            </w:r>
            <w:r w:rsidRPr="001F37E9">
              <w:rPr>
                <w:rFonts w:asciiTheme="minorHAnsi" w:hAnsiTheme="minorHAnsi" w:cs="Arial"/>
                <w:sz w:val="24"/>
                <w:szCs w:val="24"/>
              </w:rPr>
              <w:t>.</w:t>
            </w:r>
          </w:p>
          <w:p w:rsidR="007549D3" w:rsidRDefault="007549D3" w:rsidP="007549D3">
            <w:pPr>
              <w:pStyle w:val="Textonotapie"/>
              <w:spacing w:line="360" w:lineRule="auto"/>
              <w:jc w:val="both"/>
              <w:rPr>
                <w:rFonts w:asciiTheme="minorHAnsi" w:hAnsiTheme="minorHAnsi" w:cs="Arial"/>
                <w:sz w:val="24"/>
                <w:szCs w:val="24"/>
              </w:rPr>
            </w:pPr>
            <w:r w:rsidRPr="001F37E9">
              <w:rPr>
                <w:rFonts w:asciiTheme="minorHAnsi" w:hAnsiTheme="minorHAnsi" w:cs="Arial"/>
                <w:sz w:val="24"/>
                <w:szCs w:val="24"/>
              </w:rPr>
              <w:t>En este proyecto se adopta el enfoque histórico del Derecho penal, que exige tener en cuenta los cambios en: la configuración de nuevos bienes jurídicos tutelados, la definición normativa de nuevas conductas punibles, y la punibilidad.</w:t>
            </w:r>
          </w:p>
          <w:p w:rsidR="007549D3" w:rsidRPr="001F37E9" w:rsidRDefault="007549D3" w:rsidP="007549D3">
            <w:pPr>
              <w:pStyle w:val="Textonotapie"/>
              <w:spacing w:line="360" w:lineRule="auto"/>
              <w:jc w:val="both"/>
              <w:rPr>
                <w:rFonts w:asciiTheme="minorHAnsi" w:hAnsiTheme="minorHAnsi" w:cs="Arial"/>
                <w:sz w:val="24"/>
                <w:szCs w:val="24"/>
              </w:rPr>
            </w:pPr>
          </w:p>
          <w:p w:rsidR="007549D3" w:rsidRPr="001F37E9" w:rsidRDefault="007549D3" w:rsidP="007549D3">
            <w:pPr>
              <w:spacing w:line="360" w:lineRule="auto"/>
              <w:jc w:val="both"/>
              <w:rPr>
                <w:rFonts w:cs="Arial"/>
              </w:rPr>
            </w:pPr>
            <w:r w:rsidRPr="001F37E9">
              <w:rPr>
                <w:rFonts w:cs="Arial"/>
              </w:rPr>
              <w:t>El marco histórico seleccionado son tres décadas de producción legislativa en materia penal, es decir, que analiza los tipos penales vigentes desde la década de 1980: el Decreto Ley 100 de ese año, la Ley 599 de 2000 (código actualmente vigente), y las leyes reformatorias de la Ley 599. A través del análisis cuantitativo en tres cortes de tiempo, se revisará para Colombia la plausibilidad de la teoría del populismo punitivo.</w:t>
            </w:r>
          </w:p>
          <w:p w:rsidR="007549D3" w:rsidRPr="001F37E9" w:rsidRDefault="007549D3" w:rsidP="007549D3">
            <w:pPr>
              <w:spacing w:line="360" w:lineRule="auto"/>
              <w:jc w:val="both"/>
              <w:rPr>
                <w:rFonts w:cs="Arial"/>
              </w:rPr>
            </w:pPr>
            <w:r w:rsidRPr="001F37E9">
              <w:rPr>
                <w:rFonts w:cs="Arial"/>
              </w:rPr>
              <w:lastRenderedPageBreak/>
              <w:t xml:space="preserve">Las fuentes primarias de la investigación son: las codificaciones penales, las leyes que modifican la parte especial de los códigos penales y los debates de los proyectos en el Congreso (o las actas de la comisión preparatoria, en el caso del Decreto Ley 100 de 1980). </w:t>
            </w:r>
          </w:p>
          <w:p w:rsidR="007549D3" w:rsidRPr="001F37E9" w:rsidRDefault="007549D3" w:rsidP="007549D3">
            <w:pPr>
              <w:spacing w:line="360" w:lineRule="auto"/>
              <w:jc w:val="both"/>
              <w:rPr>
                <w:rFonts w:cs="Arial"/>
              </w:rPr>
            </w:pPr>
            <w:r w:rsidRPr="001F37E9">
              <w:rPr>
                <w:rFonts w:cs="Arial"/>
              </w:rPr>
              <w:t xml:space="preserve">Las fuentes secundarias son la literatura criminológica sobre penas existente en bases de datos electrónicas, enfatizando en los/as autores/as internacionales y nacionales más citados. </w:t>
            </w:r>
          </w:p>
          <w:p w:rsidR="007549D3" w:rsidRPr="001F37E9" w:rsidRDefault="007549D3" w:rsidP="007549D3">
            <w:pPr>
              <w:spacing w:line="360" w:lineRule="auto"/>
              <w:jc w:val="both"/>
              <w:rPr>
                <w:rFonts w:eastAsia="Times New Roman" w:cs="Arial"/>
                <w:color w:val="222222"/>
              </w:rPr>
            </w:pPr>
          </w:p>
          <w:p w:rsidR="000A128F" w:rsidRPr="007549D3" w:rsidRDefault="007549D3" w:rsidP="007549D3">
            <w:pPr>
              <w:spacing w:line="360" w:lineRule="auto"/>
              <w:jc w:val="both"/>
              <w:rPr>
                <w:rFonts w:eastAsia="Times New Roman" w:cs="Arial"/>
                <w:color w:val="222222"/>
              </w:rPr>
            </w:pPr>
            <w:r w:rsidRPr="001F37E9">
              <w:rPr>
                <w:rFonts w:eastAsia="Times New Roman" w:cs="Arial"/>
                <w:color w:val="222222"/>
              </w:rPr>
              <w:t xml:space="preserve">Se construirá una base de datos en Excel, cuyas variables son: i) los tipos penales en cada código penal; ii) el tipo de pena prevista, y iii) las penas mínimas y máximas cuantificadas en años de duración. Será posible aplicar filtros para establecer tendencias históricas en la punibilidad para categorías de delitos como: delitos contra la vida, la libertad física, delitos sexuales, etc. </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Resultados esperados</w:t>
            </w:r>
          </w:p>
        </w:tc>
      </w:tr>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Cantidad</w:t>
            </w: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Apropiación social del conocimento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Gestión del conocimento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7</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Proyectos de ID+i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Contribución del proyecto al cumplimiento con la misión institucional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Este proyecto busca contribuir con la misión institucional de formar personas éticas y capaces de aportar a la solución de las principales problemáticas del país; espera producir conocimiento relevante para actualizar la formación en los diferentes programas, pregrado y posgrados, sobre el problema social de las restricciones a los derechos y libertades civiles y políticas mediante la sanción penal como instrumento por excelencia de ejercicio del monopolio estatal del poder.</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Líneas del PIM con las qye vincula el proyecto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 Proyección social e investigación pertinentes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Acciones del Plan General de Desarrollo 2016-2019 con el que se articula el proyecto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3.2. Garantizar que los programas y proyectos de proyección social se articulen con las demás funciones sustantivas, en concordancia con los campos de acción definidos. 3.2.4 Verificar la articulación de las funciones sustantivas en los programas y proyectos implementados. 3.4 Incrementar la producción investigativa con impacto regional, nacional e internacional. 3.4.4 Consolidar el desarrollo de los procesos de investigación en posgrado, fomentando los procesos de investigación en pregrado.</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A128F" w:rsidRPr="000A128F" w:rsidTr="000A128F">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FODEIN</w:t>
            </w:r>
          </w:p>
        </w:tc>
      </w:tr>
      <w:tr w:rsidR="000A128F" w:rsidRPr="000A128F" w:rsidTr="000A128F">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$ 16.475.000</w:t>
            </w:r>
          </w:p>
        </w:tc>
      </w:tr>
      <w:tr w:rsidR="000A128F" w:rsidRPr="000A128F" w:rsidTr="007549D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7549D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$ 3.250.000</w:t>
            </w:r>
          </w:p>
        </w:tc>
      </w:tr>
      <w:tr w:rsidR="000A128F" w:rsidRPr="000A128F" w:rsidTr="007549D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$ 7.357.500</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Contratación de un auxiliar de investigación que construya una base de datos en SPSS con las penas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$ 3.000.000</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$ 30.082.500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A128F" w:rsidRPr="000A128F" w:rsidTr="000A128F">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CONTRAPARTIDA EXTERNA</w:t>
            </w:r>
          </w:p>
        </w:tc>
      </w:tr>
      <w:tr w:rsidR="000A128F" w:rsidRPr="000A128F" w:rsidTr="000A128F">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w:t>
            </w: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b/>
                <w:bCs/>
                <w:color w:val="222222"/>
                <w:sz w:val="24"/>
                <w:szCs w:val="24"/>
                <w:lang w:eastAsia="es-CO"/>
              </w:rPr>
              <w:t>$ 30.082.500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A128F" w:rsidRPr="000A128F" w:rsidTr="000A128F">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CRONOGRAMA</w:t>
            </w:r>
          </w:p>
        </w:tc>
      </w:tr>
      <w:tr w:rsidR="000A128F" w:rsidRPr="000A128F" w:rsidTr="000A128F">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Fecha Fin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 Elaborar el inventario, desagregando los textos legales, de los tipos penales establecidos en los códigos penales colombianos, 1980, 2000 y leyes reformatorias de este último.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2019-05-31</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 Agrupar tipos penales, de acuerdo con el bien jurídico tutelado.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2019-06-30</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3. Reconstruir los debates previos a la adopción de la codificación penal, enfatizando en argumentos justificadores del incremento o de la rebaja de penas. 4. Analizar la validez, desde una perspectiva de criminología crítica, de los argumentos esgrimidos por los redactores de las normas punitivas. Redactar capítulos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2019-07-01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2019-11-30</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Posibles evaluadores</w:t>
            </w:r>
          </w:p>
        </w:tc>
      </w:tr>
      <w:tr w:rsidR="000A128F" w:rsidRPr="000A128F" w:rsidTr="000F7A0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Referencia(s)</w:t>
            </w:r>
          </w:p>
        </w:tc>
      </w:tr>
      <w:tr w:rsidR="000A128F" w:rsidRPr="000A128F" w:rsidTr="000F7A0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3F3239" w:rsidRPr="00DA1F68" w:rsidRDefault="003F3239" w:rsidP="003F3239">
            <w:pPr>
              <w:autoSpaceDE w:val="0"/>
              <w:autoSpaceDN w:val="0"/>
              <w:adjustRightInd w:val="0"/>
              <w:jc w:val="both"/>
              <w:rPr>
                <w:rFonts w:ascii="Arial" w:hAnsi="Arial" w:cs="Arial"/>
              </w:rPr>
            </w:pPr>
            <w:r w:rsidRPr="00DA1F68">
              <w:rPr>
                <w:rFonts w:ascii="Arial" w:hAnsi="Arial" w:cs="Arial"/>
              </w:rPr>
              <w:t xml:space="preserve">Baratta, Alessandro. (2004). </w:t>
            </w:r>
            <w:r w:rsidRPr="00DA1F68">
              <w:rPr>
                <w:rFonts w:ascii="Arial" w:hAnsi="Arial" w:cs="Arial"/>
                <w:i/>
              </w:rPr>
              <w:t>Criminología crítica y crítica del derecho penal: introducción a la sociología jurídico penal</w:t>
            </w:r>
            <w:r w:rsidRPr="00DA1F68">
              <w:rPr>
                <w:rFonts w:ascii="Arial" w:hAnsi="Arial" w:cs="Arial"/>
              </w:rPr>
              <w:t xml:space="preserve">. Buenos Aires: Siglo </w:t>
            </w:r>
            <w:r w:rsidRPr="00DA1F68">
              <w:rPr>
                <w:rFonts w:ascii="Arial" w:hAnsi="Arial" w:cs="Arial"/>
                <w:bCs/>
              </w:rPr>
              <w:t>XXI</w:t>
            </w:r>
            <w:r w:rsidRPr="00DA1F68">
              <w:rPr>
                <w:rFonts w:ascii="Arial" w:hAnsi="Arial" w:cs="Arial"/>
              </w:rPr>
              <w:t>.</w:t>
            </w:r>
          </w:p>
          <w:p w:rsidR="003F3239" w:rsidRPr="00DA1F68" w:rsidRDefault="003F3239" w:rsidP="003F3239">
            <w:pPr>
              <w:ind w:firstLine="3"/>
              <w:jc w:val="both"/>
              <w:rPr>
                <w:rFonts w:ascii="Arial" w:hAnsi="Arial" w:cs="Arial"/>
              </w:rPr>
            </w:pPr>
          </w:p>
          <w:p w:rsidR="003F3239" w:rsidRPr="00DA1F68" w:rsidRDefault="003F3239" w:rsidP="003F3239">
            <w:pPr>
              <w:ind w:firstLine="3"/>
              <w:jc w:val="both"/>
              <w:rPr>
                <w:rFonts w:ascii="Arial" w:hAnsi="Arial" w:cs="Arial"/>
                <w:lang w:val="en-US"/>
              </w:rPr>
            </w:pPr>
            <w:r w:rsidRPr="00DA1F68">
              <w:rPr>
                <w:rFonts w:ascii="Arial" w:hAnsi="Arial" w:cs="Arial"/>
              </w:rPr>
              <w:t xml:space="preserve">Bauman, Z. Lyon, D. (2013). </w:t>
            </w:r>
            <w:r w:rsidRPr="00DA1F68">
              <w:rPr>
                <w:rFonts w:ascii="Arial" w:hAnsi="Arial" w:cs="Arial"/>
                <w:i/>
              </w:rPr>
              <w:t>Vigilancia líquida</w:t>
            </w:r>
            <w:r w:rsidRPr="00DA1F68">
              <w:rPr>
                <w:rFonts w:ascii="Arial" w:hAnsi="Arial" w:cs="Arial"/>
              </w:rPr>
              <w:t xml:space="preserve">. </w:t>
            </w:r>
            <w:r w:rsidRPr="00DA1F68">
              <w:rPr>
                <w:rFonts w:ascii="Arial" w:hAnsi="Arial" w:cs="Arial"/>
                <w:lang w:val="en-US"/>
              </w:rPr>
              <w:t xml:space="preserve">Barcelona: Paidós. </w:t>
            </w:r>
          </w:p>
          <w:p w:rsidR="003F3239" w:rsidRPr="00DA1F68" w:rsidRDefault="003F3239" w:rsidP="003F3239">
            <w:pPr>
              <w:jc w:val="both"/>
              <w:rPr>
                <w:rFonts w:ascii="Arial" w:hAnsi="Arial" w:cs="Arial"/>
                <w:lang w:val="en-US"/>
              </w:rPr>
            </w:pPr>
          </w:p>
          <w:p w:rsidR="003F3239" w:rsidRPr="00DA1F68" w:rsidRDefault="003F3239" w:rsidP="003F3239">
            <w:pPr>
              <w:jc w:val="both"/>
              <w:rPr>
                <w:rStyle w:val="Hipervnculo"/>
                <w:rFonts w:ascii="Arial" w:hAnsi="Arial" w:cs="Arial"/>
                <w:lang w:val="en-US"/>
              </w:rPr>
            </w:pPr>
            <w:r w:rsidRPr="00DA1F68">
              <w:rPr>
                <w:rFonts w:ascii="Arial" w:hAnsi="Arial" w:cs="Arial"/>
                <w:lang w:val="en-US"/>
              </w:rPr>
              <w:t xml:space="preserve">Bauman, Zygmunt. Social Issues of Law and Order. En: </w:t>
            </w:r>
            <w:r w:rsidRPr="00DA1F68">
              <w:rPr>
                <w:rFonts w:ascii="Arial" w:hAnsi="Arial" w:cs="Arial"/>
                <w:i/>
                <w:lang w:val="en-US"/>
              </w:rPr>
              <w:t>The British Journal of Criminology</w:t>
            </w:r>
            <w:r w:rsidRPr="00DA1F68">
              <w:rPr>
                <w:rFonts w:ascii="Arial" w:hAnsi="Arial" w:cs="Arial"/>
                <w:lang w:val="en-US"/>
              </w:rPr>
              <w:t xml:space="preserve">, Volume 40, Issue 2, 1 March 2000, Pages 205–221, </w:t>
            </w:r>
            <w:hyperlink r:id="rId6" w:history="1">
              <w:r w:rsidRPr="00DA1F68">
                <w:rPr>
                  <w:rStyle w:val="Hipervnculo"/>
                  <w:rFonts w:ascii="Arial" w:hAnsi="Arial" w:cs="Arial"/>
                  <w:lang w:val="en-US"/>
                </w:rPr>
                <w:t>https://doi.org/10.1093/bjc/40.2.205</w:t>
              </w:r>
            </w:hyperlink>
          </w:p>
          <w:p w:rsidR="003F3239" w:rsidRPr="00DA1F68" w:rsidRDefault="003F3239" w:rsidP="003F3239">
            <w:pPr>
              <w:jc w:val="both"/>
              <w:rPr>
                <w:rFonts w:ascii="Arial" w:hAnsi="Arial" w:cs="Arial"/>
              </w:rPr>
            </w:pPr>
            <w:r w:rsidRPr="00DA1F68">
              <w:rPr>
                <w:rFonts w:ascii="Arial" w:hAnsi="Arial" w:cs="Arial"/>
              </w:rPr>
              <w:t xml:space="preserve">Becker, Howard. (2009). </w:t>
            </w:r>
            <w:r w:rsidRPr="00DA1F68">
              <w:rPr>
                <w:rFonts w:ascii="Arial" w:hAnsi="Arial" w:cs="Arial"/>
                <w:i/>
              </w:rPr>
              <w:t>Outsiders. Hacia una sociología de la desviación</w:t>
            </w:r>
            <w:r w:rsidRPr="00DA1F68">
              <w:rPr>
                <w:rFonts w:ascii="Arial" w:hAnsi="Arial" w:cs="Arial"/>
              </w:rPr>
              <w:t>. Buenos Aires, México: Siglo XXI.</w:t>
            </w:r>
          </w:p>
          <w:p w:rsidR="003F3239" w:rsidRPr="00DA1F68" w:rsidRDefault="003F3239" w:rsidP="003F3239">
            <w:pPr>
              <w:ind w:firstLine="3"/>
              <w:jc w:val="both"/>
              <w:rPr>
                <w:rFonts w:ascii="Arial" w:hAnsi="Arial" w:cs="Arial"/>
              </w:rPr>
            </w:pPr>
            <w:r w:rsidRPr="00DA1F68">
              <w:rPr>
                <w:rFonts w:ascii="Arial" w:hAnsi="Arial" w:cs="Arial"/>
              </w:rPr>
              <w:t xml:space="preserve">Bergalli, R. Origen de las teorías de la reacción social. En: </w:t>
            </w:r>
            <w:r w:rsidRPr="00DA1F68">
              <w:rPr>
                <w:rFonts w:ascii="Arial" w:hAnsi="Arial" w:cs="Arial"/>
                <w:i/>
              </w:rPr>
              <w:t>Revista de Sociología</w:t>
            </w:r>
            <w:r w:rsidRPr="00DA1F68">
              <w:rPr>
                <w:rFonts w:ascii="Arial" w:hAnsi="Arial" w:cs="Arial"/>
              </w:rPr>
              <w:t>. Num. 13, 1980, pp. 49-96. Barcelona.</w:t>
            </w:r>
          </w:p>
          <w:p w:rsidR="003F3239" w:rsidRPr="00DA1F68" w:rsidRDefault="003F3239" w:rsidP="003F3239">
            <w:pPr>
              <w:widowControl w:val="0"/>
              <w:tabs>
                <w:tab w:val="left" w:pos="709"/>
              </w:tabs>
              <w:jc w:val="both"/>
              <w:rPr>
                <w:rFonts w:ascii="Arial" w:hAnsi="Arial" w:cs="Arial"/>
              </w:rPr>
            </w:pPr>
          </w:p>
          <w:p w:rsidR="003F3239" w:rsidRPr="00DA1F68" w:rsidRDefault="003F3239" w:rsidP="003F3239">
            <w:pPr>
              <w:widowControl w:val="0"/>
              <w:tabs>
                <w:tab w:val="left" w:pos="709"/>
              </w:tabs>
              <w:jc w:val="both"/>
              <w:rPr>
                <w:rFonts w:ascii="Arial" w:hAnsi="Arial" w:cs="Arial"/>
              </w:rPr>
            </w:pPr>
            <w:r w:rsidRPr="00DA1F68">
              <w:rPr>
                <w:rFonts w:ascii="Arial" w:hAnsi="Arial" w:cs="Arial"/>
              </w:rPr>
              <w:t xml:space="preserve">Colombia. Consejo Nacional de Política Económica y Social y Departamento Nacional de Planeación. Documento CONPES social No. 61. Política Pública de Equidad de Género Bogotá D.C., Marzo 12 de 2013. Disponible en internet en: </w:t>
            </w:r>
            <w:hyperlink r:id="rId7" w:history="1">
              <w:r w:rsidRPr="00DA1F68">
                <w:rPr>
                  <w:rStyle w:val="Hipervnculo"/>
                  <w:rFonts w:ascii="Arial" w:hAnsi="Arial" w:cs="Arial"/>
                </w:rPr>
                <w:t>http://www.equidadmujer.gov.co/ejes/Documents/Conpes-Social-161-de-2013-Equidad-de-Genero.pdf</w:t>
              </w:r>
            </w:hyperlink>
          </w:p>
          <w:p w:rsidR="003F3239" w:rsidRPr="00DA1F68" w:rsidRDefault="003F3239" w:rsidP="003F3239">
            <w:pPr>
              <w:jc w:val="both"/>
              <w:rPr>
                <w:rFonts w:ascii="Arial" w:hAnsi="Arial" w:cs="Arial"/>
              </w:rPr>
            </w:pPr>
          </w:p>
          <w:p w:rsidR="003F3239" w:rsidRPr="00DA1F68" w:rsidRDefault="003F3239" w:rsidP="003F3239">
            <w:pPr>
              <w:ind w:firstLine="3"/>
              <w:jc w:val="both"/>
              <w:rPr>
                <w:rFonts w:ascii="Arial" w:hAnsi="Arial" w:cs="Arial"/>
              </w:rPr>
            </w:pPr>
            <w:r w:rsidRPr="00DA1F68">
              <w:rPr>
                <w:rFonts w:ascii="Arial" w:hAnsi="Arial" w:cs="Arial"/>
              </w:rPr>
              <w:t>Colombia. Congreso de la República. Código penal, Ley 599 de 2000.</w:t>
            </w:r>
          </w:p>
          <w:p w:rsidR="003F3239" w:rsidRPr="00DA1F68" w:rsidRDefault="003F3239" w:rsidP="003F3239">
            <w:pPr>
              <w:jc w:val="both"/>
              <w:rPr>
                <w:rFonts w:ascii="Arial" w:hAnsi="Arial" w:cs="Arial"/>
              </w:rPr>
            </w:pPr>
          </w:p>
          <w:p w:rsidR="003F3239" w:rsidRPr="00DA1F68" w:rsidRDefault="003F3239" w:rsidP="003F3239">
            <w:pPr>
              <w:jc w:val="both"/>
              <w:rPr>
                <w:rStyle w:val="Hipervnculo"/>
                <w:rFonts w:ascii="Arial" w:hAnsi="Arial" w:cs="Arial"/>
              </w:rPr>
            </w:pPr>
            <w:r w:rsidRPr="00DA1F68">
              <w:rPr>
                <w:rFonts w:ascii="Arial" w:hAnsi="Arial" w:cs="Arial"/>
              </w:rPr>
              <w:t xml:space="preserve">Colombia. Ministerio de Justicia. Comisión Asesora de Política Criminal. (2012). </w:t>
            </w:r>
            <w:r w:rsidRPr="00DA1F68">
              <w:rPr>
                <w:rFonts w:ascii="Arial" w:hAnsi="Arial" w:cs="Arial"/>
                <w:i/>
              </w:rPr>
              <w:t>Informe Final: Diagnóstico y propuesta de lineamientos de política criminal para el Estado colombiano</w:t>
            </w:r>
            <w:r w:rsidRPr="00DA1F68">
              <w:rPr>
                <w:rFonts w:ascii="Arial" w:hAnsi="Arial" w:cs="Arial"/>
              </w:rPr>
              <w:t xml:space="preserve">. Disponible en internet en: </w:t>
            </w:r>
            <w:hyperlink r:id="rId8" w:history="1">
              <w:r w:rsidRPr="00DA1F68">
                <w:rPr>
                  <w:rStyle w:val="Hipervnculo"/>
                  <w:rFonts w:ascii="Arial" w:hAnsi="Arial" w:cs="Arial"/>
                </w:rPr>
                <w:t>https://www.minjusticia.gov.co/Portals/0/INFO%20POLI%20CRIMINAL_FINAL23NOV.pdf</w:t>
              </w:r>
            </w:hyperlink>
          </w:p>
          <w:p w:rsidR="003F3239" w:rsidRPr="00DA1F68" w:rsidRDefault="003F3239" w:rsidP="003F3239">
            <w:pPr>
              <w:jc w:val="both"/>
              <w:rPr>
                <w:rFonts w:ascii="Arial" w:hAnsi="Arial" w:cs="Arial"/>
              </w:rPr>
            </w:pPr>
            <w:r w:rsidRPr="00DA1F68">
              <w:rPr>
                <w:rFonts w:ascii="Arial" w:hAnsi="Arial" w:cs="Arial"/>
              </w:rPr>
              <w:t xml:space="preserve">Colombia. Policía Nacional. </w:t>
            </w:r>
            <w:r w:rsidRPr="00DA1F68">
              <w:rPr>
                <w:rFonts w:ascii="Arial" w:hAnsi="Arial" w:cs="Arial"/>
                <w:i/>
              </w:rPr>
              <w:t>Revista</w:t>
            </w:r>
            <w:r w:rsidRPr="00DA1F68">
              <w:rPr>
                <w:rFonts w:ascii="Arial" w:hAnsi="Arial" w:cs="Arial"/>
              </w:rPr>
              <w:t xml:space="preserve"> </w:t>
            </w:r>
            <w:r w:rsidRPr="00DA1F68">
              <w:rPr>
                <w:rFonts w:ascii="Arial" w:hAnsi="Arial" w:cs="Arial"/>
                <w:i/>
              </w:rPr>
              <w:t xml:space="preserve">Criminalidad. </w:t>
            </w:r>
            <w:r w:rsidRPr="00DA1F68">
              <w:rPr>
                <w:rFonts w:ascii="Arial" w:hAnsi="Arial" w:cs="Arial"/>
              </w:rPr>
              <w:t>Bogotá, Fondo Rotatorio de la Policía Nacional.</w:t>
            </w:r>
          </w:p>
          <w:p w:rsidR="003F3239" w:rsidRPr="00DA1F68" w:rsidRDefault="003F3239" w:rsidP="003F3239">
            <w:pPr>
              <w:ind w:firstLine="3"/>
              <w:jc w:val="both"/>
              <w:rPr>
                <w:rFonts w:ascii="Arial" w:hAnsi="Arial" w:cs="Arial"/>
              </w:rPr>
            </w:pPr>
          </w:p>
          <w:p w:rsidR="003F3239" w:rsidRPr="00DA1F68" w:rsidRDefault="003F3239" w:rsidP="003F3239">
            <w:pPr>
              <w:widowControl w:val="0"/>
              <w:tabs>
                <w:tab w:val="left" w:pos="709"/>
              </w:tabs>
              <w:jc w:val="both"/>
              <w:rPr>
                <w:rFonts w:ascii="Arial" w:hAnsi="Arial" w:cs="Arial"/>
              </w:rPr>
            </w:pPr>
            <w:r w:rsidRPr="00DA1F68">
              <w:rPr>
                <w:rFonts w:ascii="Arial" w:hAnsi="Arial" w:cs="Arial"/>
              </w:rPr>
              <w:t>Comisión de Seguimiento de la Sociedad Civil a la Sentencia T-388 de 2013. (2018). Disponible en internet en: https://www.dejusticia.org/publication/la-comision-de-seguimiento-de-la-sociedad-civil-la-sentencia-t-388-de-2013-lanza-su-tercer-informe-de-seguimiento-la-crisis-carcelaria/</w:t>
            </w:r>
          </w:p>
          <w:p w:rsidR="003F3239" w:rsidRPr="00DA1F68" w:rsidRDefault="003F3239" w:rsidP="003F3239">
            <w:pPr>
              <w:ind w:firstLine="3"/>
              <w:jc w:val="both"/>
              <w:rPr>
                <w:rFonts w:ascii="Arial" w:hAnsi="Arial" w:cs="Arial"/>
              </w:rPr>
            </w:pPr>
          </w:p>
          <w:p w:rsidR="003F3239" w:rsidRPr="00DA1F68" w:rsidRDefault="003F3239" w:rsidP="003F3239">
            <w:pPr>
              <w:jc w:val="both"/>
              <w:rPr>
                <w:rFonts w:ascii="Arial" w:hAnsi="Arial" w:cs="Arial"/>
              </w:rPr>
            </w:pPr>
            <w:r w:rsidRPr="00DA1F68">
              <w:rPr>
                <w:rFonts w:ascii="Arial" w:hAnsi="Arial" w:cs="Arial"/>
              </w:rPr>
              <w:t xml:space="preserve">Durkheim, Émile. “Deux lois de l´evolution pénale”. En: </w:t>
            </w:r>
            <w:r w:rsidRPr="00DA1F68">
              <w:rPr>
                <w:rFonts w:ascii="Arial" w:hAnsi="Arial" w:cs="Arial"/>
                <w:i/>
              </w:rPr>
              <w:t>Année sociologique,</w:t>
            </w:r>
            <w:r w:rsidRPr="00DA1F68">
              <w:rPr>
                <w:rFonts w:ascii="Arial" w:hAnsi="Arial" w:cs="Arial"/>
              </w:rPr>
              <w:t xml:space="preserve"> Vol. IV, 1899-1900, pp. 65 a 95, disponible en: http://classiques.uqac.ca/classiques/Durkheim_emile/annee_sociologique/an_socio_3/evolution_penale.html</w:t>
            </w:r>
          </w:p>
          <w:p w:rsidR="003F3239" w:rsidRPr="00DA1F68" w:rsidRDefault="003F3239" w:rsidP="003F3239">
            <w:pPr>
              <w:pStyle w:val="Textonotapie"/>
              <w:jc w:val="both"/>
              <w:rPr>
                <w:rFonts w:ascii="Arial" w:hAnsi="Arial" w:cs="Arial"/>
                <w:sz w:val="22"/>
                <w:szCs w:val="22"/>
                <w:lang w:val="es-CO"/>
              </w:rPr>
            </w:pPr>
          </w:p>
          <w:p w:rsidR="003F3239" w:rsidRPr="00DA1F68" w:rsidRDefault="003F3239" w:rsidP="003F3239">
            <w:pPr>
              <w:pStyle w:val="Textonotapie"/>
              <w:jc w:val="both"/>
              <w:rPr>
                <w:rFonts w:ascii="Arial" w:hAnsi="Arial" w:cs="Arial"/>
                <w:sz w:val="22"/>
                <w:szCs w:val="22"/>
                <w:lang w:val="es-CO"/>
              </w:rPr>
            </w:pPr>
            <w:r w:rsidRPr="00DA1F68">
              <w:rPr>
                <w:rFonts w:ascii="Arial" w:hAnsi="Arial" w:cs="Arial"/>
                <w:sz w:val="22"/>
                <w:szCs w:val="22"/>
                <w:lang w:val="es-CO"/>
              </w:rPr>
              <w:t xml:space="preserve">Durkheim, Emilio. (1985), </w:t>
            </w:r>
            <w:r w:rsidRPr="00DA1F68">
              <w:rPr>
                <w:rFonts w:ascii="Arial" w:hAnsi="Arial" w:cs="Arial"/>
                <w:i/>
                <w:sz w:val="22"/>
                <w:szCs w:val="22"/>
                <w:lang w:val="es-CO"/>
              </w:rPr>
              <w:t>La división del trabajo social</w:t>
            </w:r>
            <w:r w:rsidRPr="00DA1F68">
              <w:rPr>
                <w:rFonts w:ascii="Arial" w:hAnsi="Arial" w:cs="Arial"/>
                <w:sz w:val="22"/>
                <w:szCs w:val="22"/>
                <w:lang w:val="es-CO"/>
              </w:rPr>
              <w:t>, Bogotá: Planeta Agostini.</w:t>
            </w:r>
          </w:p>
          <w:p w:rsidR="003F3239" w:rsidRPr="00DA1F68" w:rsidRDefault="003F3239" w:rsidP="003F3239">
            <w:pPr>
              <w:pStyle w:val="Textonotapie"/>
              <w:jc w:val="both"/>
              <w:rPr>
                <w:rFonts w:ascii="Arial" w:hAnsi="Arial" w:cs="Arial"/>
                <w:sz w:val="22"/>
                <w:szCs w:val="22"/>
                <w:lang w:val="es-CO"/>
              </w:rPr>
            </w:pPr>
          </w:p>
          <w:p w:rsidR="003F3239" w:rsidRPr="00DA1F68" w:rsidRDefault="003F3239" w:rsidP="003F3239">
            <w:pPr>
              <w:pStyle w:val="Sinespaciado"/>
              <w:jc w:val="both"/>
              <w:rPr>
                <w:rFonts w:ascii="Arial" w:hAnsi="Arial" w:cs="Arial"/>
                <w:lang w:val="pt-BR"/>
              </w:rPr>
            </w:pPr>
            <w:r w:rsidRPr="00DA1F68">
              <w:rPr>
                <w:rFonts w:ascii="Arial" w:hAnsi="Arial" w:cs="Arial"/>
              </w:rPr>
              <w:t xml:space="preserve">Elias, Norbert. (1997). </w:t>
            </w:r>
            <w:r w:rsidRPr="00DA1F68">
              <w:rPr>
                <w:rFonts w:ascii="Arial" w:hAnsi="Arial" w:cs="Arial"/>
                <w:i/>
              </w:rPr>
              <w:t>El proceso de la civilización</w:t>
            </w:r>
            <w:r w:rsidRPr="00DA1F68">
              <w:rPr>
                <w:rFonts w:ascii="Arial" w:hAnsi="Arial" w:cs="Arial"/>
              </w:rPr>
              <w:t xml:space="preserve">, </w:t>
            </w:r>
            <w:r w:rsidRPr="00DA1F68">
              <w:rPr>
                <w:rFonts w:ascii="Arial" w:hAnsi="Arial" w:cs="Arial"/>
                <w:i/>
              </w:rPr>
              <w:t>Investigaciones sociogenéticas y psicogenéticas</w:t>
            </w:r>
            <w:r w:rsidRPr="00DA1F68">
              <w:rPr>
                <w:rFonts w:ascii="Arial" w:hAnsi="Arial" w:cs="Arial"/>
              </w:rPr>
              <w:t xml:space="preserve">. </w:t>
            </w:r>
            <w:r w:rsidRPr="00DA1F68">
              <w:rPr>
                <w:rFonts w:ascii="Arial" w:hAnsi="Arial" w:cs="Arial"/>
                <w:lang w:val="pt-BR"/>
              </w:rPr>
              <w:t>Bogotá, Fondo de Cultura Económica.</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lang w:val="pt-BR"/>
              </w:rPr>
            </w:pPr>
            <w:r w:rsidRPr="00DA1F68">
              <w:rPr>
                <w:rFonts w:ascii="Arial" w:hAnsi="Arial" w:cs="Arial"/>
                <w:lang w:val="pt-BR"/>
              </w:rPr>
              <w:t xml:space="preserve">Elias, Norbert. (1997), </w:t>
            </w:r>
            <w:r w:rsidRPr="00DA1F68">
              <w:rPr>
                <w:rFonts w:ascii="Arial" w:hAnsi="Arial" w:cs="Arial"/>
                <w:i/>
                <w:lang w:val="pt-BR"/>
              </w:rPr>
              <w:t>Os Alemães. A luta pelo poder e a evolução do habitus nos séculos XIX e XX</w:t>
            </w:r>
            <w:r w:rsidRPr="00DA1F68">
              <w:rPr>
                <w:rFonts w:ascii="Arial" w:hAnsi="Arial" w:cs="Arial"/>
                <w:lang w:val="pt-BR"/>
              </w:rPr>
              <w:t>. Rio de Janeiro: Jorge Zahar Editor.</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rPr>
            </w:pPr>
            <w:r w:rsidRPr="00DA1F68">
              <w:rPr>
                <w:rFonts w:ascii="Arial" w:hAnsi="Arial" w:cs="Arial"/>
                <w:lang w:val="pt-BR"/>
              </w:rPr>
              <w:t xml:space="preserve">Ferrajoli, L. (2011).  </w:t>
            </w:r>
            <w:r w:rsidRPr="00DA1F68">
              <w:rPr>
                <w:rFonts w:ascii="Arial" w:hAnsi="Arial" w:cs="Arial"/>
                <w:i/>
                <w:lang w:val="pt-BR"/>
              </w:rPr>
              <w:t xml:space="preserve">Principia iuris. </w:t>
            </w:r>
            <w:r w:rsidRPr="00DA1F68">
              <w:rPr>
                <w:rFonts w:ascii="Arial" w:hAnsi="Arial" w:cs="Arial"/>
                <w:i/>
              </w:rPr>
              <w:t>Teoría del derecho y de la democracia</w:t>
            </w:r>
            <w:r w:rsidRPr="00DA1F68">
              <w:rPr>
                <w:rFonts w:ascii="Arial" w:hAnsi="Arial" w:cs="Arial"/>
              </w:rPr>
              <w:t>. Tomo II, Teoría de la democracia. Madrid: Trotta.</w:t>
            </w:r>
          </w:p>
          <w:p w:rsidR="003F3239" w:rsidRPr="00DA1F68" w:rsidRDefault="003F3239" w:rsidP="003F3239">
            <w:pPr>
              <w:jc w:val="both"/>
              <w:rPr>
                <w:rFonts w:ascii="Arial" w:hAnsi="Arial" w:cs="Arial"/>
                <w:lang w:val="pt-BR"/>
              </w:rPr>
            </w:pPr>
            <w:r w:rsidRPr="00DA1F68">
              <w:rPr>
                <w:rFonts w:ascii="Arial" w:hAnsi="Arial" w:cs="Arial"/>
              </w:rPr>
              <w:t xml:space="preserve">Foucault, Michel. </w:t>
            </w:r>
            <w:r w:rsidRPr="00DA1F68">
              <w:rPr>
                <w:rFonts w:ascii="Arial" w:hAnsi="Arial" w:cs="Arial"/>
                <w:lang w:val="pt-BR"/>
              </w:rPr>
              <w:t xml:space="preserve">(1995), </w:t>
            </w:r>
            <w:r w:rsidRPr="00DA1F68">
              <w:rPr>
                <w:rFonts w:ascii="Arial" w:hAnsi="Arial" w:cs="Arial"/>
                <w:i/>
                <w:lang w:val="pt-BR"/>
              </w:rPr>
              <w:t>Microfísica do poder,</w:t>
            </w:r>
            <w:r w:rsidRPr="00DA1F68">
              <w:rPr>
                <w:rFonts w:ascii="Arial" w:hAnsi="Arial" w:cs="Arial"/>
                <w:lang w:val="pt-BR"/>
              </w:rPr>
              <w:t xml:space="preserve"> Rio de Janeiro: Graal.</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lang w:val="pt-BR"/>
              </w:rPr>
            </w:pPr>
            <w:r w:rsidRPr="00DA1F68">
              <w:rPr>
                <w:rFonts w:ascii="Arial" w:hAnsi="Arial" w:cs="Arial"/>
                <w:lang w:val="pt-BR"/>
              </w:rPr>
              <w:t xml:space="preserve">Foucault, Michel. (1997), </w:t>
            </w:r>
            <w:r w:rsidRPr="00DA1F68">
              <w:rPr>
                <w:rFonts w:ascii="Arial" w:hAnsi="Arial" w:cs="Arial"/>
                <w:i/>
                <w:lang w:val="pt-BR"/>
              </w:rPr>
              <w:t>Vigiar e punir.</w:t>
            </w:r>
            <w:r w:rsidRPr="00DA1F68">
              <w:rPr>
                <w:rFonts w:ascii="Arial" w:hAnsi="Arial" w:cs="Arial"/>
                <w:lang w:val="pt-BR"/>
              </w:rPr>
              <w:t xml:space="preserve"> Petrópolis: Vozes. </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lang w:val="pt-BR"/>
              </w:rPr>
            </w:pPr>
            <w:r w:rsidRPr="00DA1F68">
              <w:rPr>
                <w:rFonts w:ascii="Arial" w:hAnsi="Arial" w:cs="Arial"/>
                <w:lang w:val="pt-BR"/>
              </w:rPr>
              <w:t xml:space="preserve">Foucault, Michel. (2002), </w:t>
            </w:r>
            <w:r w:rsidRPr="00DA1F68">
              <w:rPr>
                <w:rFonts w:ascii="Arial" w:hAnsi="Arial" w:cs="Arial"/>
                <w:i/>
                <w:lang w:val="pt-BR"/>
              </w:rPr>
              <w:t>Em defesa da sociedade</w:t>
            </w:r>
            <w:r w:rsidRPr="00DA1F68">
              <w:rPr>
                <w:rFonts w:ascii="Arial" w:hAnsi="Arial" w:cs="Arial"/>
                <w:lang w:val="pt-BR"/>
              </w:rPr>
              <w:t>. São Paulo: Martins Fontes.</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rPr>
            </w:pPr>
            <w:r w:rsidRPr="00DA1F68">
              <w:rPr>
                <w:rFonts w:ascii="Arial" w:hAnsi="Arial" w:cs="Arial"/>
                <w:lang w:val="pt-BR"/>
              </w:rPr>
              <w:t xml:space="preserve">Garapon, Antoine, y Salas, Denise. </w:t>
            </w:r>
            <w:r w:rsidRPr="00DA1F68">
              <w:rPr>
                <w:rFonts w:ascii="Arial" w:hAnsi="Arial" w:cs="Arial"/>
              </w:rPr>
              <w:t xml:space="preserve">(1996), </w:t>
            </w:r>
            <w:r w:rsidRPr="00DA1F68">
              <w:rPr>
                <w:rFonts w:ascii="Arial" w:hAnsi="Arial" w:cs="Arial"/>
                <w:i/>
              </w:rPr>
              <w:t>La République Pénalisée</w:t>
            </w:r>
            <w:r w:rsidRPr="00DA1F68">
              <w:rPr>
                <w:rFonts w:ascii="Arial" w:hAnsi="Arial" w:cs="Arial"/>
              </w:rPr>
              <w:t xml:space="preserve">, </w:t>
            </w:r>
            <w:r w:rsidRPr="00DA1F68">
              <w:rPr>
                <w:rFonts w:ascii="Arial" w:hAnsi="Arial" w:cs="Arial"/>
                <w:i/>
              </w:rPr>
              <w:t>Débat avec Olivier Mongin</w:t>
            </w:r>
            <w:r w:rsidRPr="00DA1F68">
              <w:rPr>
                <w:rFonts w:ascii="Arial" w:hAnsi="Arial" w:cs="Arial"/>
              </w:rPr>
              <w:t>. Paris: Hachette.</w:t>
            </w:r>
          </w:p>
          <w:p w:rsidR="003F3239" w:rsidRPr="00DA1F68" w:rsidRDefault="003F3239" w:rsidP="003F3239">
            <w:pPr>
              <w:jc w:val="both"/>
              <w:rPr>
                <w:rFonts w:ascii="Arial" w:hAnsi="Arial" w:cs="Arial"/>
                <w:iCs/>
              </w:rPr>
            </w:pPr>
          </w:p>
          <w:p w:rsidR="003F3239" w:rsidRPr="00DA1F68" w:rsidRDefault="003F3239" w:rsidP="003F3239">
            <w:pPr>
              <w:jc w:val="both"/>
              <w:rPr>
                <w:rFonts w:ascii="Arial" w:hAnsi="Arial" w:cs="Arial"/>
                <w:iCs/>
              </w:rPr>
            </w:pPr>
            <w:r w:rsidRPr="00DA1F68">
              <w:rPr>
                <w:rFonts w:ascii="Arial" w:hAnsi="Arial" w:cs="Arial"/>
                <w:iCs/>
              </w:rPr>
              <w:t xml:space="preserve">Garland, David. (2007), </w:t>
            </w:r>
            <w:r w:rsidRPr="00DA1F68">
              <w:rPr>
                <w:rFonts w:ascii="Arial" w:hAnsi="Arial" w:cs="Arial"/>
                <w:i/>
                <w:iCs/>
              </w:rPr>
              <w:t>Crimen y castigo en la modernidad tardía</w:t>
            </w:r>
            <w:r w:rsidRPr="00DA1F68">
              <w:rPr>
                <w:rFonts w:ascii="Arial" w:hAnsi="Arial" w:cs="Arial"/>
                <w:iCs/>
              </w:rPr>
              <w:t>. Bogotá: Siglo del Hombre, Uniandes, Universidad Javeriana.</w:t>
            </w:r>
          </w:p>
          <w:p w:rsidR="003F3239" w:rsidRDefault="003F3239" w:rsidP="003F3239">
            <w:pPr>
              <w:jc w:val="both"/>
              <w:rPr>
                <w:rFonts w:ascii="Arial" w:hAnsi="Arial" w:cs="Arial"/>
                <w:iCs/>
              </w:rPr>
            </w:pPr>
          </w:p>
          <w:p w:rsidR="003F3239" w:rsidRPr="00DA1F68" w:rsidRDefault="003F3239" w:rsidP="003F3239">
            <w:pPr>
              <w:jc w:val="both"/>
              <w:rPr>
                <w:rFonts w:ascii="Arial" w:hAnsi="Arial" w:cs="Arial"/>
                <w:iCs/>
              </w:rPr>
            </w:pPr>
            <w:r w:rsidRPr="00DA1F68">
              <w:rPr>
                <w:rFonts w:ascii="Arial" w:hAnsi="Arial" w:cs="Arial"/>
                <w:iCs/>
              </w:rPr>
              <w:t>Garland, David. (2006),</w:t>
            </w:r>
            <w:r w:rsidRPr="00DA1F68">
              <w:rPr>
                <w:rFonts w:ascii="Arial" w:hAnsi="Arial" w:cs="Arial"/>
                <w:i/>
                <w:iCs/>
              </w:rPr>
              <w:t xml:space="preserve"> Castigo y sociedad moderna: Un estudio de teoría social</w:t>
            </w:r>
            <w:r w:rsidRPr="00DA1F68">
              <w:rPr>
                <w:rFonts w:ascii="Arial" w:hAnsi="Arial" w:cs="Arial"/>
                <w:iCs/>
              </w:rPr>
              <w:t>. México: Siglo XXI.</w:t>
            </w:r>
          </w:p>
          <w:p w:rsidR="003F3239" w:rsidRPr="00DA1F68" w:rsidRDefault="003F3239" w:rsidP="003F3239">
            <w:pPr>
              <w:jc w:val="both"/>
              <w:rPr>
                <w:rFonts w:ascii="Arial" w:hAnsi="Arial" w:cs="Arial"/>
                <w:iCs/>
              </w:rPr>
            </w:pPr>
          </w:p>
          <w:p w:rsidR="003F3239" w:rsidRPr="00DA1F68" w:rsidRDefault="003F3239" w:rsidP="003F3239">
            <w:pPr>
              <w:jc w:val="both"/>
              <w:rPr>
                <w:rFonts w:ascii="Arial" w:hAnsi="Arial" w:cs="Arial"/>
                <w:iCs/>
                <w:lang w:val="en-US"/>
              </w:rPr>
            </w:pPr>
            <w:r w:rsidRPr="00DA1F68">
              <w:rPr>
                <w:rFonts w:ascii="Arial" w:hAnsi="Arial" w:cs="Arial"/>
                <w:iCs/>
              </w:rPr>
              <w:t xml:space="preserve">Garland, David. (2005), </w:t>
            </w:r>
            <w:r w:rsidRPr="00DA1F68">
              <w:rPr>
                <w:rFonts w:ascii="Arial" w:hAnsi="Arial" w:cs="Arial"/>
                <w:i/>
                <w:iCs/>
              </w:rPr>
              <w:t xml:space="preserve">La cultura del control: crimen y orden social en la sociedad contemporánea. </w:t>
            </w:r>
            <w:r w:rsidRPr="00DA1F68">
              <w:rPr>
                <w:rFonts w:ascii="Arial" w:hAnsi="Arial" w:cs="Arial"/>
                <w:iCs/>
                <w:lang w:val="en-US"/>
              </w:rPr>
              <w:t>Barcelona: Gedisa.</w:t>
            </w:r>
          </w:p>
          <w:p w:rsidR="003F3239" w:rsidRPr="00DA1F68" w:rsidRDefault="003F3239" w:rsidP="003F3239">
            <w:pPr>
              <w:jc w:val="both"/>
              <w:rPr>
                <w:rFonts w:ascii="Arial" w:hAnsi="Arial" w:cs="Arial"/>
                <w:iCs/>
                <w:lang w:val="en-US"/>
              </w:rPr>
            </w:pPr>
          </w:p>
          <w:p w:rsidR="003F3239" w:rsidRPr="00DA1F68" w:rsidRDefault="003F3239" w:rsidP="003F3239">
            <w:pPr>
              <w:jc w:val="both"/>
              <w:rPr>
                <w:rFonts w:ascii="Arial" w:hAnsi="Arial" w:cs="Arial"/>
                <w:lang w:val="en-US"/>
              </w:rPr>
            </w:pPr>
            <w:r w:rsidRPr="00DA1F68">
              <w:rPr>
                <w:rFonts w:ascii="Arial" w:hAnsi="Arial" w:cs="Arial"/>
                <w:lang w:val="en-US"/>
              </w:rPr>
              <w:t xml:space="preserve">Hunt, Alan. The ideology of law: advances and problems in recent applications of the concept of ideology to the analysis of law. </w:t>
            </w:r>
            <w:r w:rsidRPr="00DA1F68">
              <w:rPr>
                <w:rFonts w:ascii="Arial" w:hAnsi="Arial" w:cs="Arial"/>
                <w:i/>
                <w:lang w:val="en-US"/>
              </w:rPr>
              <w:t>Law and Society Review</w:t>
            </w:r>
            <w:r w:rsidRPr="00DA1F68">
              <w:rPr>
                <w:rFonts w:ascii="Arial" w:hAnsi="Arial" w:cs="Arial"/>
                <w:lang w:val="en-US"/>
              </w:rPr>
              <w:t>, Vol. 19, No. 1, 1985 pp. 11-38.</w:t>
            </w:r>
          </w:p>
          <w:p w:rsidR="003F3239" w:rsidRPr="00DA1F68" w:rsidRDefault="003F3239" w:rsidP="003F3239">
            <w:pPr>
              <w:pStyle w:val="Textonotapie"/>
              <w:jc w:val="both"/>
              <w:rPr>
                <w:rFonts w:ascii="Arial" w:hAnsi="Arial" w:cs="Arial"/>
                <w:sz w:val="22"/>
                <w:szCs w:val="22"/>
                <w:lang w:val="en-US"/>
              </w:rPr>
            </w:pPr>
          </w:p>
          <w:p w:rsidR="003F3239" w:rsidRPr="00DA1F68" w:rsidRDefault="003F3239" w:rsidP="003F3239">
            <w:pPr>
              <w:pStyle w:val="Textonotapie"/>
              <w:jc w:val="both"/>
              <w:rPr>
                <w:rFonts w:ascii="Arial" w:hAnsi="Arial" w:cs="Arial"/>
                <w:sz w:val="22"/>
                <w:szCs w:val="22"/>
                <w:lang w:val="pt-BR"/>
              </w:rPr>
            </w:pPr>
            <w:r w:rsidRPr="00DA1F68">
              <w:rPr>
                <w:rFonts w:ascii="Arial" w:hAnsi="Arial" w:cs="Arial"/>
                <w:sz w:val="22"/>
                <w:szCs w:val="22"/>
                <w:lang w:val="en-US"/>
              </w:rPr>
              <w:t xml:space="preserve">Mannheim, Karl. (1976), </w:t>
            </w:r>
            <w:r w:rsidRPr="00DA1F68">
              <w:rPr>
                <w:rFonts w:ascii="Arial" w:hAnsi="Arial" w:cs="Arial"/>
                <w:i/>
                <w:sz w:val="22"/>
                <w:szCs w:val="22"/>
                <w:lang w:val="en-US"/>
              </w:rPr>
              <w:t>Ideologia e utopia</w:t>
            </w:r>
            <w:r w:rsidRPr="00DA1F68">
              <w:rPr>
                <w:rFonts w:ascii="Arial" w:hAnsi="Arial" w:cs="Arial"/>
                <w:sz w:val="22"/>
                <w:szCs w:val="22"/>
                <w:lang w:val="en-US"/>
              </w:rPr>
              <w:t xml:space="preserve">. </w:t>
            </w:r>
            <w:r w:rsidRPr="00DA1F68">
              <w:rPr>
                <w:rFonts w:ascii="Arial" w:hAnsi="Arial" w:cs="Arial"/>
                <w:sz w:val="22"/>
                <w:szCs w:val="22"/>
                <w:lang w:val="pt-BR"/>
              </w:rPr>
              <w:t>Rio de Janeiro: Zahar.</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rPr>
            </w:pPr>
            <w:r w:rsidRPr="00DA1F68">
              <w:rPr>
                <w:rFonts w:ascii="Arial" w:hAnsi="Arial" w:cs="Arial"/>
                <w:lang w:val="pt-BR"/>
              </w:rPr>
              <w:t xml:space="preserve">Marx, Karl. </w:t>
            </w:r>
            <w:r w:rsidRPr="00DA1F68">
              <w:rPr>
                <w:rFonts w:ascii="Arial" w:hAnsi="Arial" w:cs="Arial"/>
              </w:rPr>
              <w:t xml:space="preserve">(1945), </w:t>
            </w:r>
            <w:r w:rsidRPr="00DA1F68">
              <w:rPr>
                <w:rFonts w:ascii="Arial" w:hAnsi="Arial" w:cs="Arial"/>
                <w:i/>
              </w:rPr>
              <w:t>Crítica de la Economía Política</w:t>
            </w:r>
            <w:r w:rsidRPr="00DA1F68">
              <w:rPr>
                <w:rFonts w:ascii="Arial" w:hAnsi="Arial" w:cs="Arial"/>
              </w:rPr>
              <w:t>. Buenos Aires: Futuro.</w:t>
            </w:r>
          </w:p>
          <w:p w:rsidR="003F3239" w:rsidRPr="00DA1F68" w:rsidRDefault="003F3239" w:rsidP="003F3239">
            <w:pPr>
              <w:tabs>
                <w:tab w:val="left" w:pos="0"/>
              </w:tabs>
              <w:jc w:val="both"/>
              <w:rPr>
                <w:rFonts w:ascii="Arial" w:hAnsi="Arial" w:cs="Arial"/>
              </w:rPr>
            </w:pPr>
          </w:p>
          <w:p w:rsidR="003F3239" w:rsidRPr="00DA1F68" w:rsidRDefault="003F3239" w:rsidP="003F3239">
            <w:pPr>
              <w:tabs>
                <w:tab w:val="left" w:pos="0"/>
              </w:tabs>
              <w:jc w:val="both"/>
              <w:rPr>
                <w:rFonts w:ascii="Arial" w:hAnsi="Arial" w:cs="Arial"/>
              </w:rPr>
            </w:pPr>
            <w:r w:rsidRPr="00DA1F68">
              <w:rPr>
                <w:rFonts w:ascii="Arial" w:hAnsi="Arial" w:cs="Arial"/>
              </w:rPr>
              <w:t xml:space="preserve">Marx, Karl. (1946), </w:t>
            </w:r>
            <w:r w:rsidRPr="00DA1F68">
              <w:rPr>
                <w:rFonts w:ascii="Arial" w:hAnsi="Arial" w:cs="Arial"/>
                <w:i/>
              </w:rPr>
              <w:t>El Capital,</w:t>
            </w:r>
            <w:r w:rsidRPr="00DA1F68">
              <w:rPr>
                <w:rFonts w:ascii="Arial" w:hAnsi="Arial" w:cs="Arial"/>
              </w:rPr>
              <w:t xml:space="preserve"> tomo III. México: Fondo de Cultura Económica.</w:t>
            </w:r>
          </w:p>
          <w:p w:rsidR="003F3239" w:rsidRPr="00DA1F68" w:rsidRDefault="003F3239" w:rsidP="003F3239">
            <w:pPr>
              <w:jc w:val="both"/>
              <w:rPr>
                <w:rFonts w:ascii="Arial" w:hAnsi="Arial" w:cs="Arial"/>
              </w:rPr>
            </w:pPr>
          </w:p>
          <w:p w:rsidR="003F3239" w:rsidRPr="00DA1F68" w:rsidRDefault="003F3239" w:rsidP="003F3239">
            <w:pPr>
              <w:jc w:val="both"/>
              <w:rPr>
                <w:rFonts w:ascii="Arial" w:hAnsi="Arial" w:cs="Arial"/>
              </w:rPr>
            </w:pPr>
            <w:r w:rsidRPr="00DA1F68">
              <w:rPr>
                <w:rFonts w:ascii="Arial" w:hAnsi="Arial" w:cs="Arial"/>
              </w:rPr>
              <w:t xml:space="preserve">Ministerio de Justicia. Policía Nacional, DIJIN, Observatorio del Delito. Peñas Felizzola, Aura H. Benavides, Farid. Franco, Adolfo. Fernández, Mario. Torres, María Paula. Gallego, Diego Fernando. (2012). </w:t>
            </w:r>
            <w:r w:rsidRPr="00DA1F68">
              <w:rPr>
                <w:rFonts w:ascii="Arial" w:hAnsi="Arial" w:cs="Arial"/>
                <w:i/>
              </w:rPr>
              <w:t>Guía técnica de los 10 delitos de mayor impacto para la seguridad y la convivencia</w:t>
            </w:r>
            <w:r w:rsidRPr="00DA1F68">
              <w:rPr>
                <w:rFonts w:ascii="Arial" w:hAnsi="Arial" w:cs="Arial"/>
              </w:rPr>
              <w:t>. Informe final del Proyecto de inversión del Departamento Nacional de Planeación y la Dirección de Política Criminal y Penitenciaria- MinJusticia.</w:t>
            </w:r>
          </w:p>
          <w:p w:rsidR="003F3239" w:rsidRPr="00DA1F68" w:rsidRDefault="003F3239" w:rsidP="003F3239">
            <w:pPr>
              <w:jc w:val="both"/>
              <w:rPr>
                <w:rFonts w:ascii="Arial" w:hAnsi="Arial" w:cs="Arial"/>
              </w:rPr>
            </w:pPr>
            <w:r w:rsidRPr="00DA1F68">
              <w:rPr>
                <w:rFonts w:ascii="Arial" w:hAnsi="Arial" w:cs="Arial"/>
              </w:rPr>
              <w:lastRenderedPageBreak/>
              <w:t xml:space="preserve">Peñas Felizzola, Aura Helena. (2006), </w:t>
            </w:r>
            <w:r w:rsidRPr="00DA1F68">
              <w:rPr>
                <w:rFonts w:ascii="Arial" w:hAnsi="Arial" w:cs="Arial"/>
                <w:i/>
              </w:rPr>
              <w:t>Racionalización formal y moralidad religiosa del derecho penal en la Nueva Granada: utilitarismo y tradicionalismo en el código penal neogranadino de 1837.</w:t>
            </w:r>
            <w:r w:rsidRPr="00DA1F68">
              <w:rPr>
                <w:rFonts w:ascii="Arial" w:hAnsi="Arial" w:cs="Arial"/>
              </w:rPr>
              <w:t xml:space="preserve"> Bogotá: Doctrina y Ley.</w:t>
            </w:r>
          </w:p>
          <w:p w:rsidR="003F3239" w:rsidRPr="00DA1F68" w:rsidRDefault="003F3239" w:rsidP="003F3239">
            <w:pPr>
              <w:jc w:val="both"/>
              <w:rPr>
                <w:rFonts w:ascii="Arial" w:hAnsi="Arial" w:cs="Arial"/>
              </w:rPr>
            </w:pPr>
          </w:p>
          <w:p w:rsidR="003F3239" w:rsidRPr="00DA1F68" w:rsidRDefault="003F3239" w:rsidP="003F3239">
            <w:pPr>
              <w:jc w:val="both"/>
              <w:rPr>
                <w:rFonts w:ascii="Arial" w:hAnsi="Arial" w:cs="Arial"/>
                <w:lang w:val="pt-BR"/>
              </w:rPr>
            </w:pPr>
            <w:r w:rsidRPr="00DA1F68">
              <w:rPr>
                <w:rFonts w:ascii="Arial" w:hAnsi="Arial" w:cs="Arial"/>
              </w:rPr>
              <w:t xml:space="preserve">Peñas Felizzola, Aura H. </w:t>
            </w:r>
            <w:r w:rsidRPr="00DA1F68">
              <w:rPr>
                <w:rFonts w:ascii="Arial" w:hAnsi="Arial" w:cs="Arial"/>
                <w:i/>
              </w:rPr>
              <w:t>Las ideas de orden social en Brasil y Colombia: un análisis de la casuística penal.</w:t>
            </w:r>
            <w:r w:rsidRPr="00DA1F68">
              <w:rPr>
                <w:rFonts w:ascii="Arial" w:hAnsi="Arial" w:cs="Arial"/>
              </w:rPr>
              <w:t xml:space="preserve"> </w:t>
            </w:r>
            <w:r w:rsidRPr="00DA1F68">
              <w:rPr>
                <w:rFonts w:ascii="Arial" w:hAnsi="Arial" w:cs="Arial"/>
                <w:lang w:val="pt-BR"/>
              </w:rPr>
              <w:t>Tesis de Doctorado en Sociología. Instituto Universitário de Pesquisas do Rio de Janeiro, 2010.</w:t>
            </w:r>
          </w:p>
          <w:p w:rsidR="003F3239" w:rsidRPr="00DA1F68" w:rsidRDefault="003F3239" w:rsidP="003F3239">
            <w:pPr>
              <w:jc w:val="both"/>
              <w:rPr>
                <w:rFonts w:ascii="Arial" w:hAnsi="Arial" w:cs="Arial"/>
              </w:rPr>
            </w:pPr>
            <w:r w:rsidRPr="00DA1F68">
              <w:rPr>
                <w:rFonts w:ascii="Arial" w:hAnsi="Arial" w:cs="Arial"/>
              </w:rPr>
              <w:t xml:space="preserve">Peñas Felizzola, Aura Helena. (2018). El perfil de los redactores de códigos penales en perspectiva comparada (Brasil-Colombia): sobre cómo las ideologías políticas se plasman en el derecho penal. En: Escalante, E. (editor). </w:t>
            </w:r>
            <w:r w:rsidRPr="00DA1F68">
              <w:rPr>
                <w:rFonts w:ascii="Arial" w:hAnsi="Arial" w:cs="Arial"/>
                <w:i/>
              </w:rPr>
              <w:t xml:space="preserve">Criminología Mediática. </w:t>
            </w:r>
            <w:r w:rsidRPr="00DA1F68">
              <w:rPr>
                <w:rFonts w:ascii="Arial" w:hAnsi="Arial" w:cs="Arial"/>
              </w:rPr>
              <w:t>Bogotá: Universidad Nacional de Colombia- Ibáñez editores.</w:t>
            </w:r>
          </w:p>
          <w:p w:rsidR="003F3239" w:rsidRPr="00DA1F68" w:rsidRDefault="003F3239" w:rsidP="003F3239">
            <w:pPr>
              <w:jc w:val="both"/>
              <w:rPr>
                <w:rFonts w:ascii="Arial" w:hAnsi="Arial" w:cs="Arial"/>
              </w:rPr>
            </w:pPr>
          </w:p>
          <w:p w:rsidR="003F3239" w:rsidRPr="00DA1F68" w:rsidRDefault="003F3239" w:rsidP="003F3239">
            <w:pPr>
              <w:jc w:val="both"/>
              <w:rPr>
                <w:rFonts w:ascii="Arial" w:hAnsi="Arial" w:cs="Arial"/>
              </w:rPr>
            </w:pPr>
            <w:r w:rsidRPr="00DA1F68">
              <w:rPr>
                <w:rFonts w:ascii="Arial" w:hAnsi="Arial" w:cs="Arial"/>
              </w:rPr>
              <w:t xml:space="preserve">Silva Sánchez, Jesús. (2001). </w:t>
            </w:r>
            <w:r w:rsidRPr="00DA1F68">
              <w:rPr>
                <w:rFonts w:ascii="Arial" w:hAnsi="Arial" w:cs="Arial"/>
                <w:i/>
              </w:rPr>
              <w:t>La expansión del Derecho penal: Aspectos de la política criminal en las sociedades postindustriales</w:t>
            </w:r>
            <w:r w:rsidRPr="00DA1F68">
              <w:rPr>
                <w:rFonts w:ascii="Arial" w:hAnsi="Arial" w:cs="Arial"/>
              </w:rPr>
              <w:t>. Madrid: Civitas.</w:t>
            </w:r>
          </w:p>
          <w:p w:rsidR="003F3239" w:rsidRPr="00DA1F68" w:rsidRDefault="003F3239" w:rsidP="003F3239">
            <w:pPr>
              <w:jc w:val="both"/>
              <w:rPr>
                <w:rFonts w:ascii="Arial" w:hAnsi="Arial" w:cs="Arial"/>
                <w:lang w:val="en-US"/>
              </w:rPr>
            </w:pPr>
            <w:r w:rsidRPr="00DA1F68">
              <w:rPr>
                <w:rFonts w:ascii="Arial" w:hAnsi="Arial" w:cs="Arial"/>
                <w:lang w:val="en-US"/>
              </w:rPr>
              <w:t xml:space="preserve">Spitzer, Steven. Punishment and social organization: a study of Durkheim´s Theory of Penal Evolution, </w:t>
            </w:r>
            <w:r w:rsidRPr="00DA1F68">
              <w:rPr>
                <w:rFonts w:ascii="Arial" w:hAnsi="Arial" w:cs="Arial"/>
                <w:i/>
                <w:lang w:val="en-US"/>
              </w:rPr>
              <w:t>Law and Society Review</w:t>
            </w:r>
            <w:r w:rsidRPr="00DA1F68">
              <w:rPr>
                <w:rFonts w:ascii="Arial" w:hAnsi="Arial" w:cs="Arial"/>
                <w:lang w:val="en-US"/>
              </w:rPr>
              <w:t>, Vol 9, N. 4 (summer), 1975 pp. 613-638.</w:t>
            </w:r>
          </w:p>
          <w:p w:rsidR="003F3239" w:rsidRPr="00DA1F68" w:rsidRDefault="003F3239" w:rsidP="003F3239">
            <w:pPr>
              <w:jc w:val="both"/>
              <w:rPr>
                <w:rFonts w:ascii="Arial" w:hAnsi="Arial" w:cs="Arial"/>
                <w:lang w:val="en-US"/>
              </w:rPr>
            </w:pPr>
          </w:p>
          <w:p w:rsidR="003F3239" w:rsidRPr="00DA1F68" w:rsidRDefault="003F3239" w:rsidP="003F3239">
            <w:pPr>
              <w:jc w:val="both"/>
              <w:rPr>
                <w:rFonts w:ascii="Arial" w:hAnsi="Arial" w:cs="Arial"/>
                <w:lang w:val="en-US"/>
              </w:rPr>
            </w:pPr>
            <w:r w:rsidRPr="00DA1F68">
              <w:rPr>
                <w:rFonts w:ascii="Arial" w:hAnsi="Arial" w:cs="Arial"/>
                <w:lang w:val="en-US"/>
              </w:rPr>
              <w:t xml:space="preserve">Stone, Alan. The place of law in the marxian structure-superestructure archetype, </w:t>
            </w:r>
            <w:r w:rsidRPr="00DA1F68">
              <w:rPr>
                <w:rFonts w:ascii="Arial" w:hAnsi="Arial" w:cs="Arial"/>
                <w:i/>
                <w:lang w:val="en-US"/>
              </w:rPr>
              <w:t>Law and Society Review</w:t>
            </w:r>
            <w:r w:rsidRPr="00DA1F68">
              <w:rPr>
                <w:rFonts w:ascii="Arial" w:hAnsi="Arial" w:cs="Arial"/>
                <w:lang w:val="en-US"/>
              </w:rPr>
              <w:t xml:space="preserve">, Vol. 19, No. 1, 1985, pp. 39-68. </w:t>
            </w:r>
          </w:p>
          <w:p w:rsidR="003F3239" w:rsidRPr="00DA1F68" w:rsidRDefault="003F3239" w:rsidP="003F3239">
            <w:pPr>
              <w:ind w:left="6" w:firstLine="3"/>
              <w:jc w:val="both"/>
              <w:rPr>
                <w:rFonts w:ascii="Arial" w:hAnsi="Arial" w:cs="Arial"/>
                <w:lang w:val="en-US"/>
              </w:rPr>
            </w:pPr>
          </w:p>
          <w:p w:rsidR="003F3239" w:rsidRPr="00DA1F68" w:rsidRDefault="003F3239" w:rsidP="003F3239">
            <w:pPr>
              <w:ind w:left="6" w:firstLine="3"/>
              <w:jc w:val="both"/>
              <w:rPr>
                <w:rFonts w:ascii="Arial" w:hAnsi="Arial" w:cs="Arial"/>
              </w:rPr>
            </w:pPr>
            <w:r w:rsidRPr="00DA1F68">
              <w:rPr>
                <w:rFonts w:ascii="Arial" w:hAnsi="Arial" w:cs="Arial"/>
              </w:rPr>
              <w:t xml:space="preserve">Sutherland, E. (1999). El delito de cuello blanco. </w:t>
            </w:r>
            <w:r w:rsidRPr="00DA1F68">
              <w:rPr>
                <w:rFonts w:ascii="Arial" w:hAnsi="Arial" w:cs="Arial"/>
                <w:lang w:val="en-US"/>
              </w:rPr>
              <w:t xml:space="preserve">Cap. I, II, III, XIII, XIV y XV. </w:t>
            </w:r>
            <w:r w:rsidRPr="00DA1F68">
              <w:rPr>
                <w:rFonts w:ascii="Arial" w:hAnsi="Arial" w:cs="Arial"/>
              </w:rPr>
              <w:t>La Piqueta. Madrid.</w:t>
            </w:r>
          </w:p>
          <w:p w:rsidR="003F3239" w:rsidRPr="00DA1F68" w:rsidRDefault="003F3239" w:rsidP="003F3239">
            <w:pPr>
              <w:jc w:val="both"/>
              <w:rPr>
                <w:rFonts w:ascii="Arial" w:hAnsi="Arial" w:cs="Arial"/>
              </w:rPr>
            </w:pPr>
          </w:p>
          <w:p w:rsidR="003F3239" w:rsidRPr="00DA1F68" w:rsidRDefault="003F3239" w:rsidP="003F3239">
            <w:pPr>
              <w:jc w:val="both"/>
              <w:rPr>
                <w:rFonts w:ascii="Arial" w:hAnsi="Arial" w:cs="Arial"/>
              </w:rPr>
            </w:pPr>
            <w:r w:rsidRPr="00DA1F68">
              <w:rPr>
                <w:rFonts w:ascii="Arial" w:hAnsi="Arial" w:cs="Arial"/>
              </w:rPr>
              <w:t xml:space="preserve">Weber, Max. (1997), </w:t>
            </w:r>
            <w:r w:rsidRPr="00DA1F68">
              <w:rPr>
                <w:rFonts w:ascii="Arial" w:hAnsi="Arial" w:cs="Arial"/>
                <w:i/>
              </w:rPr>
              <w:t>Economía y sociedade</w:t>
            </w:r>
            <w:r w:rsidRPr="00DA1F68">
              <w:rPr>
                <w:rFonts w:ascii="Arial" w:hAnsi="Arial" w:cs="Arial"/>
              </w:rPr>
              <w:t>. México: Fondo de Cultura Econômica.</w:t>
            </w:r>
          </w:p>
          <w:p w:rsidR="003F3239" w:rsidRPr="00DA1F68" w:rsidRDefault="003F3239" w:rsidP="003F3239">
            <w:pPr>
              <w:jc w:val="both"/>
              <w:rPr>
                <w:rFonts w:ascii="Arial" w:hAnsi="Arial" w:cs="Arial"/>
                <w:lang w:val="en-US"/>
              </w:rPr>
            </w:pPr>
            <w:r w:rsidRPr="00DA1F68">
              <w:rPr>
                <w:rFonts w:ascii="Arial" w:hAnsi="Arial" w:cs="Arial"/>
                <w:lang w:val="en-US"/>
              </w:rPr>
              <w:t xml:space="preserve">Whitman, James. The Comparative Study of Criminal Punishment, </w:t>
            </w:r>
            <w:r w:rsidRPr="00DA1F68">
              <w:rPr>
                <w:rFonts w:ascii="Arial" w:hAnsi="Arial" w:cs="Arial"/>
                <w:i/>
                <w:lang w:val="en-US"/>
              </w:rPr>
              <w:t>Annual Review of Law and Social Science</w:t>
            </w:r>
            <w:r w:rsidRPr="00DA1F68">
              <w:rPr>
                <w:rFonts w:ascii="Arial" w:hAnsi="Arial" w:cs="Arial"/>
                <w:lang w:val="en-US"/>
              </w:rPr>
              <w:t>, Vol. 1, 2005, pp. 17-34.</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lang w:val="pt-BR"/>
              </w:rPr>
            </w:pPr>
            <w:r w:rsidRPr="00DA1F68">
              <w:rPr>
                <w:rFonts w:ascii="Arial" w:hAnsi="Arial" w:cs="Arial"/>
                <w:lang w:val="pt-BR"/>
              </w:rPr>
              <w:t>Zaffaroni, Eugenio R.</w:t>
            </w:r>
            <w:r w:rsidRPr="00DA1F68">
              <w:rPr>
                <w:rFonts w:ascii="Arial" w:hAnsi="Arial" w:cs="Arial"/>
                <w:i/>
                <w:lang w:val="pt-BR"/>
              </w:rPr>
              <w:t xml:space="preserve"> </w:t>
            </w:r>
            <w:r w:rsidRPr="00DA1F68">
              <w:rPr>
                <w:rFonts w:ascii="Arial" w:hAnsi="Arial" w:cs="Arial"/>
                <w:lang w:val="pt-BR"/>
              </w:rPr>
              <w:t xml:space="preserve">(1991). </w:t>
            </w:r>
            <w:r w:rsidRPr="00DA1F68">
              <w:rPr>
                <w:rFonts w:ascii="Arial" w:hAnsi="Arial" w:cs="Arial"/>
                <w:i/>
                <w:lang w:val="pt-BR"/>
              </w:rPr>
              <w:t>Em busca das penas perdidas</w:t>
            </w:r>
            <w:r w:rsidRPr="00DA1F68">
              <w:rPr>
                <w:rFonts w:ascii="Arial" w:hAnsi="Arial" w:cs="Arial"/>
                <w:lang w:val="pt-BR"/>
              </w:rPr>
              <w:t xml:space="preserve">: </w:t>
            </w:r>
            <w:r w:rsidRPr="00DA1F68">
              <w:rPr>
                <w:rFonts w:ascii="Arial" w:hAnsi="Arial" w:cs="Arial"/>
                <w:i/>
                <w:lang w:val="pt-BR"/>
              </w:rPr>
              <w:t>A perda de legitimidade do sistema penal.</w:t>
            </w:r>
            <w:r w:rsidRPr="00DA1F68">
              <w:rPr>
                <w:rFonts w:ascii="Arial" w:hAnsi="Arial" w:cs="Arial"/>
                <w:lang w:val="pt-BR"/>
              </w:rPr>
              <w:t xml:space="preserve"> Rio de Janeiro: Revan.</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lang w:val="pt-BR"/>
              </w:rPr>
            </w:pPr>
            <w:r w:rsidRPr="00DA1F68">
              <w:rPr>
                <w:rFonts w:ascii="Arial" w:hAnsi="Arial" w:cs="Arial"/>
                <w:lang w:val="pt-BR"/>
              </w:rPr>
              <w:lastRenderedPageBreak/>
              <w:t xml:space="preserve">Zaffaroni, Eugenio R. (1994), </w:t>
            </w:r>
            <w:r w:rsidRPr="00DA1F68">
              <w:rPr>
                <w:rFonts w:ascii="Arial" w:hAnsi="Arial" w:cs="Arial"/>
                <w:i/>
                <w:lang w:val="pt-BR"/>
              </w:rPr>
              <w:t>Los códigos penales ibero-americanos</w:t>
            </w:r>
            <w:r w:rsidRPr="00DA1F68">
              <w:rPr>
                <w:rFonts w:ascii="Arial" w:hAnsi="Arial" w:cs="Arial"/>
                <w:lang w:val="pt-BR"/>
              </w:rPr>
              <w:t>. Bogotá: Forum Pacis.</w:t>
            </w:r>
          </w:p>
          <w:p w:rsidR="003F3239" w:rsidRPr="00DA1F68" w:rsidRDefault="003F3239" w:rsidP="003F3239">
            <w:pPr>
              <w:jc w:val="both"/>
              <w:rPr>
                <w:rFonts w:ascii="Arial" w:hAnsi="Arial" w:cs="Arial"/>
                <w:lang w:val="pt-BR"/>
              </w:rPr>
            </w:pPr>
          </w:p>
          <w:p w:rsidR="003F3239" w:rsidRPr="00DA1F68" w:rsidRDefault="003F3239" w:rsidP="003F3239">
            <w:pPr>
              <w:jc w:val="both"/>
              <w:rPr>
                <w:rFonts w:ascii="Arial" w:hAnsi="Arial" w:cs="Arial"/>
              </w:rPr>
            </w:pPr>
            <w:r w:rsidRPr="00DA1F68">
              <w:rPr>
                <w:rFonts w:ascii="Arial" w:hAnsi="Arial" w:cs="Arial"/>
              </w:rPr>
              <w:t xml:space="preserve">Zaffaroni, Eugenio Raúl, </w:t>
            </w:r>
            <w:r w:rsidRPr="00DA1F68">
              <w:rPr>
                <w:rFonts w:ascii="Arial" w:hAnsi="Arial" w:cs="Arial"/>
                <w:i/>
              </w:rPr>
              <w:t>Criminología –Aproximación desde el Margen-</w:t>
            </w:r>
            <w:r w:rsidRPr="00DA1F68">
              <w:rPr>
                <w:rFonts w:ascii="Arial" w:hAnsi="Arial" w:cs="Arial"/>
              </w:rPr>
              <w:t>, Bogotá, Temis, 1993.</w:t>
            </w:r>
          </w:p>
          <w:p w:rsidR="003F3239" w:rsidRPr="00DA1F68" w:rsidRDefault="003F3239" w:rsidP="003F3239">
            <w:pPr>
              <w:pStyle w:val="Textonotapie"/>
              <w:jc w:val="both"/>
              <w:rPr>
                <w:rFonts w:ascii="Arial" w:hAnsi="Arial" w:cs="Arial"/>
                <w:sz w:val="22"/>
                <w:szCs w:val="22"/>
                <w:lang w:val="es-CO"/>
              </w:rPr>
            </w:pPr>
          </w:p>
          <w:p w:rsidR="003F3239" w:rsidRDefault="003F3239" w:rsidP="003F3239">
            <w:pPr>
              <w:pStyle w:val="Textonotapie"/>
              <w:jc w:val="both"/>
              <w:rPr>
                <w:rFonts w:ascii="Arial" w:hAnsi="Arial" w:cs="Arial"/>
                <w:sz w:val="22"/>
                <w:szCs w:val="22"/>
                <w:lang w:val="pt-BR"/>
              </w:rPr>
            </w:pPr>
            <w:r w:rsidRPr="00DA1F68">
              <w:rPr>
                <w:rFonts w:ascii="Arial" w:hAnsi="Arial" w:cs="Arial"/>
                <w:sz w:val="22"/>
                <w:szCs w:val="22"/>
                <w:lang w:val="es-CO"/>
              </w:rPr>
              <w:t xml:space="preserve">Zaffaroni, Eugenio, Batista, Nilo, Slokar, Alejandro y Alagia, Alejandro. </w:t>
            </w:r>
            <w:r w:rsidRPr="00DA1F68">
              <w:rPr>
                <w:rFonts w:ascii="Arial" w:hAnsi="Arial" w:cs="Arial"/>
                <w:sz w:val="22"/>
                <w:szCs w:val="22"/>
                <w:lang w:val="pt-BR"/>
              </w:rPr>
              <w:t xml:space="preserve">(2005). </w:t>
            </w:r>
            <w:r w:rsidRPr="00DA1F68">
              <w:rPr>
                <w:rFonts w:ascii="Arial" w:hAnsi="Arial" w:cs="Arial"/>
                <w:i/>
                <w:sz w:val="22"/>
                <w:szCs w:val="22"/>
                <w:lang w:val="pt-BR"/>
              </w:rPr>
              <w:t>Direito penal brasileiro</w:t>
            </w:r>
            <w:r w:rsidRPr="00DA1F68">
              <w:rPr>
                <w:rFonts w:ascii="Arial" w:hAnsi="Arial" w:cs="Arial"/>
                <w:sz w:val="22"/>
                <w:szCs w:val="22"/>
                <w:lang w:val="pt-BR"/>
              </w:rPr>
              <w:t xml:space="preserve">, Vol. 1, Teoria Geral do Direito Penal. São Paulo: Revan. </w:t>
            </w:r>
          </w:p>
          <w:p w:rsidR="003F3239" w:rsidRDefault="003F3239" w:rsidP="003F3239">
            <w:pPr>
              <w:pStyle w:val="Textonotapie"/>
              <w:jc w:val="both"/>
              <w:rPr>
                <w:rFonts w:ascii="Arial" w:hAnsi="Arial" w:cs="Arial"/>
                <w:sz w:val="22"/>
                <w:szCs w:val="22"/>
                <w:lang w:val="en-US"/>
              </w:rPr>
            </w:pPr>
          </w:p>
          <w:p w:rsidR="003F3239" w:rsidRPr="00DA1F68" w:rsidRDefault="003F3239" w:rsidP="003F3239">
            <w:pPr>
              <w:pStyle w:val="Textonotapie"/>
              <w:jc w:val="both"/>
              <w:rPr>
                <w:rFonts w:ascii="Arial" w:hAnsi="Arial" w:cs="Arial"/>
                <w:sz w:val="22"/>
                <w:szCs w:val="22"/>
                <w:lang w:val="pt-BR"/>
              </w:rPr>
            </w:pPr>
            <w:r w:rsidRPr="00DA1F68">
              <w:rPr>
                <w:rFonts w:ascii="Arial" w:hAnsi="Arial" w:cs="Arial"/>
                <w:sz w:val="22"/>
                <w:szCs w:val="22"/>
                <w:lang w:val="en-US"/>
              </w:rPr>
              <w:t xml:space="preserve">Zimring, Franklin E. (1996). Populism, Democratic Government, and the Decline of Expert Authority: Some Reflections on Three Strikes in California. En: </w:t>
            </w:r>
            <w:r w:rsidRPr="00DA1F68">
              <w:rPr>
                <w:rFonts w:ascii="Arial" w:hAnsi="Arial" w:cs="Arial"/>
                <w:i/>
                <w:sz w:val="22"/>
                <w:szCs w:val="22"/>
                <w:lang w:val="en-US"/>
              </w:rPr>
              <w:t>Berkeley Law Scholarship Repository</w:t>
            </w:r>
            <w:r w:rsidRPr="00DA1F68">
              <w:rPr>
                <w:rFonts w:ascii="Arial" w:hAnsi="Arial" w:cs="Arial"/>
                <w:sz w:val="22"/>
                <w:szCs w:val="22"/>
                <w:lang w:val="en-US"/>
              </w:rPr>
              <w:t>, 28 Pac. L.J. 243, pp. 243-256.</w:t>
            </w:r>
          </w:p>
          <w:p w:rsidR="003F3239" w:rsidRPr="00DA1F68" w:rsidRDefault="003F3239" w:rsidP="003F3239">
            <w:pPr>
              <w:jc w:val="both"/>
              <w:rPr>
                <w:rFonts w:ascii="Arial" w:hAnsi="Arial" w:cs="Arial"/>
              </w:rPr>
            </w:pPr>
          </w:p>
          <w:p w:rsidR="003F3239" w:rsidRPr="00DA1F68" w:rsidRDefault="003F3239" w:rsidP="003F3239">
            <w:pPr>
              <w:rPr>
                <w:rFonts w:ascii="Arial" w:hAnsi="Arial" w:cs="Arial"/>
              </w:rPr>
            </w:pPr>
          </w:p>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bookmarkStart w:id="0" w:name="_GoBack"/>
            <w:bookmarkEnd w:id="0"/>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0A128F" w:rsidRPr="000A128F" w:rsidTr="000A128F">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Documentos adjuntos</w:t>
            </w:r>
          </w:p>
        </w:tc>
      </w:tr>
      <w:tr w:rsidR="000A128F" w:rsidRPr="000A128F" w:rsidTr="003F3239">
        <w:trPr>
          <w:trHeight w:val="171"/>
        </w:trPr>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F6A77" w:rsidRDefault="008F6A77"/>
    <w:sectPr w:rsidR="008F6A77" w:rsidSect="000A128F">
      <w:pgSz w:w="20160" w:h="12240" w:orient="landscape" w:code="5"/>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5E6F" w:rsidRDefault="00975E6F" w:rsidP="007549D3">
      <w:pPr>
        <w:spacing w:after="0" w:line="240" w:lineRule="auto"/>
      </w:pPr>
      <w:r>
        <w:separator/>
      </w:r>
    </w:p>
  </w:endnote>
  <w:endnote w:type="continuationSeparator" w:id="0">
    <w:p w:rsidR="00975E6F" w:rsidRDefault="00975E6F" w:rsidP="007549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5E6F" w:rsidRDefault="00975E6F" w:rsidP="007549D3">
      <w:pPr>
        <w:spacing w:after="0" w:line="240" w:lineRule="auto"/>
      </w:pPr>
      <w:r>
        <w:separator/>
      </w:r>
    </w:p>
  </w:footnote>
  <w:footnote w:type="continuationSeparator" w:id="0">
    <w:p w:rsidR="00975E6F" w:rsidRDefault="00975E6F" w:rsidP="007549D3">
      <w:pPr>
        <w:spacing w:after="0" w:line="240" w:lineRule="auto"/>
      </w:pPr>
      <w:r>
        <w:continuationSeparator/>
      </w:r>
    </w:p>
  </w:footnote>
  <w:footnote w:id="1">
    <w:p w:rsidR="007549D3" w:rsidRDefault="007549D3" w:rsidP="007549D3">
      <w:pPr>
        <w:pStyle w:val="Textonotapie"/>
      </w:pPr>
      <w:r>
        <w:rPr>
          <w:rStyle w:val="Refdenotaalpie"/>
        </w:rPr>
        <w:footnoteRef/>
      </w:r>
      <w:r>
        <w:t xml:space="preserve"> Resumen del proyecto disponible en internet en: </w:t>
      </w:r>
      <w:hyperlink r:id="rId1" w:history="1">
        <w:r w:rsidRPr="00AC4C43">
          <w:rPr>
            <w:rStyle w:val="Hipervnculo"/>
          </w:rPr>
          <w:t>https://www.mpicc.de/en/forschung/forschungsarbeit/strafrecht/structures.html</w:t>
        </w:r>
      </w:hyperlink>
    </w:p>
    <w:p w:rsidR="007549D3" w:rsidRPr="00861007" w:rsidRDefault="007549D3" w:rsidP="007549D3">
      <w:pPr>
        <w:pStyle w:val="Textonotapie"/>
        <w:rPr>
          <w:lang w:val="es-CO"/>
        </w:rPr>
      </w:pPr>
    </w:p>
  </w:footnote>
  <w:footnote w:id="2">
    <w:p w:rsidR="007549D3" w:rsidRPr="00105700" w:rsidRDefault="007549D3" w:rsidP="007549D3">
      <w:pPr>
        <w:pStyle w:val="Textonotapie"/>
        <w:rPr>
          <w:rFonts w:ascii="Arial" w:hAnsi="Arial" w:cs="Arial"/>
          <w:lang w:val="es-MX"/>
        </w:rPr>
      </w:pPr>
      <w:r w:rsidRPr="00105700">
        <w:rPr>
          <w:rStyle w:val="Refdenotaalpie"/>
          <w:rFonts w:ascii="Arial" w:hAnsi="Arial" w:cs="Arial"/>
        </w:rPr>
        <w:footnoteRef/>
      </w:r>
      <w:r w:rsidRPr="00105700">
        <w:rPr>
          <w:rFonts w:ascii="Arial" w:hAnsi="Arial" w:cs="Arial"/>
        </w:rPr>
        <w:t xml:space="preserve"> </w:t>
      </w:r>
      <w:r>
        <w:rPr>
          <w:rFonts w:ascii="Arial" w:hAnsi="Arial" w:cs="Arial"/>
          <w:lang w:val="es-MX"/>
        </w:rPr>
        <w:t>Informe final disponible en internet en:</w:t>
      </w:r>
      <w:r w:rsidRPr="00105700">
        <w:rPr>
          <w:rFonts w:ascii="Arial" w:hAnsi="Arial" w:cs="Arial"/>
          <w:lang w:val="es-MX"/>
        </w:rPr>
        <w:t xml:space="preserve"> </w:t>
      </w:r>
      <w:hyperlink r:id="rId2" w:history="1">
        <w:r w:rsidRPr="00105700">
          <w:rPr>
            <w:rStyle w:val="Hipervnculo"/>
            <w:rFonts w:ascii="Arial" w:hAnsi="Arial" w:cs="Arial"/>
            <w:lang w:val="es-MX"/>
          </w:rPr>
          <w:t>http://www.justica.gov.br/seus-direitos/elaboracao-legislativa/pensando-o-direito/publicacoes/anexos/06pensando_direito_relatorio.pdf</w:t>
        </w:r>
      </w:hyperlink>
    </w:p>
    <w:p w:rsidR="007549D3" w:rsidRPr="00105700" w:rsidRDefault="007549D3" w:rsidP="007549D3">
      <w:pPr>
        <w:pStyle w:val="Textonotapie"/>
        <w:rPr>
          <w:rFonts w:ascii="Arial" w:hAnsi="Arial" w:cs="Arial"/>
          <w:lang w:val="es-MX"/>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1"/>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28F"/>
    <w:rsid w:val="000A128F"/>
    <w:rsid w:val="000F7A0D"/>
    <w:rsid w:val="003F3239"/>
    <w:rsid w:val="00605DCC"/>
    <w:rsid w:val="007549D3"/>
    <w:rsid w:val="008F6A77"/>
    <w:rsid w:val="00975E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50CB8F-95DE-4FBD-A37E-ABEF43011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A128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A128F"/>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unhideWhenUsed/>
    <w:rsid w:val="000A128F"/>
    <w:rPr>
      <w:color w:val="0000FF"/>
      <w:u w:val="single"/>
    </w:rPr>
  </w:style>
  <w:style w:type="paragraph" w:styleId="Textonotapie">
    <w:name w:val="footnote text"/>
    <w:basedOn w:val="Normal"/>
    <w:link w:val="TextonotapieCar"/>
    <w:uiPriority w:val="99"/>
    <w:unhideWhenUsed/>
    <w:rsid w:val="007549D3"/>
    <w:pPr>
      <w:spacing w:after="0" w:line="240" w:lineRule="auto"/>
    </w:pPr>
    <w:rPr>
      <w:rFonts w:ascii="Calibri" w:eastAsia="Calibri" w:hAnsi="Calibri" w:cs="Calibri"/>
      <w:sz w:val="20"/>
      <w:szCs w:val="20"/>
      <w:lang w:val="es-ES" w:eastAsia="es-CO"/>
    </w:rPr>
  </w:style>
  <w:style w:type="character" w:customStyle="1" w:styleId="TextonotapieCar">
    <w:name w:val="Texto nota pie Car"/>
    <w:basedOn w:val="Fuentedeprrafopredeter"/>
    <w:link w:val="Textonotapie"/>
    <w:uiPriority w:val="99"/>
    <w:rsid w:val="007549D3"/>
    <w:rPr>
      <w:rFonts w:ascii="Calibri" w:eastAsia="Calibri" w:hAnsi="Calibri" w:cs="Calibri"/>
      <w:sz w:val="20"/>
      <w:szCs w:val="20"/>
      <w:lang w:val="es-ES" w:eastAsia="es-CO"/>
    </w:rPr>
  </w:style>
  <w:style w:type="character" w:styleId="Refdenotaalpie">
    <w:name w:val="footnote reference"/>
    <w:basedOn w:val="Fuentedeprrafopredeter"/>
    <w:uiPriority w:val="99"/>
    <w:unhideWhenUsed/>
    <w:rsid w:val="007549D3"/>
    <w:rPr>
      <w:vertAlign w:val="superscript"/>
    </w:rPr>
  </w:style>
  <w:style w:type="paragraph" w:styleId="Sinespaciado">
    <w:name w:val="No Spacing"/>
    <w:uiPriority w:val="1"/>
    <w:qFormat/>
    <w:rsid w:val="003F3239"/>
    <w:pPr>
      <w:spacing w:after="0" w:line="240" w:lineRule="auto"/>
    </w:pPr>
    <w:rPr>
      <w:rFonts w:eastAsiaTheme="minorEastAsia"/>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2945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justicia.gov.co/Portals/0/INFO%20POLI%20CRIMINAL_FINAL23NOV.pdf" TargetMode="External"/><Relationship Id="rId3" Type="http://schemas.openxmlformats.org/officeDocument/2006/relationships/webSettings" Target="webSettings.xml"/><Relationship Id="rId7" Type="http://schemas.openxmlformats.org/officeDocument/2006/relationships/hyperlink" Target="http://www.equidadmujer.gov.co/ejes/Documents/Conpes-Social-161-de-2013-Equidad-de-Genero.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93/bjc/40.2.205"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justica.gov.br/seus-direitos/elaboracao-legislativa/pensando-o-direito/publicacoes/anexos/06pensando_direito_relatorio.pdf" TargetMode="External"/><Relationship Id="rId1" Type="http://schemas.openxmlformats.org/officeDocument/2006/relationships/hyperlink" Target="https://www.mpicc.de/en/forschung/forschungsarbeit/strafrecht/structure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2879</Words>
  <Characters>15837</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3</cp:revision>
  <dcterms:created xsi:type="dcterms:W3CDTF">2018-08-29T16:27:00Z</dcterms:created>
  <dcterms:modified xsi:type="dcterms:W3CDTF">2018-09-18T16:50:00Z</dcterms:modified>
</cp:coreProperties>
</file>