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EF18DB" w14:textId="77777777" w:rsidR="00C359DE" w:rsidRPr="00ED0267" w:rsidRDefault="00000000" w:rsidP="00ED0267">
      <w:pPr>
        <w:pStyle w:val="Ttulo1"/>
      </w:pPr>
      <w:r w:rsidRPr="00ED0267">
        <w:t>OBJETIVO.</w:t>
      </w:r>
    </w:p>
    <w:p w14:paraId="6C995FF3" w14:textId="77777777" w:rsidR="00C359DE" w:rsidRDefault="00000000">
      <w:r>
        <w:t xml:space="preserve">Establecer los lineamientos para obtener información y medir la percepción de los clientes sobre la atención, productos y servicios de </w:t>
      </w:r>
      <w:r>
        <w:rPr>
          <w:b/>
        </w:rPr>
        <w:t xml:space="preserve">INDUBRIZ S.A.S. </w:t>
      </w:r>
      <w:r>
        <w:t>y dar trámite y seguimiento sobre sus peticiones, quejas, reclamos y/o sugerencias con el fin de mejorar la calidad del servicio y de los productos ofrecidos</w:t>
      </w:r>
      <w:r>
        <w:rPr>
          <w:b/>
        </w:rPr>
        <w:t>.</w:t>
      </w:r>
    </w:p>
    <w:p w14:paraId="5302D7AD" w14:textId="77777777" w:rsidR="00C359DE" w:rsidRDefault="00C359DE" w:rsidP="00ED0267"/>
    <w:p w14:paraId="2F18DEFE" w14:textId="77777777" w:rsidR="00C359DE" w:rsidRDefault="00000000" w:rsidP="00ED0267">
      <w:pPr>
        <w:pStyle w:val="Ttulo1"/>
      </w:pPr>
      <w:r>
        <w:t>ALCANCE.</w:t>
      </w:r>
    </w:p>
    <w:p w14:paraId="682F7343" w14:textId="77777777" w:rsidR="00C359DE" w:rsidRDefault="00000000">
      <w:r>
        <w:t>Este procedimiento aplica a las actividades comprendidas desde la aplicación de mecanismos de evaluación de la satisfacción del cliente, la recepción de peticiones, quejas, reclamos y/o sugerencias, el análisis de la información, la formulación de planes de acción para la mejora de la calidad del servicio y de los productos ofrecidos hasta la respuesta o cierre de las acciones planificadas.</w:t>
      </w:r>
    </w:p>
    <w:p w14:paraId="7F65CBFE" w14:textId="77777777" w:rsidR="00C359DE" w:rsidRDefault="00C359DE"/>
    <w:p w14:paraId="7F4FDCBC" w14:textId="77777777" w:rsidR="00C359DE" w:rsidRDefault="00000000" w:rsidP="00ED0267">
      <w:pPr>
        <w:pStyle w:val="Ttulo1"/>
      </w:pPr>
      <w:r>
        <w:t>DOCUMENTOS DE REFERENCIA.</w:t>
      </w:r>
    </w:p>
    <w:p w14:paraId="35D4161A" w14:textId="77777777" w:rsidR="00C359DE" w:rsidRPr="00ED0267" w:rsidRDefault="00000000">
      <w:pPr>
        <w:ind w:left="284"/>
        <w:rPr>
          <w:bCs/>
        </w:rPr>
      </w:pPr>
      <w:r w:rsidRPr="00ED0267">
        <w:rPr>
          <w:bCs/>
        </w:rPr>
        <w:t>FR-SGI-027 ENCUESTA DE SATISFACCIÓN DEL CLIENTE (EXTERNO)</w:t>
      </w:r>
    </w:p>
    <w:p w14:paraId="2460BC63" w14:textId="77777777" w:rsidR="00C359DE" w:rsidRPr="00ED0267" w:rsidRDefault="00C359DE">
      <w:pPr>
        <w:ind w:left="284"/>
        <w:rPr>
          <w:bCs/>
        </w:rPr>
      </w:pPr>
    </w:p>
    <w:p w14:paraId="2E27ECBF" w14:textId="77777777" w:rsidR="00C359DE" w:rsidRPr="00ED0267" w:rsidRDefault="00000000">
      <w:pPr>
        <w:ind w:left="284"/>
        <w:rPr>
          <w:bCs/>
        </w:rPr>
      </w:pPr>
      <w:r w:rsidRPr="00ED0267">
        <w:rPr>
          <w:bCs/>
        </w:rPr>
        <w:t>FR-SGI-040 CONTROL DE PQRS</w:t>
      </w:r>
    </w:p>
    <w:p w14:paraId="4CB21980" w14:textId="77777777" w:rsidR="00C359DE" w:rsidRDefault="00C359DE" w:rsidP="00ED0267"/>
    <w:p w14:paraId="67893397" w14:textId="77777777" w:rsidR="00C359DE" w:rsidRDefault="00000000" w:rsidP="00ED0267">
      <w:pPr>
        <w:pStyle w:val="Ttulo1"/>
      </w:pPr>
      <w:r>
        <w:t>DEFINICIONES.</w:t>
      </w:r>
    </w:p>
    <w:p w14:paraId="158D1DDF" w14:textId="77777777" w:rsidR="00C359DE" w:rsidRDefault="00000000" w:rsidP="00ED0267">
      <w:pPr>
        <w:jc w:val="left"/>
        <w:rPr>
          <w:b/>
        </w:rPr>
      </w:pPr>
      <w:r>
        <w:rPr>
          <w:b/>
        </w:rPr>
        <w:t xml:space="preserve">Cliente: </w:t>
      </w:r>
      <w:r>
        <w:t>Persona natural o jurídica que requiere un bien o servicio.</w:t>
      </w:r>
    </w:p>
    <w:p w14:paraId="61BFAAB5" w14:textId="77777777" w:rsidR="00C359DE" w:rsidRDefault="00C359DE" w:rsidP="00ED0267">
      <w:pPr>
        <w:ind w:firstLine="360"/>
        <w:jc w:val="left"/>
        <w:rPr>
          <w:b/>
        </w:rPr>
      </w:pPr>
    </w:p>
    <w:p w14:paraId="1104D286" w14:textId="77777777" w:rsidR="00C359DE" w:rsidRDefault="00000000" w:rsidP="00ED0267">
      <w:pPr>
        <w:jc w:val="left"/>
      </w:pPr>
      <w:r>
        <w:rPr>
          <w:b/>
        </w:rPr>
        <w:t xml:space="preserve">PQRS: </w:t>
      </w:r>
      <w:r>
        <w:t>Petición, Queja, Reclamo y/o Sugerencia.</w:t>
      </w:r>
    </w:p>
    <w:p w14:paraId="010D2052" w14:textId="77777777" w:rsidR="00C359DE" w:rsidRDefault="00C359DE" w:rsidP="00ED0267">
      <w:pPr>
        <w:ind w:firstLine="360"/>
        <w:jc w:val="left"/>
        <w:rPr>
          <w:b/>
        </w:rPr>
      </w:pPr>
    </w:p>
    <w:p w14:paraId="6F9DA1C2" w14:textId="77777777" w:rsidR="00C359DE" w:rsidRDefault="00000000" w:rsidP="00ED0267">
      <w:pPr>
        <w:jc w:val="left"/>
      </w:pPr>
      <w:r>
        <w:rPr>
          <w:b/>
        </w:rPr>
        <w:t xml:space="preserve">Petición: </w:t>
      </w:r>
      <w:r>
        <w:t>Es aquel derecho que tienen toda persona para solicitar o reclamar ante INDUBRIZ S.A.S por razones de interés general o interés particular para elevar solicitudes respetuosas de información y/o consulta y para obtener pronta resolución de las mismas.</w:t>
      </w:r>
    </w:p>
    <w:p w14:paraId="0D53839F" w14:textId="77777777" w:rsidR="00C359DE" w:rsidRDefault="00C359DE" w:rsidP="00ED0267">
      <w:pPr>
        <w:ind w:firstLine="360"/>
        <w:jc w:val="left"/>
        <w:rPr>
          <w:b/>
        </w:rPr>
      </w:pPr>
    </w:p>
    <w:p w14:paraId="57ED183E" w14:textId="77777777" w:rsidR="00C359DE" w:rsidRDefault="00000000" w:rsidP="00ED0267">
      <w:pPr>
        <w:jc w:val="left"/>
      </w:pPr>
      <w:r>
        <w:rPr>
          <w:b/>
        </w:rPr>
        <w:t xml:space="preserve">Queja: </w:t>
      </w:r>
      <w:r>
        <w:t>Cualquier expresión verbal, escrita o en medio electrónico de insatisfacción con la conducta o la acción de los colaboradores de INDUBRIZ S.A.S por la deficiencia en la atención prestada y que requiere una respuesta.</w:t>
      </w:r>
    </w:p>
    <w:p w14:paraId="3DC7E62E" w14:textId="77777777" w:rsidR="00C359DE" w:rsidRDefault="00C359DE" w:rsidP="00ED0267">
      <w:pPr>
        <w:ind w:firstLine="360"/>
        <w:jc w:val="left"/>
      </w:pPr>
    </w:p>
    <w:p w14:paraId="38D63C84" w14:textId="77777777" w:rsidR="00C359DE" w:rsidRDefault="00000000" w:rsidP="00ED0267">
      <w:pPr>
        <w:jc w:val="left"/>
      </w:pPr>
      <w:r>
        <w:rPr>
          <w:b/>
        </w:rPr>
        <w:t xml:space="preserve">Reclamo: </w:t>
      </w:r>
      <w:r>
        <w:t>Manifestación verbal, escrita o en medio electrónico, de insatisfacción referida a las actividades o la prestación de un servicio o producto, es decir, es una declaración formal por el incumplimiento de un derecho que ha sido perjudicado o amenazado, ocasionado por la deficiente prestación o suspensión injustificada del servicio.</w:t>
      </w:r>
    </w:p>
    <w:p w14:paraId="0DDC6A93" w14:textId="77777777" w:rsidR="00C359DE" w:rsidRDefault="00C359DE" w:rsidP="00ED0267">
      <w:pPr>
        <w:ind w:firstLine="360"/>
        <w:jc w:val="left"/>
      </w:pPr>
    </w:p>
    <w:p w14:paraId="5BF13BFA" w14:textId="77777777" w:rsidR="00C359DE" w:rsidRDefault="00000000" w:rsidP="00ED0267">
      <w:pPr>
        <w:jc w:val="left"/>
      </w:pPr>
      <w:r>
        <w:rPr>
          <w:b/>
        </w:rPr>
        <w:t xml:space="preserve">Sugerencia: </w:t>
      </w:r>
      <w:r>
        <w:t>Cualquier expresión verbal, escrita o en medio electrónico de recomendación entregada por nuestros clientes, que tiene por objeto mejorar el servicio que se presta.</w:t>
      </w:r>
    </w:p>
    <w:p w14:paraId="5096D6F6" w14:textId="77777777" w:rsidR="00C359DE" w:rsidRDefault="00C359DE" w:rsidP="00ED0267">
      <w:pPr>
        <w:ind w:firstLine="360"/>
        <w:jc w:val="left"/>
      </w:pPr>
    </w:p>
    <w:p w14:paraId="45C17FD9" w14:textId="77777777" w:rsidR="00C359DE" w:rsidRDefault="00000000" w:rsidP="00ED0267">
      <w:pPr>
        <w:jc w:val="left"/>
      </w:pPr>
      <w:r>
        <w:rPr>
          <w:b/>
        </w:rPr>
        <w:t xml:space="preserve">Parte Interesada: </w:t>
      </w:r>
      <w:r>
        <w:t>Persona o grupo, dentro o fuera de la empresa o afectado por el desempeño del servicio de la misma.</w:t>
      </w:r>
    </w:p>
    <w:p w14:paraId="2B527190" w14:textId="77777777" w:rsidR="00C359DE" w:rsidRDefault="00C359DE" w:rsidP="00ED0267">
      <w:pPr>
        <w:ind w:firstLine="360"/>
        <w:jc w:val="left"/>
      </w:pPr>
    </w:p>
    <w:p w14:paraId="14DB70F7" w14:textId="77777777" w:rsidR="00C359DE" w:rsidRDefault="00000000" w:rsidP="00ED0267">
      <w:pPr>
        <w:jc w:val="left"/>
      </w:pPr>
      <w:r>
        <w:rPr>
          <w:b/>
        </w:rPr>
        <w:t xml:space="preserve">Requisito: </w:t>
      </w:r>
      <w:r>
        <w:t>Necesidad o expectativa establecida, generalmente implícita u obligatoria.</w:t>
      </w:r>
    </w:p>
    <w:p w14:paraId="41896A6E" w14:textId="77777777" w:rsidR="00C359DE" w:rsidRDefault="00C359DE" w:rsidP="00ED0267">
      <w:pPr>
        <w:ind w:firstLine="360"/>
        <w:jc w:val="left"/>
      </w:pPr>
    </w:p>
    <w:p w14:paraId="4FC4C85D" w14:textId="77777777" w:rsidR="00C359DE" w:rsidRDefault="00000000" w:rsidP="00ED0267">
      <w:pPr>
        <w:jc w:val="left"/>
      </w:pPr>
      <w:r>
        <w:rPr>
          <w:b/>
        </w:rPr>
        <w:t xml:space="preserve">Satisfacción del Cliente: </w:t>
      </w:r>
      <w:r>
        <w:t>Percepción del cliente sobre el grado en que se han cumplido sus requisitos.</w:t>
      </w:r>
    </w:p>
    <w:p w14:paraId="4B477FC9" w14:textId="77777777" w:rsidR="00C359DE" w:rsidRDefault="00C359DE"/>
    <w:p w14:paraId="358EAA0D" w14:textId="7110FA68" w:rsidR="00C359DE" w:rsidRPr="00ED0267" w:rsidRDefault="00000000" w:rsidP="00ED0267">
      <w:pPr>
        <w:pStyle w:val="Ttulo1"/>
      </w:pPr>
      <w:r w:rsidRPr="00ED0267">
        <w:t>POLÍTICAS</w:t>
      </w:r>
    </w:p>
    <w:p w14:paraId="3D1E7311" w14:textId="77777777" w:rsidR="00C359DE" w:rsidRDefault="00000000">
      <w:pPr>
        <w:ind w:left="0"/>
      </w:pPr>
      <w:r>
        <w:t xml:space="preserve">Cualquier colaborador de la organización puede reportar una No Conformidad real o potencial al </w:t>
      </w:r>
      <w:proofErr w:type="gramStart"/>
      <w:r>
        <w:t>Responsable</w:t>
      </w:r>
      <w:proofErr w:type="gramEnd"/>
      <w:r>
        <w:t xml:space="preserve"> del proceso. </w:t>
      </w:r>
    </w:p>
    <w:p w14:paraId="543119D5" w14:textId="77777777" w:rsidR="00C359DE" w:rsidRDefault="00C359DE">
      <w:pPr>
        <w:ind w:left="0"/>
      </w:pPr>
    </w:p>
    <w:p w14:paraId="7AB8E53B" w14:textId="77777777" w:rsidR="00C359DE" w:rsidRDefault="00000000">
      <w:pPr>
        <w:ind w:left="0"/>
      </w:pPr>
      <w:r>
        <w:lastRenderedPageBreak/>
        <w:t>En caso que se presente una PQRS interna, de comunicación o inconformidad entre procesos. El líder de proceso del área afectada debe realizar la queja formalmente.</w:t>
      </w:r>
    </w:p>
    <w:p w14:paraId="223EF502" w14:textId="77777777" w:rsidR="00C359DE" w:rsidRDefault="00C359DE">
      <w:pPr>
        <w:ind w:left="0"/>
      </w:pPr>
    </w:p>
    <w:p w14:paraId="644A08D8" w14:textId="77777777" w:rsidR="00C359DE" w:rsidRDefault="00000000">
      <w:pPr>
        <w:ind w:left="0"/>
      </w:pPr>
      <w:r>
        <w:t>La gestión comercial debe realizar el debido proceso interno para evaluar y dar respuesta de las PQRS que se presenten.</w:t>
      </w:r>
    </w:p>
    <w:p w14:paraId="07422C60" w14:textId="77777777" w:rsidR="00C359DE" w:rsidRDefault="00C359DE">
      <w:pPr>
        <w:ind w:left="0"/>
      </w:pPr>
    </w:p>
    <w:p w14:paraId="10AD138E" w14:textId="77777777" w:rsidR="00C359DE" w:rsidRDefault="00000000">
      <w:pPr>
        <w:ind w:left="0"/>
      </w:pPr>
      <w:r>
        <w:t>En caso de una PQR externa de parte de un cliente, la gestión comercial es la encargada de realizar el trámite interno para dar respuesta.</w:t>
      </w:r>
    </w:p>
    <w:p w14:paraId="5AD3D64C" w14:textId="77777777" w:rsidR="00C359DE" w:rsidRDefault="00C359DE">
      <w:pPr>
        <w:ind w:left="0"/>
      </w:pPr>
    </w:p>
    <w:p w14:paraId="0BD105CB" w14:textId="77777777" w:rsidR="00C359DE" w:rsidRDefault="00000000">
      <w:pPr>
        <w:numPr>
          <w:ilvl w:val="0"/>
          <w:numId w:val="1"/>
        </w:numPr>
      </w:pPr>
      <w:r>
        <w:t xml:space="preserve">El cliente debe presentar formalmente y por los canales dispuestos para tales efectos, la petición, queja, reclamo o sugerencia en un periodo no mayor </w:t>
      </w:r>
      <w:proofErr w:type="spellStart"/>
      <w:r>
        <w:t>ha</w:t>
      </w:r>
      <w:proofErr w:type="spellEnd"/>
      <w:r>
        <w:t xml:space="preserve"> (5) días hábiles.</w:t>
      </w:r>
    </w:p>
    <w:p w14:paraId="6CD7EA9A" w14:textId="77777777" w:rsidR="00C359DE" w:rsidRDefault="00C359DE">
      <w:pPr>
        <w:ind w:left="720"/>
      </w:pPr>
    </w:p>
    <w:p w14:paraId="324FF614" w14:textId="77777777" w:rsidR="00C359DE" w:rsidRDefault="00000000">
      <w:pPr>
        <w:numPr>
          <w:ilvl w:val="0"/>
          <w:numId w:val="1"/>
        </w:numPr>
      </w:pPr>
      <w:r>
        <w:t xml:space="preserve">Una vez recibida la PQR por el área comercial, esta debe diligenciar el registro “REPORTE DE QUEJAS”, y crear la carpeta con la plantilla de “INFORME TÉCNICO”. Relacionando en este informe lo </w:t>
      </w:r>
    </w:p>
    <w:p w14:paraId="40A038E7" w14:textId="77777777" w:rsidR="00C359DE" w:rsidRDefault="00000000">
      <w:pPr>
        <w:ind w:left="720"/>
      </w:pPr>
      <w:r>
        <w:t>sucedido y direccionar al área donde se pudo haber generado la inconformidad.</w:t>
      </w:r>
    </w:p>
    <w:p w14:paraId="5DB3D560" w14:textId="77777777" w:rsidR="00C359DE" w:rsidRDefault="00C359DE">
      <w:pPr>
        <w:ind w:left="720"/>
      </w:pPr>
    </w:p>
    <w:p w14:paraId="570DAD73" w14:textId="77777777" w:rsidR="00C359DE" w:rsidRDefault="00000000">
      <w:pPr>
        <w:numPr>
          <w:ilvl w:val="0"/>
          <w:numId w:val="1"/>
        </w:numPr>
      </w:pPr>
      <w:r>
        <w:t xml:space="preserve">La gestión comercial junto con el área de gestión integral debe realizar seguimiento al informe para así dar respuesta al cliente en un plazo no mayor </w:t>
      </w:r>
      <w:proofErr w:type="spellStart"/>
      <w:r>
        <w:t>ha</w:t>
      </w:r>
      <w:proofErr w:type="spellEnd"/>
      <w:r>
        <w:t xml:space="preserve"> (3) días hábiles. </w:t>
      </w:r>
    </w:p>
    <w:p w14:paraId="42C3EBFE" w14:textId="77777777" w:rsidR="00C359DE" w:rsidRDefault="00C359DE">
      <w:pPr>
        <w:ind w:left="720"/>
      </w:pPr>
    </w:p>
    <w:p w14:paraId="71415998" w14:textId="77777777" w:rsidR="00C359DE" w:rsidRDefault="00000000">
      <w:pPr>
        <w:numPr>
          <w:ilvl w:val="0"/>
          <w:numId w:val="1"/>
        </w:numPr>
      </w:pPr>
      <w:r>
        <w:t>La gestión donde se pudo haber generado la inconformidad ya sea Producción, Laboratorio y Calidad, Cadena de Abastecimiento o Comercial y de servicio. Debe realizar la investigación y plasmar todo en el informe técnico, dar cierre de lo ocurrido con conclusiones y planes de mejora para que no se vuelva a presentar la inconformidad. Enviar terminado el informe al comercial a cargo.</w:t>
      </w:r>
    </w:p>
    <w:p w14:paraId="731712C1" w14:textId="77777777" w:rsidR="00C359DE" w:rsidRDefault="00C359DE">
      <w:pPr>
        <w:ind w:left="720"/>
      </w:pPr>
    </w:p>
    <w:p w14:paraId="57375DBD" w14:textId="77777777" w:rsidR="00C359DE" w:rsidRDefault="00000000">
      <w:pPr>
        <w:numPr>
          <w:ilvl w:val="0"/>
          <w:numId w:val="1"/>
        </w:numPr>
      </w:pPr>
      <w:proofErr w:type="gramStart"/>
      <w:r>
        <w:t>La gestión comercial junto con el área de gestión integral deben</w:t>
      </w:r>
      <w:proofErr w:type="gramEnd"/>
      <w:r>
        <w:t xml:space="preserve"> revisar el informe terminado y dar el visto bueno para así enviarlo al cliente.</w:t>
      </w:r>
    </w:p>
    <w:p w14:paraId="0213FD98" w14:textId="77777777" w:rsidR="00C359DE" w:rsidRDefault="00C359DE">
      <w:pPr>
        <w:ind w:left="720"/>
      </w:pPr>
    </w:p>
    <w:p w14:paraId="53F47334" w14:textId="77777777" w:rsidR="00C359DE" w:rsidRDefault="00000000">
      <w:pPr>
        <w:numPr>
          <w:ilvl w:val="0"/>
          <w:numId w:val="1"/>
        </w:numPr>
      </w:pPr>
      <w:r>
        <w:t>La gestión comercial debe verificar el grado de satisfacción del cliente con la respuesta que se le dio y con las acciones de mejora implementadas.</w:t>
      </w:r>
    </w:p>
    <w:p w14:paraId="63F47A91" w14:textId="77777777" w:rsidR="00C359DE" w:rsidRDefault="00C359DE">
      <w:pPr>
        <w:ind w:left="720"/>
      </w:pPr>
    </w:p>
    <w:p w14:paraId="350EF401" w14:textId="77777777" w:rsidR="00C359DE" w:rsidRDefault="00000000">
      <w:pPr>
        <w:numPr>
          <w:ilvl w:val="0"/>
          <w:numId w:val="1"/>
        </w:numPr>
      </w:pPr>
      <w:r>
        <w:t>Los planes de acción estipulados en el informe técnico deben dar cierre y tener seguimiento para controlar y dar respuesta al cliente.</w:t>
      </w:r>
    </w:p>
    <w:p w14:paraId="19B39059" w14:textId="77777777" w:rsidR="00C359DE" w:rsidRDefault="00C359DE">
      <w:pPr>
        <w:ind w:left="720"/>
      </w:pPr>
    </w:p>
    <w:p w14:paraId="18B572D6" w14:textId="77777777" w:rsidR="00C359DE" w:rsidRDefault="00000000">
      <w:pPr>
        <w:numPr>
          <w:ilvl w:val="0"/>
          <w:numId w:val="1"/>
        </w:numPr>
      </w:pPr>
      <w:r>
        <w:t>La gestión integral debe diligenciar el registro “REPORTE DE QUEJAS”, para dar cierre y medir el proceso interno.</w:t>
      </w:r>
    </w:p>
    <w:p w14:paraId="040340AE" w14:textId="77777777" w:rsidR="00C359DE" w:rsidRDefault="00C359DE">
      <w:pPr>
        <w:ind w:left="720"/>
      </w:pPr>
    </w:p>
    <w:p w14:paraId="0BD50AE3" w14:textId="77777777" w:rsidR="00C359DE" w:rsidRDefault="00000000">
      <w:pPr>
        <w:numPr>
          <w:ilvl w:val="0"/>
          <w:numId w:val="1"/>
        </w:numPr>
      </w:pPr>
      <w:r>
        <w:t xml:space="preserve">De acuerdo al cierre mensual del indicador de “CUMPLIMIENTO ATENCIÓN PQRS”, se debe realizar planes de acción de acuerdo a los resultados.  </w:t>
      </w:r>
    </w:p>
    <w:p w14:paraId="070F585F" w14:textId="77777777" w:rsidR="00C359DE" w:rsidRDefault="00C359DE">
      <w:pPr>
        <w:ind w:left="0"/>
      </w:pPr>
    </w:p>
    <w:p w14:paraId="72BDE6F0" w14:textId="77777777" w:rsidR="00C359DE" w:rsidRDefault="00000000">
      <w:pPr>
        <w:ind w:left="0"/>
      </w:pPr>
      <w:r>
        <w:t xml:space="preserve">Es responsabilidad del Líder o </w:t>
      </w:r>
      <w:proofErr w:type="gramStart"/>
      <w:r>
        <w:t>Responsable</w:t>
      </w:r>
      <w:proofErr w:type="gramEnd"/>
      <w:r>
        <w:t xml:space="preserve"> del proceso donde se identifican las falencias, documentar el formato ¨FR-SGI-001 PLAN DE ACCIÓN¨ y velar por el cumplimiento de las actividades y el cierre de forma eficaz. </w:t>
      </w:r>
    </w:p>
    <w:p w14:paraId="7A516864" w14:textId="77777777" w:rsidR="00C359DE" w:rsidRDefault="00C359DE">
      <w:pPr>
        <w:ind w:left="0"/>
      </w:pPr>
    </w:p>
    <w:p w14:paraId="201EB10D" w14:textId="77777777" w:rsidR="00C359DE" w:rsidRDefault="00000000">
      <w:pPr>
        <w:ind w:left="0"/>
      </w:pPr>
      <w:r>
        <w:t>La elaboración de los planes de acción deberá realizarse en un transcurso no mayor a los diez (10) días hábiles para la identificación de los resultados de los indicadores.</w:t>
      </w:r>
    </w:p>
    <w:p w14:paraId="547B08C7" w14:textId="77777777" w:rsidR="00C359DE" w:rsidRDefault="00C359DE">
      <w:pPr>
        <w:ind w:left="0"/>
      </w:pPr>
    </w:p>
    <w:p w14:paraId="0F0C97F5" w14:textId="77777777" w:rsidR="00C359DE" w:rsidRDefault="00000000">
      <w:pPr>
        <w:ind w:left="0"/>
        <w:rPr>
          <w:b/>
        </w:rPr>
      </w:pPr>
      <w:r>
        <w:t xml:space="preserve">Después de la ejecución y comprobación del ¨FR-SGI-001 PLAN DE ACCIÓN¨ este se debe cerrar indicando las observaciones y resultados obtenidos. </w:t>
      </w:r>
    </w:p>
    <w:p w14:paraId="712E476D" w14:textId="77777777" w:rsidR="00C359DE" w:rsidRDefault="00C359DE">
      <w:pPr>
        <w:ind w:left="0"/>
      </w:pPr>
    </w:p>
    <w:p w14:paraId="17770DFF" w14:textId="77777777" w:rsidR="00C359DE" w:rsidRDefault="00000000">
      <w:pPr>
        <w:ind w:left="0"/>
      </w:pPr>
      <w:r>
        <w:t xml:space="preserve">El seguimiento de los planes de acción abiertos se deberá realizar cada tres meses por el Gestor de talento Humano o el Coordinador de Talento Humano y SGI. </w:t>
      </w:r>
    </w:p>
    <w:p w14:paraId="4D60AA9B" w14:textId="77777777" w:rsidR="00C359DE" w:rsidRDefault="00C359DE">
      <w:pPr>
        <w:spacing w:after="160"/>
        <w:ind w:left="0"/>
        <w:rPr>
          <w:b/>
        </w:rPr>
      </w:pPr>
    </w:p>
    <w:p w14:paraId="107DD447" w14:textId="77777777" w:rsidR="00C359DE" w:rsidRDefault="00000000">
      <w:pPr>
        <w:spacing w:after="160"/>
        <w:ind w:left="0"/>
      </w:pPr>
      <w:r>
        <w:rPr>
          <w:b/>
        </w:rPr>
        <w:t>Nuestros clientes recibirán por parte de nuestra gestión comercial respuesta y solución oportuna.</w:t>
      </w:r>
      <w:r>
        <w:t xml:space="preserve">  </w:t>
      </w:r>
    </w:p>
    <w:p w14:paraId="464564B6" w14:textId="77777777" w:rsidR="00C359DE" w:rsidRDefault="00000000">
      <w:pPr>
        <w:spacing w:after="160"/>
        <w:ind w:left="0"/>
        <w:rPr>
          <w:b/>
        </w:rPr>
      </w:pPr>
      <w:r>
        <w:t xml:space="preserve">Las PQR presentadas por los clientes, se atenderán de forma clara, completa y eficaz (calidad de la respuesta), orientándose a ofrecer una solución definitiva o de fondo a los clientes. </w:t>
      </w:r>
    </w:p>
    <w:p w14:paraId="6ECE4545" w14:textId="77777777" w:rsidR="00C359DE" w:rsidRDefault="00C359DE"/>
    <w:p w14:paraId="7A446591" w14:textId="5779B9D0" w:rsidR="00C359DE" w:rsidRDefault="00000000" w:rsidP="00ED0267">
      <w:pPr>
        <w:pStyle w:val="Ttulo1"/>
      </w:pPr>
      <w:r w:rsidRPr="00ED0267">
        <w:t>PROCEDIMIENTO.</w:t>
      </w:r>
    </w:p>
    <w:p w14:paraId="33DDD7FF" w14:textId="77777777" w:rsidR="00ED0267" w:rsidRPr="00ED0267" w:rsidRDefault="00ED0267" w:rsidP="00ED0267">
      <w:proofErr w:type="spellStart"/>
      <w:r w:rsidRPr="00ED0267">
        <w:t>as</w:t>
      </w:r>
      <w:proofErr w:type="spellEnd"/>
      <w:r w:rsidRPr="00ED0267">
        <w:t xml:space="preserve"> quejas internas las puede realizar cualquier colaborador debe diligenciar el registro “REPORTE DE QUEJAS”, de la columna A </w:t>
      </w:r>
      <w:proofErr w:type="spellStart"/>
      <w:r w:rsidRPr="00ED0267">
        <w:t>a</w:t>
      </w:r>
      <w:proofErr w:type="spellEnd"/>
      <w:r w:rsidRPr="00ED0267">
        <w:t xml:space="preserve"> la J. Que es el inicio del registro. De allí debe crear la carpeta con la plantilla de “INFORME TÉCNICO”, y plasmar la inconformidad presentada e informar a la gestión integral.</w:t>
      </w:r>
    </w:p>
    <w:p w14:paraId="60B410A6" w14:textId="77777777" w:rsidR="00ED0267" w:rsidRPr="00ED0267" w:rsidRDefault="00ED0267" w:rsidP="00ED0267">
      <w:r w:rsidRPr="00ED0267">
        <w:t>Las quejas son recibidas por la gestión comercial cuando son externas.</w:t>
      </w:r>
      <w:r w:rsidRPr="00ED0267">
        <w:rPr>
          <w:b/>
          <w:bCs/>
        </w:rPr>
        <w:t xml:space="preserve"> </w:t>
      </w:r>
      <w:r w:rsidRPr="00ED0267">
        <w:t xml:space="preserve">Ellos deben realizar el diligenciamiento del registro “REPORTE DE QUEJAS”, de la columna A </w:t>
      </w:r>
      <w:proofErr w:type="spellStart"/>
      <w:r w:rsidRPr="00ED0267">
        <w:t>a</w:t>
      </w:r>
      <w:proofErr w:type="spellEnd"/>
      <w:r w:rsidRPr="00ED0267">
        <w:t xml:space="preserve"> la J. Que es el inicio del registro. De allí debe crear la carpeta con la plantilla de “INFORME TÉCNICO”, y plasmar la inconformidad presentada.  </w:t>
      </w:r>
    </w:p>
    <w:p w14:paraId="76EFA74A" w14:textId="77777777" w:rsidR="00ED0267" w:rsidRPr="00ED0267" w:rsidRDefault="00ED0267" w:rsidP="00ED0267">
      <w:r w:rsidRPr="00ED0267">
        <w:t>Este informe técnico se debe enviar al área responsable para que éste inicie su proceso de respuesta. La estructura investigativa del informe técnico está bajo la metodología explicativa, esto quiere decir realizar trazabilidad desde inicio de proceso hasta el punto final exponiendo los hechos reales de lo sucedido. El tiempo establecido es de 3 días hábiles.</w:t>
      </w:r>
    </w:p>
    <w:p w14:paraId="62F1ACCE" w14:textId="77777777" w:rsidR="00ED0267" w:rsidRPr="00ED0267" w:rsidRDefault="00ED0267" w:rsidP="00ED0267">
      <w:r w:rsidRPr="00ED0267">
        <w:t xml:space="preserve">El líder de proceso donde se generó la PQRS, debe </w:t>
      </w:r>
      <w:proofErr w:type="spellStart"/>
      <w:r w:rsidRPr="00ED0267">
        <w:t>recepcionar</w:t>
      </w:r>
      <w:proofErr w:type="spellEnd"/>
      <w:r w:rsidRPr="00ED0267">
        <w:t xml:space="preserve"> el informe técnico e iniciar la investigación de lo sucedido y plasmar lo en este informe. Allí mismo dar las conclusiones de lo ocurrido y mencionar las acciones correctivas con fechas de cierre y seguimiento.</w:t>
      </w:r>
    </w:p>
    <w:p w14:paraId="6C7F3C77" w14:textId="77777777" w:rsidR="00ED0267" w:rsidRPr="00ED0267" w:rsidRDefault="00ED0267" w:rsidP="00ED0267">
      <w:r w:rsidRPr="00ED0267">
        <w:rPr>
          <w:b/>
          <w:bCs/>
        </w:rPr>
        <w:t>Evaluación y pasos a seguir</w:t>
      </w:r>
    </w:p>
    <w:p w14:paraId="683F9511" w14:textId="77777777" w:rsidR="00ED0267" w:rsidRPr="00ED0267" w:rsidRDefault="00ED0267" w:rsidP="00ED0267"/>
    <w:p w14:paraId="6A46A67C" w14:textId="77777777" w:rsidR="00ED0267" w:rsidRPr="00ED0267" w:rsidRDefault="00ED0267" w:rsidP="00ED0267">
      <w:r w:rsidRPr="00ED0267">
        <w:t>La Gestión Integral con el registro “REPORTE DE QUEJAS” y la información registrada allí por parte de la gestión comercial se lleva el control. </w:t>
      </w:r>
    </w:p>
    <w:p w14:paraId="336DBFCF" w14:textId="77777777" w:rsidR="00ED0267" w:rsidRPr="00ED0267" w:rsidRDefault="00ED0267" w:rsidP="00ED0267"/>
    <w:p w14:paraId="14643D19" w14:textId="77777777" w:rsidR="00ED0267" w:rsidRPr="00ED0267" w:rsidRDefault="00ED0267" w:rsidP="00ED0267">
      <w:r w:rsidRPr="00ED0267">
        <w:t>Al terminar el informe técnico el área encargada de la gestión integral junto con la gestión comercial debe revisar el informe y estipular si es efectivo. Si no lo es se debe devolver para su ajuste. En caso de que sea efectivo se da el visto bueno al comercial y este lo descargara en PDF donde lo enviará como respuesta formal al cliente.</w:t>
      </w:r>
    </w:p>
    <w:p w14:paraId="648893D7" w14:textId="77777777" w:rsidR="00ED0267" w:rsidRPr="00ED0267" w:rsidRDefault="00ED0267" w:rsidP="00ED0267">
      <w:r w:rsidRPr="00ED0267">
        <w:tab/>
      </w:r>
    </w:p>
    <w:p w14:paraId="669C7BF1" w14:textId="77777777" w:rsidR="00ED0267" w:rsidRPr="00ED0267" w:rsidRDefault="00ED0267" w:rsidP="00ED0267">
      <w:r w:rsidRPr="00ED0267">
        <w:rPr>
          <w:b/>
          <w:bCs/>
        </w:rPr>
        <w:t>Logística de distribución</w:t>
      </w:r>
    </w:p>
    <w:p w14:paraId="1C4BA86A" w14:textId="77777777" w:rsidR="00ED0267" w:rsidRPr="00ED0267" w:rsidRDefault="00ED0267" w:rsidP="00ED0267"/>
    <w:p w14:paraId="1D88B883" w14:textId="77777777" w:rsidR="00ED0267" w:rsidRPr="00ED0267" w:rsidRDefault="00ED0267" w:rsidP="00ED0267">
      <w:r w:rsidRPr="00ED0267">
        <w:t>Si la queja y/o reclamo se debe a logística de distribución (productos mal embalados o mal transportados), se informa directamente al Gerente y al dueño del proceso para que en conjunto se implementen las medidas</w:t>
      </w:r>
      <w:r w:rsidRPr="00ED0267">
        <w:rPr>
          <w:b/>
          <w:bCs/>
        </w:rPr>
        <w:t xml:space="preserve"> </w:t>
      </w:r>
      <w:r w:rsidRPr="00ED0267">
        <w:t>correctivas en el embalaje (Bodega producto terminado) o distribución con la empresa transportadora. Se elabora investigación e informe técnico para dar respuesta a la persona o empresa que presentó la queja, en la cual se señalan las medidas correctivas implementadas para que no se repita la situación, firmada por el Gerente y Gestor de la Cadena de Abastecimiento usando el informe técnico.</w:t>
      </w:r>
    </w:p>
    <w:p w14:paraId="211B3071" w14:textId="77777777" w:rsidR="00ED0267" w:rsidRPr="00ED0267" w:rsidRDefault="00ED0267" w:rsidP="00ED0267">
      <w:r w:rsidRPr="00ED0267">
        <w:rPr>
          <w:b/>
          <w:bCs/>
        </w:rPr>
        <w:t> </w:t>
      </w:r>
    </w:p>
    <w:p w14:paraId="2B1E1108" w14:textId="77777777" w:rsidR="00ED0267" w:rsidRPr="00ED0267" w:rsidRDefault="00ED0267" w:rsidP="00ED0267">
      <w:r w:rsidRPr="00ED0267">
        <w:rPr>
          <w:b/>
          <w:bCs/>
        </w:rPr>
        <w:t>Producto terminado</w:t>
      </w:r>
    </w:p>
    <w:p w14:paraId="3B80194D" w14:textId="77777777" w:rsidR="00ED0267" w:rsidRPr="00ED0267" w:rsidRDefault="00ED0267" w:rsidP="00ED0267"/>
    <w:p w14:paraId="3C577E0F" w14:textId="77777777" w:rsidR="00ED0267" w:rsidRPr="00ED0267" w:rsidRDefault="00ED0267" w:rsidP="00ED0267">
      <w:r w:rsidRPr="00ED0267">
        <w:t xml:space="preserve">El Analista de Laboratorio y Control de Calidad cita a una reunión al dueño del proceso y el supervisor de producción para evaluar la situación presentada. Si la queja es debida a una omisión en la revisión del proceso de empaque, materiales de empaque defectuosos, etc., el supervisor de producción debe indicar las posibles causas, verificar que el problema no persista en las demás unidades del lote existente en bodega de producto terminado, se debe hacer inspección 100% del producto, el analista de laboratorio y control de calidad señala las medidas correctivas a </w:t>
      </w:r>
      <w:r w:rsidRPr="00ED0267">
        <w:lastRenderedPageBreak/>
        <w:t xml:space="preserve">implementar según el procedimiento de “PR-SGI-008 ACCIONES CORRECTIVAS Y PREVENTIVAS” de </w:t>
      </w:r>
      <w:r w:rsidRPr="00ED0267">
        <w:rPr>
          <w:b/>
          <w:bCs/>
        </w:rPr>
        <w:t>INDUBRIZ S.A.S.</w:t>
      </w:r>
    </w:p>
    <w:p w14:paraId="038BCC2F" w14:textId="77777777" w:rsidR="00ED0267" w:rsidRPr="00ED0267" w:rsidRDefault="00ED0267" w:rsidP="00ED0267"/>
    <w:p w14:paraId="2524EC89" w14:textId="77777777" w:rsidR="00ED0267" w:rsidRPr="00ED0267" w:rsidRDefault="00ED0267" w:rsidP="00ED0267">
      <w:r w:rsidRPr="00ED0267">
        <w:t xml:space="preserve">Si la queja se debe a defectos en la calidad del producto como tal, se inicia la investigación revisando el </w:t>
      </w:r>
      <w:proofErr w:type="spellStart"/>
      <w:r w:rsidRPr="00ED0267">
        <w:t>batch</w:t>
      </w:r>
      <w:proofErr w:type="spellEnd"/>
      <w:r w:rsidRPr="00ED0267">
        <w:t xml:space="preserve"> </w:t>
      </w:r>
      <w:proofErr w:type="spellStart"/>
      <w:r w:rsidRPr="00ED0267">
        <w:t>record</w:t>
      </w:r>
      <w:proofErr w:type="spellEnd"/>
      <w:r w:rsidRPr="00ED0267">
        <w:t>, las muestras de retención, evaluando los posibles factores que hayan influenciado para que se presente esta situación y establecer, si el defecto se presentó por mal almacenamiento o mal manejo del producto (el que se reciba defectuoso), o si el defecto está presente en más unidades del lote o en todo el lote, en cuyo caso, se debe proceder a fabricar un nuevo lote, hasta que se haya establecido la causa del defecto; y se haya investigado el impacto en los lotes anteriormente fabricados. Todo lo investigado debe quedar registrado en el informe técnico con soporte fotográfico.</w:t>
      </w:r>
    </w:p>
    <w:p w14:paraId="149305DC" w14:textId="77777777" w:rsidR="00ED0267" w:rsidRPr="00ED0267" w:rsidRDefault="00ED0267" w:rsidP="00ED0267"/>
    <w:p w14:paraId="67548457" w14:textId="77777777" w:rsidR="00ED0267" w:rsidRPr="00ED0267" w:rsidRDefault="00ED0267" w:rsidP="00ED0267">
      <w:r w:rsidRPr="00ED0267">
        <w:t xml:space="preserve">El coordinador de talento humano y </w:t>
      </w:r>
      <w:proofErr w:type="spellStart"/>
      <w:r w:rsidRPr="00ED0267">
        <w:t>sgi</w:t>
      </w:r>
      <w:proofErr w:type="spellEnd"/>
      <w:r w:rsidRPr="00ED0267">
        <w:t xml:space="preserve"> realiza un seguimiento mensual de las Quejas y/o reclamos generados para determinar los diferentes indicadores como:</w:t>
      </w:r>
    </w:p>
    <w:p w14:paraId="3065D905" w14:textId="64F4904B" w:rsidR="00ED0267" w:rsidRPr="00ED0267" w:rsidRDefault="00ED0267" w:rsidP="00ED0267"/>
    <w:p w14:paraId="4E435F5F" w14:textId="77777777" w:rsidR="00ED0267" w:rsidRPr="00ED0267" w:rsidRDefault="00ED0267" w:rsidP="00ED0267">
      <w:pPr>
        <w:numPr>
          <w:ilvl w:val="0"/>
          <w:numId w:val="8"/>
        </w:numPr>
      </w:pPr>
      <w:r w:rsidRPr="00ED0267">
        <w:t>Quejas presentadas por calidad</w:t>
      </w:r>
    </w:p>
    <w:p w14:paraId="09AE8F17" w14:textId="77777777" w:rsidR="00ED0267" w:rsidRPr="00ED0267" w:rsidRDefault="00ED0267" w:rsidP="00ED0267">
      <w:pPr>
        <w:numPr>
          <w:ilvl w:val="0"/>
          <w:numId w:val="8"/>
        </w:numPr>
      </w:pPr>
      <w:r w:rsidRPr="00ED0267">
        <w:t>Quejas presentadas por transporte (Logística)</w:t>
      </w:r>
    </w:p>
    <w:p w14:paraId="08B41517" w14:textId="77777777" w:rsidR="00ED0267" w:rsidRPr="00ED0267" w:rsidRDefault="00ED0267" w:rsidP="00ED0267">
      <w:pPr>
        <w:numPr>
          <w:ilvl w:val="0"/>
          <w:numId w:val="8"/>
        </w:numPr>
      </w:pPr>
      <w:r w:rsidRPr="00ED0267">
        <w:t>Quejas presentadas por defectos en los materiales</w:t>
      </w:r>
    </w:p>
    <w:p w14:paraId="7F99BB83" w14:textId="77777777" w:rsidR="00ED0267" w:rsidRPr="00ED0267" w:rsidRDefault="00ED0267" w:rsidP="00ED0267">
      <w:pPr>
        <w:numPr>
          <w:ilvl w:val="0"/>
          <w:numId w:val="8"/>
        </w:numPr>
      </w:pPr>
      <w:r w:rsidRPr="00ED0267">
        <w:t>Quejas presentadas por inestabilidad del producto</w:t>
      </w:r>
    </w:p>
    <w:p w14:paraId="47BB9E94" w14:textId="77777777" w:rsidR="00ED0267" w:rsidRPr="00ED0267" w:rsidRDefault="00ED0267" w:rsidP="00ED0267"/>
    <w:p w14:paraId="03BF75B3" w14:textId="77777777" w:rsidR="00ED0267" w:rsidRPr="00ED0267" w:rsidRDefault="00ED0267" w:rsidP="00ED0267">
      <w:r w:rsidRPr="00ED0267">
        <w:t>Cabe recalcar que no se debe realizar ninguna acción sin tener el informe de la investigación.</w:t>
      </w:r>
    </w:p>
    <w:p w14:paraId="0A5EB189" w14:textId="77777777" w:rsidR="00ED0267" w:rsidRPr="00ED0267" w:rsidRDefault="00ED0267" w:rsidP="00ED0267"/>
    <w:p w14:paraId="2CF97578" w14:textId="0420C12A" w:rsidR="00C359DE" w:rsidRDefault="00000000" w:rsidP="00ED0267">
      <w:pPr>
        <w:pStyle w:val="Ttulo2"/>
        <w:numPr>
          <w:ilvl w:val="1"/>
          <w:numId w:val="7"/>
        </w:numPr>
      </w:pPr>
      <w:bookmarkStart w:id="0" w:name="_heading=h.gjdgxs" w:colFirst="0" w:colLast="0"/>
      <w:bookmarkEnd w:id="0"/>
      <w:r>
        <w:t>Atención y satisfacción del cliente</w:t>
      </w:r>
    </w:p>
    <w:p w14:paraId="791C57EE" w14:textId="77777777" w:rsidR="00C359DE" w:rsidRDefault="00000000">
      <w:r>
        <w:t>Para INDUBRIZ S.A.S. es primordial la identificación de los requisitos de las partes interesadas, en especial de sus clientes. Es por esto que, para evaluar la satisfacción con respecto a la calidad de los productos y servicios ofrecidos en la empresa, se aplica la FR-SGI-027 ENCUESTA DE SATISFACCIÓN DEL CLIENTE (EXTERNO).</w:t>
      </w:r>
    </w:p>
    <w:p w14:paraId="4F662F69" w14:textId="77777777" w:rsidR="00C359DE" w:rsidRDefault="00C359DE"/>
    <w:p w14:paraId="1E35A2FE" w14:textId="113673F5" w:rsidR="00C359DE" w:rsidRDefault="00000000">
      <w:r w:rsidRPr="00ED0267">
        <w:rPr>
          <w:color w:val="auto"/>
        </w:rPr>
        <w:t xml:space="preserve">Anualmente, el </w:t>
      </w:r>
      <w:r w:rsidR="00ED0267" w:rsidRPr="00ED0267">
        <w:rPr>
          <w:color w:val="auto"/>
        </w:rPr>
        <w:t xml:space="preserve">gestor comercial </w:t>
      </w:r>
      <w:r>
        <w:t xml:space="preserve">aplicará la </w:t>
      </w:r>
      <w:r>
        <w:rPr>
          <w:i/>
        </w:rPr>
        <w:t>Encuesta de Satisfacción del Cliente</w:t>
      </w:r>
      <w:r>
        <w:t xml:space="preserve"> a, al menos el 80% de los clientes activos, con el fin de obtener una muestra representativa de su percepción. Posteriormente, analizará los resultados obtenidos para determinar el nivel de satisfacción en relación con los distintos aspectos evaluados, estableciendo así un porcentaje de satisfacción para cada uno de ellos.</w:t>
      </w:r>
    </w:p>
    <w:p w14:paraId="0ABAA792" w14:textId="77777777" w:rsidR="00C359DE" w:rsidRDefault="00C359DE"/>
    <w:p w14:paraId="35BB2F7B" w14:textId="77777777" w:rsidR="00C359DE" w:rsidRDefault="00000000">
      <w:pPr>
        <w:rPr>
          <w:color w:val="auto"/>
        </w:rPr>
      </w:pPr>
      <w:r>
        <w:t xml:space="preserve">En caso de que los resultados no </w:t>
      </w:r>
      <w:r w:rsidRPr="00ED0267">
        <w:rPr>
          <w:color w:val="auto"/>
        </w:rPr>
        <w:t>cumplan la meta establecida para el respectivo indicador, se deberá aplicar el Procedimiento de Acciones Preventivas, Correctivas y Oportunidades de Mejora.</w:t>
      </w:r>
    </w:p>
    <w:p w14:paraId="6919584C" w14:textId="77777777" w:rsidR="00C359DE" w:rsidRDefault="00C359DE"/>
    <w:p w14:paraId="0C5D5AEB" w14:textId="519FA1DB" w:rsidR="00C359DE" w:rsidRDefault="00000000" w:rsidP="00ED0267">
      <w:pPr>
        <w:pStyle w:val="Ttulo2"/>
        <w:numPr>
          <w:ilvl w:val="1"/>
          <w:numId w:val="7"/>
        </w:numPr>
      </w:pPr>
      <w:r>
        <w:t>Peticiones, Quejas, Reclamos y Sugerencias PQRS</w:t>
      </w:r>
    </w:p>
    <w:p w14:paraId="74758DC9" w14:textId="77777777" w:rsidR="00C359DE" w:rsidRDefault="00000000">
      <w:r>
        <w:t>La empresa dispone de los siguientes canales para la recolección de las PQRS:</w:t>
      </w:r>
    </w:p>
    <w:p w14:paraId="5CCD3C7F" w14:textId="77777777" w:rsidR="00C359DE" w:rsidRDefault="00000000">
      <w:pPr>
        <w:numPr>
          <w:ilvl w:val="0"/>
          <w:numId w:val="2"/>
        </w:numPr>
      </w:pPr>
      <w:r>
        <w:t>Enlace en la página web de la empresa</w:t>
      </w:r>
    </w:p>
    <w:p w14:paraId="4896C44E" w14:textId="77777777" w:rsidR="00C359DE" w:rsidRDefault="00000000">
      <w:pPr>
        <w:numPr>
          <w:ilvl w:val="0"/>
          <w:numId w:val="2"/>
        </w:numPr>
      </w:pPr>
      <w:r>
        <w:t>Correos electrónicos</w:t>
      </w:r>
    </w:p>
    <w:p w14:paraId="5AF5BAF4" w14:textId="77777777" w:rsidR="00C359DE" w:rsidRDefault="00000000">
      <w:pPr>
        <w:numPr>
          <w:ilvl w:val="0"/>
          <w:numId w:val="2"/>
        </w:numPr>
      </w:pPr>
      <w:r>
        <w:t>Vía telefónica</w:t>
      </w:r>
    </w:p>
    <w:p w14:paraId="2011FB95" w14:textId="77777777" w:rsidR="00C359DE" w:rsidRDefault="00000000">
      <w:pPr>
        <w:numPr>
          <w:ilvl w:val="0"/>
          <w:numId w:val="2"/>
        </w:numPr>
      </w:pPr>
      <w:r>
        <w:t>Mensajes en aplicaciones como WhatsApp</w:t>
      </w:r>
    </w:p>
    <w:p w14:paraId="6CED4DE8" w14:textId="77777777" w:rsidR="00C359DE" w:rsidRDefault="00000000">
      <w:pPr>
        <w:numPr>
          <w:ilvl w:val="0"/>
          <w:numId w:val="2"/>
        </w:numPr>
      </w:pPr>
      <w:r>
        <w:t>Verbalmente al personal de la empresa</w:t>
      </w:r>
    </w:p>
    <w:p w14:paraId="66D2A1C2" w14:textId="77777777" w:rsidR="00C359DE" w:rsidRDefault="00C359DE"/>
    <w:p w14:paraId="39947FA5" w14:textId="02A2AEE7" w:rsidR="00C359DE" w:rsidRDefault="00000000" w:rsidP="00ED0267">
      <w:r w:rsidRPr="00ED0267">
        <w:rPr>
          <w:color w:val="auto"/>
        </w:rPr>
        <w:t xml:space="preserve">Una vez recibida una PQRS por cualquiera de estos medios, debe ser comunicada por correo electrónico (exceptuando las recibidas en la página web) al </w:t>
      </w:r>
      <w:r w:rsidR="00ED0267" w:rsidRPr="00ED0267">
        <w:rPr>
          <w:color w:val="auto"/>
        </w:rPr>
        <w:t>gestor comercial</w:t>
      </w:r>
      <w:r>
        <w:t xml:space="preserve"> quién las registra en el formato FR-SGI-040 CONTROL DE PQRS con la siguiente información:</w:t>
      </w:r>
    </w:p>
    <w:p w14:paraId="10F1B390"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after="160"/>
        <w:ind w:left="0"/>
        <w:jc w:val="left"/>
        <w:sectPr w:rsidR="00C359DE">
          <w:headerReference w:type="default" r:id="rId8"/>
          <w:footerReference w:type="default" r:id="rId9"/>
          <w:pgSz w:w="12240" w:h="15840"/>
          <w:pgMar w:top="1418" w:right="851" w:bottom="1418" w:left="851" w:header="340" w:footer="709" w:gutter="0"/>
          <w:pgNumType w:start="1"/>
          <w:cols w:space="720"/>
        </w:sectPr>
      </w:pPr>
      <w:r>
        <w:br w:type="page"/>
      </w:r>
    </w:p>
    <w:p w14:paraId="23824DE4" w14:textId="77777777" w:rsidR="00C359DE" w:rsidRDefault="00C359DE">
      <w:pPr>
        <w:widowControl w:val="0"/>
        <w:spacing w:line="276" w:lineRule="auto"/>
        <w:ind w:left="0"/>
        <w:jc w:val="left"/>
      </w:pPr>
    </w:p>
    <w:tbl>
      <w:tblPr>
        <w:tblStyle w:val="a1"/>
        <w:tblW w:w="12994" w:type="dxa"/>
        <w:jc w:val="center"/>
        <w:tblInd w:w="0" w:type="dxa"/>
        <w:tblLayout w:type="fixed"/>
        <w:tblLook w:val="0400" w:firstRow="0" w:lastRow="0" w:firstColumn="0" w:lastColumn="0" w:noHBand="0" w:noVBand="1"/>
      </w:tblPr>
      <w:tblGrid>
        <w:gridCol w:w="1413"/>
        <w:gridCol w:w="972"/>
        <w:gridCol w:w="821"/>
        <w:gridCol w:w="980"/>
        <w:gridCol w:w="1006"/>
        <w:gridCol w:w="943"/>
        <w:gridCol w:w="1001"/>
        <w:gridCol w:w="1203"/>
        <w:gridCol w:w="1097"/>
        <w:gridCol w:w="1058"/>
        <w:gridCol w:w="1419"/>
        <w:gridCol w:w="1081"/>
      </w:tblGrid>
      <w:tr w:rsidR="00C359DE" w14:paraId="21B6380B" w14:textId="77777777">
        <w:trPr>
          <w:trHeight w:val="1020"/>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44546A"/>
            <w:vAlign w:val="center"/>
          </w:tcPr>
          <w:p w14:paraId="58F2EE9B"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Registro No.</w:t>
            </w:r>
          </w:p>
        </w:tc>
        <w:tc>
          <w:tcPr>
            <w:tcW w:w="972" w:type="dxa"/>
            <w:tcBorders>
              <w:top w:val="single" w:sz="4" w:space="0" w:color="000000"/>
              <w:left w:val="nil"/>
              <w:bottom w:val="single" w:sz="4" w:space="0" w:color="000000"/>
              <w:right w:val="single" w:sz="4" w:space="0" w:color="000000"/>
            </w:tcBorders>
            <w:shd w:val="clear" w:color="auto" w:fill="44546A"/>
            <w:vAlign w:val="center"/>
          </w:tcPr>
          <w:p w14:paraId="7AB894C9"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Fecha de la PQRS</w:t>
            </w:r>
          </w:p>
        </w:tc>
        <w:tc>
          <w:tcPr>
            <w:tcW w:w="821" w:type="dxa"/>
            <w:tcBorders>
              <w:top w:val="single" w:sz="4" w:space="0" w:color="000000"/>
              <w:left w:val="nil"/>
              <w:bottom w:val="single" w:sz="4" w:space="0" w:color="000000"/>
              <w:right w:val="single" w:sz="4" w:space="0" w:color="000000"/>
            </w:tcBorders>
            <w:shd w:val="clear" w:color="auto" w:fill="44546A"/>
            <w:vAlign w:val="center"/>
          </w:tcPr>
          <w:p w14:paraId="1630D31D"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Tipo de PQRS</w:t>
            </w:r>
          </w:p>
        </w:tc>
        <w:tc>
          <w:tcPr>
            <w:tcW w:w="980" w:type="dxa"/>
            <w:tcBorders>
              <w:top w:val="single" w:sz="4" w:space="0" w:color="000000"/>
              <w:left w:val="nil"/>
              <w:bottom w:val="single" w:sz="4" w:space="0" w:color="000000"/>
              <w:right w:val="single" w:sz="4" w:space="0" w:color="000000"/>
            </w:tcBorders>
            <w:shd w:val="clear" w:color="auto" w:fill="44546A"/>
            <w:vAlign w:val="center"/>
          </w:tcPr>
          <w:p w14:paraId="6A1FCF2F"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Cliente</w:t>
            </w:r>
          </w:p>
        </w:tc>
        <w:tc>
          <w:tcPr>
            <w:tcW w:w="1006" w:type="dxa"/>
            <w:tcBorders>
              <w:top w:val="single" w:sz="4" w:space="0" w:color="000000"/>
              <w:left w:val="nil"/>
              <w:bottom w:val="single" w:sz="4" w:space="0" w:color="000000"/>
              <w:right w:val="single" w:sz="4" w:space="0" w:color="000000"/>
            </w:tcBorders>
            <w:shd w:val="clear" w:color="auto" w:fill="44546A"/>
            <w:vAlign w:val="center"/>
          </w:tcPr>
          <w:p w14:paraId="615C1B22"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Sucursal</w:t>
            </w:r>
          </w:p>
        </w:tc>
        <w:tc>
          <w:tcPr>
            <w:tcW w:w="943" w:type="dxa"/>
            <w:tcBorders>
              <w:top w:val="single" w:sz="4" w:space="0" w:color="000000"/>
              <w:left w:val="nil"/>
              <w:bottom w:val="single" w:sz="4" w:space="0" w:color="000000"/>
              <w:right w:val="single" w:sz="4" w:space="0" w:color="000000"/>
            </w:tcBorders>
            <w:shd w:val="clear" w:color="auto" w:fill="44546A"/>
            <w:vAlign w:val="center"/>
          </w:tcPr>
          <w:p w14:paraId="2589D81F"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Nombre de la persona que presenta la PQRS</w:t>
            </w:r>
          </w:p>
        </w:tc>
        <w:tc>
          <w:tcPr>
            <w:tcW w:w="1001" w:type="dxa"/>
            <w:tcBorders>
              <w:top w:val="single" w:sz="4" w:space="0" w:color="000000"/>
              <w:left w:val="nil"/>
              <w:bottom w:val="single" w:sz="4" w:space="0" w:color="000000"/>
              <w:right w:val="single" w:sz="4" w:space="0" w:color="000000"/>
            </w:tcBorders>
            <w:shd w:val="clear" w:color="auto" w:fill="44546A"/>
            <w:vAlign w:val="center"/>
          </w:tcPr>
          <w:p w14:paraId="3434DEE6"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Nombre y cargo de quien recibe la PQRS</w:t>
            </w:r>
          </w:p>
        </w:tc>
        <w:tc>
          <w:tcPr>
            <w:tcW w:w="1203" w:type="dxa"/>
            <w:tcBorders>
              <w:top w:val="single" w:sz="4" w:space="0" w:color="000000"/>
              <w:left w:val="nil"/>
              <w:bottom w:val="single" w:sz="4" w:space="0" w:color="000000"/>
              <w:right w:val="single" w:sz="4" w:space="0" w:color="000000"/>
            </w:tcBorders>
            <w:shd w:val="clear" w:color="auto" w:fill="44546A"/>
            <w:vAlign w:val="center"/>
          </w:tcPr>
          <w:p w14:paraId="6B57FBE3"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Descripción de la PQRS</w:t>
            </w:r>
          </w:p>
        </w:tc>
        <w:tc>
          <w:tcPr>
            <w:tcW w:w="1097" w:type="dxa"/>
            <w:tcBorders>
              <w:top w:val="single" w:sz="4" w:space="0" w:color="000000"/>
              <w:left w:val="nil"/>
              <w:bottom w:val="single" w:sz="4" w:space="0" w:color="000000"/>
              <w:right w:val="single" w:sz="4" w:space="0" w:color="000000"/>
            </w:tcBorders>
            <w:shd w:val="clear" w:color="auto" w:fill="44546A"/>
            <w:vAlign w:val="center"/>
          </w:tcPr>
          <w:p w14:paraId="2967279B"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Origen</w:t>
            </w:r>
          </w:p>
        </w:tc>
        <w:tc>
          <w:tcPr>
            <w:tcW w:w="1058" w:type="dxa"/>
            <w:tcBorders>
              <w:top w:val="single" w:sz="4" w:space="0" w:color="000000"/>
              <w:left w:val="nil"/>
              <w:bottom w:val="single" w:sz="4" w:space="0" w:color="000000"/>
              <w:right w:val="single" w:sz="4" w:space="0" w:color="000000"/>
            </w:tcBorders>
            <w:shd w:val="clear" w:color="auto" w:fill="44546A"/>
            <w:vAlign w:val="center"/>
          </w:tcPr>
          <w:p w14:paraId="75672DC3"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Causa de la PQRS</w:t>
            </w:r>
          </w:p>
        </w:tc>
        <w:tc>
          <w:tcPr>
            <w:tcW w:w="1419" w:type="dxa"/>
            <w:tcBorders>
              <w:top w:val="single" w:sz="4" w:space="0" w:color="000000"/>
              <w:left w:val="nil"/>
              <w:bottom w:val="single" w:sz="4" w:space="0" w:color="000000"/>
              <w:right w:val="single" w:sz="4" w:space="0" w:color="000000"/>
            </w:tcBorders>
            <w:shd w:val="clear" w:color="auto" w:fill="44546A"/>
            <w:vAlign w:val="center"/>
          </w:tcPr>
          <w:p w14:paraId="1253847C"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Planta</w:t>
            </w:r>
          </w:p>
        </w:tc>
        <w:tc>
          <w:tcPr>
            <w:tcW w:w="1081" w:type="dxa"/>
            <w:tcBorders>
              <w:top w:val="single" w:sz="4" w:space="0" w:color="000000"/>
              <w:left w:val="nil"/>
              <w:bottom w:val="single" w:sz="4" w:space="0" w:color="000000"/>
              <w:right w:val="single" w:sz="4" w:space="0" w:color="000000"/>
            </w:tcBorders>
            <w:shd w:val="clear" w:color="auto" w:fill="44546A"/>
            <w:vAlign w:val="center"/>
          </w:tcPr>
          <w:p w14:paraId="290E393A"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Proceso responsable</w:t>
            </w:r>
          </w:p>
        </w:tc>
      </w:tr>
      <w:tr w:rsidR="00C359DE" w14:paraId="105836E2" w14:textId="77777777">
        <w:trPr>
          <w:trHeight w:val="2041"/>
          <w:jc w:val="center"/>
        </w:trPr>
        <w:tc>
          <w:tcPr>
            <w:tcW w:w="1413" w:type="dxa"/>
            <w:tcBorders>
              <w:top w:val="nil"/>
              <w:left w:val="single" w:sz="4" w:space="0" w:color="000000"/>
              <w:bottom w:val="single" w:sz="4" w:space="0" w:color="000000"/>
              <w:right w:val="single" w:sz="4" w:space="0" w:color="000000"/>
            </w:tcBorders>
            <w:shd w:val="clear" w:color="auto" w:fill="CCD4DE"/>
            <w:vAlign w:val="center"/>
          </w:tcPr>
          <w:p w14:paraId="6690CCE5" w14:textId="4D8DEDD5"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Número consecutivo asignado a la PQRS, inicia con el año en que</w:t>
            </w:r>
            <w:r w:rsidRPr="00ED0267">
              <w:rPr>
                <w:color w:val="auto"/>
                <w:sz w:val="14"/>
                <w:szCs w:val="14"/>
              </w:rPr>
              <w:t xml:space="preserve"> se presenta la PQRS y un número consecutivo asignado por </w:t>
            </w:r>
            <w:r w:rsidR="00ED0267" w:rsidRPr="00ED0267">
              <w:rPr>
                <w:color w:val="auto"/>
                <w:sz w:val="14"/>
                <w:szCs w:val="14"/>
              </w:rPr>
              <w:t>la gestión comercial</w:t>
            </w:r>
          </w:p>
        </w:tc>
        <w:tc>
          <w:tcPr>
            <w:tcW w:w="972" w:type="dxa"/>
            <w:tcBorders>
              <w:top w:val="nil"/>
              <w:left w:val="nil"/>
              <w:bottom w:val="single" w:sz="4" w:space="0" w:color="000000"/>
              <w:right w:val="single" w:sz="4" w:space="0" w:color="000000"/>
            </w:tcBorders>
            <w:shd w:val="clear" w:color="auto" w:fill="CCD4DE"/>
            <w:vAlign w:val="center"/>
          </w:tcPr>
          <w:p w14:paraId="5C11514B"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Fecha en la que el cliente presenta la PQRS</w:t>
            </w:r>
          </w:p>
        </w:tc>
        <w:tc>
          <w:tcPr>
            <w:tcW w:w="821" w:type="dxa"/>
            <w:tcBorders>
              <w:top w:val="nil"/>
              <w:left w:val="nil"/>
              <w:bottom w:val="single" w:sz="4" w:space="0" w:color="000000"/>
              <w:right w:val="single" w:sz="4" w:space="0" w:color="000000"/>
            </w:tcBorders>
            <w:shd w:val="clear" w:color="auto" w:fill="CCD4DE"/>
            <w:vAlign w:val="center"/>
          </w:tcPr>
          <w:p w14:paraId="1F689DDD"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Petición, Queja, Reclamo, Sugerencia</w:t>
            </w:r>
          </w:p>
        </w:tc>
        <w:tc>
          <w:tcPr>
            <w:tcW w:w="980" w:type="dxa"/>
            <w:tcBorders>
              <w:top w:val="nil"/>
              <w:left w:val="nil"/>
              <w:bottom w:val="single" w:sz="4" w:space="0" w:color="000000"/>
              <w:right w:val="single" w:sz="4" w:space="0" w:color="000000"/>
            </w:tcBorders>
            <w:shd w:val="clear" w:color="auto" w:fill="CCD4DE"/>
            <w:vAlign w:val="center"/>
          </w:tcPr>
          <w:p w14:paraId="0B7CE52E"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Nombre de la empresa que presenta la PQRS</w:t>
            </w:r>
          </w:p>
        </w:tc>
        <w:tc>
          <w:tcPr>
            <w:tcW w:w="1006" w:type="dxa"/>
            <w:tcBorders>
              <w:top w:val="nil"/>
              <w:left w:val="nil"/>
              <w:bottom w:val="single" w:sz="4" w:space="0" w:color="000000"/>
              <w:right w:val="single" w:sz="4" w:space="0" w:color="000000"/>
            </w:tcBorders>
            <w:shd w:val="clear" w:color="auto" w:fill="CCD4DE"/>
            <w:vAlign w:val="center"/>
          </w:tcPr>
          <w:p w14:paraId="5170CA89"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Nombre de la sucursal donde se genera la PQRS</w:t>
            </w:r>
          </w:p>
        </w:tc>
        <w:tc>
          <w:tcPr>
            <w:tcW w:w="943" w:type="dxa"/>
            <w:tcBorders>
              <w:top w:val="nil"/>
              <w:left w:val="nil"/>
              <w:bottom w:val="single" w:sz="4" w:space="0" w:color="000000"/>
              <w:right w:val="single" w:sz="4" w:space="0" w:color="000000"/>
            </w:tcBorders>
            <w:shd w:val="clear" w:color="auto" w:fill="CCD4DE"/>
            <w:vAlign w:val="center"/>
          </w:tcPr>
          <w:p w14:paraId="6F16C5C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Nombre de la persona del cliente que presenta la PQRS</w:t>
            </w:r>
          </w:p>
        </w:tc>
        <w:tc>
          <w:tcPr>
            <w:tcW w:w="1001" w:type="dxa"/>
            <w:tcBorders>
              <w:top w:val="nil"/>
              <w:left w:val="nil"/>
              <w:bottom w:val="single" w:sz="4" w:space="0" w:color="000000"/>
              <w:right w:val="single" w:sz="4" w:space="0" w:color="000000"/>
            </w:tcBorders>
            <w:shd w:val="clear" w:color="auto" w:fill="CCD4DE"/>
            <w:vAlign w:val="center"/>
          </w:tcPr>
          <w:p w14:paraId="57AE6598"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Nombre de la persona de INDUBRIZ que recibe la PQRS</w:t>
            </w:r>
          </w:p>
        </w:tc>
        <w:tc>
          <w:tcPr>
            <w:tcW w:w="1203" w:type="dxa"/>
            <w:tcBorders>
              <w:top w:val="nil"/>
              <w:left w:val="nil"/>
              <w:bottom w:val="single" w:sz="4" w:space="0" w:color="000000"/>
              <w:right w:val="single" w:sz="4" w:space="0" w:color="000000"/>
            </w:tcBorders>
            <w:shd w:val="clear" w:color="auto" w:fill="CCD4DE"/>
            <w:vAlign w:val="center"/>
          </w:tcPr>
          <w:p w14:paraId="587C4D43"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Descripción detallada de la PQRS</w:t>
            </w:r>
          </w:p>
        </w:tc>
        <w:tc>
          <w:tcPr>
            <w:tcW w:w="1097" w:type="dxa"/>
            <w:tcBorders>
              <w:top w:val="nil"/>
              <w:left w:val="nil"/>
              <w:bottom w:val="single" w:sz="4" w:space="0" w:color="000000"/>
              <w:right w:val="single" w:sz="4" w:space="0" w:color="000000"/>
            </w:tcBorders>
            <w:shd w:val="clear" w:color="auto" w:fill="CCD4DE"/>
            <w:vAlign w:val="center"/>
          </w:tcPr>
          <w:p w14:paraId="33ACE366"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Determinar si la PQRS requiere un tratamiento interno o externo debido al origen o procedencia de la causa de la PQRS</w:t>
            </w:r>
          </w:p>
        </w:tc>
        <w:tc>
          <w:tcPr>
            <w:tcW w:w="1058" w:type="dxa"/>
            <w:tcBorders>
              <w:top w:val="nil"/>
              <w:left w:val="nil"/>
              <w:bottom w:val="single" w:sz="4" w:space="0" w:color="000000"/>
              <w:right w:val="single" w:sz="4" w:space="0" w:color="000000"/>
            </w:tcBorders>
            <w:shd w:val="clear" w:color="auto" w:fill="CCD4DE"/>
            <w:vAlign w:val="center"/>
          </w:tcPr>
          <w:p w14:paraId="0A9C94A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Seleccionar la causa probable que generó la PQRS:</w:t>
            </w:r>
            <w:r>
              <w:rPr>
                <w:sz w:val="14"/>
                <w:szCs w:val="14"/>
              </w:rPr>
              <w:br/>
              <w:t>*Producto</w:t>
            </w:r>
            <w:r>
              <w:rPr>
                <w:sz w:val="14"/>
                <w:szCs w:val="14"/>
              </w:rPr>
              <w:br/>
              <w:t>*Envase</w:t>
            </w:r>
            <w:r>
              <w:rPr>
                <w:sz w:val="14"/>
                <w:szCs w:val="14"/>
              </w:rPr>
              <w:br/>
              <w:t>*Servicio al cliente</w:t>
            </w:r>
            <w:r>
              <w:rPr>
                <w:sz w:val="14"/>
                <w:szCs w:val="14"/>
              </w:rPr>
              <w:br/>
              <w:t>*Facturación</w:t>
            </w:r>
            <w:r>
              <w:rPr>
                <w:sz w:val="14"/>
                <w:szCs w:val="14"/>
              </w:rPr>
              <w:br/>
              <w:t>*Transporte</w:t>
            </w:r>
            <w:r>
              <w:rPr>
                <w:sz w:val="14"/>
                <w:szCs w:val="14"/>
              </w:rPr>
              <w:br/>
              <w:t>*Otro</w:t>
            </w:r>
          </w:p>
        </w:tc>
        <w:tc>
          <w:tcPr>
            <w:tcW w:w="1419" w:type="dxa"/>
            <w:tcBorders>
              <w:top w:val="nil"/>
              <w:left w:val="nil"/>
              <w:bottom w:val="single" w:sz="4" w:space="0" w:color="000000"/>
              <w:right w:val="single" w:sz="4" w:space="0" w:color="000000"/>
            </w:tcBorders>
            <w:shd w:val="clear" w:color="auto" w:fill="CCD4DE"/>
            <w:vAlign w:val="center"/>
          </w:tcPr>
          <w:p w14:paraId="33FF80EB"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Seleccionar la planta responsable de la atención, producto o servicio relacionado con la PQRS:</w:t>
            </w:r>
            <w:r>
              <w:rPr>
                <w:sz w:val="14"/>
                <w:szCs w:val="14"/>
              </w:rPr>
              <w:br/>
              <w:t>*Aseo</w:t>
            </w:r>
            <w:r>
              <w:rPr>
                <w:sz w:val="14"/>
                <w:szCs w:val="14"/>
              </w:rPr>
              <w:br/>
              <w:t>*Cosméticos</w:t>
            </w:r>
            <w:r>
              <w:rPr>
                <w:sz w:val="14"/>
                <w:szCs w:val="14"/>
              </w:rPr>
              <w:br/>
              <w:t>*Administrativa</w:t>
            </w:r>
            <w:r>
              <w:rPr>
                <w:sz w:val="14"/>
                <w:szCs w:val="14"/>
              </w:rPr>
              <w:br/>
              <w:t>*Externo</w:t>
            </w:r>
          </w:p>
        </w:tc>
        <w:tc>
          <w:tcPr>
            <w:tcW w:w="1081" w:type="dxa"/>
            <w:tcBorders>
              <w:top w:val="nil"/>
              <w:left w:val="nil"/>
              <w:bottom w:val="single" w:sz="4" w:space="0" w:color="000000"/>
              <w:right w:val="single" w:sz="4" w:space="0" w:color="000000"/>
            </w:tcBorders>
            <w:shd w:val="clear" w:color="auto" w:fill="CCD4DE"/>
            <w:vAlign w:val="center"/>
          </w:tcPr>
          <w:p w14:paraId="6C017E53"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Proceso al cual corresponde solucionar la PQRS</w:t>
            </w:r>
          </w:p>
        </w:tc>
      </w:tr>
      <w:tr w:rsidR="00C359DE" w14:paraId="7E3F999B" w14:textId="77777777">
        <w:trPr>
          <w:trHeight w:val="737"/>
          <w:jc w:val="center"/>
        </w:trPr>
        <w:tc>
          <w:tcPr>
            <w:tcW w:w="1413" w:type="dxa"/>
            <w:tcBorders>
              <w:top w:val="nil"/>
              <w:left w:val="single" w:sz="4" w:space="0" w:color="000000"/>
              <w:bottom w:val="single" w:sz="4" w:space="0" w:color="000000"/>
              <w:right w:val="single" w:sz="4" w:space="0" w:color="000000"/>
            </w:tcBorders>
            <w:shd w:val="clear" w:color="auto" w:fill="auto"/>
            <w:vAlign w:val="center"/>
          </w:tcPr>
          <w:p w14:paraId="233E31FA"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2025-001</w:t>
            </w:r>
          </w:p>
        </w:tc>
        <w:tc>
          <w:tcPr>
            <w:tcW w:w="972" w:type="dxa"/>
            <w:tcBorders>
              <w:top w:val="nil"/>
              <w:left w:val="nil"/>
              <w:bottom w:val="single" w:sz="4" w:space="0" w:color="000000"/>
              <w:right w:val="single" w:sz="4" w:space="0" w:color="000000"/>
            </w:tcBorders>
            <w:shd w:val="clear" w:color="auto" w:fill="auto"/>
            <w:vAlign w:val="center"/>
          </w:tcPr>
          <w:p w14:paraId="24100E4D"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7/01/2025</w:t>
            </w:r>
          </w:p>
        </w:tc>
        <w:tc>
          <w:tcPr>
            <w:tcW w:w="821" w:type="dxa"/>
            <w:tcBorders>
              <w:top w:val="nil"/>
              <w:left w:val="nil"/>
              <w:bottom w:val="single" w:sz="4" w:space="0" w:color="000000"/>
              <w:right w:val="single" w:sz="4" w:space="0" w:color="000000"/>
            </w:tcBorders>
            <w:shd w:val="clear" w:color="auto" w:fill="auto"/>
            <w:vAlign w:val="center"/>
          </w:tcPr>
          <w:p w14:paraId="17016895"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Queja</w:t>
            </w:r>
          </w:p>
        </w:tc>
        <w:tc>
          <w:tcPr>
            <w:tcW w:w="980" w:type="dxa"/>
            <w:tcBorders>
              <w:top w:val="nil"/>
              <w:left w:val="nil"/>
              <w:bottom w:val="single" w:sz="4" w:space="0" w:color="000000"/>
              <w:right w:val="single" w:sz="4" w:space="0" w:color="000000"/>
            </w:tcBorders>
            <w:shd w:val="clear" w:color="auto" w:fill="auto"/>
            <w:vAlign w:val="center"/>
          </w:tcPr>
          <w:p w14:paraId="2C15CFFB"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proofErr w:type="spellStart"/>
            <w:r>
              <w:rPr>
                <w:sz w:val="14"/>
                <w:szCs w:val="14"/>
              </w:rPr>
              <w:t>Ladoinsa</w:t>
            </w:r>
            <w:proofErr w:type="spellEnd"/>
          </w:p>
        </w:tc>
        <w:tc>
          <w:tcPr>
            <w:tcW w:w="1006" w:type="dxa"/>
            <w:tcBorders>
              <w:top w:val="nil"/>
              <w:left w:val="nil"/>
              <w:bottom w:val="single" w:sz="4" w:space="0" w:color="000000"/>
              <w:right w:val="single" w:sz="4" w:space="0" w:color="000000"/>
            </w:tcBorders>
            <w:shd w:val="clear" w:color="auto" w:fill="auto"/>
            <w:vAlign w:val="center"/>
          </w:tcPr>
          <w:p w14:paraId="5BD89E55"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Gobernación</w:t>
            </w:r>
          </w:p>
        </w:tc>
        <w:tc>
          <w:tcPr>
            <w:tcW w:w="943" w:type="dxa"/>
            <w:tcBorders>
              <w:top w:val="nil"/>
              <w:left w:val="nil"/>
              <w:bottom w:val="single" w:sz="4" w:space="0" w:color="000000"/>
              <w:right w:val="single" w:sz="4" w:space="0" w:color="000000"/>
            </w:tcBorders>
            <w:shd w:val="clear" w:color="auto" w:fill="auto"/>
            <w:vAlign w:val="center"/>
          </w:tcPr>
          <w:p w14:paraId="203F0E0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Pepe Pérez</w:t>
            </w:r>
          </w:p>
        </w:tc>
        <w:tc>
          <w:tcPr>
            <w:tcW w:w="1001" w:type="dxa"/>
            <w:tcBorders>
              <w:top w:val="nil"/>
              <w:left w:val="nil"/>
              <w:bottom w:val="single" w:sz="4" w:space="0" w:color="000000"/>
              <w:right w:val="single" w:sz="4" w:space="0" w:color="000000"/>
            </w:tcBorders>
            <w:shd w:val="clear" w:color="auto" w:fill="auto"/>
            <w:vAlign w:val="center"/>
          </w:tcPr>
          <w:p w14:paraId="2E09F2A5"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María Molina / Vendedora</w:t>
            </w:r>
          </w:p>
        </w:tc>
        <w:tc>
          <w:tcPr>
            <w:tcW w:w="1203" w:type="dxa"/>
            <w:tcBorders>
              <w:top w:val="nil"/>
              <w:left w:val="nil"/>
              <w:bottom w:val="single" w:sz="4" w:space="0" w:color="000000"/>
              <w:right w:val="single" w:sz="4" w:space="0" w:color="000000"/>
            </w:tcBorders>
            <w:shd w:val="clear" w:color="auto" w:fill="auto"/>
            <w:vAlign w:val="center"/>
          </w:tcPr>
          <w:p w14:paraId="4EAE5E16"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Los envases de blanqueador desinfectante llegaron inflados</w:t>
            </w:r>
          </w:p>
        </w:tc>
        <w:tc>
          <w:tcPr>
            <w:tcW w:w="1097" w:type="dxa"/>
            <w:tcBorders>
              <w:top w:val="nil"/>
              <w:left w:val="nil"/>
              <w:bottom w:val="single" w:sz="4" w:space="0" w:color="000000"/>
              <w:right w:val="single" w:sz="4" w:space="0" w:color="000000"/>
            </w:tcBorders>
            <w:shd w:val="clear" w:color="auto" w:fill="auto"/>
            <w:vAlign w:val="center"/>
          </w:tcPr>
          <w:p w14:paraId="125C4A09"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Interno</w:t>
            </w:r>
          </w:p>
        </w:tc>
        <w:tc>
          <w:tcPr>
            <w:tcW w:w="1058" w:type="dxa"/>
            <w:tcBorders>
              <w:top w:val="nil"/>
              <w:left w:val="nil"/>
              <w:bottom w:val="single" w:sz="4" w:space="0" w:color="000000"/>
              <w:right w:val="single" w:sz="4" w:space="0" w:color="000000"/>
            </w:tcBorders>
            <w:shd w:val="clear" w:color="auto" w:fill="auto"/>
            <w:vAlign w:val="center"/>
          </w:tcPr>
          <w:p w14:paraId="7990FF2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Envase</w:t>
            </w:r>
          </w:p>
        </w:tc>
        <w:tc>
          <w:tcPr>
            <w:tcW w:w="1419" w:type="dxa"/>
            <w:tcBorders>
              <w:top w:val="nil"/>
              <w:left w:val="nil"/>
              <w:bottom w:val="single" w:sz="4" w:space="0" w:color="000000"/>
              <w:right w:val="single" w:sz="4" w:space="0" w:color="000000"/>
            </w:tcBorders>
            <w:shd w:val="clear" w:color="auto" w:fill="auto"/>
            <w:vAlign w:val="center"/>
          </w:tcPr>
          <w:p w14:paraId="4A996ABC"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Aseo</w:t>
            </w:r>
          </w:p>
        </w:tc>
        <w:tc>
          <w:tcPr>
            <w:tcW w:w="1081" w:type="dxa"/>
            <w:tcBorders>
              <w:top w:val="nil"/>
              <w:left w:val="nil"/>
              <w:bottom w:val="single" w:sz="4" w:space="0" w:color="000000"/>
              <w:right w:val="single" w:sz="4" w:space="0" w:color="000000"/>
            </w:tcBorders>
            <w:shd w:val="clear" w:color="auto" w:fill="auto"/>
            <w:vAlign w:val="center"/>
          </w:tcPr>
          <w:p w14:paraId="7AA099F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Calidad</w:t>
            </w:r>
          </w:p>
        </w:tc>
      </w:tr>
    </w:tbl>
    <w:p w14:paraId="68F4B954" w14:textId="77777777" w:rsidR="00C359DE" w:rsidRDefault="00C359DE">
      <w:pPr>
        <w:ind w:firstLine="360"/>
      </w:pPr>
    </w:p>
    <w:tbl>
      <w:tblPr>
        <w:tblStyle w:val="a2"/>
        <w:tblW w:w="1299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4"/>
        <w:gridCol w:w="1133"/>
        <w:gridCol w:w="1273"/>
        <w:gridCol w:w="1133"/>
        <w:gridCol w:w="852"/>
        <w:gridCol w:w="990"/>
        <w:gridCol w:w="2344"/>
        <w:gridCol w:w="1468"/>
        <w:gridCol w:w="1354"/>
        <w:gridCol w:w="1453"/>
      </w:tblGrid>
      <w:tr w:rsidR="00C359DE" w14:paraId="4A39165C" w14:textId="77777777">
        <w:trPr>
          <w:trHeight w:val="624"/>
          <w:jc w:val="center"/>
        </w:trPr>
        <w:tc>
          <w:tcPr>
            <w:tcW w:w="994" w:type="dxa"/>
            <w:shd w:val="clear" w:color="auto" w:fill="44546A"/>
            <w:vAlign w:val="center"/>
          </w:tcPr>
          <w:p w14:paraId="0F76CC9F"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Corrección inmediata</w:t>
            </w:r>
          </w:p>
        </w:tc>
        <w:tc>
          <w:tcPr>
            <w:tcW w:w="1133" w:type="dxa"/>
            <w:shd w:val="clear" w:color="auto" w:fill="44546A"/>
            <w:vAlign w:val="center"/>
          </w:tcPr>
          <w:p w14:paraId="5B94A1F6"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Requiere plan de acción</w:t>
            </w:r>
          </w:p>
        </w:tc>
        <w:tc>
          <w:tcPr>
            <w:tcW w:w="1273" w:type="dxa"/>
            <w:shd w:val="clear" w:color="auto" w:fill="44546A"/>
            <w:vAlign w:val="center"/>
          </w:tcPr>
          <w:p w14:paraId="70164F0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Descripción del plan de acción</w:t>
            </w:r>
          </w:p>
        </w:tc>
        <w:tc>
          <w:tcPr>
            <w:tcW w:w="1133" w:type="dxa"/>
            <w:shd w:val="clear" w:color="auto" w:fill="44546A"/>
            <w:vAlign w:val="center"/>
          </w:tcPr>
          <w:p w14:paraId="22E2B8A1"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Fecha de notificación al cliente</w:t>
            </w:r>
          </w:p>
        </w:tc>
        <w:tc>
          <w:tcPr>
            <w:tcW w:w="852" w:type="dxa"/>
            <w:shd w:val="clear" w:color="auto" w:fill="44546A"/>
            <w:vAlign w:val="center"/>
          </w:tcPr>
          <w:p w14:paraId="6ED1C058"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Estado de la PQRS</w:t>
            </w:r>
          </w:p>
        </w:tc>
        <w:tc>
          <w:tcPr>
            <w:tcW w:w="990" w:type="dxa"/>
            <w:shd w:val="clear" w:color="auto" w:fill="44546A"/>
            <w:vAlign w:val="center"/>
          </w:tcPr>
          <w:p w14:paraId="7FCCD139"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Soporte generado</w:t>
            </w:r>
          </w:p>
        </w:tc>
        <w:tc>
          <w:tcPr>
            <w:tcW w:w="2344" w:type="dxa"/>
            <w:shd w:val="clear" w:color="auto" w:fill="44546A"/>
            <w:vAlign w:val="center"/>
          </w:tcPr>
          <w:p w14:paraId="6F836F3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Tiempo de respuesta</w:t>
            </w:r>
          </w:p>
        </w:tc>
        <w:tc>
          <w:tcPr>
            <w:tcW w:w="1468" w:type="dxa"/>
            <w:shd w:val="clear" w:color="auto" w:fill="44546A"/>
            <w:vAlign w:val="center"/>
          </w:tcPr>
          <w:p w14:paraId="204E8665"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Indicador de cumplimiento</w:t>
            </w:r>
          </w:p>
        </w:tc>
        <w:tc>
          <w:tcPr>
            <w:tcW w:w="1354" w:type="dxa"/>
            <w:shd w:val="clear" w:color="auto" w:fill="44546A"/>
            <w:vAlign w:val="center"/>
          </w:tcPr>
          <w:p w14:paraId="7F869C71"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Fecha de seguimiento</w:t>
            </w:r>
          </w:p>
        </w:tc>
        <w:tc>
          <w:tcPr>
            <w:tcW w:w="1453" w:type="dxa"/>
            <w:shd w:val="clear" w:color="auto" w:fill="44546A"/>
            <w:vAlign w:val="center"/>
          </w:tcPr>
          <w:p w14:paraId="6A2C8D64"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color w:val="FFFFFF"/>
                <w:sz w:val="14"/>
                <w:szCs w:val="14"/>
              </w:rPr>
            </w:pPr>
            <w:r>
              <w:rPr>
                <w:b/>
                <w:color w:val="FFFFFF"/>
                <w:sz w:val="14"/>
                <w:szCs w:val="14"/>
              </w:rPr>
              <w:t>Descripción del seguimiento</w:t>
            </w:r>
          </w:p>
        </w:tc>
      </w:tr>
      <w:tr w:rsidR="00C359DE" w14:paraId="4C4DF813" w14:textId="77777777">
        <w:trPr>
          <w:trHeight w:val="2494"/>
          <w:jc w:val="center"/>
        </w:trPr>
        <w:tc>
          <w:tcPr>
            <w:tcW w:w="994" w:type="dxa"/>
            <w:shd w:val="clear" w:color="auto" w:fill="CCD4DE"/>
            <w:vAlign w:val="center"/>
          </w:tcPr>
          <w:p w14:paraId="0B1BA9E2"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Acción inicial tomada para eliminar la no conformidad</w:t>
            </w:r>
          </w:p>
        </w:tc>
        <w:tc>
          <w:tcPr>
            <w:tcW w:w="1133" w:type="dxa"/>
            <w:shd w:val="clear" w:color="auto" w:fill="CCD4DE"/>
            <w:vAlign w:val="center"/>
          </w:tcPr>
          <w:p w14:paraId="3F50EA24" w14:textId="77777777" w:rsidR="00C359DE" w:rsidRPr="00ED0267"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color w:val="auto"/>
                <w:sz w:val="14"/>
                <w:szCs w:val="14"/>
              </w:rPr>
            </w:pPr>
            <w:r w:rsidRPr="00ED0267">
              <w:rPr>
                <w:color w:val="auto"/>
                <w:sz w:val="14"/>
                <w:szCs w:val="14"/>
              </w:rPr>
              <w:t>La PQRS requiere plan de acción cuando:</w:t>
            </w:r>
            <w:r w:rsidRPr="00ED0267">
              <w:rPr>
                <w:color w:val="auto"/>
                <w:sz w:val="14"/>
                <w:szCs w:val="14"/>
              </w:rPr>
              <w:br/>
              <w:t>*Se trata de una queja o reclamo</w:t>
            </w:r>
          </w:p>
          <w:p w14:paraId="1E3332E8"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color w:val="FF0000"/>
                <w:sz w:val="14"/>
                <w:szCs w:val="14"/>
              </w:rPr>
            </w:pPr>
            <w:r w:rsidRPr="00ED0267">
              <w:rPr>
                <w:color w:val="auto"/>
                <w:sz w:val="14"/>
                <w:szCs w:val="14"/>
              </w:rPr>
              <w:t>*Corresponde a un incumplimiento de un requisito legal</w:t>
            </w:r>
            <w:r w:rsidRPr="00ED0267">
              <w:rPr>
                <w:color w:val="auto"/>
                <w:sz w:val="14"/>
                <w:szCs w:val="14"/>
              </w:rPr>
              <w:br/>
              <w:t>*Es de carácter interno</w:t>
            </w:r>
          </w:p>
        </w:tc>
        <w:tc>
          <w:tcPr>
            <w:tcW w:w="1273" w:type="dxa"/>
            <w:shd w:val="clear" w:color="auto" w:fill="CCD4DE"/>
            <w:vAlign w:val="center"/>
          </w:tcPr>
          <w:p w14:paraId="2D34C13A"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Descripción detallada de las actividades a ejecutar para corregir las causas de la PQRS presentada</w:t>
            </w:r>
          </w:p>
        </w:tc>
        <w:tc>
          <w:tcPr>
            <w:tcW w:w="1133" w:type="dxa"/>
            <w:shd w:val="clear" w:color="auto" w:fill="CCD4DE"/>
            <w:vAlign w:val="center"/>
          </w:tcPr>
          <w:p w14:paraId="5BE5AAD5"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Fecha en que se dio respuesta o información de la corrección a tomar</w:t>
            </w:r>
          </w:p>
        </w:tc>
        <w:tc>
          <w:tcPr>
            <w:tcW w:w="852" w:type="dxa"/>
            <w:shd w:val="clear" w:color="auto" w:fill="CCD4DE"/>
            <w:vAlign w:val="center"/>
          </w:tcPr>
          <w:p w14:paraId="14D78247"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Abierta o cerrada</w:t>
            </w:r>
          </w:p>
        </w:tc>
        <w:tc>
          <w:tcPr>
            <w:tcW w:w="990" w:type="dxa"/>
            <w:shd w:val="clear" w:color="auto" w:fill="CCD4DE"/>
            <w:vAlign w:val="center"/>
          </w:tcPr>
          <w:p w14:paraId="2AAD898D"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Documento, registro, evidencia de las acciones tomadas para dar cierre a la PQRS</w:t>
            </w:r>
          </w:p>
        </w:tc>
        <w:tc>
          <w:tcPr>
            <w:tcW w:w="2344" w:type="dxa"/>
            <w:shd w:val="clear" w:color="auto" w:fill="CCD4DE"/>
            <w:vAlign w:val="center"/>
          </w:tcPr>
          <w:p w14:paraId="5E82C30F" w14:textId="77777777" w:rsidR="00C359DE" w:rsidRPr="00ED0267"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color w:val="auto"/>
                <w:sz w:val="14"/>
                <w:szCs w:val="14"/>
              </w:rPr>
            </w:pPr>
            <w:r>
              <w:rPr>
                <w:sz w:val="14"/>
                <w:szCs w:val="14"/>
              </w:rPr>
              <w:t xml:space="preserve">Siempre y cuando la solución a la PQRS dependa exclusivamente de los procesos internos de la empresa, </w:t>
            </w:r>
            <w:r w:rsidRPr="00ED0267">
              <w:rPr>
                <w:color w:val="auto"/>
                <w:sz w:val="14"/>
                <w:szCs w:val="14"/>
              </w:rPr>
              <w:t>se establecen los siguientes:</w:t>
            </w:r>
            <w:r w:rsidRPr="00ED0267">
              <w:rPr>
                <w:color w:val="auto"/>
                <w:sz w:val="14"/>
                <w:szCs w:val="14"/>
              </w:rPr>
              <w:br/>
              <w:t xml:space="preserve"> Petición / Sugerencia: diez (10) días hábiles.</w:t>
            </w:r>
            <w:r w:rsidRPr="00ED0267">
              <w:rPr>
                <w:color w:val="auto"/>
                <w:sz w:val="14"/>
                <w:szCs w:val="14"/>
              </w:rPr>
              <w:br/>
              <w:t>Queja / Reclamo: quince (15) días hábiles.</w:t>
            </w:r>
          </w:p>
          <w:p w14:paraId="5981F24F"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En caso de que para el tratamiento de la PQRS se requiera la intervención de un externo, el tiempo de respuesta dependerá de los establecidos por el mismo.</w:t>
            </w:r>
          </w:p>
        </w:tc>
        <w:tc>
          <w:tcPr>
            <w:tcW w:w="1468" w:type="dxa"/>
            <w:shd w:val="clear" w:color="auto" w:fill="CCD4DE"/>
            <w:vAlign w:val="center"/>
          </w:tcPr>
          <w:p w14:paraId="6939B510"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Se establece como indicador el tiempo de respuesta a la PQRS, se asigna el 100% si la respuesta se da dentro del tiempo establecido y 0 cuando se excede dicho término</w:t>
            </w:r>
          </w:p>
        </w:tc>
        <w:tc>
          <w:tcPr>
            <w:tcW w:w="1354" w:type="dxa"/>
            <w:shd w:val="clear" w:color="auto" w:fill="CCD4DE"/>
            <w:vAlign w:val="center"/>
          </w:tcPr>
          <w:p w14:paraId="65E40405"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Pasados 30 días después de la fecha de notificación al cliente, se debe realizar un seguimiento para verificar si la causa de la PQRS se cerró efectivamente o si se continúa presentando</w:t>
            </w:r>
          </w:p>
        </w:tc>
        <w:tc>
          <w:tcPr>
            <w:tcW w:w="1453" w:type="dxa"/>
            <w:shd w:val="clear" w:color="auto" w:fill="CCD4DE"/>
            <w:vAlign w:val="center"/>
          </w:tcPr>
          <w:p w14:paraId="777B3284"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Describir detalladamente lo encontrado durante el seguimiento</w:t>
            </w:r>
          </w:p>
        </w:tc>
      </w:tr>
      <w:tr w:rsidR="00C359DE" w14:paraId="7F92181C" w14:textId="77777777">
        <w:trPr>
          <w:trHeight w:val="680"/>
          <w:jc w:val="center"/>
        </w:trPr>
        <w:tc>
          <w:tcPr>
            <w:tcW w:w="994" w:type="dxa"/>
            <w:shd w:val="clear" w:color="auto" w:fill="auto"/>
            <w:vAlign w:val="center"/>
          </w:tcPr>
          <w:p w14:paraId="6632D022"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Cambio de las unidades</w:t>
            </w:r>
          </w:p>
        </w:tc>
        <w:tc>
          <w:tcPr>
            <w:tcW w:w="1133" w:type="dxa"/>
            <w:shd w:val="clear" w:color="auto" w:fill="auto"/>
            <w:vAlign w:val="center"/>
          </w:tcPr>
          <w:p w14:paraId="4667A362"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Si</w:t>
            </w:r>
          </w:p>
        </w:tc>
        <w:tc>
          <w:tcPr>
            <w:tcW w:w="1273" w:type="dxa"/>
            <w:shd w:val="clear" w:color="auto" w:fill="auto"/>
            <w:vAlign w:val="center"/>
          </w:tcPr>
          <w:p w14:paraId="10F3CA2F"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Realizar visita técnica y revisar trazabilidad del producto</w:t>
            </w:r>
          </w:p>
        </w:tc>
        <w:tc>
          <w:tcPr>
            <w:tcW w:w="1133" w:type="dxa"/>
            <w:shd w:val="clear" w:color="auto" w:fill="auto"/>
            <w:vAlign w:val="center"/>
          </w:tcPr>
          <w:p w14:paraId="73A02FE8"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14/01/2025</w:t>
            </w:r>
          </w:p>
        </w:tc>
        <w:tc>
          <w:tcPr>
            <w:tcW w:w="852" w:type="dxa"/>
            <w:shd w:val="clear" w:color="auto" w:fill="auto"/>
            <w:vAlign w:val="center"/>
          </w:tcPr>
          <w:p w14:paraId="635AD862"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Cerrada</w:t>
            </w:r>
          </w:p>
        </w:tc>
        <w:tc>
          <w:tcPr>
            <w:tcW w:w="990" w:type="dxa"/>
            <w:shd w:val="clear" w:color="auto" w:fill="auto"/>
            <w:vAlign w:val="center"/>
          </w:tcPr>
          <w:p w14:paraId="2F2C003E"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Informe técnico</w:t>
            </w:r>
          </w:p>
        </w:tc>
        <w:tc>
          <w:tcPr>
            <w:tcW w:w="2344" w:type="dxa"/>
            <w:shd w:val="clear" w:color="auto" w:fill="auto"/>
            <w:vAlign w:val="center"/>
          </w:tcPr>
          <w:p w14:paraId="46121FCB"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7</w:t>
            </w:r>
          </w:p>
        </w:tc>
        <w:tc>
          <w:tcPr>
            <w:tcW w:w="1468" w:type="dxa"/>
            <w:shd w:val="clear" w:color="auto" w:fill="auto"/>
            <w:vAlign w:val="center"/>
          </w:tcPr>
          <w:p w14:paraId="405A7D59"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100%</w:t>
            </w:r>
          </w:p>
        </w:tc>
        <w:tc>
          <w:tcPr>
            <w:tcW w:w="1354" w:type="dxa"/>
            <w:shd w:val="clear" w:color="auto" w:fill="auto"/>
            <w:vAlign w:val="center"/>
          </w:tcPr>
          <w:p w14:paraId="6A878790"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14/02/2025</w:t>
            </w:r>
          </w:p>
        </w:tc>
        <w:tc>
          <w:tcPr>
            <w:tcW w:w="1453" w:type="dxa"/>
            <w:shd w:val="clear" w:color="auto" w:fill="auto"/>
            <w:vAlign w:val="center"/>
          </w:tcPr>
          <w:p w14:paraId="6C687D0C"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4"/>
                <w:szCs w:val="14"/>
              </w:rPr>
            </w:pPr>
            <w:r>
              <w:rPr>
                <w:sz w:val="14"/>
                <w:szCs w:val="14"/>
              </w:rPr>
              <w:t>Después de realizar la revisión de la trazabilidad del producto…</w:t>
            </w:r>
          </w:p>
        </w:tc>
      </w:tr>
    </w:tbl>
    <w:p w14:paraId="22B3F9F6" w14:textId="32E95724" w:rsidR="00C359DE" w:rsidRDefault="00C359DE">
      <w:pPr>
        <w:ind w:firstLine="360"/>
      </w:pPr>
    </w:p>
    <w:p w14:paraId="6D891BB8" w14:textId="77777777" w:rsidR="00C359DE" w:rsidRDefault="00000000" w:rsidP="00ED0267">
      <w:r>
        <w:t>Cuando el indicador de Control de PQRS no supere la meta establecida en el año se debe implementar el procedimiento de Acciones Preventivas, Correctivas y de Mejora.</w:t>
      </w:r>
    </w:p>
    <w:p w14:paraId="5BBB30E3" w14:textId="7DF69784" w:rsidR="0073500C" w:rsidRDefault="0073500C" w:rsidP="00ED0267">
      <w:pPr>
        <w:pBdr>
          <w:top w:val="none" w:sz="0" w:space="0" w:color="000000"/>
          <w:left w:val="none" w:sz="0" w:space="0" w:color="000000"/>
          <w:bottom w:val="none" w:sz="0" w:space="0" w:color="000000"/>
          <w:right w:val="none" w:sz="0" w:space="0" w:color="000000"/>
          <w:between w:val="none" w:sz="0" w:space="0" w:color="000000"/>
        </w:pBdr>
        <w:spacing w:after="160"/>
        <w:ind w:left="0"/>
        <w:jc w:val="left"/>
        <w:sectPr w:rsidR="0073500C" w:rsidSect="0073500C">
          <w:headerReference w:type="default" r:id="rId10"/>
          <w:pgSz w:w="15840" w:h="12240" w:orient="landscape" w:code="1"/>
          <w:pgMar w:top="850" w:right="1411" w:bottom="850" w:left="1411" w:header="346" w:footer="706" w:gutter="0"/>
          <w:pgNumType w:start="1"/>
          <w:cols w:space="720"/>
        </w:sectPr>
      </w:pPr>
    </w:p>
    <w:p w14:paraId="3A8453C5" w14:textId="3195621D" w:rsidR="00C359DE" w:rsidRDefault="0073500C">
      <w:r>
        <w:lastRenderedPageBreak/>
        <w:t>CONTROL DE CAMBIOS.</w:t>
      </w:r>
    </w:p>
    <w:p w14:paraId="50343589" w14:textId="77777777" w:rsidR="0073500C" w:rsidRDefault="0073500C"/>
    <w:tbl>
      <w:tblPr>
        <w:tblStyle w:val="a3"/>
        <w:tblW w:w="9238" w:type="dxa"/>
        <w:jc w:val="center"/>
        <w:tblInd w:w="0" w:type="dxa"/>
        <w:tblLayout w:type="fixed"/>
        <w:tblLook w:val="0400" w:firstRow="0" w:lastRow="0" w:firstColumn="0" w:lastColumn="0" w:noHBand="0" w:noVBand="1"/>
      </w:tblPr>
      <w:tblGrid>
        <w:gridCol w:w="1075"/>
        <w:gridCol w:w="1170"/>
        <w:gridCol w:w="2610"/>
        <w:gridCol w:w="1800"/>
        <w:gridCol w:w="1440"/>
        <w:gridCol w:w="1143"/>
      </w:tblGrid>
      <w:tr w:rsidR="00C359DE" w14:paraId="1A89F8D8" w14:textId="77777777" w:rsidTr="009A2535">
        <w:trPr>
          <w:trHeight w:val="510"/>
          <w:tblHeader/>
          <w:jc w:val="center"/>
        </w:trPr>
        <w:tc>
          <w:tcPr>
            <w:tcW w:w="1075"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018E7793"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rPr>
            </w:pPr>
            <w:r>
              <w:rPr>
                <w:b/>
              </w:rPr>
              <w:t>VERSIÓN</w:t>
            </w:r>
          </w:p>
        </w:tc>
        <w:tc>
          <w:tcPr>
            <w:tcW w:w="1170"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518DEF0F"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rPr>
            </w:pPr>
            <w:r>
              <w:rPr>
                <w:b/>
              </w:rPr>
              <w:t>FECHA</w:t>
            </w:r>
          </w:p>
        </w:tc>
        <w:tc>
          <w:tcPr>
            <w:tcW w:w="2610"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4D18F62E"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rPr>
            </w:pPr>
            <w:r>
              <w:rPr>
                <w:b/>
              </w:rPr>
              <w:t>DESCRIPCIÓN DE CAMBIOS</w:t>
            </w:r>
          </w:p>
        </w:tc>
        <w:tc>
          <w:tcPr>
            <w:tcW w:w="1800" w:type="dxa"/>
            <w:tcBorders>
              <w:top w:val="single" w:sz="4" w:space="0" w:color="000000"/>
              <w:left w:val="nil"/>
              <w:bottom w:val="single" w:sz="4" w:space="0" w:color="000000"/>
              <w:right w:val="single" w:sz="4" w:space="0" w:color="000000"/>
            </w:tcBorders>
            <w:shd w:val="clear" w:color="auto" w:fill="B8CCE4"/>
            <w:vAlign w:val="center"/>
          </w:tcPr>
          <w:p w14:paraId="51A91EF2"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rPr>
            </w:pPr>
            <w:r>
              <w:rPr>
                <w:b/>
              </w:rPr>
              <w:t>ELABORADO POR</w:t>
            </w:r>
          </w:p>
        </w:tc>
        <w:tc>
          <w:tcPr>
            <w:tcW w:w="1440" w:type="dxa"/>
            <w:tcBorders>
              <w:top w:val="single" w:sz="4" w:space="0" w:color="000000"/>
              <w:left w:val="nil"/>
              <w:bottom w:val="single" w:sz="4" w:space="0" w:color="000000"/>
              <w:right w:val="single" w:sz="4" w:space="0" w:color="000000"/>
            </w:tcBorders>
            <w:shd w:val="clear" w:color="auto" w:fill="B8CCE4"/>
            <w:vAlign w:val="center"/>
          </w:tcPr>
          <w:p w14:paraId="60151AC1"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rPr>
            </w:pPr>
            <w:r>
              <w:rPr>
                <w:b/>
              </w:rPr>
              <w:t>REVISADO POR</w:t>
            </w:r>
          </w:p>
        </w:tc>
        <w:tc>
          <w:tcPr>
            <w:tcW w:w="1143" w:type="dxa"/>
            <w:tcBorders>
              <w:top w:val="single" w:sz="4" w:space="0" w:color="000000"/>
              <w:left w:val="nil"/>
              <w:bottom w:val="single" w:sz="4" w:space="0" w:color="000000"/>
              <w:right w:val="single" w:sz="4" w:space="0" w:color="000000"/>
            </w:tcBorders>
            <w:shd w:val="clear" w:color="auto" w:fill="B8CCE4"/>
            <w:vAlign w:val="center"/>
          </w:tcPr>
          <w:p w14:paraId="24B04D16" w14:textId="77777777" w:rsidR="00C359DE" w:rsidRDefault="00000000">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b/>
              </w:rPr>
            </w:pPr>
            <w:r>
              <w:rPr>
                <w:b/>
              </w:rPr>
              <w:t>APROBADO POR</w:t>
            </w:r>
          </w:p>
        </w:tc>
      </w:tr>
      <w:tr w:rsidR="00AD7341" w14:paraId="063FD7BD" w14:textId="77777777" w:rsidTr="009A2535">
        <w:trPr>
          <w:trHeight w:val="567"/>
          <w:jc w:val="center"/>
        </w:trPr>
        <w:tc>
          <w:tcPr>
            <w:tcW w:w="1075" w:type="dxa"/>
            <w:tcBorders>
              <w:top w:val="single" w:sz="4" w:space="0" w:color="000000"/>
              <w:left w:val="single" w:sz="8" w:space="0" w:color="000000"/>
              <w:bottom w:val="single" w:sz="4" w:space="0" w:color="000000"/>
              <w:right w:val="single" w:sz="4" w:space="0" w:color="000000"/>
            </w:tcBorders>
            <w:shd w:val="clear" w:color="auto" w:fill="FFFFFF"/>
            <w:vAlign w:val="center"/>
          </w:tcPr>
          <w:p w14:paraId="3A1C449F" w14:textId="59AD0620"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8"/>
                <w:szCs w:val="18"/>
              </w:rPr>
            </w:pPr>
            <w:r>
              <w:rPr>
                <w:sz w:val="18"/>
                <w:szCs w:val="18"/>
              </w:rPr>
              <w:t>03</w:t>
            </w:r>
          </w:p>
        </w:tc>
        <w:tc>
          <w:tcPr>
            <w:tcW w:w="1170" w:type="dxa"/>
            <w:tcBorders>
              <w:top w:val="single" w:sz="4" w:space="0" w:color="000000"/>
              <w:left w:val="nil"/>
              <w:bottom w:val="single" w:sz="4" w:space="0" w:color="000000"/>
              <w:right w:val="single" w:sz="4" w:space="0" w:color="000000"/>
            </w:tcBorders>
            <w:shd w:val="clear" w:color="auto" w:fill="FFFFFF"/>
            <w:vAlign w:val="center"/>
          </w:tcPr>
          <w:p w14:paraId="69814C8B" w14:textId="0BAAD421"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8"/>
                <w:szCs w:val="18"/>
              </w:rPr>
            </w:pPr>
            <w:r w:rsidRPr="00AD7341">
              <w:rPr>
                <w:sz w:val="18"/>
                <w:szCs w:val="18"/>
              </w:rPr>
              <w:t>22/09/2024</w:t>
            </w:r>
          </w:p>
        </w:tc>
        <w:tc>
          <w:tcPr>
            <w:tcW w:w="2610" w:type="dxa"/>
            <w:tcBorders>
              <w:top w:val="nil"/>
              <w:left w:val="nil"/>
              <w:bottom w:val="single" w:sz="4" w:space="0" w:color="000000"/>
              <w:right w:val="single" w:sz="4" w:space="0" w:color="000000"/>
            </w:tcBorders>
            <w:shd w:val="clear" w:color="auto" w:fill="FFFFFF"/>
            <w:vAlign w:val="center"/>
          </w:tcPr>
          <w:p w14:paraId="206266F6" w14:textId="77777777"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left"/>
              <w:rPr>
                <w:sz w:val="18"/>
                <w:szCs w:val="18"/>
              </w:rPr>
            </w:pPr>
            <w:r>
              <w:rPr>
                <w:sz w:val="18"/>
                <w:szCs w:val="18"/>
              </w:rPr>
              <w:t>Elaboración</w:t>
            </w:r>
          </w:p>
        </w:tc>
        <w:tc>
          <w:tcPr>
            <w:tcW w:w="18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14A582" w14:textId="3AFD3615" w:rsidR="00AD7341" w:rsidRDefault="00AD7341" w:rsidP="00AD7341">
            <w:pPr>
              <w:spacing w:line="240" w:lineRule="auto"/>
              <w:ind w:left="0"/>
              <w:jc w:val="center"/>
            </w:pPr>
            <w:r w:rsidRPr="008421E4">
              <w:t>YINNETH PINZON</w:t>
            </w:r>
          </w:p>
        </w:tc>
        <w:tc>
          <w:tcPr>
            <w:tcW w:w="144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51E6AA2" w14:textId="5B5ED74D" w:rsidR="00AD7341" w:rsidRDefault="00AD7341" w:rsidP="00AD7341">
            <w:pPr>
              <w:spacing w:line="240" w:lineRule="auto"/>
              <w:ind w:left="0"/>
              <w:jc w:val="center"/>
            </w:pPr>
            <w:r w:rsidRPr="008421E4">
              <w:t>FELIPE MARTINEZ</w:t>
            </w:r>
          </w:p>
        </w:tc>
        <w:tc>
          <w:tcPr>
            <w:tcW w:w="114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ED8CCF" w14:textId="3C0B8D53" w:rsidR="00AD7341" w:rsidRDefault="00AD7341" w:rsidP="00AD7341">
            <w:pPr>
              <w:spacing w:line="240" w:lineRule="auto"/>
              <w:ind w:left="0"/>
              <w:jc w:val="center"/>
            </w:pPr>
            <w:r w:rsidRPr="008421E4">
              <w:t>MARIA CIFUENTES</w:t>
            </w:r>
          </w:p>
        </w:tc>
      </w:tr>
      <w:tr w:rsidR="00AD7341" w14:paraId="697FD13B" w14:textId="77777777" w:rsidTr="009A2535">
        <w:trPr>
          <w:trHeight w:val="567"/>
          <w:jc w:val="center"/>
        </w:trPr>
        <w:tc>
          <w:tcPr>
            <w:tcW w:w="1075" w:type="dxa"/>
            <w:tcBorders>
              <w:top w:val="single" w:sz="4" w:space="0" w:color="000000"/>
              <w:left w:val="single" w:sz="8" w:space="0" w:color="000000"/>
              <w:bottom w:val="single" w:sz="4" w:space="0" w:color="000000"/>
              <w:right w:val="single" w:sz="4" w:space="0" w:color="000000"/>
            </w:tcBorders>
            <w:shd w:val="clear" w:color="auto" w:fill="FFFFFF"/>
            <w:vAlign w:val="center"/>
          </w:tcPr>
          <w:p w14:paraId="5A442EEC" w14:textId="4F52D156" w:rsidR="00AD7341" w:rsidRDefault="00BB5F04"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8"/>
                <w:szCs w:val="18"/>
              </w:rPr>
            </w:pPr>
            <w:r>
              <w:rPr>
                <w:sz w:val="18"/>
                <w:szCs w:val="18"/>
              </w:rPr>
              <w:t>04</w:t>
            </w:r>
          </w:p>
        </w:tc>
        <w:tc>
          <w:tcPr>
            <w:tcW w:w="1170" w:type="dxa"/>
            <w:tcBorders>
              <w:top w:val="single" w:sz="4" w:space="0" w:color="000000"/>
              <w:left w:val="nil"/>
              <w:bottom w:val="single" w:sz="4" w:space="0" w:color="000000"/>
              <w:right w:val="single" w:sz="4" w:space="0" w:color="000000"/>
            </w:tcBorders>
            <w:shd w:val="clear" w:color="auto" w:fill="FFFFFF"/>
            <w:vAlign w:val="center"/>
          </w:tcPr>
          <w:p w14:paraId="04C8F598" w14:textId="37C1B0C6"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8"/>
                <w:szCs w:val="18"/>
              </w:rPr>
            </w:pPr>
            <w:r w:rsidRPr="00AD7341">
              <w:rPr>
                <w:sz w:val="18"/>
                <w:szCs w:val="18"/>
              </w:rPr>
              <w:t>04/02/2025</w:t>
            </w:r>
          </w:p>
        </w:tc>
        <w:tc>
          <w:tcPr>
            <w:tcW w:w="2610" w:type="dxa"/>
            <w:tcBorders>
              <w:top w:val="nil"/>
              <w:left w:val="nil"/>
              <w:bottom w:val="single" w:sz="4" w:space="0" w:color="000000"/>
              <w:right w:val="single" w:sz="4" w:space="0" w:color="000000"/>
            </w:tcBorders>
            <w:shd w:val="clear" w:color="auto" w:fill="FFFFFF"/>
            <w:vAlign w:val="center"/>
          </w:tcPr>
          <w:p w14:paraId="2C82843D" w14:textId="37DE363A"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left"/>
              <w:rPr>
                <w:sz w:val="18"/>
                <w:szCs w:val="18"/>
              </w:rPr>
            </w:pPr>
            <w:r>
              <w:rPr>
                <w:sz w:val="18"/>
                <w:szCs w:val="18"/>
              </w:rPr>
              <w:t>Se realiza la actualización del procedimiento incluyendo el las actividades de satisfacción y ajustando en el seguimiento a las PQRS, la descripción de los lineamientos para el diligenciamiento del formato.</w:t>
            </w:r>
          </w:p>
        </w:tc>
        <w:tc>
          <w:tcPr>
            <w:tcW w:w="1800" w:type="dxa"/>
            <w:tcBorders>
              <w:top w:val="nil"/>
              <w:left w:val="nil"/>
              <w:bottom w:val="single" w:sz="4" w:space="0" w:color="000000"/>
              <w:right w:val="single" w:sz="4" w:space="0" w:color="000000"/>
            </w:tcBorders>
            <w:shd w:val="clear" w:color="auto" w:fill="FFFFFF"/>
            <w:vAlign w:val="center"/>
          </w:tcPr>
          <w:p w14:paraId="2617DE98" w14:textId="33F1E0EA"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8"/>
                <w:szCs w:val="18"/>
              </w:rPr>
            </w:pPr>
            <w:r>
              <w:t>Equipo de Consultoría - Maestría en Calidad y Sistemas Integrados de Gestión (Erika Parra, Luisa Torres y Felipe Parada)</w:t>
            </w:r>
          </w:p>
        </w:tc>
        <w:tc>
          <w:tcPr>
            <w:tcW w:w="1440" w:type="dxa"/>
            <w:tcBorders>
              <w:top w:val="nil"/>
              <w:left w:val="nil"/>
              <w:bottom w:val="single" w:sz="4" w:space="0" w:color="000000"/>
              <w:right w:val="single" w:sz="4" w:space="0" w:color="000000"/>
            </w:tcBorders>
            <w:shd w:val="clear" w:color="auto" w:fill="FFFFFF"/>
            <w:vAlign w:val="center"/>
          </w:tcPr>
          <w:p w14:paraId="7CC33D2A" w14:textId="614E3D6F"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8"/>
                <w:szCs w:val="18"/>
              </w:rPr>
            </w:pPr>
            <w:r>
              <w:t>Diana Catalina Londoño (</w:t>
            </w:r>
            <w:proofErr w:type="gramStart"/>
            <w:r>
              <w:t>Directora</w:t>
            </w:r>
            <w:proofErr w:type="gramEnd"/>
            <w:r>
              <w:t xml:space="preserve"> del Trabajo de Grado)</w:t>
            </w:r>
          </w:p>
        </w:tc>
        <w:tc>
          <w:tcPr>
            <w:tcW w:w="1143" w:type="dxa"/>
            <w:tcBorders>
              <w:top w:val="nil"/>
              <w:left w:val="nil"/>
              <w:bottom w:val="single" w:sz="4" w:space="0" w:color="000000"/>
              <w:right w:val="single" w:sz="4" w:space="0" w:color="000000"/>
            </w:tcBorders>
            <w:shd w:val="clear" w:color="auto" w:fill="FFFFFF"/>
            <w:vAlign w:val="center"/>
          </w:tcPr>
          <w:p w14:paraId="690E6D31" w14:textId="1197AFA8" w:rsidR="00AD7341" w:rsidRDefault="00AD7341" w:rsidP="00AD7341">
            <w:pPr>
              <w:pBdr>
                <w:top w:val="none" w:sz="0" w:space="0" w:color="000000"/>
                <w:left w:val="none" w:sz="0" w:space="0" w:color="000000"/>
                <w:bottom w:val="none" w:sz="0" w:space="0" w:color="000000"/>
                <w:right w:val="none" w:sz="0" w:space="0" w:color="000000"/>
                <w:between w:val="none" w:sz="0" w:space="0" w:color="000000"/>
              </w:pBdr>
              <w:spacing w:line="240" w:lineRule="auto"/>
              <w:ind w:left="0"/>
              <w:jc w:val="center"/>
              <w:rPr>
                <w:sz w:val="18"/>
                <w:szCs w:val="18"/>
              </w:rPr>
            </w:pPr>
            <w:r>
              <w:t>María Cifuentes (Gerente General)</w:t>
            </w:r>
          </w:p>
        </w:tc>
      </w:tr>
    </w:tbl>
    <w:p w14:paraId="678ABBDE" w14:textId="77777777" w:rsidR="00C359DE" w:rsidRDefault="00C359DE">
      <w:pPr>
        <w:ind w:left="0"/>
      </w:pPr>
    </w:p>
    <w:sectPr w:rsidR="00C359DE" w:rsidSect="0073500C">
      <w:pgSz w:w="12240" w:h="15840" w:code="1"/>
      <w:pgMar w:top="1411" w:right="850" w:bottom="1411" w:left="850" w:header="346" w:footer="70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9E2B67" w14:textId="77777777" w:rsidR="006A6857" w:rsidRDefault="006A6857">
      <w:pPr>
        <w:spacing w:line="240" w:lineRule="auto"/>
      </w:pPr>
      <w:r>
        <w:separator/>
      </w:r>
    </w:p>
  </w:endnote>
  <w:endnote w:type="continuationSeparator" w:id="0">
    <w:p w14:paraId="167FFFE9" w14:textId="77777777" w:rsidR="006A6857" w:rsidRDefault="006A68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embedRegular r:id="rId1" w:fontKey="{0D038FD9-5C92-4C86-885E-AC0556347163}"/>
  </w:font>
  <w:font w:name="Tahoma">
    <w:panose1 w:val="020B0604030504040204"/>
    <w:charset w:val="00"/>
    <w:family w:val="swiss"/>
    <w:pitch w:val="variable"/>
    <w:sig w:usb0="E1002EFF" w:usb1="C000605B" w:usb2="00000029" w:usb3="00000000" w:csb0="000101FF" w:csb1="00000000"/>
    <w:embedRegular r:id="rId2" w:fontKey="{34043DC2-E18D-4D89-8D05-271D34EAECB6}"/>
    <w:embedBold r:id="rId3" w:fontKey="{F25B9CB4-3BA4-49D1-8D3E-5730083A48AB}"/>
    <w:embedItalic r:id="rId4" w:fontKey="{FBA850F8-E2E3-4315-9A46-CAC37478AFD6}"/>
  </w:font>
  <w:font w:name="Calibri Light">
    <w:panose1 w:val="020F0302020204030204"/>
    <w:charset w:val="00"/>
    <w:family w:val="swiss"/>
    <w:pitch w:val="variable"/>
    <w:sig w:usb0="E4002EFF" w:usb1="C200247B" w:usb2="00000009" w:usb3="00000000" w:csb0="000001FF" w:csb1="00000000"/>
    <w:embedRegular r:id="rId5" w:fontKey="{A46E9A1D-0900-4A68-9A47-2BE7EE2BA7F2}"/>
    <w:embedBold r:id="rId6" w:fontKey="{C53F782B-3006-4157-98F7-C80B6DBF1618}"/>
    <w:embedItalic r:id="rId7" w:fontKey="{2990EB58-EA6B-4CE4-BB2B-7751626B36B7}"/>
  </w:font>
  <w:font w:name="Segoe UI">
    <w:panose1 w:val="020B0502040204020203"/>
    <w:charset w:val="00"/>
    <w:family w:val="swiss"/>
    <w:pitch w:val="variable"/>
    <w:sig w:usb0="E4002EFF" w:usb1="C000E47F" w:usb2="00000009" w:usb3="00000000" w:csb0="000001FF" w:csb1="00000000"/>
    <w:embedRegular r:id="rId8" w:fontKey="{81493F29-C005-4AEF-B7C9-27D8CC48202D}"/>
  </w:font>
  <w:font w:name="Georgia">
    <w:panose1 w:val="02040502050405020303"/>
    <w:charset w:val="00"/>
    <w:family w:val="roman"/>
    <w:pitch w:val="variable"/>
    <w:sig w:usb0="00000287" w:usb1="00000000" w:usb2="00000000" w:usb3="00000000" w:csb0="0000009F" w:csb1="00000000"/>
    <w:embedRegular r:id="rId9" w:fontKey="{5E517178-490B-4BE5-8ADB-14DD39C7C35A}"/>
    <w:embedItalic r:id="rId10" w:fontKey="{F319C9F4-FC42-455A-BB99-0C30B5143F7F}"/>
  </w:font>
  <w:font w:name="Calibri">
    <w:panose1 w:val="020F0502020204030204"/>
    <w:charset w:val="00"/>
    <w:family w:val="swiss"/>
    <w:pitch w:val="variable"/>
    <w:sig w:usb0="E4002EFF" w:usb1="C200247B" w:usb2="00000009" w:usb3="00000000" w:csb0="000001FF" w:csb1="00000000"/>
    <w:embedRegular r:id="rId11" w:fontKey="{0B86B810-6691-4DD5-8E62-722956C90ED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A04FC2" w14:textId="77777777" w:rsidR="00C359DE" w:rsidRDefault="00000000">
    <w:pPr>
      <w:ind w:firstLine="360"/>
      <w:jc w:val="right"/>
    </w:pPr>
    <w:r>
      <w:t xml:space="preserve">Página </w:t>
    </w:r>
    <w:r>
      <w:fldChar w:fldCharType="begin"/>
    </w:r>
    <w:r>
      <w:instrText>PAGE</w:instrText>
    </w:r>
    <w:r>
      <w:fldChar w:fldCharType="separate"/>
    </w:r>
    <w:r w:rsidR="00ED0267">
      <w:rPr>
        <w:noProof/>
      </w:rPr>
      <w:t>1</w:t>
    </w:r>
    <w:r>
      <w:fldChar w:fldCharType="end"/>
    </w:r>
    <w:r>
      <w:t xml:space="preserve"> de </w:t>
    </w:r>
    <w:r>
      <w:fldChar w:fldCharType="begin"/>
    </w:r>
    <w:r>
      <w:instrText>NUMPAGES</w:instrText>
    </w:r>
    <w:r>
      <w:fldChar w:fldCharType="separate"/>
    </w:r>
    <w:r w:rsidR="00ED0267">
      <w:rPr>
        <w:noProof/>
      </w:rPr>
      <w:t>2</w:t>
    </w:r>
    <w:r>
      <w:fldChar w:fldCharType="end"/>
    </w:r>
  </w:p>
  <w:p w14:paraId="5720895C" w14:textId="77777777" w:rsidR="00C359DE" w:rsidRDefault="00C359D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E3FE17" w14:textId="77777777" w:rsidR="006A6857" w:rsidRDefault="006A6857">
      <w:pPr>
        <w:spacing w:line="240" w:lineRule="auto"/>
      </w:pPr>
      <w:r>
        <w:separator/>
      </w:r>
    </w:p>
  </w:footnote>
  <w:footnote w:type="continuationSeparator" w:id="0">
    <w:p w14:paraId="134F2B2B" w14:textId="77777777" w:rsidR="006A6857" w:rsidRDefault="006A685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182C8" w14:textId="77777777" w:rsidR="00C359DE" w:rsidRDefault="00C359DE"/>
  <w:tbl>
    <w:tblPr>
      <w:tblStyle w:val="a4"/>
      <w:tblW w:w="10347" w:type="dxa"/>
      <w:tblInd w:w="25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ayout w:type="fixed"/>
      <w:tblLook w:val="0400" w:firstRow="0" w:lastRow="0" w:firstColumn="0" w:lastColumn="0" w:noHBand="0" w:noVBand="1"/>
    </w:tblPr>
    <w:tblGrid>
      <w:gridCol w:w="1806"/>
      <w:gridCol w:w="6199"/>
      <w:gridCol w:w="2342"/>
    </w:tblGrid>
    <w:tr w:rsidR="00C359DE" w14:paraId="519A8234" w14:textId="77777777">
      <w:tc>
        <w:tcPr>
          <w:tcW w:w="1806" w:type="dxa"/>
          <w:vMerge w:val="restart"/>
          <w:vAlign w:val="center"/>
        </w:tcPr>
        <w:p w14:paraId="47133E19" w14:textId="77777777" w:rsidR="00C359DE" w:rsidRDefault="00000000">
          <w:pPr>
            <w:ind w:left="51"/>
          </w:pPr>
          <w:r>
            <w:rPr>
              <w:noProof/>
            </w:rPr>
            <w:drawing>
              <wp:inline distT="0" distB="0" distL="0" distR="0" wp14:anchorId="02197BCE" wp14:editId="26AF3DDE">
                <wp:extent cx="1033385" cy="498149"/>
                <wp:effectExtent l="0" t="0" r="0" b="0"/>
                <wp:docPr id="175021131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t="14069" b="23545"/>
                        <a:stretch>
                          <a:fillRect/>
                        </a:stretch>
                      </pic:blipFill>
                      <pic:spPr>
                        <a:xfrm>
                          <a:off x="0" y="0"/>
                          <a:ext cx="1033385" cy="498149"/>
                        </a:xfrm>
                        <a:prstGeom prst="rect">
                          <a:avLst/>
                        </a:prstGeom>
                        <a:ln/>
                      </pic:spPr>
                    </pic:pic>
                  </a:graphicData>
                </a:graphic>
              </wp:inline>
            </w:drawing>
          </w:r>
        </w:p>
      </w:tc>
      <w:tc>
        <w:tcPr>
          <w:tcW w:w="6199" w:type="dxa"/>
          <w:vMerge w:val="restart"/>
          <w:vAlign w:val="center"/>
        </w:tcPr>
        <w:p w14:paraId="48422045" w14:textId="77777777" w:rsidR="00C359DE" w:rsidRDefault="00000000">
          <w:pPr>
            <w:ind w:left="0"/>
            <w:jc w:val="center"/>
            <w:rPr>
              <w:b/>
            </w:rPr>
          </w:pPr>
          <w:r>
            <w:rPr>
              <w:b/>
              <w:sz w:val="24"/>
              <w:szCs w:val="24"/>
            </w:rPr>
            <w:t>PROCEDIMIENTO DE SATISFACCIÓN AL CLIENTE Y MANEJO DE PQRS</w:t>
          </w:r>
        </w:p>
      </w:tc>
      <w:tc>
        <w:tcPr>
          <w:tcW w:w="2342" w:type="dxa"/>
        </w:tcPr>
        <w:p w14:paraId="2BDCD314" w14:textId="77777777" w:rsidR="00C359DE" w:rsidRDefault="00000000">
          <w:pPr>
            <w:ind w:left="0"/>
            <w:jc w:val="center"/>
            <w:rPr>
              <w:b/>
            </w:rPr>
          </w:pPr>
          <w:r>
            <w:rPr>
              <w:b/>
            </w:rPr>
            <w:t>PR-GDE-XXX</w:t>
          </w:r>
        </w:p>
      </w:tc>
    </w:tr>
    <w:tr w:rsidR="00C359DE" w14:paraId="3B795013" w14:textId="77777777">
      <w:trPr>
        <w:trHeight w:val="69"/>
      </w:trPr>
      <w:tc>
        <w:tcPr>
          <w:tcW w:w="1806" w:type="dxa"/>
          <w:vMerge/>
          <w:vAlign w:val="center"/>
        </w:tcPr>
        <w:p w14:paraId="2F81D9DC" w14:textId="77777777" w:rsidR="00C359DE" w:rsidRDefault="00C359DE">
          <w:pPr>
            <w:widowControl w:val="0"/>
            <w:spacing w:line="276" w:lineRule="auto"/>
            <w:ind w:left="0"/>
            <w:jc w:val="left"/>
            <w:rPr>
              <w:b/>
            </w:rPr>
          </w:pPr>
        </w:p>
      </w:tc>
      <w:tc>
        <w:tcPr>
          <w:tcW w:w="6199" w:type="dxa"/>
          <w:vMerge/>
          <w:vAlign w:val="center"/>
        </w:tcPr>
        <w:p w14:paraId="238FA604" w14:textId="77777777" w:rsidR="00C359DE" w:rsidRDefault="00C359DE">
          <w:pPr>
            <w:widowControl w:val="0"/>
            <w:spacing w:line="276" w:lineRule="auto"/>
            <w:ind w:left="0"/>
            <w:jc w:val="left"/>
            <w:rPr>
              <w:b/>
            </w:rPr>
          </w:pPr>
        </w:p>
      </w:tc>
      <w:tc>
        <w:tcPr>
          <w:tcW w:w="2342" w:type="dxa"/>
        </w:tcPr>
        <w:p w14:paraId="58E099CE" w14:textId="77777777" w:rsidR="00C359DE" w:rsidRDefault="00000000">
          <w:pPr>
            <w:ind w:left="0"/>
            <w:jc w:val="center"/>
          </w:pPr>
          <w:r>
            <w:t>Versión: 01</w:t>
          </w:r>
        </w:p>
      </w:tc>
    </w:tr>
    <w:tr w:rsidR="00C359DE" w14:paraId="4712472C" w14:textId="77777777">
      <w:trPr>
        <w:trHeight w:val="69"/>
      </w:trPr>
      <w:tc>
        <w:tcPr>
          <w:tcW w:w="1806" w:type="dxa"/>
          <w:vMerge/>
          <w:vAlign w:val="center"/>
        </w:tcPr>
        <w:p w14:paraId="3801B362" w14:textId="77777777" w:rsidR="00C359DE" w:rsidRDefault="00C359DE">
          <w:pPr>
            <w:widowControl w:val="0"/>
            <w:spacing w:line="276" w:lineRule="auto"/>
            <w:ind w:left="0"/>
            <w:jc w:val="left"/>
          </w:pPr>
        </w:p>
      </w:tc>
      <w:tc>
        <w:tcPr>
          <w:tcW w:w="6199" w:type="dxa"/>
          <w:vMerge/>
          <w:vAlign w:val="center"/>
        </w:tcPr>
        <w:p w14:paraId="344B7F35" w14:textId="77777777" w:rsidR="00C359DE" w:rsidRDefault="00C359DE">
          <w:pPr>
            <w:widowControl w:val="0"/>
            <w:spacing w:line="276" w:lineRule="auto"/>
            <w:ind w:left="0"/>
            <w:jc w:val="left"/>
          </w:pPr>
        </w:p>
      </w:tc>
      <w:tc>
        <w:tcPr>
          <w:tcW w:w="2342" w:type="dxa"/>
        </w:tcPr>
        <w:p w14:paraId="4F5BEE78" w14:textId="77777777" w:rsidR="00C359DE" w:rsidRDefault="00000000">
          <w:pPr>
            <w:ind w:left="0"/>
            <w:jc w:val="center"/>
          </w:pPr>
          <w:r>
            <w:t>Fecha de actualización:</w:t>
          </w:r>
        </w:p>
        <w:p w14:paraId="14D83FBF" w14:textId="77777777" w:rsidR="00C359DE" w:rsidRDefault="00000000">
          <w:pPr>
            <w:ind w:left="0"/>
            <w:jc w:val="center"/>
          </w:pPr>
          <w:r>
            <w:t>04/02/2025</w:t>
          </w:r>
        </w:p>
      </w:tc>
    </w:tr>
  </w:tbl>
  <w:p w14:paraId="23413316" w14:textId="77777777" w:rsidR="00C359DE" w:rsidRDefault="00C359D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E66CC" w14:textId="77777777" w:rsidR="00C359DE" w:rsidRDefault="00C359DE"/>
  <w:tbl>
    <w:tblPr>
      <w:tblStyle w:val="a6"/>
      <w:tblW w:w="12968" w:type="dxa"/>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ayout w:type="fixed"/>
      <w:tblLook w:val="0400" w:firstRow="0" w:lastRow="0" w:firstColumn="0" w:lastColumn="0" w:noHBand="0" w:noVBand="1"/>
    </w:tblPr>
    <w:tblGrid>
      <w:gridCol w:w="2335"/>
      <w:gridCol w:w="7735"/>
      <w:gridCol w:w="2898"/>
    </w:tblGrid>
    <w:tr w:rsidR="00C359DE" w14:paraId="16157C98" w14:textId="77777777" w:rsidTr="0073500C">
      <w:trPr>
        <w:trHeight w:val="251"/>
      </w:trPr>
      <w:tc>
        <w:tcPr>
          <w:tcW w:w="2335" w:type="dxa"/>
          <w:vMerge w:val="restart"/>
          <w:vAlign w:val="center"/>
        </w:tcPr>
        <w:p w14:paraId="0CDA6AE4" w14:textId="77777777" w:rsidR="00C359DE" w:rsidRDefault="00000000">
          <w:pPr>
            <w:ind w:left="51"/>
          </w:pPr>
          <w:r>
            <w:rPr>
              <w:noProof/>
            </w:rPr>
            <w:drawing>
              <wp:inline distT="0" distB="0" distL="0" distR="0" wp14:anchorId="034C1123" wp14:editId="183A1A79">
                <wp:extent cx="1033385" cy="498149"/>
                <wp:effectExtent l="0" t="0" r="0" b="0"/>
                <wp:docPr id="1233788859"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t="14069" b="23545"/>
                        <a:stretch>
                          <a:fillRect/>
                        </a:stretch>
                      </pic:blipFill>
                      <pic:spPr>
                        <a:xfrm>
                          <a:off x="0" y="0"/>
                          <a:ext cx="1033385" cy="498149"/>
                        </a:xfrm>
                        <a:prstGeom prst="rect">
                          <a:avLst/>
                        </a:prstGeom>
                        <a:ln/>
                      </pic:spPr>
                    </pic:pic>
                  </a:graphicData>
                </a:graphic>
              </wp:inline>
            </w:drawing>
          </w:r>
        </w:p>
      </w:tc>
      <w:tc>
        <w:tcPr>
          <w:tcW w:w="7735" w:type="dxa"/>
          <w:vMerge w:val="restart"/>
          <w:vAlign w:val="center"/>
        </w:tcPr>
        <w:p w14:paraId="32436AF2" w14:textId="72F2E18A" w:rsidR="00C359DE" w:rsidRDefault="00000000">
          <w:pPr>
            <w:ind w:left="0"/>
            <w:jc w:val="center"/>
            <w:rPr>
              <w:b/>
            </w:rPr>
          </w:pPr>
          <w:r>
            <w:rPr>
              <w:b/>
              <w:sz w:val="24"/>
              <w:szCs w:val="24"/>
            </w:rPr>
            <w:t>SATISFACCIÓN AL CLIENTE Y MANEJO DE PQRS</w:t>
          </w:r>
        </w:p>
      </w:tc>
      <w:tc>
        <w:tcPr>
          <w:tcW w:w="2898" w:type="dxa"/>
        </w:tcPr>
        <w:p w14:paraId="5F6A8FA4" w14:textId="28AB5EA2" w:rsidR="00C359DE" w:rsidRDefault="00000000">
          <w:pPr>
            <w:ind w:left="0"/>
            <w:jc w:val="center"/>
            <w:rPr>
              <w:b/>
            </w:rPr>
          </w:pPr>
          <w:r>
            <w:rPr>
              <w:b/>
            </w:rPr>
            <w:t>PR-</w:t>
          </w:r>
          <w:r w:rsidR="0073500C">
            <w:rPr>
              <w:b/>
            </w:rPr>
            <w:t>SGI</w:t>
          </w:r>
          <w:r>
            <w:rPr>
              <w:b/>
            </w:rPr>
            <w:t>-</w:t>
          </w:r>
          <w:r w:rsidR="0073500C">
            <w:rPr>
              <w:b/>
            </w:rPr>
            <w:t>003</w:t>
          </w:r>
        </w:p>
      </w:tc>
    </w:tr>
    <w:tr w:rsidR="00C359DE" w14:paraId="48AF65CC" w14:textId="77777777" w:rsidTr="0073500C">
      <w:trPr>
        <w:trHeight w:val="71"/>
      </w:trPr>
      <w:tc>
        <w:tcPr>
          <w:tcW w:w="2335" w:type="dxa"/>
          <w:vMerge/>
          <w:vAlign w:val="center"/>
        </w:tcPr>
        <w:p w14:paraId="515989EA" w14:textId="77777777" w:rsidR="00C359DE" w:rsidRDefault="00C359DE">
          <w:pPr>
            <w:widowControl w:val="0"/>
            <w:spacing w:line="276" w:lineRule="auto"/>
            <w:ind w:left="0"/>
            <w:jc w:val="left"/>
            <w:rPr>
              <w:b/>
            </w:rPr>
          </w:pPr>
        </w:p>
      </w:tc>
      <w:tc>
        <w:tcPr>
          <w:tcW w:w="7735" w:type="dxa"/>
          <w:vMerge/>
          <w:vAlign w:val="center"/>
        </w:tcPr>
        <w:p w14:paraId="730CC6C6" w14:textId="77777777" w:rsidR="00C359DE" w:rsidRDefault="00C359DE">
          <w:pPr>
            <w:widowControl w:val="0"/>
            <w:spacing w:line="276" w:lineRule="auto"/>
            <w:ind w:left="0"/>
            <w:jc w:val="left"/>
            <w:rPr>
              <w:b/>
            </w:rPr>
          </w:pPr>
        </w:p>
      </w:tc>
      <w:tc>
        <w:tcPr>
          <w:tcW w:w="2898" w:type="dxa"/>
        </w:tcPr>
        <w:p w14:paraId="4C3281EE" w14:textId="0F1D4890" w:rsidR="00C359DE" w:rsidRDefault="00000000">
          <w:pPr>
            <w:ind w:left="0"/>
            <w:jc w:val="center"/>
          </w:pPr>
          <w:r>
            <w:t>Versión: 0</w:t>
          </w:r>
          <w:r w:rsidR="0073500C">
            <w:t>4</w:t>
          </w:r>
        </w:p>
      </w:tc>
    </w:tr>
    <w:tr w:rsidR="00C359DE" w14:paraId="1A7B43AE" w14:textId="77777777" w:rsidTr="0073500C">
      <w:trPr>
        <w:trHeight w:val="71"/>
      </w:trPr>
      <w:tc>
        <w:tcPr>
          <w:tcW w:w="2335" w:type="dxa"/>
          <w:vMerge/>
          <w:vAlign w:val="center"/>
        </w:tcPr>
        <w:p w14:paraId="0BE110E3" w14:textId="77777777" w:rsidR="00C359DE" w:rsidRDefault="00C359DE">
          <w:pPr>
            <w:widowControl w:val="0"/>
            <w:spacing w:line="276" w:lineRule="auto"/>
            <w:ind w:left="0"/>
            <w:jc w:val="left"/>
          </w:pPr>
        </w:p>
      </w:tc>
      <w:tc>
        <w:tcPr>
          <w:tcW w:w="7735" w:type="dxa"/>
          <w:vMerge/>
          <w:vAlign w:val="center"/>
        </w:tcPr>
        <w:p w14:paraId="54519CC5" w14:textId="77777777" w:rsidR="00C359DE" w:rsidRDefault="00C359DE">
          <w:pPr>
            <w:widowControl w:val="0"/>
            <w:spacing w:line="276" w:lineRule="auto"/>
            <w:ind w:left="0"/>
            <w:jc w:val="left"/>
          </w:pPr>
        </w:p>
      </w:tc>
      <w:tc>
        <w:tcPr>
          <w:tcW w:w="2898" w:type="dxa"/>
        </w:tcPr>
        <w:p w14:paraId="59F81645" w14:textId="77777777" w:rsidR="00C359DE" w:rsidRDefault="00000000">
          <w:pPr>
            <w:ind w:left="0"/>
            <w:jc w:val="center"/>
          </w:pPr>
          <w:r>
            <w:t>Fecha de actualización:</w:t>
          </w:r>
        </w:p>
        <w:p w14:paraId="1D7B33B4" w14:textId="77777777" w:rsidR="00C359DE" w:rsidRDefault="00000000">
          <w:pPr>
            <w:ind w:left="0"/>
            <w:jc w:val="center"/>
          </w:pPr>
          <w:r>
            <w:t>04/02/2025</w:t>
          </w:r>
        </w:p>
      </w:tc>
    </w:tr>
  </w:tbl>
  <w:p w14:paraId="05E02209" w14:textId="77777777" w:rsidR="00C359DE" w:rsidRDefault="00C359D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055F2"/>
    <w:multiLevelType w:val="multilevel"/>
    <w:tmpl w:val="BD4CC00E"/>
    <w:lvl w:ilvl="0">
      <w:start w:val="6"/>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2C086216"/>
    <w:multiLevelType w:val="multilevel"/>
    <w:tmpl w:val="46F0EEF8"/>
    <w:lvl w:ilvl="0">
      <w:start w:val="6"/>
      <w:numFmt w:val="decimal"/>
      <w:lvlText w:val="%1."/>
      <w:lvlJc w:val="left"/>
      <w:pPr>
        <w:ind w:left="360" w:hanging="36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32551755"/>
    <w:multiLevelType w:val="multilevel"/>
    <w:tmpl w:val="9D6A9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744E9C"/>
    <w:multiLevelType w:val="multilevel"/>
    <w:tmpl w:val="FF842328"/>
    <w:lvl w:ilvl="0">
      <w:start w:val="1"/>
      <w:numFmt w:val="bullet"/>
      <w:lvlText w:val="●"/>
      <w:lvlJc w:val="left"/>
      <w:pPr>
        <w:ind w:left="1140" w:hanging="360"/>
      </w:pPr>
      <w:rPr>
        <w:rFonts w:ascii="Noto Sans Symbols" w:eastAsia="Noto Sans Symbols" w:hAnsi="Noto Sans Symbols" w:cs="Noto Sans Symbols"/>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4" w15:restartNumberingAfterBreak="0">
    <w:nsid w:val="4FB06182"/>
    <w:multiLevelType w:val="multilevel"/>
    <w:tmpl w:val="139238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52F13859"/>
    <w:multiLevelType w:val="multilevel"/>
    <w:tmpl w:val="44DC0CFE"/>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6" w15:restartNumberingAfterBreak="0">
    <w:nsid w:val="6FFE297B"/>
    <w:multiLevelType w:val="multilevel"/>
    <w:tmpl w:val="19565268"/>
    <w:lvl w:ilvl="0">
      <w:start w:val="6"/>
      <w:numFmt w:val="decimal"/>
      <w:lvlText w:val="%1."/>
      <w:lvlJc w:val="left"/>
      <w:pPr>
        <w:ind w:left="360" w:hanging="36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77A9563E"/>
    <w:multiLevelType w:val="multilevel"/>
    <w:tmpl w:val="B6E865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45189992">
    <w:abstractNumId w:val="7"/>
  </w:num>
  <w:num w:numId="2" w16cid:durableId="587615741">
    <w:abstractNumId w:val="3"/>
  </w:num>
  <w:num w:numId="3" w16cid:durableId="1860855081">
    <w:abstractNumId w:val="4"/>
  </w:num>
  <w:num w:numId="4" w16cid:durableId="160198515">
    <w:abstractNumId w:val="5"/>
  </w:num>
  <w:num w:numId="5" w16cid:durableId="915671187">
    <w:abstractNumId w:val="0"/>
  </w:num>
  <w:num w:numId="6" w16cid:durableId="716706063">
    <w:abstractNumId w:val="1"/>
  </w:num>
  <w:num w:numId="7" w16cid:durableId="1900440382">
    <w:abstractNumId w:val="6"/>
  </w:num>
  <w:num w:numId="8" w16cid:durableId="20630946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59DE"/>
    <w:rsid w:val="006A6857"/>
    <w:rsid w:val="006D10F1"/>
    <w:rsid w:val="0073500C"/>
    <w:rsid w:val="009A2535"/>
    <w:rsid w:val="00AD7341"/>
    <w:rsid w:val="00BB5F04"/>
    <w:rsid w:val="00C359DE"/>
    <w:rsid w:val="00ED026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B93F3C"/>
  <w15:docId w15:val="{D6A0D5A2-002B-44B8-99D8-5CBE88480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ahoma" w:eastAsia="Tahoma" w:hAnsi="Tahoma" w:cs="Tahoma"/>
        <w:lang w:val="es-CO" w:eastAsia="es-CO" w:bidi="ar-SA"/>
      </w:rPr>
    </w:rPrDefault>
    <w:pPrDefault>
      <w:pPr>
        <w:spacing w:line="259" w:lineRule="auto"/>
        <w:ind w:left="3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068F"/>
    <w:pPr>
      <w:pBdr>
        <w:top w:val="nil"/>
        <w:left w:val="nil"/>
        <w:bottom w:val="nil"/>
        <w:right w:val="nil"/>
        <w:between w:val="nil"/>
      </w:pBdr>
    </w:pPr>
    <w:rPr>
      <w:color w:val="000000"/>
    </w:rPr>
  </w:style>
  <w:style w:type="paragraph" w:styleId="Ttulo1">
    <w:name w:val="heading 1"/>
    <w:basedOn w:val="Normal"/>
    <w:next w:val="Normal"/>
    <w:uiPriority w:val="9"/>
    <w:qFormat/>
    <w:rsid w:val="00EF068F"/>
    <w:pPr>
      <w:numPr>
        <w:numId w:val="4"/>
      </w:numPr>
      <w:spacing w:after="160"/>
      <w:ind w:left="568" w:hanging="284"/>
      <w:outlineLvl w:val="0"/>
    </w:pPr>
    <w:rPr>
      <w:b/>
    </w:rPr>
  </w:style>
  <w:style w:type="paragraph" w:styleId="Ttulo2">
    <w:name w:val="heading 2"/>
    <w:basedOn w:val="Normal"/>
    <w:next w:val="Normal"/>
    <w:uiPriority w:val="9"/>
    <w:unhideWhenUsed/>
    <w:qFormat/>
    <w:rsid w:val="00EF068F"/>
    <w:pPr>
      <w:keepNext/>
      <w:keepLines/>
      <w:numPr>
        <w:ilvl w:val="1"/>
        <w:numId w:val="4"/>
      </w:numPr>
      <w:spacing w:after="160"/>
      <w:ind w:left="573" w:hanging="289"/>
      <w:outlineLvl w:val="1"/>
    </w:pPr>
    <w:rPr>
      <w:b/>
    </w:rPr>
  </w:style>
  <w:style w:type="paragraph" w:styleId="Ttulo3">
    <w:name w:val="heading 3"/>
    <w:basedOn w:val="Normal"/>
    <w:next w:val="Normal"/>
    <w:uiPriority w:val="9"/>
    <w:semiHidden/>
    <w:unhideWhenUsed/>
    <w:qFormat/>
    <w:pPr>
      <w:keepNext/>
      <w:keepLines/>
      <w:numPr>
        <w:ilvl w:val="2"/>
        <w:numId w:val="4"/>
      </w:numPr>
      <w:spacing w:before="280" w:after="80"/>
      <w:outlineLvl w:val="2"/>
    </w:pPr>
    <w:rPr>
      <w:b/>
      <w:sz w:val="28"/>
      <w:szCs w:val="28"/>
    </w:rPr>
  </w:style>
  <w:style w:type="paragraph" w:styleId="Ttulo4">
    <w:name w:val="heading 4"/>
    <w:basedOn w:val="Normal"/>
    <w:next w:val="Normal"/>
    <w:uiPriority w:val="9"/>
    <w:semiHidden/>
    <w:unhideWhenUsed/>
    <w:qFormat/>
    <w:pPr>
      <w:keepNext/>
      <w:keepLines/>
      <w:numPr>
        <w:ilvl w:val="3"/>
        <w:numId w:val="4"/>
      </w:numPr>
      <w:spacing w:before="240" w:after="40"/>
      <w:outlineLvl w:val="3"/>
    </w:pPr>
    <w:rPr>
      <w:b/>
      <w:sz w:val="24"/>
      <w:szCs w:val="24"/>
    </w:rPr>
  </w:style>
  <w:style w:type="paragraph" w:styleId="Ttulo5">
    <w:name w:val="heading 5"/>
    <w:basedOn w:val="Normal"/>
    <w:next w:val="Normal"/>
    <w:uiPriority w:val="9"/>
    <w:semiHidden/>
    <w:unhideWhenUsed/>
    <w:qFormat/>
    <w:pPr>
      <w:keepNext/>
      <w:keepLines/>
      <w:numPr>
        <w:ilvl w:val="4"/>
        <w:numId w:val="4"/>
      </w:numPr>
      <w:spacing w:before="220" w:after="40"/>
      <w:outlineLvl w:val="4"/>
    </w:pPr>
    <w:rPr>
      <w:b/>
    </w:rPr>
  </w:style>
  <w:style w:type="paragraph" w:styleId="Ttulo6">
    <w:name w:val="heading 6"/>
    <w:basedOn w:val="Normal"/>
    <w:next w:val="Normal"/>
    <w:uiPriority w:val="9"/>
    <w:semiHidden/>
    <w:unhideWhenUsed/>
    <w:qFormat/>
    <w:pPr>
      <w:keepNext/>
      <w:keepLines/>
      <w:numPr>
        <w:ilvl w:val="5"/>
        <w:numId w:val="4"/>
      </w:numPr>
      <w:spacing w:before="200" w:after="40"/>
      <w:outlineLvl w:val="5"/>
    </w:pPr>
    <w:rPr>
      <w:b/>
    </w:rPr>
  </w:style>
  <w:style w:type="paragraph" w:styleId="Ttulo7">
    <w:name w:val="heading 7"/>
    <w:basedOn w:val="Normal"/>
    <w:next w:val="Normal"/>
    <w:link w:val="Ttulo7Car"/>
    <w:uiPriority w:val="9"/>
    <w:semiHidden/>
    <w:unhideWhenUsed/>
    <w:qFormat/>
    <w:rsid w:val="00EF068F"/>
    <w:pPr>
      <w:keepNext/>
      <w:keepLines/>
      <w:numPr>
        <w:ilvl w:val="6"/>
        <w:numId w:val="4"/>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F068F"/>
    <w:pPr>
      <w:keepNext/>
      <w:keepLines/>
      <w:numPr>
        <w:ilvl w:val="7"/>
        <w:numId w:val="4"/>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F068F"/>
    <w:pPr>
      <w:keepNext/>
      <w:keepLines/>
      <w:numPr>
        <w:ilvl w:val="8"/>
        <w:numId w:val="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2342A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342AA"/>
  </w:style>
  <w:style w:type="paragraph" w:styleId="Piedepgina">
    <w:name w:val="footer"/>
    <w:basedOn w:val="Normal"/>
    <w:link w:val="PiedepginaCar"/>
    <w:uiPriority w:val="99"/>
    <w:unhideWhenUsed/>
    <w:rsid w:val="002342A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342AA"/>
  </w:style>
  <w:style w:type="table" w:styleId="Tablaconcuadrcula">
    <w:name w:val="Table Grid"/>
    <w:basedOn w:val="Tablanormal"/>
    <w:uiPriority w:val="59"/>
    <w:rsid w:val="002342A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7254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72542"/>
    <w:rPr>
      <w:rFonts w:ascii="Segoe UI" w:hAnsi="Segoe UI" w:cs="Segoe UI"/>
      <w:sz w:val="18"/>
      <w:szCs w:val="18"/>
    </w:rPr>
  </w:style>
  <w:style w:type="paragraph" w:styleId="Prrafodelista">
    <w:name w:val="List Paragraph"/>
    <w:basedOn w:val="Normal"/>
    <w:uiPriority w:val="34"/>
    <w:qFormat/>
    <w:rsid w:val="00896C2B"/>
    <w:pPr>
      <w:ind w:left="720"/>
      <w:contextualSpacing/>
    </w:pPr>
  </w:style>
  <w:style w:type="table" w:styleId="Cuadrculaclara-nfasis5">
    <w:name w:val="Light Grid Accent 5"/>
    <w:basedOn w:val="Tablanormal"/>
    <w:uiPriority w:val="62"/>
    <w:rsid w:val="003F0626"/>
    <w:pPr>
      <w:spacing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pPr>
      <w:spacing w:line="240" w:lineRule="auto"/>
    </w:pPr>
    <w:tblPr>
      <w:tblStyleRowBandSize w:val="1"/>
      <w:tblStyleColBandSize w:val="1"/>
      <w:tblCellMar>
        <w:left w:w="108" w:type="dxa"/>
        <w:right w:w="108" w:type="dxa"/>
      </w:tblCellMar>
    </w:tblPr>
  </w:style>
  <w:style w:type="table" w:customStyle="1" w:styleId="a0">
    <w:basedOn w:val="TableNormal0"/>
    <w:pPr>
      <w:spacing w:line="240" w:lineRule="auto"/>
    </w:pPr>
    <w:tblPr>
      <w:tblStyleRowBandSize w:val="1"/>
      <w:tblStyleColBandSize w:val="1"/>
      <w:tblCellMar>
        <w:left w:w="108" w:type="dxa"/>
        <w:right w:w="108" w:type="dxa"/>
      </w:tblCellMar>
    </w:tblPr>
  </w:style>
  <w:style w:type="character" w:customStyle="1" w:styleId="Ttulo7Car">
    <w:name w:val="Título 7 Car"/>
    <w:basedOn w:val="Fuentedeprrafopredeter"/>
    <w:link w:val="Ttulo7"/>
    <w:uiPriority w:val="9"/>
    <w:semiHidden/>
    <w:rsid w:val="00EF068F"/>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F068F"/>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F068F"/>
    <w:rPr>
      <w:rFonts w:asciiTheme="majorHAnsi" w:eastAsiaTheme="majorEastAsia" w:hAnsiTheme="majorHAnsi" w:cstheme="majorBidi"/>
      <w:i/>
      <w:iCs/>
      <w:color w:val="272727" w:themeColor="text1" w:themeTint="D8"/>
      <w:sz w:val="21"/>
      <w:szCs w:val="21"/>
    </w:rPr>
  </w:style>
  <w:style w:type="character" w:styleId="Hipervnculo">
    <w:name w:val="Hyperlink"/>
    <w:basedOn w:val="Fuentedeprrafopredeter"/>
    <w:uiPriority w:val="99"/>
    <w:unhideWhenUsed/>
    <w:rsid w:val="000B1FF5"/>
    <w:rPr>
      <w:color w:val="0563C1" w:themeColor="hyperlink"/>
      <w:u w:val="single"/>
    </w:rPr>
  </w:style>
  <w:style w:type="character" w:styleId="Mencinsinresolver">
    <w:name w:val="Unresolved Mention"/>
    <w:basedOn w:val="Fuentedeprrafopredeter"/>
    <w:uiPriority w:val="99"/>
    <w:semiHidden/>
    <w:unhideWhenUsed/>
    <w:rsid w:val="000B1FF5"/>
    <w:rPr>
      <w:color w:val="605E5C"/>
      <w:shd w:val="clear" w:color="auto" w:fill="E1DFDD"/>
    </w:rPr>
  </w:style>
  <w:style w:type="character" w:styleId="Refdecomentario">
    <w:name w:val="annotation reference"/>
    <w:basedOn w:val="Fuentedeprrafopredeter"/>
    <w:uiPriority w:val="99"/>
    <w:semiHidden/>
    <w:unhideWhenUsed/>
    <w:rsid w:val="00DC7A2C"/>
    <w:rPr>
      <w:sz w:val="16"/>
      <w:szCs w:val="16"/>
    </w:rPr>
  </w:style>
  <w:style w:type="paragraph" w:styleId="Textocomentario">
    <w:name w:val="annotation text"/>
    <w:basedOn w:val="Normal"/>
    <w:link w:val="TextocomentarioCar"/>
    <w:uiPriority w:val="99"/>
    <w:unhideWhenUsed/>
    <w:rsid w:val="00DC7A2C"/>
    <w:pPr>
      <w:spacing w:line="240" w:lineRule="auto"/>
    </w:pPr>
  </w:style>
  <w:style w:type="character" w:customStyle="1" w:styleId="TextocomentarioCar">
    <w:name w:val="Texto comentario Car"/>
    <w:basedOn w:val="Fuentedeprrafopredeter"/>
    <w:link w:val="Textocomentario"/>
    <w:uiPriority w:val="99"/>
    <w:rsid w:val="00DC7A2C"/>
    <w:rPr>
      <w:rFonts w:ascii="Tahoma" w:eastAsia="Tahoma" w:hAnsi="Tahoma" w:cs="Tahoma"/>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DC7A2C"/>
    <w:rPr>
      <w:b/>
      <w:bCs/>
    </w:rPr>
  </w:style>
  <w:style w:type="character" w:customStyle="1" w:styleId="AsuntodelcomentarioCar">
    <w:name w:val="Asunto del comentario Car"/>
    <w:basedOn w:val="TextocomentarioCar"/>
    <w:link w:val="Asuntodelcomentario"/>
    <w:uiPriority w:val="99"/>
    <w:semiHidden/>
    <w:rsid w:val="00DC7A2C"/>
    <w:rPr>
      <w:rFonts w:ascii="Tahoma" w:eastAsia="Tahoma" w:hAnsi="Tahoma" w:cs="Tahoma"/>
      <w:b/>
      <w:bCs/>
      <w:color w:val="000000"/>
      <w:sz w:val="20"/>
      <w:szCs w:val="20"/>
    </w:r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pPr>
      <w:spacing w:line="240" w:lineRule="auto"/>
    </w:pPr>
    <w:tblPr>
      <w:tblStyleRowBandSize w:val="1"/>
      <w:tblStyleColBandSize w:val="1"/>
      <w:tblCellMar>
        <w:left w:w="108" w:type="dxa"/>
        <w:right w:w="108" w:type="dxa"/>
      </w:tblCellMar>
    </w:tblPr>
  </w:style>
  <w:style w:type="table" w:customStyle="1" w:styleId="a5">
    <w:basedOn w:val="TableNormal0"/>
    <w:pPr>
      <w:spacing w:line="240" w:lineRule="auto"/>
    </w:pPr>
    <w:tblPr>
      <w:tblStyleRowBandSize w:val="1"/>
      <w:tblStyleColBandSize w:val="1"/>
      <w:tblCellMar>
        <w:left w:w="108" w:type="dxa"/>
        <w:right w:w="108" w:type="dxa"/>
      </w:tblCellMar>
    </w:tblPr>
  </w:style>
  <w:style w:type="table" w:customStyle="1" w:styleId="a6">
    <w:basedOn w:val="TableNormal0"/>
    <w:pPr>
      <w:spacing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8796807">
      <w:bodyDiv w:val="1"/>
      <w:marLeft w:val="0"/>
      <w:marRight w:val="0"/>
      <w:marTop w:val="0"/>
      <w:marBottom w:val="0"/>
      <w:divBdr>
        <w:top w:val="none" w:sz="0" w:space="0" w:color="auto"/>
        <w:left w:val="none" w:sz="0" w:space="0" w:color="auto"/>
        <w:bottom w:val="none" w:sz="0" w:space="0" w:color="auto"/>
        <w:right w:val="none" w:sz="0" w:space="0" w:color="auto"/>
      </w:divBdr>
    </w:div>
    <w:div w:id="15526897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H5I0iDz/9bYU9B3yuBryuKugAEA==">CgMxLjAyCGguZ2pkZ3hzOAByITFYbVVkNmJiQ0FzZXJaSXI3TFdyMUJYcGZIT2lEWnFJZA==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2311</Words>
  <Characters>12713</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MartkmP</dc:creator>
  <cp:lastModifiedBy>Erika Parra</cp:lastModifiedBy>
  <cp:revision>5</cp:revision>
  <dcterms:created xsi:type="dcterms:W3CDTF">2025-03-06T14:47:00Z</dcterms:created>
  <dcterms:modified xsi:type="dcterms:W3CDTF">2025-04-03T06:55:00Z</dcterms:modified>
</cp:coreProperties>
</file>