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660B" w:rsidRDefault="00D4660B">
      <w:pPr>
        <w:widowControl w:val="0"/>
        <w:pBdr>
          <w:top w:val="nil"/>
          <w:left w:val="nil"/>
          <w:bottom w:val="nil"/>
          <w:right w:val="nil"/>
          <w:between w:val="nil"/>
        </w:pBdr>
        <w:spacing w:after="0" w:line="276" w:lineRule="auto"/>
      </w:pPr>
    </w:p>
    <w:p w:rsidR="00D4660B" w:rsidRDefault="00574EAC">
      <w:pPr>
        <w:jc w:val="center"/>
        <w:rPr>
          <w:b/>
        </w:rPr>
      </w:pPr>
      <w:r>
        <w:rPr>
          <w:b/>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D4660B">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D4660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jc w:val="both"/>
              <w:rPr>
                <w:rFonts w:ascii="Arial" w:eastAsia="Arial" w:hAnsi="Arial" w:cs="Arial"/>
                <w:sz w:val="24"/>
                <w:szCs w:val="24"/>
              </w:rPr>
            </w:pPr>
            <w:r>
              <w:rPr>
                <w:rFonts w:ascii="Arial" w:eastAsia="Arial" w:hAnsi="Arial" w:cs="Arial"/>
                <w:sz w:val="24"/>
                <w:szCs w:val="24"/>
              </w:rPr>
              <w:t xml:space="preserve">Efecto agudo del entrenamiento de fuerza basado en el método de  %1RM  vs los provocados en una sesión de entrenamiento mediante el método de  VMP sobre: la VFC, biomarcadores inflamatorios en una población de adultos </w:t>
            </w:r>
            <w:sdt>
              <w:sdtPr>
                <w:tag w:val="goog_rdk_0"/>
                <w:id w:val="2108150228"/>
              </w:sdtPr>
              <w:sdtContent/>
            </w:sdt>
            <w:r>
              <w:rPr>
                <w:rFonts w:ascii="Arial" w:eastAsia="Arial" w:hAnsi="Arial" w:cs="Arial"/>
                <w:sz w:val="24"/>
                <w:szCs w:val="24"/>
              </w:rPr>
              <w:t>jóvenes</w:t>
            </w:r>
            <w:r w:rsidR="00A04A16">
              <w:rPr>
                <w:rFonts w:ascii="Arial" w:eastAsia="Arial" w:hAnsi="Arial" w:cs="Arial"/>
                <w:sz w:val="24"/>
                <w:szCs w:val="24"/>
              </w:rPr>
              <w:t xml:space="preserve"> universitarios</w:t>
            </w:r>
            <w:r>
              <w:rPr>
                <w:rFonts w:ascii="Arial" w:eastAsia="Arial" w:hAnsi="Arial" w:cs="Arial"/>
                <w:sz w:val="24"/>
                <w:szCs w:val="24"/>
              </w:rPr>
              <w:t>.</w:t>
            </w:r>
          </w:p>
          <w:p w:rsidR="00D4660B" w:rsidRDefault="00D4660B">
            <w:pPr>
              <w:spacing w:after="0" w:line="240" w:lineRule="auto"/>
              <w:jc w:val="center"/>
              <w:rPr>
                <w:rFonts w:ascii="Helvetica Neue" w:eastAsia="Helvetica Neue" w:hAnsi="Helvetica Neue" w:cs="Helvetica Neue"/>
                <w:color w:val="222222"/>
                <w:sz w:val="24"/>
                <w:szCs w:val="24"/>
              </w:rPr>
            </w:pPr>
          </w:p>
        </w:tc>
      </w:tr>
      <w:tr w:rsidR="00D4660B">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Transdisciplinariedad - Aporte al PIM</w:t>
            </w:r>
          </w:p>
        </w:tc>
      </w:tr>
      <w:tr w:rsidR="00D4660B">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rPr>
              <w:t>Salud Pública: ambientes y vida saludable</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Proyección social e Investigación Pertinentes                  Focalizar y articular la investigación y la proyección social USTA Colombia con visibilidad e impacto nacional y global</w:t>
            </w:r>
          </w:p>
        </w:tc>
      </w:tr>
      <w:tr w:rsidR="00D4660B">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Articulación con funciones sustantivas y el sector social y productivo</w:t>
            </w:r>
          </w:p>
        </w:tc>
      </w:tr>
      <w:tr w:rsidR="00D4660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ind w:left="720"/>
              <w:jc w:val="both"/>
              <w:rPr>
                <w:rFonts w:ascii="Times New Roman" w:eastAsia="Times New Roman" w:hAnsi="Times New Roman" w:cs="Times New Roman"/>
                <w:sz w:val="24"/>
                <w:szCs w:val="24"/>
              </w:rPr>
            </w:pPr>
          </w:p>
          <w:p w:rsidR="00D4660B" w:rsidRDefault="00574EAC">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Establecer convenios nuevos con las instituciones pares conforme experticias, línea y campos de acción definidos</w:t>
            </w:r>
          </w:p>
          <w:p w:rsidR="00D4660B" w:rsidRDefault="00574EA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estrategias y condiciones que promuevan la visibilidad de la producción en el desarrollo de las funciones sustantivas</w:t>
            </w:r>
          </w:p>
          <w:p w:rsidR="00D4660B" w:rsidRDefault="00574EAC">
            <w:pPr>
              <w:spacing w:before="280" w:line="240" w:lineRule="auto"/>
              <w:rPr>
                <w:rFonts w:ascii="Arial" w:eastAsia="Arial" w:hAnsi="Arial" w:cs="Arial"/>
                <w:b/>
                <w:color w:val="222222"/>
                <w:sz w:val="24"/>
                <w:szCs w:val="24"/>
              </w:rPr>
            </w:pPr>
            <w:r>
              <w:rPr>
                <w:rFonts w:ascii="Times New Roman" w:eastAsia="Times New Roman" w:hAnsi="Times New Roman" w:cs="Times New Roman"/>
                <w:sz w:val="24"/>
                <w:szCs w:val="24"/>
              </w:rPr>
              <w:t xml:space="preserve">Dentro del proceso de desarrollo y formación </w:t>
            </w:r>
            <w:r>
              <w:rPr>
                <w:rFonts w:ascii="Times New Roman" w:eastAsia="Times New Roman" w:hAnsi="Times New Roman" w:cs="Times New Roman"/>
                <w:b/>
                <w:sz w:val="24"/>
                <w:szCs w:val="24"/>
              </w:rPr>
              <w:t>docente</w:t>
            </w:r>
            <w:r>
              <w:rPr>
                <w:rFonts w:ascii="Times New Roman" w:eastAsia="Times New Roman" w:hAnsi="Times New Roman" w:cs="Times New Roman"/>
                <w:sz w:val="24"/>
                <w:szCs w:val="24"/>
              </w:rPr>
              <w:t xml:space="preserve"> al incluir docentes de la universidad en el proyecto, de forma que los conocimientos y experiencia adquirida puedan hacerse extensivos a la comunidad académica pero en especial a  los estudiantes en formación tanto de pregrado como de posgrado. De igual manera, la </w:t>
            </w:r>
            <w:r>
              <w:rPr>
                <w:rFonts w:ascii="Times New Roman" w:eastAsia="Times New Roman" w:hAnsi="Times New Roman" w:cs="Times New Roman"/>
                <w:b/>
                <w:sz w:val="24"/>
                <w:szCs w:val="24"/>
              </w:rPr>
              <w:t>investigación</w:t>
            </w:r>
            <w:r>
              <w:rPr>
                <w:rFonts w:ascii="Times New Roman" w:eastAsia="Times New Roman" w:hAnsi="Times New Roman" w:cs="Times New Roman"/>
                <w:sz w:val="24"/>
                <w:szCs w:val="24"/>
              </w:rPr>
              <w:t xml:space="preserve"> como proceso de innovación al plantear nuevos métodos de intervención tanto en el deporte como en la actividad física para la salud favorece y se articula con la población en términos de</w:t>
            </w:r>
            <w:r>
              <w:rPr>
                <w:rFonts w:ascii="Times New Roman" w:eastAsia="Times New Roman" w:hAnsi="Times New Roman" w:cs="Times New Roman"/>
                <w:b/>
                <w:sz w:val="24"/>
                <w:szCs w:val="24"/>
              </w:rPr>
              <w:t xml:space="preserve"> proyección social</w:t>
            </w:r>
            <w:r>
              <w:rPr>
                <w:rFonts w:ascii="Times New Roman" w:eastAsia="Times New Roman" w:hAnsi="Times New Roman" w:cs="Times New Roman"/>
                <w:sz w:val="24"/>
                <w:szCs w:val="24"/>
              </w:rPr>
              <w:t xml:space="preserve"> ya sea para intervenir en procesos de perfeccionamiento deportivo, o de disminución de factores de riesgo cardiovasculares</w:t>
            </w:r>
            <w:r>
              <w:rPr>
                <w:rFonts w:ascii="Arial" w:eastAsia="Arial" w:hAnsi="Arial" w:cs="Arial"/>
                <w:b/>
                <w:color w:val="222222"/>
                <w:sz w:val="24"/>
                <w:szCs w:val="24"/>
              </w:rPr>
              <w:t xml:space="preserve"> </w:t>
            </w:r>
          </w:p>
        </w:tc>
      </w:tr>
      <w:tr w:rsidR="00D4660B">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D4660B" w:rsidRDefault="00574EAC">
            <w:pPr>
              <w:spacing w:after="0" w:line="240" w:lineRule="auto"/>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D4660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after="0" w:line="240" w:lineRule="auto"/>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GICAEDS</w:t>
            </w:r>
          </w:p>
        </w:tc>
      </w:tr>
      <w:tr w:rsidR="00D4660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after="0" w:line="240" w:lineRule="auto"/>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FISIOLOGÍA DE LA CONTRACCIÓN MUSCULAR Y DEL ENTRENAMIENTO DEPORTIVO</w:t>
            </w:r>
          </w:p>
        </w:tc>
      </w:tr>
    </w:tbl>
    <w:p w:rsidR="00D4660B" w:rsidRDefault="00D4660B">
      <w:pPr>
        <w:spacing w:after="0" w:line="240" w:lineRule="auto"/>
        <w:rPr>
          <w:rFonts w:ascii="Times New Roman" w:eastAsia="Times New Roman" w:hAnsi="Times New Roman" w:cs="Times New Roman"/>
          <w:sz w:val="24"/>
          <w:szCs w:val="24"/>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D4660B">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after="0" w:line="240" w:lineRule="auto"/>
              <w:jc w:val="center"/>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FELIPE RICARDO GARAVITO PEÑA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CC012A">
            <w:pPr>
              <w:spacing w:after="0" w:line="240" w:lineRule="auto"/>
              <w:jc w:val="center"/>
              <w:rPr>
                <w:rFonts w:ascii="Helvetica Neue" w:eastAsia="Helvetica Neue" w:hAnsi="Helvetica Neue" w:cs="Helvetica Neue"/>
                <w:color w:val="222222"/>
                <w:sz w:val="24"/>
                <w:szCs w:val="24"/>
              </w:rPr>
            </w:pPr>
            <w:hyperlink r:id="rId8">
              <w:r w:rsidR="00574EAC">
                <w:rPr>
                  <w:rFonts w:ascii="Arial" w:eastAsia="Arial" w:hAnsi="Arial" w:cs="Arial"/>
                  <w:color w:val="1155CC"/>
                  <w:sz w:val="18"/>
                  <w:szCs w:val="18"/>
                  <w:u w:val="single"/>
                </w:rPr>
                <w:t>https://scienti.colciencias.gov.co/cvlac/EnRecursoHumano/inicio.do</w:t>
              </w:r>
            </w:hyperlink>
          </w:p>
          <w:p w:rsidR="00D4660B" w:rsidRDefault="00D4660B">
            <w:pPr>
              <w:spacing w:after="0" w:line="240" w:lineRule="auto"/>
              <w:jc w:val="center"/>
              <w:rPr>
                <w:rFonts w:ascii="Helvetica Neue" w:eastAsia="Helvetica Neue" w:hAnsi="Helvetica Neue" w:cs="Helvetica Neue"/>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CC012A">
            <w:pPr>
              <w:spacing w:after="0" w:line="240" w:lineRule="auto"/>
              <w:jc w:val="center"/>
              <w:rPr>
                <w:rFonts w:ascii="Helvetica Neue" w:eastAsia="Helvetica Neue" w:hAnsi="Helvetica Neue" w:cs="Helvetica Neue"/>
                <w:color w:val="222222"/>
                <w:sz w:val="24"/>
                <w:szCs w:val="24"/>
              </w:rPr>
            </w:pPr>
            <w:hyperlink r:id="rId9">
              <w:r w:rsidR="00574EAC">
                <w:rPr>
                  <w:rFonts w:ascii="Arial" w:eastAsia="Arial" w:hAnsi="Arial" w:cs="Arial"/>
                  <w:b/>
                  <w:color w:val="1155CC"/>
                  <w:sz w:val="16"/>
                  <w:szCs w:val="16"/>
                  <w:u w:val="single"/>
                </w:rPr>
                <w:t>https://orcid.org/0000-0002-5545-0127</w:t>
              </w:r>
            </w:hyperlink>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CC012A">
            <w:pPr>
              <w:spacing w:after="0" w:line="240" w:lineRule="auto"/>
              <w:jc w:val="center"/>
              <w:rPr>
                <w:rFonts w:ascii="Helvetica Neue" w:eastAsia="Helvetica Neue" w:hAnsi="Helvetica Neue" w:cs="Helvetica Neue"/>
                <w:color w:val="222222"/>
                <w:sz w:val="24"/>
                <w:szCs w:val="24"/>
              </w:rPr>
            </w:pPr>
            <w:hyperlink r:id="rId10">
              <w:r w:rsidR="00574EAC">
                <w:rPr>
                  <w:rFonts w:ascii="Arial" w:eastAsia="Arial" w:hAnsi="Arial" w:cs="Arial"/>
                  <w:b/>
                  <w:color w:val="1155CC"/>
                  <w:sz w:val="16"/>
                  <w:szCs w:val="16"/>
                  <w:u w:val="single"/>
                </w:rPr>
                <w:t>https://scholar.google.es/citations?user=VNE1BmgAAAAJ&amp;hl=es</w:t>
              </w:r>
            </w:hyperlink>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CIENCIAS DE LA SALUD</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after="280" w:line="240" w:lineRule="auto"/>
              <w:jc w:val="center"/>
              <w:rPr>
                <w:rFonts w:ascii="Arial" w:eastAsia="Arial" w:hAnsi="Arial" w:cs="Arial"/>
                <w:b/>
                <w:color w:val="222222"/>
                <w:sz w:val="24"/>
                <w:szCs w:val="24"/>
              </w:rPr>
            </w:pPr>
            <w:r>
              <w:rPr>
                <w:rFonts w:ascii="Arial" w:eastAsia="Arial" w:hAnsi="Arial" w:cs="Arial"/>
                <w:b/>
                <w:color w:val="222222"/>
                <w:sz w:val="24"/>
                <w:szCs w:val="24"/>
              </w:rPr>
              <w:t>CULTURA FÍSICA, DEPORTE Y RECREACIÓN</w:t>
            </w:r>
          </w:p>
          <w:p w:rsidR="00D4660B" w:rsidRDefault="00D4660B">
            <w:pPr>
              <w:spacing w:before="280" w:line="240" w:lineRule="auto"/>
              <w:jc w:val="center"/>
              <w:rPr>
                <w:rFonts w:ascii="Arial" w:eastAsia="Arial" w:hAnsi="Arial" w:cs="Arial"/>
                <w:b/>
                <w:color w:val="222222"/>
                <w:sz w:val="24"/>
                <w:szCs w:val="24"/>
              </w:rPr>
            </w:pPr>
            <w:bookmarkStart w:id="0" w:name="_heading=h.gjdgxs" w:colFirst="0" w:colLast="0"/>
            <w:bookmarkEnd w:id="0"/>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CULTURA FÍSICA, DEPORTE Y RECREACIÓN</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GICAEDS</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color w:val="222222"/>
                <w:sz w:val="24"/>
                <w:szCs w:val="24"/>
              </w:rPr>
            </w:pPr>
            <w:r>
              <w:rPr>
                <w:rFonts w:ascii="Arial" w:eastAsia="Arial" w:hAnsi="Arial" w:cs="Arial"/>
                <w:color w:val="222222"/>
                <w:sz w:val="24"/>
                <w:szCs w:val="24"/>
              </w:rPr>
              <w:t>ANGIE IVONNE GRILLO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CC012A">
            <w:pPr>
              <w:spacing w:line="240" w:lineRule="auto"/>
              <w:jc w:val="center"/>
              <w:rPr>
                <w:rFonts w:ascii="Arial" w:eastAsia="Arial" w:hAnsi="Arial" w:cs="Arial"/>
                <w:b/>
                <w:color w:val="222222"/>
                <w:sz w:val="24"/>
                <w:szCs w:val="24"/>
              </w:rPr>
            </w:pPr>
            <w:hyperlink r:id="rId11">
              <w:r w:rsidR="00574EAC">
                <w:rPr>
                  <w:rFonts w:ascii="Arial" w:eastAsia="Arial" w:hAnsi="Arial" w:cs="Arial"/>
                  <w:b/>
                  <w:color w:val="1155CC"/>
                  <w:sz w:val="24"/>
                  <w:szCs w:val="24"/>
                  <w:u w:val="single"/>
                </w:rPr>
                <w:t>https://scienti.colciencias.gov.co/cvlac/visualizador/generarCurriculoCv.do?cod_rh=0001339267</w:t>
              </w:r>
            </w:hyperlink>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CC012A">
            <w:pPr>
              <w:spacing w:line="240" w:lineRule="auto"/>
              <w:jc w:val="center"/>
              <w:rPr>
                <w:rFonts w:ascii="Arial" w:eastAsia="Arial" w:hAnsi="Arial" w:cs="Arial"/>
                <w:b/>
                <w:color w:val="222222"/>
                <w:sz w:val="24"/>
                <w:szCs w:val="24"/>
              </w:rPr>
            </w:pPr>
            <w:hyperlink r:id="rId12" w:tgtFrame="_blank" w:history="1">
              <w:r w:rsidRPr="00CC012A">
                <w:rPr>
                  <w:rStyle w:val="Hipervnculo"/>
                  <w:rFonts w:ascii="Arial" w:eastAsia="Arial" w:hAnsi="Arial" w:cs="Arial"/>
                  <w:b/>
                  <w:sz w:val="24"/>
                  <w:szCs w:val="24"/>
                </w:rPr>
                <w:t>https://orcid.org/0000-0002-3666-7996</w:t>
              </w:r>
            </w:hyperlink>
            <w:r w:rsidRPr="00CC012A">
              <w:rPr>
                <w:rFonts w:ascii="Arial" w:eastAsia="Arial" w:hAnsi="Arial" w:cs="Arial"/>
                <w:b/>
                <w:color w:val="222222"/>
                <w:sz w:val="24"/>
                <w:szCs w:val="24"/>
              </w:rPr>
              <w:t>.</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CC012A">
            <w:pPr>
              <w:spacing w:line="240" w:lineRule="auto"/>
              <w:jc w:val="center"/>
              <w:rPr>
                <w:rFonts w:ascii="Arial" w:eastAsia="Arial" w:hAnsi="Arial" w:cs="Arial"/>
                <w:b/>
                <w:color w:val="222222"/>
                <w:sz w:val="24"/>
                <w:szCs w:val="24"/>
              </w:rPr>
            </w:pPr>
            <w:hyperlink r:id="rId13" w:tgtFrame="_blank" w:history="1">
              <w:r w:rsidRPr="00CC012A">
                <w:rPr>
                  <w:rStyle w:val="Hipervnculo"/>
                  <w:rFonts w:ascii="Arial" w:eastAsia="Arial" w:hAnsi="Arial" w:cs="Arial"/>
                  <w:b/>
                  <w:sz w:val="24"/>
                  <w:szCs w:val="24"/>
                </w:rPr>
                <w:t>https://scholar.google.es/citations?view_op=list_works&amp;hl=es&amp;user=4R6ginUAAAAJ</w:t>
              </w:r>
            </w:hyperlink>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CIENCIAS DE LA SALUD</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after="280" w:line="240" w:lineRule="auto"/>
              <w:jc w:val="center"/>
              <w:rPr>
                <w:rFonts w:ascii="Arial" w:eastAsia="Arial" w:hAnsi="Arial" w:cs="Arial"/>
                <w:b/>
                <w:color w:val="222222"/>
                <w:sz w:val="24"/>
                <w:szCs w:val="24"/>
              </w:rPr>
            </w:pPr>
            <w:r>
              <w:rPr>
                <w:rFonts w:ascii="Arial" w:eastAsia="Arial" w:hAnsi="Arial" w:cs="Arial"/>
                <w:b/>
                <w:color w:val="222222"/>
                <w:sz w:val="24"/>
                <w:szCs w:val="24"/>
              </w:rPr>
              <w:t>CULTURA FÍSICA, DEPORTE Y RECREACIÓN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CULTURA FÍSICA, DEPORTE Y RECREACIÓN</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GICAEDS</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D4660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line="240" w:lineRule="auto"/>
              <w:jc w:val="center"/>
              <w:rPr>
                <w:rFonts w:ascii="Arial" w:eastAsia="Arial" w:hAnsi="Arial" w:cs="Arial"/>
                <w:b/>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1"/>
        <w:tblW w:w="14983" w:type="dxa"/>
        <w:tblInd w:w="0" w:type="dxa"/>
        <w:tblLayout w:type="fixed"/>
        <w:tblLook w:val="0400" w:firstRow="0" w:lastRow="0" w:firstColumn="0" w:lastColumn="0" w:noHBand="0" w:noVBand="1"/>
      </w:tblPr>
      <w:tblGrid>
        <w:gridCol w:w="7491"/>
        <w:gridCol w:w="7492"/>
      </w:tblGrid>
      <w:tr w:rsidR="00D4660B">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D4660B">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jc w:val="both"/>
              <w:rPr>
                <w:rFonts w:ascii="Helvetica Neue" w:eastAsia="Helvetica Neue" w:hAnsi="Helvetica Neue" w:cs="Helvetica Neue"/>
              </w:rPr>
            </w:pPr>
            <w:r>
              <w:rPr>
                <w:rFonts w:ascii="Helvetica Neue" w:eastAsia="Helvetica Neue" w:hAnsi="Helvetica Neue" w:cs="Helvetica Neue"/>
              </w:rPr>
              <w:t>Fuerza, velocidad media propulsiva, variabilidad cardiaca, IL6- IL10-IL13,TNF, marcadores inflamatorios</w:t>
            </w: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2"/>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Problema de investigación</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En el contexto del deporte la fuerza es importante en todas las disciplinas deportivas y un factor determinante del rendimiento en la mayoría de ellas, lo cual ha conducido a que en la actualidad  el entrenamiento en fuerza muscular se constituya en uno de los pilares fundamentales del entrenamiento bien sea con miras al rendimiento deportivo o la condición física.  En el campo de la actividad física y salud  la función muscular ha sido identificada como un predictor independiente de hospitalización, discapacidad, factor de riesgo para múltiples enfermedades y  muerte  (1) (2).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Las acciones musculares dinámicas y la velocidad del movimiento son componentes esenciales de la producción de energía, necesaria para mantener funciones vitales y de grandes costos energéticos. Por lo tanto, el incremento de fuerza muscular junto con la velocidad componentes de la ecuación de la potencia muscular, implica una capacidad importante de la aptitud física general.</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El entrenamiento para mejorar las capacidades musculares es un tema de gran importancia y a la vez muy controvertido, debido a que se han utilizado una gran variedad de métodos con diferentes aproximaciones teóricas y metodológicas (tipo de ejercicio, frecuencia, intensidad y volumen) que conducen a resultados contradictorios.  González Badillo y Gorostiaga (3) indican que los métodos de entrenamiento de la fuerza se han desarrollado desde dos perspectivas  la primera a un conocimiento adquirido a través de la experiencia que han tenido los entrenadores a lo largo del tiempo con los deportistas y el segundo es derivado de los estudios científicos.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De allí surge el entrenamiento a un porcentaje determinado  de la 1RM, método que ha a través de diversas estudios ha  aportado evidencias empíricas de sus efectos en el mejoramiento de la fuerza, sin embargo  han surgido una serie de cuestionamientos como la dificultad para cuantificar y controlar de manera objetiva la carga real, las adaptaciones neuromusculares que se generan de mejor manera mediante movimientos rápidos, las lesiones por el trabajo con altos pesos y su cuestionada la incidencia para el desarrollo de la potencia.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El avance  y la comprensión de  los  conocimientos de los  aspectos mecánicos, fisiológicos y neuromusculares  subyacentes a diferentes estímulos de entrenamiento de fuerza, condujo  desde hace  algunos años a una transformación  en el paradigma del entrenamiento de la fuerza en relación con la  velocidad de ejecución y la magnitud de la carga. La velocidad con que  se ejecuta un movimiento en el entrenamiento en fuerza  es de gran importancia debido a que es un factor determinante  de la intensidad. A mayor velocidad de ejecución de una misma carga más elevada será la intensidad, lo cual tendrá efectos sobre el entrenamiento</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4). Los efectos que se producen a nivel de la estructura muscular y de la activación neuromuscular dependen del grado y tipo de estimulación que se aplique.</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,(4) (5, 6) </w:t>
            </w:r>
            <w:proofErr w:type="gramStart"/>
            <w:r>
              <w:rPr>
                <w:rFonts w:ascii="Helvetica Neue" w:eastAsia="Helvetica Neue" w:hAnsi="Helvetica Neue" w:cs="Helvetica Neue"/>
                <w:color w:val="222222"/>
                <w:sz w:val="24"/>
                <w:szCs w:val="24"/>
              </w:rPr>
              <w:t>aseguran</w:t>
            </w:r>
            <w:proofErr w:type="gramEnd"/>
            <w:r>
              <w:rPr>
                <w:rFonts w:ascii="Helvetica Neue" w:eastAsia="Helvetica Neue" w:hAnsi="Helvetica Neue" w:cs="Helvetica Neue"/>
                <w:color w:val="222222"/>
                <w:sz w:val="24"/>
                <w:szCs w:val="24"/>
              </w:rPr>
              <w:t xml:space="preserve"> que entrenar a una determinada velocidad de ejecución es más acertado y beneficioso en cuanto a ganancias de fuerza.  Sin embargo estos dos tipos de entrenamiento en fuerza no solo generan efectos a nivel neuromuscular, se producen igualmente una serie de respuestas metabólicas y fisiológicas que son necesarias de observar como es el caso de los efectos cardiovasculares y los biomarcadores  inflamatorios.</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lastRenderedPageBreak/>
              <w:t>La variabilidad cardiaca (VFC) es una variable cardiovascular clave que se ha relacionado con la funcionalidad del sistema nervioso autónomo y la mortalidad cardiovascular. Investigaciones recientes determinan a la VFC como un indicador fisiológico del estrés durante el ejercicio y de recuperación pos ejercicio</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7) Aunque la VFC es un método prometedor y objetivo para rastrear las respuestas de los atletas, la mayoría de las investigaciones se han centrado en el entrenamiento aeróbico, y muy  pocos estudios han examinado  los efectos agudos y crónicos del entrenamiento de fuerza. En la revisión de la literatura se reportan pocos estudios dedicados a observar el efecto agudo que genera el entrenamiento en fuerza sobre VFC. Se identificaron dieciocho estudios basados en el en el entrenamiento con el método de %1RM y ninguno en relación con el método de VMP, o que compare el efecto agudo de estos dos métodos de entrenamientos en fuerza. Es decir se desconocen los efectos de este tipo de entrenamiento e fuerza sobre la VFC.</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Por otra parte si bien es cierto se ha demostrado que el ejercicio físico regular promueve efectos antiinflamatorios en el músculo esquelético (8) existe controversia al respecto. Se ha observado que El ejercicio intenso induce  un aumento de los niveles de una serie de citoquinas pro y antiinflamatorias, inhibidores de citoquinas naturales y quimiocinas. Por lo tanto, después de un ejercicio intenso se observa un incremento en  los niveles plasmáticos de TNF, IL -1beta, receptores de TNF (TNF-R), IL-10, IL-8 y la proteína inflamatoria de macrófagos (MIP) -1.(9)  Por ejemplo,  la concentración de  IL-6 puEde llegar a incrementarse hasta cien veces después de una carrera de larga duración. Existe gran cantidad de estudios sobre los efectos de ejercicio aeróbico de larga duración en el incremento de las concentraciones de IL-6; IL-10 IL-13 y NTF, pero muy pocos sobre el entrenamiento en fuerza. En el campo de la fuerza  se ha los efectos del  ejercicio excéntrico y concéntrico (10, 11) pero se desconocen  los efectos que puede generar sobre estos marcadores inflamatorios un  entrenamiento en fuerza al 80% y uno basado en la VMP.</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¿Qué efectos agudos genera una sesión de  entrenamiento de fuerza al 80% de  1RM vs  el uno  basado en la  VMP sobre la  VFC y los biomarcadores inflamatorios (IL6, IL10, IL13, y TNF)?</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Justificación</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jc w:val="both"/>
              <w:rPr>
                <w:rFonts w:ascii="Arial" w:eastAsia="Arial" w:hAnsi="Arial" w:cs="Arial"/>
              </w:rPr>
            </w:pPr>
            <w:r>
              <w:rPr>
                <w:rFonts w:ascii="Arial" w:eastAsia="Arial" w:hAnsi="Arial" w:cs="Arial"/>
                <w:sz w:val="24"/>
                <w:szCs w:val="24"/>
              </w:rPr>
              <w:t xml:space="preserve">Este proyecto aporta a la consolidación teórica y metodológica del grupo de investigación, en el tema del desarrollo de la fuerza, en los contextos de la salud y deporte. Problemática  que el grupo  ha venido trabajando desde hace más de diez años. El presente estudio no solo  se articula a investigaciones previas realizadas por el grupo, es el resultado de la identificación de nuevos problemas de investigación que surgieron de las investigaciones anteriores: </w:t>
            </w:r>
            <w:r>
              <w:rPr>
                <w:rFonts w:ascii="Arial" w:eastAsia="Arial" w:hAnsi="Arial" w:cs="Arial"/>
                <w:b/>
                <w:i/>
                <w:sz w:val="24"/>
                <w:szCs w:val="24"/>
              </w:rPr>
              <w:t>“Efectos de la velocidad de ejecución en el entrenamiento de fuerza sobre la masa muscular, la densidad ósea, la activación neuromuscular e indicadores de potencia y fuerza maxima”</w:t>
            </w:r>
            <w:r>
              <w:rPr>
                <w:rFonts w:ascii="Arial" w:eastAsia="Arial" w:hAnsi="Arial" w:cs="Arial"/>
                <w:b/>
                <w:sz w:val="24"/>
                <w:szCs w:val="24"/>
              </w:rPr>
              <w:t>,</w:t>
            </w:r>
            <w:r>
              <w:rPr>
                <w:rFonts w:ascii="Arial" w:eastAsia="Arial" w:hAnsi="Arial" w:cs="Arial"/>
                <w:sz w:val="24"/>
                <w:szCs w:val="24"/>
              </w:rPr>
              <w:t xml:space="preserve"> proyecto que se encuentra en </w:t>
            </w:r>
            <w:r>
              <w:rPr>
                <w:rFonts w:ascii="Arial" w:eastAsia="Arial" w:hAnsi="Arial" w:cs="Arial"/>
                <w:sz w:val="24"/>
                <w:szCs w:val="24"/>
              </w:rPr>
              <w:lastRenderedPageBreak/>
              <w:t xml:space="preserve">la fase de elaboración de dos artículos, y que fue realizado en cooperación con la Universidad de Ciencias Aplicadas y Ambientales UDCA y la Universidad Santo Tomas; </w:t>
            </w:r>
            <w:r>
              <w:rPr>
                <w:rFonts w:ascii="Arial" w:eastAsia="Arial" w:hAnsi="Arial" w:cs="Arial"/>
                <w:b/>
                <w:i/>
                <w:sz w:val="24"/>
                <w:szCs w:val="24"/>
              </w:rPr>
              <w:t>“Efectos de un programa de entrenamiento de fuerza basado en % de 1RM y uno de velocidad de ejecución, sobre la potencia máxima, velocidad, salto y calidad muscular en mujeres futbolistas”</w:t>
            </w:r>
            <w:r>
              <w:rPr>
                <w:rFonts w:ascii="Arial" w:eastAsia="Arial" w:hAnsi="Arial" w:cs="Arial"/>
                <w:i/>
                <w:sz w:val="24"/>
                <w:szCs w:val="24"/>
              </w:rPr>
              <w:t xml:space="preserve"> </w:t>
            </w:r>
            <w:r>
              <w:rPr>
                <w:rFonts w:ascii="Arial" w:eastAsia="Arial" w:hAnsi="Arial" w:cs="Arial"/>
                <w:sz w:val="24"/>
                <w:szCs w:val="24"/>
              </w:rPr>
              <w:t xml:space="preserve">del cual hay un artículo ya publicado en revista Q3 y otro que se encuentra en evaluación en una revista Q3, y dos ponencias internacionales  proyecto que fue realizado en colaboración con la Universidad de Santo Tomas; </w:t>
            </w:r>
            <w:r>
              <w:rPr>
                <w:rFonts w:ascii="Arial" w:eastAsia="Arial" w:hAnsi="Arial" w:cs="Arial"/>
                <w:b/>
                <w:i/>
                <w:sz w:val="24"/>
                <w:szCs w:val="24"/>
              </w:rPr>
              <w:t>“Efectos de  entrenamientos de fuerza vs  potencia, sobre la capacidad funcional y la calidad muscular de adultos mayores</w:t>
            </w:r>
            <w:r>
              <w:rPr>
                <w:rFonts w:ascii="Helvetica Neue" w:eastAsia="Helvetica Neue" w:hAnsi="Helvetica Neue" w:cs="Helvetica Neue"/>
              </w:rPr>
              <w:t>”, del cual hay dos artículos en Q3 en proceso de evaluación, y fue presentado en dos congresos internacionales y uno nacional.”</w:t>
            </w:r>
            <w:r>
              <w:rPr>
                <w:rFonts w:ascii="Arial" w:eastAsia="Arial" w:hAnsi="Arial" w:cs="Arial"/>
                <w:b/>
                <w:i/>
                <w:sz w:val="24"/>
                <w:szCs w:val="24"/>
              </w:rPr>
              <w:t>Asociación entre marcadores metabólicos, composición corporal, y diferentes manifestaciones de la fuerza en adultos jóvenes”,</w:t>
            </w:r>
            <w:r>
              <w:rPr>
                <w:rFonts w:ascii="Arial" w:eastAsia="Arial" w:hAnsi="Arial" w:cs="Arial"/>
                <w:sz w:val="24"/>
                <w:szCs w:val="24"/>
              </w:rPr>
              <w:t xml:space="preserve"> del cual existen dos artículos publicados en revistas colombianas categorizadas en B, y dos ponencias internacionales.</w:t>
            </w:r>
            <w:r>
              <w:rPr>
                <w:rFonts w:ascii="Arial" w:eastAsia="Arial" w:hAnsi="Arial" w:cs="Arial"/>
              </w:rPr>
              <w:t xml:space="preserve"> </w:t>
            </w:r>
          </w:p>
          <w:p w:rsidR="00CC012A" w:rsidRPr="000C62E0" w:rsidRDefault="000C62E0">
            <w:pPr>
              <w:jc w:val="both"/>
              <w:rPr>
                <w:rFonts w:ascii="Arial" w:eastAsia="Helvetica Neue" w:hAnsi="Arial" w:cs="Arial"/>
                <w:color w:val="222222"/>
                <w:sz w:val="24"/>
                <w:szCs w:val="24"/>
              </w:rPr>
            </w:pPr>
            <w:r w:rsidRPr="000C62E0">
              <w:rPr>
                <w:rFonts w:ascii="Arial" w:eastAsia="Helvetica Neue" w:hAnsi="Arial" w:cs="Arial"/>
                <w:color w:val="222222"/>
                <w:sz w:val="24"/>
                <w:szCs w:val="24"/>
              </w:rPr>
              <w:t>Para la presente convocatoria el proyecto aporta desde la conformación de redes interinstitucionales pues se realiza en convenio con la Universidad Pedagógica Nacional (Laboratorio de Fisiología del Ejercicio) y la Universidad Nacional (Facultad de Fisioterapia, laboratorio de Equipos Comunes de Medicina). En este sentido, se abrirán espacios para el análisis de muestras biológicas, lo cual complementa la labor de los laboratorios de pruebas funcionales de la Universidad Santo Tomás y de la UPN. Finalmente, la conformación de dichas redes favorece la categorización del grupo de investigación frente a métricas colciencias.</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bookmarkStart w:id="1" w:name="_GoBack"/>
            <w:bookmarkEnd w:id="1"/>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4"/>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jc w:val="both"/>
              <w:rPr>
                <w:rFonts w:ascii="Arial" w:eastAsia="Arial" w:hAnsi="Arial" w:cs="Arial"/>
                <w:sz w:val="24"/>
                <w:szCs w:val="24"/>
              </w:rPr>
            </w:pPr>
            <w:r>
              <w:rPr>
                <w:rFonts w:ascii="Arial" w:eastAsia="Arial" w:hAnsi="Arial" w:cs="Arial"/>
                <w:sz w:val="24"/>
                <w:szCs w:val="24"/>
              </w:rPr>
              <w:t>Determinar los  efectos  agudos causados en  una sesión de entrenamiento de fuerza basado en el método de  %1RM  vs los provocados en una sesión de entrenamiento mediante el método de  VMP sobre: la VFC, biomarcadores inflamatorios en una población de adultos jóvenes.</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Objetivos específicos</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574EAC">
            <w:pPr>
              <w:jc w:val="both"/>
              <w:rPr>
                <w:rFonts w:ascii="Arial" w:eastAsia="Arial" w:hAnsi="Arial" w:cs="Arial"/>
                <w:sz w:val="24"/>
                <w:szCs w:val="24"/>
              </w:rPr>
            </w:pPr>
            <w:r>
              <w:rPr>
                <w:rFonts w:ascii="Arial" w:eastAsia="Arial" w:hAnsi="Arial" w:cs="Arial"/>
                <w:sz w:val="24"/>
                <w:szCs w:val="24"/>
              </w:rPr>
              <w:t>En una población de jóvenes universitarios identificar:</w:t>
            </w:r>
          </w:p>
          <w:p w:rsidR="00D4660B" w:rsidRDefault="00574EAC">
            <w:pPr>
              <w:numPr>
                <w:ilvl w:val="0"/>
                <w:numId w:val="1"/>
              </w:numPr>
              <w:pBdr>
                <w:top w:val="nil"/>
                <w:left w:val="nil"/>
                <w:bottom w:val="nil"/>
                <w:right w:val="nil"/>
                <w:between w:val="nil"/>
              </w:pBdr>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Los efectos agudos sobre la VFC, IL-6; IL10 IL-13 y NTF generados por  un entrenamiento basado 80%RM</w:t>
            </w:r>
          </w:p>
          <w:p w:rsidR="00D4660B" w:rsidRDefault="00574EAC">
            <w:pPr>
              <w:numPr>
                <w:ilvl w:val="0"/>
                <w:numId w:val="1"/>
              </w:numPr>
              <w:pBdr>
                <w:top w:val="nil"/>
                <w:left w:val="nil"/>
                <w:bottom w:val="nil"/>
                <w:right w:val="nil"/>
                <w:between w:val="nil"/>
              </w:pBdr>
              <w:spacing w:after="0" w:line="240" w:lineRule="auto"/>
              <w:jc w:val="both"/>
              <w:rPr>
                <w:rFonts w:ascii="Arial" w:eastAsia="Arial" w:hAnsi="Arial" w:cs="Arial"/>
                <w:color w:val="000000"/>
                <w:sz w:val="24"/>
                <w:szCs w:val="24"/>
              </w:rPr>
            </w:pPr>
            <w:r>
              <w:rPr>
                <w:rFonts w:ascii="Arial" w:eastAsia="Arial" w:hAnsi="Arial" w:cs="Arial"/>
                <w:color w:val="000000"/>
                <w:sz w:val="24"/>
                <w:szCs w:val="24"/>
              </w:rPr>
              <w:t>Los efectos agudos sobre la VFC, IL-6; IL10 IL-13 y NTF generados por  un entrenamiento basado en la VMP.</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6"/>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En la últimas dos décadas el entrenamiento en fuerza a sufrido una gran transformación cuando al concepto tradicional de intensidad determinado por un porcentaje de la 1RM, se le contrapuso la  velocidad de ejecución como componente para determinar  la intensidad del entrenamiento de fuerza. (5) .(12-14) (15) plantean que cuando se mueve una carga a la mayor velocidad, ésta producirá una mayor potencia y un mayor índice de trabajo, razón por la cual se afirman la intensidad del ejercicio varía con relación a la velocidad de ejecución, es decir, a mayor velocidad mayor será la intensidad y el efecto neuromuscular del entrenamiento. Por ende, cuando se realizan movimientos a menor velocidad, generan una disminución de la fuerza rápida (16). Estos estudios concluyen  que la velocidad de ejecución es determinante para desarrollar y aumentar la potencia y la fuerza máxima muscular por el nivel de adaptaciones neuromusculares y estructurales que se logran en la fibra muscular, lo cual  mejora sustancialmente  la capacidad para movilizar cargas durante el entrenamiento. (17).</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La velocidad de ejecución cambia con respecto a las cargas, en donde se evidencia que se reducirá la velocidad pico en función del aumento de la carga externa. Y el aumento de la magnitud de la carga externa será el aumento del tiempo de ejecución total de cada repetición. Se  sugiere que el entrenamiento en potencia, genera una mayor activación neuronal que el entrenamiento con cargas altas. De acuerdo a lo reportado en estudios donde emplearon la  medición de la actividad electromiografía integrada (EMG) parte del rendimiento mejorado de la potencia muscular podría provenir de adaptaciones neuromusculares, tales como,  mayor inhibición de los músculos antagonistas, mejor contracción sinérgica del músculo, aumento en la activación de los músculos sinergistas, inhibición de los mecanismos de protección neuronal y / o una mayor excitabilidad de las </w:t>
            </w:r>
            <w:proofErr w:type="gramStart"/>
            <w:r>
              <w:rPr>
                <w:rFonts w:ascii="Helvetica Neue" w:eastAsia="Helvetica Neue" w:hAnsi="Helvetica Neue" w:cs="Helvetica Neue"/>
                <w:color w:val="222222"/>
                <w:sz w:val="24"/>
                <w:szCs w:val="24"/>
              </w:rPr>
              <w:t>motoneuronas(</w:t>
            </w:r>
            <w:proofErr w:type="gramEnd"/>
            <w:r>
              <w:rPr>
                <w:rFonts w:ascii="Helvetica Neue" w:eastAsia="Helvetica Neue" w:hAnsi="Helvetica Neue" w:cs="Helvetica Neue"/>
                <w:color w:val="222222"/>
                <w:sz w:val="24"/>
                <w:szCs w:val="24"/>
              </w:rPr>
              <w:t>18) . Otro posible mecanismo de adaptación neuronal debida al entrenamiento de fuerza realizado a alta velocidad, es la frecuencia de desconexión de la unidad motora y mayor sincronización y activación de las unidades motoras. (19)</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En el entrenamiento con cargas superiores al 80% del 1RM ocurre un fenómeno denominado “sticking region” o “sticking period</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20), en donde se especifica como la primera pérdida de velocidad de la barra durante la fase ascendente. Además relacionan esta región a una falta de eficiencia mecánica o fallo muscular originada a que no aplicó la aceleración suficiente (20)</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El entrenamiento de fuerza genera efectos agudos y crónicos, a nivel cardiovascular y uno de los más destacados  y que ha generado gran interés  es la variabilidad de la frecuencia cardiaca  (VFC),  por su importancia en la determinación del balance autonómico del sistema </w:t>
            </w:r>
            <w:proofErr w:type="gramStart"/>
            <w:r>
              <w:rPr>
                <w:rFonts w:ascii="Helvetica Neue" w:eastAsia="Helvetica Neue" w:hAnsi="Helvetica Neue" w:cs="Helvetica Neue"/>
                <w:color w:val="222222"/>
                <w:sz w:val="24"/>
                <w:szCs w:val="24"/>
              </w:rPr>
              <w:t>nervioso(</w:t>
            </w:r>
            <w:proofErr w:type="gramEnd"/>
            <w:r>
              <w:rPr>
                <w:rFonts w:ascii="Helvetica Neue" w:eastAsia="Helvetica Neue" w:hAnsi="Helvetica Neue" w:cs="Helvetica Neue"/>
                <w:color w:val="222222"/>
                <w:sz w:val="24"/>
                <w:szCs w:val="24"/>
              </w:rPr>
              <w:t xml:space="preserve">21-23). La VFC está influenciada por cambios en el medio interno y externo como por ejemplo la temperatura, el consumo de cafeína, alcohol y  la actividad física.(24)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Las variaciones en la frecuencia cardíaca pueden evaluarse por varios métodos Quizás las más sencillas de realizar son las medidas del dominio del tiempo. Con estos métodos, se determina la frecuencia cardíaca en cualquier momento o los intervalos entre complejos normales sucesivos. En un registro </w:t>
            </w:r>
            <w:r>
              <w:rPr>
                <w:rFonts w:ascii="Helvetica Neue" w:eastAsia="Helvetica Neue" w:hAnsi="Helvetica Neue" w:cs="Helvetica Neue"/>
                <w:color w:val="222222"/>
                <w:sz w:val="24"/>
                <w:szCs w:val="24"/>
              </w:rPr>
              <w:lastRenderedPageBreak/>
              <w:t>electrocardiográfico (ECG) continuo, se detecta cada complejo QRS y los llamados intervalos de normal a normal (NN) (es decir, todos los intervalos entre complejos QRS adyacentes resultantes de despolarizaciones del nódulo sinusal), o la frecuencia cardíaca instantánea. Las variables simples en el dominio del tiempo que pueden calcularse incluyen el intervalo NN medio, la frecuencia cardíaca media, la diferencia entre el intervalo NN más largo y el más corto, la diferencia entre la frecuencia cardíaca diurna y diurna, etc</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25) .La VFC determinada por las variaciones del tiempo de latido a latido en la frecuencia cardíaca, es el resultado del control dinámico del sistema cardiovascular gobernado por las actividades nerviosas simpáticas y parasimpáticas.(26).</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Esta medida no invasiva ha atraído un gran interés debido a su correlación significativa del estado de salud y la morbilidad cardiovascular (27), el estado de bienestar y el desequilibrio esfuerzo-recuperación (28) y la mortalidad por todas las causas (29) (15).</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El análisis de la VFC se ha utilizado ampliamente en las ciencias del deporte para evaluar el control autónomo de la frecuencia cardíaca (FC) en reposo (30, 31) (32) y durante el ejercicio moderado (33) (34), pero ha sido poco estudiada  durante el ejercicio intenso (es decir, con la intensidad del ejercicio por encima del umbral ventilatorio).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En sujetos sanos, el análisis espectral de grabaciones de VFC a corto plazo (5-20 min) proporciona dos picos de frecuencia principales: un pico de alta frecuencia (AF) correspondiente con la frecuencia de respiración (FR), entre 0,2 Hz en reposo y  1 Hz durante el ejercicio intenso Este fenómeno se llama "arritmia sinusal respiratoria" (ASR). El pico de HF resultante principalmente de los cambios en el búfer barorreflejo inducidos por el efecto mecánico de la </w:t>
            </w:r>
            <w:proofErr w:type="gramStart"/>
            <w:r>
              <w:rPr>
                <w:rFonts w:ascii="Helvetica Neue" w:eastAsia="Helvetica Neue" w:hAnsi="Helvetica Neue" w:cs="Helvetica Neue"/>
                <w:color w:val="222222"/>
                <w:sz w:val="24"/>
                <w:szCs w:val="24"/>
              </w:rPr>
              <w:t>respiración(</w:t>
            </w:r>
            <w:proofErr w:type="gramEnd"/>
            <w:r>
              <w:rPr>
                <w:rFonts w:ascii="Helvetica Neue" w:eastAsia="Helvetica Neue" w:hAnsi="Helvetica Neue" w:cs="Helvetica Neue"/>
                <w:color w:val="222222"/>
                <w:sz w:val="24"/>
                <w:szCs w:val="24"/>
              </w:rPr>
              <w:t>35) y mediado por la actividad del sistema nervioso parasimpático cardíaco (SNP)(36) (37). El pico  baja frecuencia (BF) (cerca de 0.1 Hz) que es inducido tanto por el sistema nervioso simpático (SNS) como por el control cardiovascular  (25) Durante el ejercicio incremental se presenta  un aumento en el tono simpático y la retirada de la actividad parasimpática.(38)</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Los avances tecnológicos en la electromiografía y el uso de monitores de ritmo cardiaco permitió estudiar  el comportamiento de la VFC durante la actividad física para determinar objetivamente los cambios generados por la actividad física, observar  el desequilibrio autonómico en el sistema nervioso en atletas sobreentrenados(39), determinar el estado de los deportistas tras los entrenamientos realizados y de esta forma ajustar las cargas de entrenamiento, diagnosticar y prevenir el cansancio, caracterizar aspectos emocionales como ansiedad y estrés precompetitivo (40).</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Algunos autores han sugerido que la VFC puede medir la acumulación de fatiga inducida por el entrenamiento que puede ocurrir durante los períodos de alta tensión de entrenamiento sin una recuperación adecuada. El  meta análisis realizado por (41) concluye que  los aumentos en los índices vagales de VFC en reposo y post-ejercicio, en la frecuencia cardiaca de reposo (FCR) post-ejercicio y  la aceleración de FC son evidentes cuando se produce una adaptación positiva al entrenamiento, lo que permite aumentos en el rendimiento. Sin embargo, los aumentos en la VFC y la FCR después del ejercicio también se producen en respuesta a la sobrecarga del entrenamiento, lo que demuestra que pueden ser necesarias medidas adicionales de tolerancia al entrenamiento para determinar si los cambios inducidos por el entrenamiento en estos parámetros están relacionados con adaptaciones positivas o negativas. Que la VFC en reposo no se ve afectada en gran medida por las sobrecargas, aunque esto puede ser el resultado de problemas metodológicos que justifican una mayor investigación. Finalmente que la aceleración de la FC parece disminuir en respuesta al entrenamiento excesivo, por lo que puede ser un indicador potencial de fatiga inducida por el entrenamiento.</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lastRenderedPageBreak/>
              <w:t>Las investigaciones enfocadas en los efectos provocados en VFC tras el  entrenamiento de fuerza están centradas especialmente en el método del porcentaje de una repetición máxima como se puede observar en el estudio de (42) en donde se realizó un entrenamiento basado en la realización de 10 repeticiones máximas y se observa una diferencia significativa en el cambio del intervalo R-R después de la prueba(43)  en otros estudios se centran en conocer las diferencias entre varios  porcentajes de 1RM al igual que con  diferente número  de series y la variación en el orden de diferentes ejercicios (43-46)</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(44) realizaron una intervención utilizando cargas superiores al 70% y al 50%  de  una 1RM e identificaron que las cargas altas pueden producir una alteración transitoria en la modulación autonómica cardíaca, que puede representar un aumento en el riesgo cardiovascular, lo que no ocurre cuando se utilizan cargas  del 50% de 1-RM. De esta forma, la prescripción del ejercicio de fuerza con el 50% de 1-RM puede ser una importante estrategia para minimizar el riesgo en aquellos individuos que presentan mayor riesgo cardiovascular. (47, 48) en poblaciones con adultos jóvenes normotensos y adultos mayores no identificaron cambios significativos en la VFC luego de un  entrenamiento de fuerza  a largo plazo.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función principal de las citoquinas es regular la función inmune. Sin embargo, sus efectos también tienen una gran influencia en la proliferación, diferenciación, migración, supervivencia y apoptosis celular, lo que implica un papel importante en el control homeostático de diversos tejidos, órganos y sistemas. (49) Las citoquinas son una familia diversa de moléculas de señalización intracelular que regulan la inflamación y respuestas inmunes (50), son producidas por una variedad de células y generalmente actúan de manera autocrina o paracrina en concentraciones muy bajas en los tejidos. La inflamación localizada suele ser una respuesta de protección fisiológica a la lesión tisular inicial (51). Sin embargo, una respuesta elevada puede provocar la liberación de citoquinas en la circulación, que se convierte en patógena, autodestructiva y, a veces, fatal para el huésped (50, 51). Sin embargo, la producción de citoquinas está modulada por una serie de estímulos fisiológicos como el ejercicio intenso, las hormonas del estrés, el déficit energético y el estrés oxidativo.(52)</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Las citoquinas se clasifican en pro inflamatoria o antiinflamatoria de acuerdo a su comportamiento. Como mecanismo regulador para restablecer la homeostasis se liberan en la circulación citoquinas antiinflamatorias que amortiguan la cascada de citoquinas proinflamatorias (53) Las principales citoquinas antiinflamatorias son: interleuquina (IL) IL-4, IL-10, IL11 e IL-13, que inhiben la producción de citoquinas proinflamatorias (54). También juegan este rol la IL-6, el antagonista del receptor IL-1 (IL-1ra), la proteína quimioatrayente de monocitos (MCP-1) que puede actuar indirectamente como una citoquina antiinflamatoria al inhibir la producción de IL-12(55) La IL-12 una citoquina proinflamatoria que cumple una función inmunomoduladora, que activa la inmunidad celular, (56) sin embargo, la subunidad p40 libre de IL-12 puede actuar indirectamente como una citoquina antiinflamatoria por inhibición de las acciones de IL-12  (Heinzel et al. 1997).Pero aún no son claros los efectos del ejercicio sobre biomarcadores sistémicos inflamatorios. (8). Y las proinflamatorias TNF-α, IL-1ß, IL-2,  IL-6, IL-8, IL-12, IFN-γ.</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IL-6 tiene múltiples funciones, como estimular el sistema inmunológico, mantener la homeostasis metabólica y actuar con propiedades pro y antiinflamatorias (57 36) (58 34) La IL-6 induce la salida de glucosa hepática y la lipólisis lo que indica que la IL-6 puede representar un vínculo importante entre la contracción de los músculos esqueléticos y los cambios metabólicos relacionados con el ejercicio.(9)</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El músculo esquelético ha sido identificado recientemente como un órgano endocrino que produce y libera citoquinas y otros péptidos, que son producidos, expresados y liberados por las fibras musculares en respuesta a la contracción muscular, los cuales ejercen efectos paracrinos, autocrinos o endocrinos, (53) y pueden influir en el metabolismo de otros tejidos y órganos.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El ejercicio intenso induce el aumento en los niveles en una serie de citoquinas pro y antiinflamatorias, inhibidores de citoquinas naturales y quimiocinas. Por lo tanto, después de un ejercicio intenso se observa niveles plasmáticos elevados de factor de necrosis tumoral (TNF) -alfa, IL-1 beta, antagonista del receptor de IL-1 (IL-1ra), receptores de TNF (TNF-R), IL-6,IL-10, IL-8 y la proteína inflamatoria de macrófagos (MIP) -1 (56) Aunque muchas de estas citoquinas también se expresan en el músculo esquelético , no todas se liberan a la circulación durante el ejercicio(49)</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IL-6 se produce localmente en respuesta al ejercicio al contraer los músculos esqueléticos, la liberación neta del músculo hacia el plasma puede explicar el aumento de la concentración arterial. (59) De todas las citoquinas que se producen en respuesta al ejercicio, la IL-6 es la que presenta los mayores incrementos</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9). La magnitud de la respuesta de IL-6 inducida por el ejercicio depende de la intensidad y especialmente de la duración del ejercicio, mientras que el tipo de ejercicio tiene poco efecto (60) Una reciente revisión realizada por (49) sobre los cambios en las concentraciones circulantes de citoquinas después del ejercicio, indican que dichas modificaciones  generalmente dependen de la combinación de la duración, intensidad y tipo de ejercicio. En consecuencia, una disminución de la concentración plasmática de IL-6 en reposo, así como en respuesta al ejercicio, parece caracterizar la adaptación al entrenamiento (61)</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El ejercicio físico realizado de forma regular puede generar efectos antiinflamatorios en el músculo esquelético y en el tejido adiposo Una gran cantidad de estudios han reportado concentraciones plasmáticas elevadas de citoquinas antiinflamatorias como IL-1ra, IL-4, IL-10, IL-12p40 y MCP-1 después de varias formas de ejercicio, incluido el de corta duración  (62, 63), de fuerza   (64) (65), carrera cuesta abajo (66, 67), ciclismo excéntrico intenso (68) y carrera de ciclismo de resistencia;(63, 69-71) Por otra parte (72-75) Indican que  la respuesta de estas citoquinas no es tan significativa durante y después del ejercicio intenso de corta duración (49, 72), o el ejercicio de contracción excéntrica (76) (77, 78),(79). Estas respuestas no dependen del daño muscular inducido por el ejercicio, pero están relacionadas con la intensidad del ejercicio (carga / estrés fisiológico)</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 xml:space="preserve">53, 72, 80).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Las concentraciones  de IL-6 en el plasma aumentan  con el ejercicio. Sin embargo parece ser que es el ejercicio de resistencia es el que produce mayor incremento en la concentración plasmática (53, 81). La IL-6 circulante puede aumentar hasta 120 veces, la IL-1ra (hasta 90), IL-10 (hasta 80), IL-8 (</w:t>
            </w:r>
            <w:proofErr w:type="gramStart"/>
            <w:r>
              <w:rPr>
                <w:rFonts w:ascii="Helvetica Neue" w:eastAsia="Helvetica Neue" w:hAnsi="Helvetica Neue" w:cs="Helvetica Neue"/>
                <w:color w:val="222222"/>
                <w:sz w:val="24"/>
                <w:szCs w:val="24"/>
              </w:rPr>
              <w:t>15 )</w:t>
            </w:r>
            <w:proofErr w:type="gramEnd"/>
            <w:r>
              <w:rPr>
                <w:rFonts w:ascii="Helvetica Neue" w:eastAsia="Helvetica Neue" w:hAnsi="Helvetica Neue" w:cs="Helvetica Neue"/>
                <w:color w:val="222222"/>
                <w:sz w:val="24"/>
                <w:szCs w:val="24"/>
              </w:rPr>
              <w:t xml:space="preserve"> y la  proteína quimioatrayente de monocitos (MCP-1) (hasta 3)(52, 82, 83). En reposo, el contenido de ARNm de IL-6 es muy bajo, sin embargo en respuesta al ejercicio, se puede detectar un aumento del contenido de ARNm de IL-6 en el músculo esquelético después de 30 minutos de ejercicio, y al final del ejercicio puede haber un aumento de hasta 100.</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En cuanto  a la modalidad (excéntrico o concéntrico) en que se ejerce la contracción muscular igualmente se han identificado diferencias en las respuestas de las citoquinas. Protocolos con ejercicios  excéntricos,  (84</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(10, 85), o combinados  (concéntrico y excéntrico) (86) (69)o  concéntrico puro (87) (11) indican que en general, es el ejercicio excéntrico donde se presentan las concentraciones más elevadas de IL-6 en plasma. Esta diferencia se ha atribuido al daño muscular inducido por el ejercicio excéntrico (88). Sin embargo, estudios recientes no han apoyado este hallazgo y es probable que la IL-6 se produzca como consecuencia directa de las contracciones musculares concéntricas y excéntricas y esté involucrada en los mecanismos de reparación posteriores en relación con el daño muscular.(59)</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lastRenderedPageBreak/>
              <w:t>Existe una variabilidad individual sustancial en la magnitud de los cambios en estas citoquinas en plasma después del ejercicio.</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7"/>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Población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población estará compuesta por 40 participantes adultos jóvenes entre 18-23 años  (20 hombres y 20 mujeres) que deseen participar voluntariamente en el estudio y  que  cumplan  con los criterios de inclusión como no presentar  limitaciones físicas, problemas de salud o lesiones músculo esqueléticas que pudieran afectar las pruebas, que no sean fumadores, ni estén consumiendo medicamentos o suplementos nutricionales, que realicen actividad física regular reglada, y que no hayan realizado entrenamiento de fuerza.   El estudio fue diseñado siguiendo las normas deontológicas reconocidas por la Declaración de Helsinki (89) y la resolución 008430 de 1993 del Ministerio de Salud de Colombia (90). Los participantes serán  informadas de los detalles y objetivos del estudio, de la confidencialidad de la información y de su uso exclusivo para fines científicos y deberán  firmar el consentimiento informado. El proyecto será presentado ante el comité de ética de la investigación  de la universidad  para obtener su aprobación.</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evaluación de las variables del estudio se realizará en tres sesiones separadas por 72 horas de recuperación, durante este tiempo ningún evaluado puede realizar algún tipo de entrenamiento.  La organización y secuencia de las pruebas se llevará a cabo como se presenta en la tabla 1. Las pruebas se realizaron siempre a la misma hora por los efectos que tienen los ritmos circadianos en el rendimiento neuromuscular y en la VFC (91, 92). Se realizará una sesión introductoria para la evaluación de la composición corporal, y la familiarización con las pruebas enfatizando en la técnica de ejecución.</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Antes de la valoración de cada prueba se llevará a cabo un calentamiento general con una duración total de 10 minutos distribuidos de la siguiente manera,  5 minutos de trote en banda a una velocidad a 8 km/h y 5 minutos de estiramientos activos y movilidad articular. Seguidamente un calentamiento específico de trabajo en la máquina Smith con el solo peso de la barra.</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Tabla 1  Organización de las pruebas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lastRenderedPageBreak/>
              <w:t>PRUEBAS DÍA 1</w:t>
            </w:r>
            <w:r>
              <w:rPr>
                <w:rFonts w:ascii="Helvetica Neue" w:eastAsia="Helvetica Neue" w:hAnsi="Helvetica Neue" w:cs="Helvetica Neue"/>
                <w:color w:val="222222"/>
                <w:sz w:val="24"/>
                <w:szCs w:val="24"/>
              </w:rPr>
              <w:tab/>
            </w:r>
            <w:r>
              <w:rPr>
                <w:rFonts w:ascii="Helvetica Neue" w:eastAsia="Helvetica Neue" w:hAnsi="Helvetica Neue" w:cs="Helvetica Neue"/>
                <w:color w:val="222222"/>
                <w:sz w:val="24"/>
                <w:szCs w:val="24"/>
              </w:rPr>
              <w:tab/>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1.Identificación de la fuerza máxima  en press de pecho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PRUEBAS DÍA 2</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 Identificación de la fuerza máxima  en sentadilla profunda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Pruebas día 3</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Identificación de la fuerza máxima  en press inclinado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La estatura  se medirá con una precisión de 0,5 cm durante una inhalación máxima utilizando un estadiómetro (Seca 202, Seca Ltd., Hamburg, Germany). El peso corporal con una báscula electrónica  (Healht Metter 599 KL IL. </w:t>
            </w:r>
            <w:proofErr w:type="gramStart"/>
            <w:r>
              <w:rPr>
                <w:rFonts w:ascii="Helvetica Neue" w:eastAsia="Helvetica Neue" w:hAnsi="Helvetica Neue" w:cs="Helvetica Neue"/>
                <w:color w:val="222222"/>
                <w:sz w:val="24"/>
                <w:szCs w:val="24"/>
              </w:rPr>
              <w:t>USA )</w:t>
            </w:r>
            <w:proofErr w:type="gramEnd"/>
            <w:r>
              <w:rPr>
                <w:rFonts w:ascii="Helvetica Neue" w:eastAsia="Helvetica Neue" w:hAnsi="Helvetica Neue" w:cs="Helvetica Neue"/>
                <w:color w:val="222222"/>
                <w:sz w:val="24"/>
                <w:szCs w:val="24"/>
              </w:rPr>
              <w:t xml:space="preserve"> con 0.50 grs. de precisión.</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Fuerza máxima.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fuerza máxima de tren superior e inferior se valorará mediante el método de 1RM en una máquina Smith, que permite el desplazamiento vertical de la barra a lo largo de una trayectoria fija, con una fuerza de fricción muy baja entre la barra y los carriles de soporte. La máquina Smith no dispone de ningún tipo de mecanismo de contrapeso, actuando idéntico a pesos libres (es decir, carga isoinercial)</w:t>
            </w:r>
            <w:proofErr w:type="gramStart"/>
            <w:r>
              <w:rPr>
                <w:rFonts w:ascii="Helvetica Neue" w:eastAsia="Helvetica Neue" w:hAnsi="Helvetica Neue" w:cs="Helvetica Neue"/>
                <w:color w:val="222222"/>
                <w:sz w:val="24"/>
                <w:szCs w:val="24"/>
              </w:rPr>
              <w:t>.(</w:t>
            </w:r>
            <w:proofErr w:type="gramEnd"/>
            <w:r>
              <w:rPr>
                <w:rFonts w:ascii="Helvetica Neue" w:eastAsia="Helvetica Neue" w:hAnsi="Helvetica Neue" w:cs="Helvetica Neue"/>
                <w:color w:val="222222"/>
                <w:sz w:val="24"/>
                <w:szCs w:val="24"/>
              </w:rPr>
              <w:t xml:space="preserve">93) Se realizará un calentamiento específico utilizando únicamente el peso de la barra, efectuando 3 series de 8 repeticiones y después de 3 minutos de recuperación se procede a estimar la fuerza máxima.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Durante la ejecución de las prueba los participantes  observarán los resultados de la velocidad en cada repetición y serán motivadas por los evaluadores para que realicen su mejor esfuerzo.</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Los miembros superiores se evaluaran mediante el test de press de banca plano y el inclinado utilizando el protocolo propuesto por Sanchez-Medina, Perez, &amp; González-Badillo (2010) (14)  Acostados en un banco plano  en   posición supina  y  con los pies apoyados en el banco,  las manos colocadas en la barra ligeramente más abierta que el ancho de los  hombros (5-7cm). Se medirá  la amplitud del agarre de manera que puedan ser reproducidos por cada sujeto en cada serie. Los participantes fueron instruidos para que desciendan la barra de forma lenta y controlada  hasta llegar a 1 centímetro de la parte superior de la apófisis xifoide y esperar en estado de alerta, hasta que escuche  la orden del evaluador de realizar la extensión de los brazos a máxima velocidad sin elevar el tronco y los hombros del banco. La pausa debe tener una duración  de aproximadamente 1,5s   (5) esto con el fin de evitar el efecto de rebote y permitir mediciones más reproducibles y consistentes. Durante toda la prueba los participantes  observarán los resultados de la velocidad en cada repetición y serán  motivados por los evaluadores para que realizaran su mejor esfuerzo.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El test iniciará con una carga de 10kg y se ejecutarán cuatro repeticiones, seguidamente se realizarán  incrementos progresivos del 5kg  con los que se llevarán a cabo  tres  repeticiones con cada peso,  hasta que la velocidad media propulsiva  (VMP) alcanzada sea inferior a 0,50 m•s-1. (94) A partir de ese momento, los  incrementos  serán  de 1 a 2  </w:t>
            </w:r>
            <w:proofErr w:type="gramStart"/>
            <w:r>
              <w:rPr>
                <w:rFonts w:ascii="Helvetica Neue" w:eastAsia="Helvetica Neue" w:hAnsi="Helvetica Neue" w:cs="Helvetica Neue"/>
                <w:color w:val="222222"/>
                <w:sz w:val="24"/>
                <w:szCs w:val="24"/>
              </w:rPr>
              <w:t>kg ,</w:t>
            </w:r>
            <w:proofErr w:type="gramEnd"/>
            <w:r>
              <w:rPr>
                <w:rFonts w:ascii="Helvetica Neue" w:eastAsia="Helvetica Neue" w:hAnsi="Helvetica Neue" w:cs="Helvetica Neue"/>
                <w:color w:val="222222"/>
                <w:sz w:val="24"/>
                <w:szCs w:val="24"/>
              </w:rPr>
              <w:t xml:space="preserve"> ejecutando dos repeticiones con cada peso  hasta  cuando las participantes sean incapaces de realizar la extensión a 180° y la VMP sea inferior o igual a 0.20ms. La última carga que cada sujeto pueda levantar correctamente hasta la extensión completa, se considerará como su 1RM.  Este mismo protocolo se utilizará en el press inclinado cambia únicamente la posición. Los descansos entre series serán de tres minutos para cargas inferiores al 80% de la RM estimada y de 5 minutos para cargas superiores al 80% de la RM estimada.(5); Fernandez &amp; Hoyos 2017;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CC012A">
            <w:pPr>
              <w:spacing w:after="0" w:line="240" w:lineRule="auto"/>
              <w:jc w:val="both"/>
              <w:rPr>
                <w:rFonts w:ascii="Helvetica Neue" w:eastAsia="Helvetica Neue" w:hAnsi="Helvetica Neue" w:cs="Helvetica Neue"/>
                <w:color w:val="222222"/>
                <w:sz w:val="24"/>
                <w:szCs w:val="24"/>
              </w:rPr>
            </w:pPr>
            <w:sdt>
              <w:sdtPr>
                <w:tag w:val="goog_rdk_1"/>
                <w:id w:val="492145068"/>
              </w:sdtPr>
              <w:sdtContent>
                <w:r w:rsidR="00574EAC">
                  <w:rPr>
                    <w:rFonts w:ascii="Arial Unicode MS" w:eastAsia="Arial Unicode MS" w:hAnsi="Arial Unicode MS" w:cs="Arial Unicode MS"/>
                    <w:color w:val="222222"/>
                    <w:sz w:val="24"/>
                    <w:szCs w:val="24"/>
                  </w:rPr>
                  <w:t>La fuerza máxima de miembros inferiores se evaluará mediante sentadilla profunda utilizando el mismo protocolo que el descrito anteriormente pero se iniciará con una carga de 20kg, con incrementos de 10kg. , hasta que la velocidad media propulsiva (VMP) alcanzada sea inferior a 0,60 m•s-1  A partir de ese momento, los  incrementos  serán de 3-5kg. Los sujetos iniciarán desde una posición vertical con las rodillas y las caderas totalmente extendidas, y los pies separados al ancho de los hombros y la barra  debe descansar sobre los trapecios a nivel del acromion. Esta posición se verificará  cuidadosamente de manera que pueda  ser reproducida en cada serie. Por razones de estandarización y seguridad, los participantes deberán descender  de forma controlada con una  velocidad media de la barra de (~ 0.50– 0.70m • s − 1) hasta obtener  una flexion en  las rodillas que conduzca  a un ángulo tibiofemoral de 35–45 ° en el plano sagital, el cual será  medido con  un goniómetro (Nexgen Ergonomics, Point Claire, Quebec, Canadá) para lograr  una sentadilla profunda(95), al llegar a dicha posición deberan realizar una pausa de 1.5 s. y ante la orden del evaludor ejecutar una extensión a maxima velocidad. Para el registro, control de la velocidad de desplazamiento de la barra, se utilizará un transductor lineal de velocidad (T-FORCE DynamicMeasurement System2, Ergotech Consulting S.L., Murcia, España) que proporcionó retroalimentación auditiva y visual en tiempo real con una velocidad de muestreo de 1000Hz, que determina automáticamente las fases excéntricas y concéntricas de cada repetición, así como la fase propulsora de la fase concéntrica durante la cual la aceleración de la barra es mayor que la aceleración debida a la gravedad.(94)</w:t>
                </w:r>
              </w:sdtContent>
            </w:sdt>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VMP que se utilizará en las sesiones de entrenamiento se obtendrá a partir de los resultados alcanzados en la prueba de 1 RM, en los tres tipos de ejercicio, los participantes   ejecutarán dos repeticiones en cada movimiento con  cargas equivalentes al 40-50-60-70-80 % de la 1RM.  Utilizando para su ejecución  los protocolos mencionados anteriormente (94) Los descansos entre series serán de tres minutos.  Para el cálculo de la VMP y la potencia pico, se utilizó un transductor lineal de velocidad (T-FORCE DynamicMeasurement System2, ErgotechConsulting S.L., Murcia, España)</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Intervención </w:t>
            </w:r>
          </w:p>
          <w:p w:rsidR="00D4660B" w:rsidRDefault="00CC012A">
            <w:pPr>
              <w:spacing w:after="0" w:line="240" w:lineRule="auto"/>
              <w:jc w:val="both"/>
              <w:rPr>
                <w:rFonts w:ascii="Helvetica Neue" w:eastAsia="Helvetica Neue" w:hAnsi="Helvetica Neue" w:cs="Helvetica Neue"/>
                <w:color w:val="222222"/>
                <w:sz w:val="24"/>
                <w:szCs w:val="24"/>
              </w:rPr>
            </w:pPr>
            <w:sdt>
              <w:sdtPr>
                <w:tag w:val="goog_rdk_2"/>
                <w:id w:val="-125080813"/>
              </w:sdtPr>
              <w:sdtContent>
                <w:r w:rsidR="00574EAC">
                  <w:rPr>
                    <w:rFonts w:ascii="Arial Unicode MS" w:eastAsia="Arial Unicode MS" w:hAnsi="Arial Unicode MS" w:cs="Arial Unicode MS"/>
                    <w:color w:val="222222"/>
                    <w:sz w:val="24"/>
                    <w:szCs w:val="24"/>
                  </w:rPr>
                  <w:t xml:space="preserve">Se llevará a cabo una semana de adaptación y mejora de la técnica de ejecución de los tipos de ejercicios a realizar. Finalizado este proceso los sujetos realizarán una sesión de entrenamiento en press de banca, press inclinado y sentadilla profunda, con una carga que pueda ser movilizada a una velocidad máxima de 0.40ms−1 (La cual fue obtenida previamente en cada sujeto y en cada movimiento) y ejecutarán 4 series de 10-12  repeticiones en cada movimiento, dejando tres minutos de recuperación entre cada serie y seis entre cada tipo de ejercicio. </w:t>
                </w:r>
                <w:r w:rsidR="00574EAC">
                  <w:rPr>
                    <w:rFonts w:ascii="Arial Unicode MS" w:eastAsia="Arial Unicode MS" w:hAnsi="Arial Unicode MS" w:cs="Arial Unicode MS"/>
                    <w:color w:val="222222"/>
                    <w:sz w:val="24"/>
                    <w:szCs w:val="24"/>
                  </w:rPr>
                  <w:lastRenderedPageBreak/>
                  <w:t xml:space="preserve">72 después realizarán una sesión de entrenamiento con los mismos tipos de ejercicios y protocolos de ejecución, con una carga que pueda ser movilizada a una velocidad máxima de 0.80ms−1 (La cual fue obtenida previamente en cada sujeto y en cada movimiento) y  ejecutarán 4 series y repeticiones hasta que se presente una pérdida del 10% de la VMP.  Se dejarán  tres minutos de recuperación  entre cada serie y seis entre cada tipo de ejercicio.  </w:t>
                </w:r>
              </w:sdtContent>
            </w:sdt>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Antes de cada sesión realizarán un calentamiento general y otro específico como se describió anteriormente. La ejecución de los movimientos se realizará atendiendo los mismos protocolos  que se describieron anteriormente para la evaluación.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Para el monitoreo y registro de la VFC se implementará el siguiente protocolo.</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Los participantes siempre realizarán las sesiones de entrenamiento a la misma hora. Se le indicará a los sujetos que ingieran alimentos dos horas antes de la sesión, que no realicen, ejercicios moderados o intensos e ingirieran alcohol por al menos 48 horas de antelación, y de cafeína en las últimas 12 horas, que durmiesen en horarios reglados. Adicionalmente, las sesiones experimentales serán implementadas en días donde los participantes presenten  rutinas semejantes.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CC012A">
            <w:pPr>
              <w:spacing w:after="0" w:line="240" w:lineRule="auto"/>
              <w:jc w:val="both"/>
              <w:rPr>
                <w:rFonts w:ascii="Helvetica Neue" w:eastAsia="Helvetica Neue" w:hAnsi="Helvetica Neue" w:cs="Helvetica Neue"/>
                <w:color w:val="222222"/>
                <w:sz w:val="24"/>
                <w:szCs w:val="24"/>
              </w:rPr>
            </w:pPr>
            <w:sdt>
              <w:sdtPr>
                <w:tag w:val="goog_rdk_3"/>
                <w:id w:val="300971723"/>
              </w:sdtPr>
              <w:sdtContent>
                <w:r w:rsidR="00574EAC">
                  <w:rPr>
                    <w:rFonts w:ascii="Arial Unicode MS" w:eastAsia="Arial Unicode MS" w:hAnsi="Arial Unicode MS" w:cs="Arial Unicode MS"/>
                    <w:color w:val="222222"/>
                    <w:sz w:val="24"/>
                    <w:szCs w:val="24"/>
                  </w:rPr>
                  <w:t>En cada sesión experimental, al ingresar al laboratorio los participantes permanecerán sentados en reposo  por 10 minutos a una  temperatura de 20-25 ◦C. Acto seguido, se mide la frecuencia cardíaca por un lapso de  10 minutos continuos, por medio de un electrocardiógrafo (Cardiax ) (período pre intervención). Tras las mediciones de reposo, se realizará las sesiones de entrenamiento que serán igualmente registradas y grabadas  (período intervención). Al finalizar, los participantes retornan a la posición de reposo sentados por 60 minutos (período pos intervención). La frecuencia cardíaca se obtendrá en intervalos de 10 minutos.</w:t>
                </w:r>
              </w:sdtContent>
            </w:sdt>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Análisis de la variabilidad de la frecuencia cardíaca </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La modulación autonómica del sistema cardiovascular se obtendrá  por medio de la técnica de análisis espectral de la variabilidad de la frecuencia cardíaca. Se utilizarán los intervalos R-R obtenidos con el cardiax.  De esta manera, períodos estacionarios del tacograma con al menos 500 latidos, se descompondrán en  bandas de baja (BF) y alta (AF) frecuencias por el método autorregresivo, para lo cual se utilizara el software Kubios VFC (Finlandia), de conformidad a las recomendaciones del Task Force de Análisis Espectral. Se consideraran como fisiológicamente significativas las frecuencias entre 0,04 y 0,4 Hz, teniendo en cuenta que  el componente de BF es representado por las oscilaciones entre 0,04 y 0,15 Hz y el de AF por las oscilaciones entre 0,15 y 0,4 Hz.</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Marcadores inflamatorios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lastRenderedPageBreak/>
              <w:t>Se tomarán  muestras de sangre de 5 ml de la vena antecubital en tubos Vacutainer. Estas muestras se centrifugaran a 2500 rev min71 a 48ºC durante 20 min. Las muestras se almacenaran en alícuotas en tubos Eppendorff a 7808C hasta su análisis. El factor de necrosis tumoralα (TNFα), y las  interleuquinas 6</w:t>
            </w:r>
            <w:proofErr w:type="gramStart"/>
            <w:r>
              <w:rPr>
                <w:rFonts w:ascii="Helvetica Neue" w:eastAsia="Helvetica Neue" w:hAnsi="Helvetica Neue" w:cs="Helvetica Neue"/>
                <w:color w:val="222222"/>
                <w:sz w:val="24"/>
                <w:szCs w:val="24"/>
              </w:rPr>
              <w:t>,10,13</w:t>
            </w:r>
            <w:proofErr w:type="gramEnd"/>
            <w:r>
              <w:rPr>
                <w:rFonts w:ascii="Helvetica Neue" w:eastAsia="Helvetica Neue" w:hAnsi="Helvetica Neue" w:cs="Helvetica Neue"/>
                <w:color w:val="222222"/>
                <w:sz w:val="24"/>
                <w:szCs w:val="24"/>
              </w:rPr>
              <w:t xml:space="preserve">  se determinarán mediante el método ELISA. Todas las muestras se determinaran por duplicado para garantizar la precisión de los resultados. Las citoquinas y los biomarcadores se evaluarán: antes, al finalizar y 1h después de  cada sesión de entrenamiento.  (96-98) (60) (52)</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lastRenderedPageBreak/>
              <w:t>Resultados esperados</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Se espera obtener un perfil diferenciado que determine como es el comportamiento de los diferentes factores pro y antiinflamatorios que repercuten sobre el sistema nervioso autónomo desde diferentes protocolos de ejercicio. De esta manera, se pueden determinar los programas de entrenamiento más eficientes teniendo en cuenta la respuesta de carga interna frente a los estímulos estresores provocados por el entrenamiento.</w:t>
            </w:r>
          </w:p>
          <w:p w:rsidR="00D4660B" w:rsidRDefault="00574EAC">
            <w:pPr>
              <w:spacing w:after="0" w:line="240" w:lineRule="auto"/>
              <w:jc w:val="both"/>
              <w:rPr>
                <w:rFonts w:ascii="Helvetica Neue" w:eastAsia="Helvetica Neue" w:hAnsi="Helvetica Neue" w:cs="Helvetica Neue"/>
                <w:color w:val="222222"/>
                <w:sz w:val="24"/>
                <w:szCs w:val="24"/>
              </w:rPr>
            </w:pPr>
            <w:r>
              <w:rPr>
                <w:rFonts w:ascii="Helvetica Neue" w:eastAsia="Helvetica Neue" w:hAnsi="Helvetica Neue" w:cs="Helvetica Neue"/>
                <w:color w:val="222222"/>
                <w:sz w:val="24"/>
                <w:szCs w:val="24"/>
              </w:rPr>
              <w:t xml:space="preserve"> </w:t>
            </w: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p w:rsidR="00D4660B" w:rsidRDefault="00D4660B">
            <w:pPr>
              <w:spacing w:after="0" w:line="240" w:lineRule="auto"/>
              <w:jc w:val="both"/>
              <w:rPr>
                <w:rFonts w:ascii="Helvetica Neue" w:eastAsia="Helvetica Neue" w:hAnsi="Helvetica Neue" w:cs="Helvetica Neue"/>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p w:rsidR="00D4660B" w:rsidRDefault="00D4660B">
      <w:pPr>
        <w:spacing w:after="0" w:line="240" w:lineRule="auto"/>
        <w:rPr>
          <w:rFonts w:ascii="Times New Roman" w:eastAsia="Times New Roman" w:hAnsi="Times New Roman" w:cs="Times New Roman"/>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D4660B">
      <w:pPr>
        <w:spacing w:after="0" w:line="240" w:lineRule="auto"/>
        <w:rPr>
          <w:rFonts w:ascii="Times New Roman" w:eastAsia="Times New Roman" w:hAnsi="Times New Roman" w:cs="Times New Roman"/>
          <w:b/>
          <w:color w:val="000000"/>
          <w:sz w:val="24"/>
          <w:szCs w:val="24"/>
        </w:rPr>
      </w:pPr>
    </w:p>
    <w:p w:rsidR="00D4660B" w:rsidRDefault="00574EA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Cronograma 2020</w:t>
      </w:r>
    </w:p>
    <w:p w:rsidR="00D4660B" w:rsidRDefault="00D4660B">
      <w:pPr>
        <w:spacing w:after="240" w:line="240" w:lineRule="auto"/>
        <w:rPr>
          <w:rFonts w:ascii="Times New Roman" w:eastAsia="Times New Roman" w:hAnsi="Times New Roman" w:cs="Times New Roman"/>
          <w:sz w:val="24"/>
          <w:szCs w:val="24"/>
        </w:rPr>
      </w:pPr>
    </w:p>
    <w:tbl>
      <w:tblPr>
        <w:tblStyle w:val="a8"/>
        <w:tblW w:w="9469" w:type="dxa"/>
        <w:tblInd w:w="0" w:type="dxa"/>
        <w:tblLayout w:type="fixed"/>
        <w:tblLook w:val="0400" w:firstRow="0" w:lastRow="0" w:firstColumn="0" w:lastColumn="0" w:noHBand="0" w:noVBand="1"/>
      </w:tblPr>
      <w:tblGrid>
        <w:gridCol w:w="4326"/>
        <w:gridCol w:w="520"/>
        <w:gridCol w:w="565"/>
        <w:gridCol w:w="432"/>
        <w:gridCol w:w="556"/>
        <w:gridCol w:w="521"/>
        <w:gridCol w:w="503"/>
        <w:gridCol w:w="440"/>
        <w:gridCol w:w="521"/>
        <w:gridCol w:w="538"/>
        <w:gridCol w:w="547"/>
      </w:tblGrid>
      <w:tr w:rsidR="00D4660B">
        <w:trPr>
          <w:trHeight w:val="860"/>
        </w:trPr>
        <w:tc>
          <w:tcPr>
            <w:tcW w:w="4326"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FASE</w:t>
            </w:r>
          </w:p>
        </w:tc>
        <w:tc>
          <w:tcPr>
            <w:tcW w:w="52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FEB</w:t>
            </w:r>
          </w:p>
        </w:tc>
        <w:tc>
          <w:tcPr>
            <w:tcW w:w="565"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MAR</w:t>
            </w:r>
          </w:p>
        </w:tc>
        <w:tc>
          <w:tcPr>
            <w:tcW w:w="432"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AB</w:t>
            </w:r>
          </w:p>
        </w:tc>
        <w:tc>
          <w:tcPr>
            <w:tcW w:w="556"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MAY</w:t>
            </w:r>
          </w:p>
        </w:tc>
        <w:tc>
          <w:tcPr>
            <w:tcW w:w="521"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JUN</w:t>
            </w:r>
          </w:p>
        </w:tc>
        <w:tc>
          <w:tcPr>
            <w:tcW w:w="503"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JUL</w:t>
            </w:r>
          </w:p>
        </w:tc>
        <w:tc>
          <w:tcPr>
            <w:tcW w:w="44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AG</w:t>
            </w:r>
          </w:p>
        </w:tc>
        <w:tc>
          <w:tcPr>
            <w:tcW w:w="521"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SEP</w:t>
            </w:r>
          </w:p>
        </w:tc>
        <w:tc>
          <w:tcPr>
            <w:tcW w:w="538"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OCT</w:t>
            </w:r>
          </w:p>
        </w:tc>
        <w:tc>
          <w:tcPr>
            <w:tcW w:w="547"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NOV</w:t>
            </w:r>
          </w:p>
        </w:tc>
      </w:tr>
      <w:tr w:rsidR="00D4660B">
        <w:trPr>
          <w:trHeight w:val="40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Capacitación</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X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60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Selección de la población</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78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Aplicación de Criterios de Inclusión</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60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Pilotaje de Protocolos</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116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Firma de actas de inicio y legalización de documentos</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98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lastRenderedPageBreak/>
              <w:t xml:space="preserve">Fase experimental </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98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Análisis de muestras de Laboratorio ELISA</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X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X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60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Análisis bases de datos</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r>
      <w:tr w:rsidR="00D4660B">
        <w:trPr>
          <w:trHeight w:val="60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Socialización de Resultados</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xml:space="preserve"> X</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D4660B">
            <w:pPr>
              <w:spacing w:after="0" w:line="240" w:lineRule="auto"/>
              <w:rPr>
                <w:rFonts w:ascii="Times New Roman" w:eastAsia="Times New Roman" w:hAnsi="Times New Roman" w:cs="Times New Roman"/>
                <w:sz w:val="24"/>
                <w:szCs w:val="24"/>
              </w:rPr>
            </w:pPr>
          </w:p>
        </w:tc>
      </w:tr>
      <w:tr w:rsidR="00D4660B">
        <w:trPr>
          <w:trHeight w:val="400"/>
        </w:trPr>
        <w:tc>
          <w:tcPr>
            <w:tcW w:w="43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both"/>
              <w:rPr>
                <w:rFonts w:ascii="Times New Roman" w:eastAsia="Times New Roman" w:hAnsi="Times New Roman" w:cs="Times New Roman"/>
                <w:sz w:val="24"/>
                <w:szCs w:val="24"/>
              </w:rPr>
            </w:pPr>
            <w:r>
              <w:rPr>
                <w:rFonts w:ascii="Arial" w:eastAsia="Arial" w:hAnsi="Arial" w:cs="Arial"/>
                <w:b/>
                <w:color w:val="000000"/>
                <w:sz w:val="16"/>
                <w:szCs w:val="16"/>
              </w:rPr>
              <w:t>Informe Final</w:t>
            </w:r>
          </w:p>
        </w:tc>
        <w:tc>
          <w:tcPr>
            <w:tcW w:w="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 </w:t>
            </w:r>
          </w:p>
        </w:tc>
        <w:tc>
          <w:tcPr>
            <w:tcW w:w="5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4660B" w:rsidRDefault="00574EAC">
            <w:pPr>
              <w:spacing w:after="0" w:line="240" w:lineRule="auto"/>
              <w:jc w:val="center"/>
              <w:rPr>
                <w:rFonts w:ascii="Times New Roman" w:eastAsia="Times New Roman" w:hAnsi="Times New Roman" w:cs="Times New Roman"/>
                <w:sz w:val="24"/>
                <w:szCs w:val="24"/>
              </w:rPr>
            </w:pPr>
            <w:r>
              <w:rPr>
                <w:rFonts w:ascii="Arial" w:eastAsia="Arial" w:hAnsi="Arial" w:cs="Arial"/>
                <w:b/>
                <w:color w:val="000000"/>
                <w:sz w:val="16"/>
                <w:szCs w:val="16"/>
              </w:rPr>
              <w:t>X</w:t>
            </w:r>
          </w:p>
        </w:tc>
      </w:tr>
    </w:tbl>
    <w:p w:rsidR="00D4660B" w:rsidRDefault="00D4660B">
      <w:pPr>
        <w:spacing w:after="0" w:line="240" w:lineRule="auto"/>
        <w:rPr>
          <w:rFonts w:ascii="Times New Roman" w:eastAsia="Times New Roman" w:hAnsi="Times New Roman" w:cs="Times New Roman"/>
          <w:b/>
          <w:sz w:val="24"/>
          <w:szCs w:val="24"/>
        </w:rPr>
      </w:pPr>
    </w:p>
    <w:p w:rsidR="00D4660B" w:rsidRDefault="00D4660B">
      <w:pPr>
        <w:spacing w:after="0" w:line="240" w:lineRule="auto"/>
        <w:rPr>
          <w:rFonts w:ascii="Times New Roman" w:eastAsia="Times New Roman" w:hAnsi="Times New Roman" w:cs="Times New Roman"/>
          <w:sz w:val="24"/>
          <w:szCs w:val="24"/>
        </w:rPr>
      </w:pPr>
    </w:p>
    <w:tbl>
      <w:tblPr>
        <w:tblStyle w:val="a9"/>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D4660B">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4660B" w:rsidRDefault="00574EAC">
            <w:pPr>
              <w:ind w:left="-108" w:right="-108"/>
              <w:jc w:val="center"/>
              <w:rPr>
                <w:b/>
                <w:sz w:val="20"/>
                <w:szCs w:val="20"/>
              </w:rPr>
            </w:pPr>
            <w:r>
              <w:rPr>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4660B" w:rsidRDefault="00574EAC">
            <w:pPr>
              <w:jc w:val="center"/>
              <w:rPr>
                <w:b/>
                <w:sz w:val="20"/>
                <w:szCs w:val="20"/>
              </w:rPr>
            </w:pPr>
            <w:r>
              <w:rPr>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4660B" w:rsidRDefault="00574EAC">
            <w:pPr>
              <w:jc w:val="center"/>
              <w:rPr>
                <w:b/>
                <w:sz w:val="20"/>
                <w:szCs w:val="20"/>
              </w:rPr>
            </w:pPr>
            <w:r>
              <w:rPr>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D4660B" w:rsidRDefault="00574EAC">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D4660B" w:rsidRDefault="00574EAC">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D4660B" w:rsidRDefault="00574EAC">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D4660B">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D4660B" w:rsidRDefault="00574EAC">
            <w:pPr>
              <w:jc w:val="center"/>
              <w:rPr>
                <w:b/>
                <w:sz w:val="20"/>
                <w:szCs w:val="20"/>
              </w:rPr>
            </w:pPr>
            <w:r>
              <w:rPr>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574EAC">
            <w:pPr>
              <w:jc w:val="both"/>
              <w:rPr>
                <w:sz w:val="20"/>
                <w:szCs w:val="20"/>
              </w:rPr>
            </w:pPr>
            <w:r>
              <w:rPr>
                <w:sz w:val="20"/>
                <w:szCs w:val="20"/>
              </w:rPr>
              <w:t>15.0000.000</w:t>
            </w:r>
          </w:p>
        </w:tc>
        <w:tc>
          <w:tcPr>
            <w:tcW w:w="1843" w:type="dxa"/>
            <w:tcBorders>
              <w:top w:val="single" w:sz="4" w:space="0" w:color="000000"/>
              <w:left w:val="single" w:sz="4" w:space="0" w:color="000000"/>
              <w:bottom w:val="single" w:sz="4" w:space="0" w:color="000000"/>
              <w:right w:val="single" w:sz="4" w:space="0" w:color="000000"/>
            </w:tcBorders>
          </w:tcPr>
          <w:p w:rsidR="00D4660B" w:rsidRDefault="00574EAC">
            <w:pPr>
              <w:jc w:val="both"/>
              <w:rPr>
                <w:sz w:val="20"/>
                <w:szCs w:val="20"/>
              </w:rPr>
            </w:pPr>
            <w:r>
              <w:rPr>
                <w:sz w:val="20"/>
                <w:szCs w:val="20"/>
              </w:rPr>
              <w:t>15.000.000</w:t>
            </w:r>
          </w:p>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$ 30.000.000</w:t>
            </w:r>
          </w:p>
        </w:tc>
      </w:tr>
      <w:tr w:rsidR="00D4660B">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D4660B" w:rsidRDefault="00574EAC">
            <w:pPr>
              <w:jc w:val="center"/>
              <w:rPr>
                <w:b/>
                <w:sz w:val="20"/>
                <w:szCs w:val="20"/>
              </w:rPr>
            </w:pPr>
            <w:r>
              <w:rPr>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4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$ 0</w:t>
            </w:r>
          </w:p>
        </w:tc>
      </w:tr>
      <w:tr w:rsidR="00D4660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D4660B" w:rsidRDefault="00D4660B">
            <w:pPr>
              <w:widowControl w:val="0"/>
              <w:pBdr>
                <w:top w:val="nil"/>
                <w:left w:val="nil"/>
                <w:bottom w:val="nil"/>
                <w:right w:val="nil"/>
                <w:between w:val="nil"/>
              </w:pBdr>
              <w:spacing w:line="276" w:lineRule="auto"/>
              <w:rPr>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b/>
                <w:sz w:val="20"/>
                <w:szCs w:val="20"/>
              </w:rPr>
            </w:pPr>
            <w:r>
              <w:rPr>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D4660B" w:rsidRDefault="00D4660B">
            <w:pPr>
              <w:jc w:val="both"/>
              <w:rPr>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D4660B" w:rsidRDefault="00574EAC">
            <w:pPr>
              <w:jc w:val="both"/>
              <w:rPr>
                <w:sz w:val="20"/>
                <w:szCs w:val="20"/>
              </w:rPr>
            </w:pPr>
            <w:r>
              <w:rPr>
                <w:sz w:val="20"/>
                <w:szCs w:val="20"/>
              </w:rPr>
              <w:t>3.500.000</w:t>
            </w:r>
          </w:p>
        </w:tc>
        <w:tc>
          <w:tcPr>
            <w:tcW w:w="1843" w:type="dxa"/>
            <w:tcBorders>
              <w:top w:val="single" w:sz="4" w:space="0" w:color="000000"/>
              <w:left w:val="single" w:sz="4" w:space="0" w:color="000000"/>
              <w:bottom w:val="single" w:sz="4" w:space="0" w:color="000000"/>
              <w:right w:val="single" w:sz="4" w:space="0" w:color="000000"/>
            </w:tcBorders>
          </w:tcPr>
          <w:p w:rsidR="00D4660B" w:rsidRDefault="00D4660B">
            <w:pPr>
              <w:jc w:val="both"/>
              <w:rPr>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$ 3.500.000</w:t>
            </w:r>
          </w:p>
        </w:tc>
      </w:tr>
      <w:tr w:rsidR="00D4660B">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D4660B" w:rsidRDefault="00574EAC">
            <w:pPr>
              <w:jc w:val="right"/>
              <w:rPr>
                <w:sz w:val="20"/>
                <w:szCs w:val="20"/>
              </w:rPr>
            </w:pPr>
            <w:r>
              <w:rPr>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D4660B" w:rsidRDefault="00574EAC">
            <w:pPr>
              <w:jc w:val="both"/>
              <w:rPr>
                <w:sz w:val="20"/>
                <w:szCs w:val="20"/>
              </w:rPr>
            </w:pPr>
            <w:r>
              <w:rPr>
                <w:sz w:val="20"/>
                <w:szCs w:val="20"/>
              </w:rPr>
              <w:t>35.500.000</w:t>
            </w:r>
          </w:p>
        </w:tc>
      </w:tr>
    </w:tbl>
    <w:p w:rsidR="00D4660B" w:rsidRDefault="00D4660B">
      <w:pPr>
        <w:spacing w:after="0" w:line="240" w:lineRule="auto"/>
        <w:rPr>
          <w:rFonts w:ascii="Times New Roman" w:eastAsia="Times New Roman" w:hAnsi="Times New Roman" w:cs="Times New Roman"/>
          <w:sz w:val="24"/>
          <w:szCs w:val="24"/>
        </w:rPr>
      </w:pPr>
    </w:p>
    <w:p w:rsidR="00D4660B" w:rsidRDefault="00D4660B">
      <w:pPr>
        <w:spacing w:after="0" w:line="240" w:lineRule="auto"/>
        <w:rPr>
          <w:rFonts w:ascii="Times New Roman" w:eastAsia="Times New Roman" w:hAnsi="Times New Roman" w:cs="Times New Roman"/>
          <w:sz w:val="24"/>
          <w:szCs w:val="24"/>
        </w:rPr>
      </w:pPr>
    </w:p>
    <w:tbl>
      <w:tblPr>
        <w:tblStyle w:val="aa"/>
        <w:tblW w:w="14983" w:type="dxa"/>
        <w:tblInd w:w="0" w:type="dxa"/>
        <w:tblLayout w:type="fixed"/>
        <w:tblLook w:val="0400" w:firstRow="0" w:lastRow="0" w:firstColumn="0" w:lastColumn="0" w:noHBand="0" w:noVBand="1"/>
      </w:tblPr>
      <w:tblGrid>
        <w:gridCol w:w="14983"/>
      </w:tblGrid>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D4660B" w:rsidRDefault="00574EAC">
            <w:pPr>
              <w:spacing w:line="240" w:lineRule="auto"/>
              <w:jc w:val="center"/>
              <w:rPr>
                <w:rFonts w:ascii="Arial" w:eastAsia="Arial" w:hAnsi="Arial" w:cs="Arial"/>
                <w:b/>
                <w:color w:val="222222"/>
                <w:sz w:val="24"/>
                <w:szCs w:val="24"/>
              </w:rPr>
            </w:pPr>
            <w:r>
              <w:rPr>
                <w:rFonts w:ascii="Arial" w:eastAsia="Arial" w:hAnsi="Arial" w:cs="Arial"/>
                <w:b/>
                <w:color w:val="222222"/>
                <w:sz w:val="24"/>
                <w:szCs w:val="24"/>
              </w:rPr>
              <w:t>Referencia bibliográficas</w:t>
            </w:r>
          </w:p>
        </w:tc>
      </w:tr>
      <w:tr w:rsidR="00D4660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w:t>
            </w:r>
            <w:r>
              <w:rPr>
                <w:rFonts w:ascii="Arial" w:eastAsia="Arial" w:hAnsi="Arial" w:cs="Arial"/>
                <w:b/>
                <w:color w:val="222222"/>
                <w:sz w:val="24"/>
                <w:szCs w:val="24"/>
              </w:rPr>
              <w:tab/>
              <w:t>Kyle Mitchell W, Williams J, Atherton P, Larvin M, Lund J, Narici M. Sarcopenia, dynapenia, and the impact of advancing age on human skeletal muscle size and strength; a quantitative review. Frontiers in Physiology. 2012</w:t>
            </w:r>
            <w:proofErr w:type="gramStart"/>
            <w:r>
              <w:rPr>
                <w:rFonts w:ascii="Arial" w:eastAsia="Arial" w:hAnsi="Arial" w:cs="Arial"/>
                <w:b/>
                <w:color w:val="222222"/>
                <w:sz w:val="24"/>
                <w:szCs w:val="24"/>
              </w:rPr>
              <w:t>;3:1</w:t>
            </w:r>
            <w:proofErr w:type="gramEnd"/>
            <w:r>
              <w:rPr>
                <w:rFonts w:ascii="Arial" w:eastAsia="Arial" w:hAnsi="Arial" w:cs="Arial"/>
                <w:b/>
                <w:color w:val="222222"/>
                <w:sz w:val="24"/>
                <w:szCs w:val="24"/>
              </w:rPr>
              <w:t>-18.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w:t>
            </w:r>
            <w:r>
              <w:rPr>
                <w:rFonts w:ascii="Arial" w:eastAsia="Arial" w:hAnsi="Arial" w:cs="Arial"/>
                <w:b/>
                <w:color w:val="222222"/>
                <w:sz w:val="24"/>
                <w:szCs w:val="24"/>
              </w:rPr>
              <w:tab/>
              <w:t>Newman AB, Kupelian V, Visser M, Simonsick EM, Goodpaster BH, Kritchevsky SB, et al. Strength, but not muscle mass, is associated with mortality in the health, aging and body composition study cohort. The journals of gerontology Series A, Biological sciences and medical sciences. 2006</w:t>
            </w:r>
            <w:proofErr w:type="gramStart"/>
            <w:r>
              <w:rPr>
                <w:rFonts w:ascii="Arial" w:eastAsia="Arial" w:hAnsi="Arial" w:cs="Arial"/>
                <w:b/>
                <w:color w:val="222222"/>
                <w:sz w:val="24"/>
                <w:szCs w:val="24"/>
              </w:rPr>
              <w:t>;61</w:t>
            </w:r>
            <w:proofErr w:type="gramEnd"/>
            <w:r>
              <w:rPr>
                <w:rFonts w:ascii="Arial" w:eastAsia="Arial" w:hAnsi="Arial" w:cs="Arial"/>
                <w:b/>
                <w:color w:val="222222"/>
                <w:sz w:val="24"/>
                <w:szCs w:val="24"/>
              </w:rPr>
              <w:t>(1):72-7.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w:t>
            </w:r>
            <w:r>
              <w:rPr>
                <w:rFonts w:ascii="Arial" w:eastAsia="Arial" w:hAnsi="Arial" w:cs="Arial"/>
                <w:b/>
                <w:color w:val="222222"/>
                <w:sz w:val="24"/>
                <w:szCs w:val="24"/>
              </w:rPr>
              <w:tab/>
              <w:t>González-Badillo J, Gorostiaga E. Fundamentos del entrenamiento de la fuerza. Aplicación al alto rendimiento deportivo. Madrid INDE; 1995.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w:t>
            </w:r>
            <w:r>
              <w:rPr>
                <w:rFonts w:ascii="Arial" w:eastAsia="Arial" w:hAnsi="Arial" w:cs="Arial"/>
                <w:b/>
                <w:color w:val="222222"/>
                <w:sz w:val="24"/>
                <w:szCs w:val="24"/>
              </w:rPr>
              <w:tab/>
              <w:t>Gonzalez-Badillo JJ, Sanchez-Medina L. Movement velocity as a measure of loading intensity in resistance training. Int J Sports Med. 2010</w:t>
            </w:r>
            <w:proofErr w:type="gramStart"/>
            <w:r>
              <w:rPr>
                <w:rFonts w:ascii="Arial" w:eastAsia="Arial" w:hAnsi="Arial" w:cs="Arial"/>
                <w:b/>
                <w:color w:val="222222"/>
                <w:sz w:val="24"/>
                <w:szCs w:val="24"/>
              </w:rPr>
              <w:t>;31</w:t>
            </w:r>
            <w:proofErr w:type="gramEnd"/>
            <w:r>
              <w:rPr>
                <w:rFonts w:ascii="Arial" w:eastAsia="Arial" w:hAnsi="Arial" w:cs="Arial"/>
                <w:b/>
                <w:color w:val="222222"/>
                <w:sz w:val="24"/>
                <w:szCs w:val="24"/>
              </w:rPr>
              <w:t>(5):347-52.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w:t>
            </w:r>
            <w:r>
              <w:rPr>
                <w:rFonts w:ascii="Arial" w:eastAsia="Arial" w:hAnsi="Arial" w:cs="Arial"/>
                <w:b/>
                <w:color w:val="222222"/>
                <w:sz w:val="24"/>
                <w:szCs w:val="24"/>
              </w:rPr>
              <w:tab/>
              <w:t>Gonzalez-Badillo JJ, Rodriguez-Rosell D, Sanchez-Medina L, Gorostiaga EM, Pareja-Blanco F. Maximal intended velocity training induces greater gains in bench press performance than deliberately slower half-velocity training. European journal of sport science. 2014</w:t>
            </w:r>
            <w:proofErr w:type="gramStart"/>
            <w:r>
              <w:rPr>
                <w:rFonts w:ascii="Arial" w:eastAsia="Arial" w:hAnsi="Arial" w:cs="Arial"/>
                <w:b/>
                <w:color w:val="222222"/>
                <w:sz w:val="24"/>
                <w:szCs w:val="24"/>
              </w:rPr>
              <w:t>;14</w:t>
            </w:r>
            <w:proofErr w:type="gramEnd"/>
            <w:r>
              <w:rPr>
                <w:rFonts w:ascii="Arial" w:eastAsia="Arial" w:hAnsi="Arial" w:cs="Arial"/>
                <w:b/>
                <w:color w:val="222222"/>
                <w:sz w:val="24"/>
                <w:szCs w:val="24"/>
              </w:rPr>
              <w:t>(8):772-81.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w:t>
            </w:r>
            <w:r>
              <w:rPr>
                <w:rFonts w:ascii="Arial" w:eastAsia="Arial" w:hAnsi="Arial" w:cs="Arial"/>
                <w:b/>
                <w:color w:val="222222"/>
                <w:sz w:val="24"/>
                <w:szCs w:val="24"/>
              </w:rPr>
              <w:tab/>
              <w:t>Sánchez-Medina L, Pallarés JG, Pérez CE, Morán-Navarro R, González-Badillo JJ. Estimation of Relative Load From Bar Velocity in the Full Back Squat Exercise. Sports Med Int Open. 2017</w:t>
            </w:r>
            <w:proofErr w:type="gramStart"/>
            <w:r>
              <w:rPr>
                <w:rFonts w:ascii="Arial" w:eastAsia="Arial" w:hAnsi="Arial" w:cs="Arial"/>
                <w:b/>
                <w:color w:val="222222"/>
                <w:sz w:val="24"/>
                <w:szCs w:val="24"/>
              </w:rPr>
              <w:t>;1</w:t>
            </w:r>
            <w:proofErr w:type="gramEnd"/>
            <w:r>
              <w:rPr>
                <w:rFonts w:ascii="Arial" w:eastAsia="Arial" w:hAnsi="Arial" w:cs="Arial"/>
                <w:b/>
                <w:color w:val="222222"/>
                <w:sz w:val="24"/>
                <w:szCs w:val="24"/>
              </w:rPr>
              <w:t>(2):E80-E8.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w:t>
            </w:r>
            <w:r>
              <w:rPr>
                <w:rFonts w:ascii="Arial" w:eastAsia="Arial" w:hAnsi="Arial" w:cs="Arial"/>
                <w:b/>
                <w:color w:val="222222"/>
                <w:sz w:val="24"/>
                <w:szCs w:val="24"/>
              </w:rPr>
              <w:tab/>
              <w:t>Holmes CJ, Wind SA, Esco MR. Heart Rate Variability Responses to an Undulating Resistance Training Program in Free-Living Conditions: A Case Study in a Collegiate Athlete. Sports (Basel, Switzerland). 2018</w:t>
            </w:r>
            <w:proofErr w:type="gramStart"/>
            <w:r>
              <w:rPr>
                <w:rFonts w:ascii="Arial" w:eastAsia="Arial" w:hAnsi="Arial" w:cs="Arial"/>
                <w:b/>
                <w:color w:val="222222"/>
                <w:sz w:val="24"/>
                <w:szCs w:val="24"/>
              </w:rPr>
              <w:t>;6</w:t>
            </w:r>
            <w:proofErr w:type="gramEnd"/>
            <w:r>
              <w:rPr>
                <w:rFonts w:ascii="Arial" w:eastAsia="Arial" w:hAnsi="Arial" w:cs="Arial"/>
                <w:b/>
                <w:color w:val="222222"/>
                <w:sz w:val="24"/>
                <w:szCs w:val="24"/>
              </w:rPr>
              <w:t>(4).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8.</w:t>
            </w:r>
            <w:r>
              <w:rPr>
                <w:rFonts w:ascii="Arial" w:eastAsia="Arial" w:hAnsi="Arial" w:cs="Arial"/>
                <w:b/>
                <w:color w:val="222222"/>
                <w:sz w:val="24"/>
                <w:szCs w:val="24"/>
              </w:rPr>
              <w:tab/>
              <w:t>Libardi CA, Souza GV, Gaspari AF, Dos Santos CF, Leite ST, Dias R, et al. Effects of concurrent training on interleukin-6, tumour necrosis factor-alpha and C-reactive protein in middle-aged men. Journal of sports sciences. 2011</w:t>
            </w:r>
            <w:proofErr w:type="gramStart"/>
            <w:r>
              <w:rPr>
                <w:rFonts w:ascii="Arial" w:eastAsia="Arial" w:hAnsi="Arial" w:cs="Arial"/>
                <w:b/>
                <w:color w:val="222222"/>
                <w:sz w:val="24"/>
                <w:szCs w:val="24"/>
              </w:rPr>
              <w:t>;29</w:t>
            </w:r>
            <w:proofErr w:type="gramEnd"/>
            <w:r>
              <w:rPr>
                <w:rFonts w:ascii="Arial" w:eastAsia="Arial" w:hAnsi="Arial" w:cs="Arial"/>
                <w:b/>
                <w:color w:val="222222"/>
                <w:sz w:val="24"/>
                <w:szCs w:val="24"/>
              </w:rPr>
              <w:t>(14):1573-81.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w:t>
            </w:r>
            <w:r>
              <w:rPr>
                <w:rFonts w:ascii="Arial" w:eastAsia="Arial" w:hAnsi="Arial" w:cs="Arial"/>
                <w:b/>
                <w:color w:val="222222"/>
                <w:sz w:val="24"/>
                <w:szCs w:val="24"/>
              </w:rPr>
              <w:tab/>
              <w:t>Pedersen BK, Steensberg A, Schjerling P. Exercise and interleukin-6. Current opinion in hematology. 2001</w:t>
            </w:r>
            <w:proofErr w:type="gramStart"/>
            <w:r>
              <w:rPr>
                <w:rFonts w:ascii="Arial" w:eastAsia="Arial" w:hAnsi="Arial" w:cs="Arial"/>
                <w:b/>
                <w:color w:val="222222"/>
                <w:sz w:val="24"/>
                <w:szCs w:val="24"/>
              </w:rPr>
              <w:t>;8</w:t>
            </w:r>
            <w:proofErr w:type="gramEnd"/>
            <w:r>
              <w:rPr>
                <w:rFonts w:ascii="Arial" w:eastAsia="Arial" w:hAnsi="Arial" w:cs="Arial"/>
                <w:b/>
                <w:color w:val="222222"/>
                <w:sz w:val="24"/>
                <w:szCs w:val="24"/>
              </w:rPr>
              <w:t>(3):137-41.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10.</w:t>
            </w:r>
            <w:r>
              <w:rPr>
                <w:rFonts w:ascii="Arial" w:eastAsia="Arial" w:hAnsi="Arial" w:cs="Arial"/>
                <w:b/>
                <w:color w:val="222222"/>
                <w:sz w:val="24"/>
                <w:szCs w:val="24"/>
              </w:rPr>
              <w:tab/>
              <w:t>Rohde T, MacLean DA, Richter EA, Kiens B, Pedersen BK. Prolonged submaximal eccentric exercise is associated with increased levels of plasma IL-6. The American journal of physiology. 1997</w:t>
            </w:r>
            <w:proofErr w:type="gramStart"/>
            <w:r>
              <w:rPr>
                <w:rFonts w:ascii="Arial" w:eastAsia="Arial" w:hAnsi="Arial" w:cs="Arial"/>
                <w:b/>
                <w:color w:val="222222"/>
                <w:sz w:val="24"/>
                <w:szCs w:val="24"/>
              </w:rPr>
              <w:t>;273</w:t>
            </w:r>
            <w:proofErr w:type="gramEnd"/>
            <w:r>
              <w:rPr>
                <w:rFonts w:ascii="Arial" w:eastAsia="Arial" w:hAnsi="Arial" w:cs="Arial"/>
                <w:b/>
                <w:color w:val="222222"/>
                <w:sz w:val="24"/>
                <w:szCs w:val="24"/>
              </w:rPr>
              <w:t>(1 Pt 1):E85-91.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11.</w:t>
            </w:r>
            <w:r>
              <w:rPr>
                <w:rFonts w:ascii="Arial" w:eastAsia="Arial" w:hAnsi="Arial" w:cs="Arial"/>
                <w:b/>
                <w:color w:val="222222"/>
                <w:sz w:val="24"/>
                <w:szCs w:val="24"/>
              </w:rPr>
              <w:tab/>
              <w:t>Bruunsgaard H, Galbo H, Halkjaer-Kristensen J, Johansen TL, MacLean DA, Pedersen BK. Exercise-induced increase in serum interleukin-6 in humans is related to muscle damage. J Physiol. 1997</w:t>
            </w:r>
            <w:proofErr w:type="gramStart"/>
            <w:r>
              <w:rPr>
                <w:rFonts w:ascii="Arial" w:eastAsia="Arial" w:hAnsi="Arial" w:cs="Arial"/>
                <w:b/>
                <w:color w:val="222222"/>
                <w:sz w:val="24"/>
                <w:szCs w:val="24"/>
              </w:rPr>
              <w:t>;499</w:t>
            </w:r>
            <w:proofErr w:type="gramEnd"/>
            <w:r>
              <w:rPr>
                <w:rFonts w:ascii="Arial" w:eastAsia="Arial" w:hAnsi="Arial" w:cs="Arial"/>
                <w:b/>
                <w:color w:val="222222"/>
                <w:sz w:val="24"/>
                <w:szCs w:val="24"/>
              </w:rPr>
              <w:t xml:space="preserve"> ( Pt 3):833-41.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12.</w:t>
            </w:r>
            <w:r>
              <w:rPr>
                <w:rFonts w:ascii="Arial" w:eastAsia="Arial" w:hAnsi="Arial" w:cs="Arial"/>
                <w:b/>
                <w:color w:val="222222"/>
                <w:sz w:val="24"/>
                <w:szCs w:val="24"/>
              </w:rPr>
              <w:tab/>
              <w:t xml:space="preserve">McBride JM, Triplett-McBride T, Davie A, Newton RU. The effect of heavy- vs. </w:t>
            </w:r>
            <w:proofErr w:type="gramStart"/>
            <w:r>
              <w:rPr>
                <w:rFonts w:ascii="Arial" w:eastAsia="Arial" w:hAnsi="Arial" w:cs="Arial"/>
                <w:b/>
                <w:color w:val="222222"/>
                <w:sz w:val="24"/>
                <w:szCs w:val="24"/>
              </w:rPr>
              <w:t>light-</w:t>
            </w:r>
            <w:proofErr w:type="gramEnd"/>
            <w:r>
              <w:rPr>
                <w:rFonts w:ascii="Arial" w:eastAsia="Arial" w:hAnsi="Arial" w:cs="Arial"/>
                <w:b/>
                <w:color w:val="222222"/>
                <w:sz w:val="24"/>
                <w:szCs w:val="24"/>
              </w:rPr>
              <w:t>load jump squats on the development of strength, power, and speed. J Strength Cond Res. 2002</w:t>
            </w:r>
            <w:proofErr w:type="gramStart"/>
            <w:r>
              <w:rPr>
                <w:rFonts w:ascii="Arial" w:eastAsia="Arial" w:hAnsi="Arial" w:cs="Arial"/>
                <w:b/>
                <w:color w:val="222222"/>
                <w:sz w:val="24"/>
                <w:szCs w:val="24"/>
              </w:rPr>
              <w:t>;16</w:t>
            </w:r>
            <w:proofErr w:type="gramEnd"/>
            <w:r>
              <w:rPr>
                <w:rFonts w:ascii="Arial" w:eastAsia="Arial" w:hAnsi="Arial" w:cs="Arial"/>
                <w:b/>
                <w:color w:val="222222"/>
                <w:sz w:val="24"/>
                <w:szCs w:val="24"/>
              </w:rPr>
              <w:t>(1):75-82.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13.</w:t>
            </w:r>
            <w:r>
              <w:rPr>
                <w:rFonts w:ascii="Arial" w:eastAsia="Arial" w:hAnsi="Arial" w:cs="Arial"/>
                <w:b/>
                <w:color w:val="222222"/>
                <w:sz w:val="24"/>
                <w:szCs w:val="24"/>
              </w:rPr>
              <w:tab/>
              <w:t>Kawamori N, Newton RU. Velocity Specificity of Resistance Training: Actual Movement Velocity Versus Intention to Move Explosively. Strength &amp; Conditioning Journal. 2006</w:t>
            </w:r>
            <w:proofErr w:type="gramStart"/>
            <w:r>
              <w:rPr>
                <w:rFonts w:ascii="Arial" w:eastAsia="Arial" w:hAnsi="Arial" w:cs="Arial"/>
                <w:b/>
                <w:color w:val="222222"/>
                <w:sz w:val="24"/>
                <w:szCs w:val="24"/>
              </w:rPr>
              <w:t>;28</w:t>
            </w:r>
            <w:proofErr w:type="gramEnd"/>
            <w:r>
              <w:rPr>
                <w:rFonts w:ascii="Arial" w:eastAsia="Arial" w:hAnsi="Arial" w:cs="Arial"/>
                <w:b/>
                <w:color w:val="222222"/>
                <w:sz w:val="24"/>
                <w:szCs w:val="24"/>
              </w:rPr>
              <w:t>(2):86-91.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14.</w:t>
            </w:r>
            <w:r>
              <w:rPr>
                <w:rFonts w:ascii="Arial" w:eastAsia="Arial" w:hAnsi="Arial" w:cs="Arial"/>
                <w:b/>
                <w:color w:val="222222"/>
                <w:sz w:val="24"/>
                <w:szCs w:val="24"/>
              </w:rPr>
              <w:tab/>
              <w:t>Sanchez-Medina L, Perez CE, Gonzalez-Badillo JJ. Importance of the propulsive phase in strength assessment. Int J Sports Med. 2010</w:t>
            </w:r>
            <w:proofErr w:type="gramStart"/>
            <w:r>
              <w:rPr>
                <w:rFonts w:ascii="Arial" w:eastAsia="Arial" w:hAnsi="Arial" w:cs="Arial"/>
                <w:b/>
                <w:color w:val="222222"/>
                <w:sz w:val="24"/>
                <w:szCs w:val="24"/>
              </w:rPr>
              <w:t>;31</w:t>
            </w:r>
            <w:proofErr w:type="gramEnd"/>
            <w:r>
              <w:rPr>
                <w:rFonts w:ascii="Arial" w:eastAsia="Arial" w:hAnsi="Arial" w:cs="Arial"/>
                <w:b/>
                <w:color w:val="222222"/>
                <w:sz w:val="24"/>
                <w:szCs w:val="24"/>
              </w:rPr>
              <w:t>(2):123-9.</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15.</w:t>
            </w:r>
            <w:r>
              <w:rPr>
                <w:rFonts w:ascii="Arial" w:eastAsia="Arial" w:hAnsi="Arial" w:cs="Arial"/>
                <w:b/>
                <w:color w:val="222222"/>
                <w:sz w:val="24"/>
                <w:szCs w:val="24"/>
              </w:rPr>
              <w:tab/>
              <w:t>Sanchez-Medina L, Gonzalez-Badillo JJ. Velocity loss as an indicator of neuromuscular fatigue during resistance training. Med Sci Sports Exerc. 2011</w:t>
            </w:r>
            <w:proofErr w:type="gramStart"/>
            <w:r>
              <w:rPr>
                <w:rFonts w:ascii="Arial" w:eastAsia="Arial" w:hAnsi="Arial" w:cs="Arial"/>
                <w:b/>
                <w:color w:val="222222"/>
                <w:sz w:val="24"/>
                <w:szCs w:val="24"/>
              </w:rPr>
              <w:t>;43</w:t>
            </w:r>
            <w:proofErr w:type="gramEnd"/>
            <w:r>
              <w:rPr>
                <w:rFonts w:ascii="Arial" w:eastAsia="Arial" w:hAnsi="Arial" w:cs="Arial"/>
                <w:b/>
                <w:color w:val="222222"/>
                <w:sz w:val="24"/>
                <w:szCs w:val="24"/>
              </w:rPr>
              <w:t>(9):1725-34.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16.</w:t>
            </w:r>
            <w:r>
              <w:rPr>
                <w:rFonts w:ascii="Arial" w:eastAsia="Arial" w:hAnsi="Arial" w:cs="Arial"/>
                <w:b/>
                <w:color w:val="222222"/>
                <w:sz w:val="24"/>
                <w:szCs w:val="24"/>
              </w:rPr>
              <w:tab/>
              <w:t>Kraemer WJ, Ratamess NA. Fundamentals of resistance training: progression and exercise prescription. Med Sci Sports Exerc. 2004</w:t>
            </w:r>
            <w:proofErr w:type="gramStart"/>
            <w:r>
              <w:rPr>
                <w:rFonts w:ascii="Arial" w:eastAsia="Arial" w:hAnsi="Arial" w:cs="Arial"/>
                <w:b/>
                <w:color w:val="222222"/>
                <w:sz w:val="24"/>
                <w:szCs w:val="24"/>
              </w:rPr>
              <w:t>;36</w:t>
            </w:r>
            <w:proofErr w:type="gramEnd"/>
            <w:r>
              <w:rPr>
                <w:rFonts w:ascii="Arial" w:eastAsia="Arial" w:hAnsi="Arial" w:cs="Arial"/>
                <w:b/>
                <w:color w:val="222222"/>
                <w:sz w:val="24"/>
                <w:szCs w:val="24"/>
              </w:rPr>
              <w:t>(4):674-88.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17.</w:t>
            </w:r>
            <w:r>
              <w:rPr>
                <w:rFonts w:ascii="Arial" w:eastAsia="Arial" w:hAnsi="Arial" w:cs="Arial"/>
                <w:b/>
                <w:color w:val="222222"/>
                <w:sz w:val="24"/>
                <w:szCs w:val="24"/>
              </w:rPr>
              <w:tab/>
              <w:t>Buitrago S, Wirtz N, Yue Z, Kleinoder H, Mester J. Mechanical load and physiological responses of four different resistance training methods in bench press exercise. J Strength Cond Res. 2013</w:t>
            </w:r>
            <w:proofErr w:type="gramStart"/>
            <w:r>
              <w:rPr>
                <w:rFonts w:ascii="Arial" w:eastAsia="Arial" w:hAnsi="Arial" w:cs="Arial"/>
                <w:b/>
                <w:color w:val="222222"/>
                <w:sz w:val="24"/>
                <w:szCs w:val="24"/>
              </w:rPr>
              <w:t>;27</w:t>
            </w:r>
            <w:proofErr w:type="gramEnd"/>
            <w:r>
              <w:rPr>
                <w:rFonts w:ascii="Arial" w:eastAsia="Arial" w:hAnsi="Arial" w:cs="Arial"/>
                <w:b/>
                <w:color w:val="222222"/>
                <w:sz w:val="24"/>
                <w:szCs w:val="24"/>
              </w:rPr>
              <w:t>(4):1091-100.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18.</w:t>
            </w:r>
            <w:r>
              <w:rPr>
                <w:rFonts w:ascii="Arial" w:eastAsia="Arial" w:hAnsi="Arial" w:cs="Arial"/>
                <w:b/>
                <w:color w:val="222222"/>
                <w:sz w:val="24"/>
                <w:szCs w:val="24"/>
              </w:rPr>
              <w:tab/>
              <w:t>Hakkinen K, Kraemer WJ, Newton RU, Alen M. Changes in electromyographic activity, muscle fibre and force production characteristics during heavy resistance/power strength training in middle-aged and older men and women. Acta Physiol Scand. 2001</w:t>
            </w:r>
            <w:proofErr w:type="gramStart"/>
            <w:r>
              <w:rPr>
                <w:rFonts w:ascii="Arial" w:eastAsia="Arial" w:hAnsi="Arial" w:cs="Arial"/>
                <w:b/>
                <w:color w:val="222222"/>
                <w:sz w:val="24"/>
                <w:szCs w:val="24"/>
              </w:rPr>
              <w:t>;171</w:t>
            </w:r>
            <w:proofErr w:type="gramEnd"/>
            <w:r>
              <w:rPr>
                <w:rFonts w:ascii="Arial" w:eastAsia="Arial" w:hAnsi="Arial" w:cs="Arial"/>
                <w:b/>
                <w:color w:val="222222"/>
                <w:sz w:val="24"/>
                <w:szCs w:val="24"/>
              </w:rPr>
              <w:t>(1):51-62.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19.</w:t>
            </w:r>
            <w:r>
              <w:rPr>
                <w:rFonts w:ascii="Arial" w:eastAsia="Arial" w:hAnsi="Arial" w:cs="Arial"/>
                <w:b/>
                <w:color w:val="222222"/>
                <w:sz w:val="24"/>
                <w:szCs w:val="24"/>
              </w:rPr>
              <w:tab/>
              <w:t>Sayers SP. High velocity power training in older adults. Current aging science. 2008</w:t>
            </w:r>
            <w:proofErr w:type="gramStart"/>
            <w:r>
              <w:rPr>
                <w:rFonts w:ascii="Arial" w:eastAsia="Arial" w:hAnsi="Arial" w:cs="Arial"/>
                <w:b/>
                <w:color w:val="222222"/>
                <w:sz w:val="24"/>
                <w:szCs w:val="24"/>
              </w:rPr>
              <w:t>;1</w:t>
            </w:r>
            <w:proofErr w:type="gramEnd"/>
            <w:r>
              <w:rPr>
                <w:rFonts w:ascii="Arial" w:eastAsia="Arial" w:hAnsi="Arial" w:cs="Arial"/>
                <w:b/>
                <w:color w:val="222222"/>
                <w:sz w:val="24"/>
                <w:szCs w:val="24"/>
              </w:rPr>
              <w:t>(1):62-7.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20.</w:t>
            </w:r>
            <w:r>
              <w:rPr>
                <w:rFonts w:ascii="Arial" w:eastAsia="Arial" w:hAnsi="Arial" w:cs="Arial"/>
                <w:b/>
                <w:color w:val="222222"/>
                <w:sz w:val="24"/>
                <w:szCs w:val="24"/>
              </w:rPr>
              <w:tab/>
              <w:t>van den Tillaar R, Ettema G. The "sticking period" in a maximum bench press. Journal of sports sciences. 2010</w:t>
            </w:r>
            <w:proofErr w:type="gramStart"/>
            <w:r>
              <w:rPr>
                <w:rFonts w:ascii="Arial" w:eastAsia="Arial" w:hAnsi="Arial" w:cs="Arial"/>
                <w:b/>
                <w:color w:val="222222"/>
                <w:sz w:val="24"/>
                <w:szCs w:val="24"/>
              </w:rPr>
              <w:t>;28</w:t>
            </w:r>
            <w:proofErr w:type="gramEnd"/>
            <w:r>
              <w:rPr>
                <w:rFonts w:ascii="Arial" w:eastAsia="Arial" w:hAnsi="Arial" w:cs="Arial"/>
                <w:b/>
                <w:color w:val="222222"/>
                <w:sz w:val="24"/>
                <w:szCs w:val="24"/>
              </w:rPr>
              <w:t>(5):529-35.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21.</w:t>
            </w:r>
            <w:r>
              <w:rPr>
                <w:rFonts w:ascii="Arial" w:eastAsia="Arial" w:hAnsi="Arial" w:cs="Arial"/>
                <w:b/>
                <w:color w:val="222222"/>
                <w:sz w:val="24"/>
                <w:szCs w:val="24"/>
              </w:rPr>
              <w:tab/>
              <w:t>Behringer M, Vom Heede A, Matthews M, Mester J. Effects of strength training on motor performance skills in children and adolescents: a meta-analysis. Pediatric exercise science. 2011</w:t>
            </w:r>
            <w:proofErr w:type="gramStart"/>
            <w:r>
              <w:rPr>
                <w:rFonts w:ascii="Arial" w:eastAsia="Arial" w:hAnsi="Arial" w:cs="Arial"/>
                <w:b/>
                <w:color w:val="222222"/>
                <w:sz w:val="24"/>
                <w:szCs w:val="24"/>
              </w:rPr>
              <w:t>;23</w:t>
            </w:r>
            <w:proofErr w:type="gramEnd"/>
            <w:r>
              <w:rPr>
                <w:rFonts w:ascii="Arial" w:eastAsia="Arial" w:hAnsi="Arial" w:cs="Arial"/>
                <w:b/>
                <w:color w:val="222222"/>
                <w:sz w:val="24"/>
                <w:szCs w:val="24"/>
              </w:rPr>
              <w:t>(2):186-206.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22.</w:t>
            </w:r>
            <w:r>
              <w:rPr>
                <w:rFonts w:ascii="Arial" w:eastAsia="Arial" w:hAnsi="Arial" w:cs="Arial"/>
                <w:b/>
                <w:color w:val="222222"/>
                <w:sz w:val="24"/>
                <w:szCs w:val="24"/>
              </w:rPr>
              <w:tab/>
              <w:t>Rezk CC, Marrache RC, Tinucci T, Mion D, Jr., Forjaz CL. Post-resistance exercise hypotension, hemodynamics, and heart rate variability: influence of exercise intensity. European journal of applied physiology. 2006</w:t>
            </w:r>
            <w:proofErr w:type="gramStart"/>
            <w:r>
              <w:rPr>
                <w:rFonts w:ascii="Arial" w:eastAsia="Arial" w:hAnsi="Arial" w:cs="Arial"/>
                <w:b/>
                <w:color w:val="222222"/>
                <w:sz w:val="24"/>
                <w:szCs w:val="24"/>
              </w:rPr>
              <w:t>;98</w:t>
            </w:r>
            <w:proofErr w:type="gramEnd"/>
            <w:r>
              <w:rPr>
                <w:rFonts w:ascii="Arial" w:eastAsia="Arial" w:hAnsi="Arial" w:cs="Arial"/>
                <w:b/>
                <w:color w:val="222222"/>
                <w:sz w:val="24"/>
                <w:szCs w:val="24"/>
              </w:rPr>
              <w:t>(1):105-12.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23.</w:t>
            </w:r>
            <w:r>
              <w:rPr>
                <w:rFonts w:ascii="Arial" w:eastAsia="Arial" w:hAnsi="Arial" w:cs="Arial"/>
                <w:b/>
                <w:color w:val="222222"/>
                <w:sz w:val="24"/>
                <w:szCs w:val="24"/>
              </w:rPr>
              <w:tab/>
              <w:t>Garcia P, Nascimento Dda C, Tibana RA, Barboza MM, Willardson JM, Prestes J. Comparison between the multiple-set plus 2 weeks of tri-set and traditional multiple-set method on strength and body composition in trained women: a pilot study. Clinical physiology and functional imaging. 2016</w:t>
            </w:r>
            <w:proofErr w:type="gramStart"/>
            <w:r>
              <w:rPr>
                <w:rFonts w:ascii="Arial" w:eastAsia="Arial" w:hAnsi="Arial" w:cs="Arial"/>
                <w:b/>
                <w:color w:val="222222"/>
                <w:sz w:val="24"/>
                <w:szCs w:val="24"/>
              </w:rPr>
              <w:t>;36</w:t>
            </w:r>
            <w:proofErr w:type="gramEnd"/>
            <w:r>
              <w:rPr>
                <w:rFonts w:ascii="Arial" w:eastAsia="Arial" w:hAnsi="Arial" w:cs="Arial"/>
                <w:b/>
                <w:color w:val="222222"/>
                <w:sz w:val="24"/>
                <w:szCs w:val="24"/>
              </w:rPr>
              <w:t>(1):47-52.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24.</w:t>
            </w:r>
            <w:r>
              <w:rPr>
                <w:rFonts w:ascii="Arial" w:eastAsia="Arial" w:hAnsi="Arial" w:cs="Arial"/>
                <w:b/>
                <w:color w:val="222222"/>
                <w:sz w:val="24"/>
                <w:szCs w:val="24"/>
              </w:rPr>
              <w:tab/>
              <w:t>Kleiger RE, Miller JP, Bigger JT, Jr., Moss AJ. Decreased heart rate variability and its association with increased mortality after acute myocardial infarction. The American journal of cardiology. 1987</w:t>
            </w:r>
            <w:proofErr w:type="gramStart"/>
            <w:r>
              <w:rPr>
                <w:rFonts w:ascii="Arial" w:eastAsia="Arial" w:hAnsi="Arial" w:cs="Arial"/>
                <w:b/>
                <w:color w:val="222222"/>
                <w:sz w:val="24"/>
                <w:szCs w:val="24"/>
              </w:rPr>
              <w:t>;59</w:t>
            </w:r>
            <w:proofErr w:type="gramEnd"/>
            <w:r>
              <w:rPr>
                <w:rFonts w:ascii="Arial" w:eastAsia="Arial" w:hAnsi="Arial" w:cs="Arial"/>
                <w:b/>
                <w:color w:val="222222"/>
                <w:sz w:val="24"/>
                <w:szCs w:val="24"/>
              </w:rPr>
              <w:t>(4):256-62.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25.</w:t>
            </w:r>
            <w:r>
              <w:rPr>
                <w:rFonts w:ascii="Arial" w:eastAsia="Arial" w:hAnsi="Arial" w:cs="Arial"/>
                <w:b/>
                <w:color w:val="222222"/>
                <w:sz w:val="24"/>
                <w:szCs w:val="24"/>
              </w:rPr>
              <w:tab/>
              <w:t>Heart rate variability: standards of measurement, physiological interpretation and clinical use. Task Force of the European Society of Cardiology and the North American Society of Pacing and Electrophysiology. Circulation. 1996</w:t>
            </w:r>
            <w:proofErr w:type="gramStart"/>
            <w:r>
              <w:rPr>
                <w:rFonts w:ascii="Arial" w:eastAsia="Arial" w:hAnsi="Arial" w:cs="Arial"/>
                <w:b/>
                <w:color w:val="222222"/>
                <w:sz w:val="24"/>
                <w:szCs w:val="24"/>
              </w:rPr>
              <w:t>;93</w:t>
            </w:r>
            <w:proofErr w:type="gramEnd"/>
            <w:r>
              <w:rPr>
                <w:rFonts w:ascii="Arial" w:eastAsia="Arial" w:hAnsi="Arial" w:cs="Arial"/>
                <w:b/>
                <w:color w:val="222222"/>
                <w:sz w:val="24"/>
                <w:szCs w:val="24"/>
              </w:rPr>
              <w:t>(5):1043-65.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26.</w:t>
            </w:r>
            <w:r>
              <w:rPr>
                <w:rFonts w:ascii="Arial" w:eastAsia="Arial" w:hAnsi="Arial" w:cs="Arial"/>
                <w:b/>
                <w:color w:val="222222"/>
                <w:sz w:val="24"/>
                <w:szCs w:val="24"/>
              </w:rPr>
              <w:tab/>
              <w:t>Chen JL, Yeh DP, Lee JP, Chen CY, Huang CY, Lee SD, et al. Parasympathetic nervous activity mirrors recovery status in weightlifting performance after training. Journal of strength and conditioning research. 2011</w:t>
            </w:r>
            <w:proofErr w:type="gramStart"/>
            <w:r>
              <w:rPr>
                <w:rFonts w:ascii="Arial" w:eastAsia="Arial" w:hAnsi="Arial" w:cs="Arial"/>
                <w:b/>
                <w:color w:val="222222"/>
                <w:sz w:val="24"/>
                <w:szCs w:val="24"/>
              </w:rPr>
              <w:t>;25</w:t>
            </w:r>
            <w:proofErr w:type="gramEnd"/>
            <w:r>
              <w:rPr>
                <w:rFonts w:ascii="Arial" w:eastAsia="Arial" w:hAnsi="Arial" w:cs="Arial"/>
                <w:b/>
                <w:color w:val="222222"/>
                <w:sz w:val="24"/>
                <w:szCs w:val="24"/>
              </w:rPr>
              <w:t>(6):1546-52.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27.</w:t>
            </w:r>
            <w:r>
              <w:rPr>
                <w:rFonts w:ascii="Arial" w:eastAsia="Arial" w:hAnsi="Arial" w:cs="Arial"/>
                <w:b/>
                <w:color w:val="222222"/>
                <w:sz w:val="24"/>
                <w:szCs w:val="24"/>
              </w:rPr>
              <w:tab/>
              <w:t>Kristal-Boneh E, Raifel M, Froom P, Ribak J. Heart rate variability in health and disease. Scandinavian journal of work, environment &amp; health. 1995</w:t>
            </w:r>
            <w:proofErr w:type="gramStart"/>
            <w:r>
              <w:rPr>
                <w:rFonts w:ascii="Arial" w:eastAsia="Arial" w:hAnsi="Arial" w:cs="Arial"/>
                <w:b/>
                <w:color w:val="222222"/>
                <w:sz w:val="24"/>
                <w:szCs w:val="24"/>
              </w:rPr>
              <w:t>;21</w:t>
            </w:r>
            <w:proofErr w:type="gramEnd"/>
            <w:r>
              <w:rPr>
                <w:rFonts w:ascii="Arial" w:eastAsia="Arial" w:hAnsi="Arial" w:cs="Arial"/>
                <w:b/>
                <w:color w:val="222222"/>
                <w:sz w:val="24"/>
                <w:szCs w:val="24"/>
              </w:rPr>
              <w:t>(2):85-95.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28.</w:t>
            </w:r>
            <w:r>
              <w:rPr>
                <w:rFonts w:ascii="Arial" w:eastAsia="Arial" w:hAnsi="Arial" w:cs="Arial"/>
                <w:b/>
                <w:color w:val="222222"/>
                <w:sz w:val="24"/>
                <w:szCs w:val="24"/>
              </w:rPr>
              <w:tab/>
              <w:t>Hanson EK, Godaert GL, Maas CJ, Meijman TF. Vagal cardiac control throughout the day: the relative importance of effort-reward imbalance and within-day measurements of mood, demand and satisfaction. Biological psychology. 2001</w:t>
            </w:r>
            <w:proofErr w:type="gramStart"/>
            <w:r>
              <w:rPr>
                <w:rFonts w:ascii="Arial" w:eastAsia="Arial" w:hAnsi="Arial" w:cs="Arial"/>
                <w:b/>
                <w:color w:val="222222"/>
                <w:sz w:val="24"/>
                <w:szCs w:val="24"/>
              </w:rPr>
              <w:t>;56</w:t>
            </w:r>
            <w:proofErr w:type="gramEnd"/>
            <w:r>
              <w:rPr>
                <w:rFonts w:ascii="Arial" w:eastAsia="Arial" w:hAnsi="Arial" w:cs="Arial"/>
                <w:b/>
                <w:color w:val="222222"/>
                <w:sz w:val="24"/>
                <w:szCs w:val="24"/>
              </w:rPr>
              <w:t>(1):23-44.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29.</w:t>
            </w:r>
            <w:r>
              <w:rPr>
                <w:rFonts w:ascii="Arial" w:eastAsia="Arial" w:hAnsi="Arial" w:cs="Arial"/>
                <w:b/>
                <w:color w:val="222222"/>
                <w:sz w:val="24"/>
                <w:szCs w:val="24"/>
              </w:rPr>
              <w:tab/>
              <w:t>Karemaker JM, Lie KI. Heart rate variability: a telltale of health or disease. European heart journal. 2000</w:t>
            </w:r>
            <w:proofErr w:type="gramStart"/>
            <w:r>
              <w:rPr>
                <w:rFonts w:ascii="Arial" w:eastAsia="Arial" w:hAnsi="Arial" w:cs="Arial"/>
                <w:b/>
                <w:color w:val="222222"/>
                <w:sz w:val="24"/>
                <w:szCs w:val="24"/>
              </w:rPr>
              <w:t>;21</w:t>
            </w:r>
            <w:proofErr w:type="gramEnd"/>
            <w:r>
              <w:rPr>
                <w:rFonts w:ascii="Arial" w:eastAsia="Arial" w:hAnsi="Arial" w:cs="Arial"/>
                <w:b/>
                <w:color w:val="222222"/>
                <w:sz w:val="24"/>
                <w:szCs w:val="24"/>
              </w:rPr>
              <w:t>(6):435-7.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30.</w:t>
            </w:r>
            <w:r>
              <w:rPr>
                <w:rFonts w:ascii="Arial" w:eastAsia="Arial" w:hAnsi="Arial" w:cs="Arial"/>
                <w:b/>
                <w:color w:val="222222"/>
                <w:sz w:val="24"/>
                <w:szCs w:val="24"/>
              </w:rPr>
              <w:tab/>
              <w:t>Hedelin R, Kentta G, Wiklund U, Bjerle P, Henriksson-Larsen K. Short-term overtraining: effects on performance, circulatory responses, and heart rate variability. Medicine and science in sports and exercise. 2000</w:t>
            </w:r>
            <w:proofErr w:type="gramStart"/>
            <w:r>
              <w:rPr>
                <w:rFonts w:ascii="Arial" w:eastAsia="Arial" w:hAnsi="Arial" w:cs="Arial"/>
                <w:b/>
                <w:color w:val="222222"/>
                <w:sz w:val="24"/>
                <w:szCs w:val="24"/>
              </w:rPr>
              <w:t>;32</w:t>
            </w:r>
            <w:proofErr w:type="gramEnd"/>
            <w:r>
              <w:rPr>
                <w:rFonts w:ascii="Arial" w:eastAsia="Arial" w:hAnsi="Arial" w:cs="Arial"/>
                <w:b/>
                <w:color w:val="222222"/>
                <w:sz w:val="24"/>
                <w:szCs w:val="24"/>
              </w:rPr>
              <w:t>(8):1480-4.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31.</w:t>
            </w:r>
            <w:r>
              <w:rPr>
                <w:rFonts w:ascii="Arial" w:eastAsia="Arial" w:hAnsi="Arial" w:cs="Arial"/>
                <w:b/>
                <w:color w:val="222222"/>
                <w:sz w:val="24"/>
                <w:szCs w:val="24"/>
              </w:rPr>
              <w:tab/>
              <w:t>Pichot V, Busso T, Roche F, Garet M, Costes F, Duverney D, et al. Autonomic adaptations to intensive and overload training periods: a laboratory study. Medicine and science in sports and exercise. 2002</w:t>
            </w:r>
            <w:proofErr w:type="gramStart"/>
            <w:r>
              <w:rPr>
                <w:rFonts w:ascii="Arial" w:eastAsia="Arial" w:hAnsi="Arial" w:cs="Arial"/>
                <w:b/>
                <w:color w:val="222222"/>
                <w:sz w:val="24"/>
                <w:szCs w:val="24"/>
              </w:rPr>
              <w:t>;34</w:t>
            </w:r>
            <w:proofErr w:type="gramEnd"/>
            <w:r>
              <w:rPr>
                <w:rFonts w:ascii="Arial" w:eastAsia="Arial" w:hAnsi="Arial" w:cs="Arial"/>
                <w:b/>
                <w:color w:val="222222"/>
                <w:sz w:val="24"/>
                <w:szCs w:val="24"/>
              </w:rPr>
              <w:t>(10):1660-6.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32.</w:t>
            </w:r>
            <w:r>
              <w:rPr>
                <w:rFonts w:ascii="Arial" w:eastAsia="Arial" w:hAnsi="Arial" w:cs="Arial"/>
                <w:b/>
                <w:color w:val="222222"/>
                <w:sz w:val="24"/>
                <w:szCs w:val="24"/>
              </w:rPr>
              <w:tab/>
              <w:t>Portier H, Louisy F, Laude D, Berthelot M, Guezennec CY. Intense endurance training on heart rate and blood pressure variability in runners. Medicine and science in sports and exercise. 2001</w:t>
            </w:r>
            <w:proofErr w:type="gramStart"/>
            <w:r>
              <w:rPr>
                <w:rFonts w:ascii="Arial" w:eastAsia="Arial" w:hAnsi="Arial" w:cs="Arial"/>
                <w:b/>
                <w:color w:val="222222"/>
                <w:sz w:val="24"/>
                <w:szCs w:val="24"/>
              </w:rPr>
              <w:t>;33</w:t>
            </w:r>
            <w:proofErr w:type="gramEnd"/>
            <w:r>
              <w:rPr>
                <w:rFonts w:ascii="Arial" w:eastAsia="Arial" w:hAnsi="Arial" w:cs="Arial"/>
                <w:b/>
                <w:color w:val="222222"/>
                <w:sz w:val="24"/>
                <w:szCs w:val="24"/>
              </w:rPr>
              <w:t>(7):1120-5.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33.</w:t>
            </w:r>
            <w:r>
              <w:rPr>
                <w:rFonts w:ascii="Arial" w:eastAsia="Arial" w:hAnsi="Arial" w:cs="Arial"/>
                <w:b/>
                <w:color w:val="222222"/>
                <w:sz w:val="24"/>
                <w:szCs w:val="24"/>
              </w:rPr>
              <w:tab/>
              <w:t>Cottin F, Papelier Y, Escourrou P. Effects of exercise load and breathing frequency on heart rate and blood pressure variability during dynamic exercise. International journal of sports medicine. 1999</w:t>
            </w:r>
            <w:proofErr w:type="gramStart"/>
            <w:r>
              <w:rPr>
                <w:rFonts w:ascii="Arial" w:eastAsia="Arial" w:hAnsi="Arial" w:cs="Arial"/>
                <w:b/>
                <w:color w:val="222222"/>
                <w:sz w:val="24"/>
                <w:szCs w:val="24"/>
              </w:rPr>
              <w:t>;20</w:t>
            </w:r>
            <w:proofErr w:type="gramEnd"/>
            <w:r>
              <w:rPr>
                <w:rFonts w:ascii="Arial" w:eastAsia="Arial" w:hAnsi="Arial" w:cs="Arial"/>
                <w:b/>
                <w:color w:val="222222"/>
                <w:sz w:val="24"/>
                <w:szCs w:val="24"/>
              </w:rPr>
              <w:t>(4):232-8.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34.</w:t>
            </w:r>
            <w:r>
              <w:rPr>
                <w:rFonts w:ascii="Arial" w:eastAsia="Arial" w:hAnsi="Arial" w:cs="Arial"/>
                <w:b/>
                <w:color w:val="222222"/>
                <w:sz w:val="24"/>
                <w:szCs w:val="24"/>
              </w:rPr>
              <w:tab/>
              <w:t>Macor F, Fagard R, Amery A. Power spectral analysis of RR interval and blood pressure short-term variability at rest and during dynamic exercise: comparison between cyclists and controls. International journal of sports medicine. 1996</w:t>
            </w:r>
            <w:proofErr w:type="gramStart"/>
            <w:r>
              <w:rPr>
                <w:rFonts w:ascii="Arial" w:eastAsia="Arial" w:hAnsi="Arial" w:cs="Arial"/>
                <w:b/>
                <w:color w:val="222222"/>
                <w:sz w:val="24"/>
                <w:szCs w:val="24"/>
              </w:rPr>
              <w:t>;17</w:t>
            </w:r>
            <w:proofErr w:type="gramEnd"/>
            <w:r>
              <w:rPr>
                <w:rFonts w:ascii="Arial" w:eastAsia="Arial" w:hAnsi="Arial" w:cs="Arial"/>
                <w:b/>
                <w:color w:val="222222"/>
                <w:sz w:val="24"/>
                <w:szCs w:val="24"/>
              </w:rPr>
              <w:t>(3):175-81.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35.</w:t>
            </w:r>
            <w:r>
              <w:rPr>
                <w:rFonts w:ascii="Arial" w:eastAsia="Arial" w:hAnsi="Arial" w:cs="Arial"/>
                <w:b/>
                <w:color w:val="222222"/>
                <w:sz w:val="24"/>
                <w:szCs w:val="24"/>
              </w:rPr>
              <w:tab/>
              <w:t>Taylor JA, Eckberg DL. Fundamental relations between short-term RR interval and arterial pressure oscillations in humans. Circulation. 1996</w:t>
            </w:r>
            <w:proofErr w:type="gramStart"/>
            <w:r>
              <w:rPr>
                <w:rFonts w:ascii="Arial" w:eastAsia="Arial" w:hAnsi="Arial" w:cs="Arial"/>
                <w:b/>
                <w:color w:val="222222"/>
                <w:sz w:val="24"/>
                <w:szCs w:val="24"/>
              </w:rPr>
              <w:t>;93</w:t>
            </w:r>
            <w:proofErr w:type="gramEnd"/>
            <w:r>
              <w:rPr>
                <w:rFonts w:ascii="Arial" w:eastAsia="Arial" w:hAnsi="Arial" w:cs="Arial"/>
                <w:b/>
                <w:color w:val="222222"/>
                <w:sz w:val="24"/>
                <w:szCs w:val="24"/>
              </w:rPr>
              <w:t>(8):1527-32.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36.</w:t>
            </w:r>
            <w:r>
              <w:rPr>
                <w:rFonts w:ascii="Arial" w:eastAsia="Arial" w:hAnsi="Arial" w:cs="Arial"/>
                <w:b/>
                <w:color w:val="222222"/>
                <w:sz w:val="24"/>
                <w:szCs w:val="24"/>
              </w:rPr>
              <w:tab/>
              <w:t>Eckberg DL. Sympathovagal balance: a critical appraisal. Circulation. 1997</w:t>
            </w:r>
            <w:proofErr w:type="gramStart"/>
            <w:r>
              <w:rPr>
                <w:rFonts w:ascii="Arial" w:eastAsia="Arial" w:hAnsi="Arial" w:cs="Arial"/>
                <w:b/>
                <w:color w:val="222222"/>
                <w:sz w:val="24"/>
                <w:szCs w:val="24"/>
              </w:rPr>
              <w:t>;96</w:t>
            </w:r>
            <w:proofErr w:type="gramEnd"/>
            <w:r>
              <w:rPr>
                <w:rFonts w:ascii="Arial" w:eastAsia="Arial" w:hAnsi="Arial" w:cs="Arial"/>
                <w:b/>
                <w:color w:val="222222"/>
                <w:sz w:val="24"/>
                <w:szCs w:val="24"/>
              </w:rPr>
              <w:t>(9):3224-32.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37.</w:t>
            </w:r>
            <w:r>
              <w:rPr>
                <w:rFonts w:ascii="Arial" w:eastAsia="Arial" w:hAnsi="Arial" w:cs="Arial"/>
                <w:b/>
                <w:color w:val="222222"/>
                <w:sz w:val="24"/>
                <w:szCs w:val="24"/>
              </w:rPr>
              <w:tab/>
              <w:t>Pagani M, Lombardi F, Guzzetti S, Rimoldi O, Furlan R, Pizzinelli P, et al. Power spectral analysis of heart rate and arterial pressure variabilities as a marker of sympatho-vagal interaction in man and conscious dog. Circulation research. 1986</w:t>
            </w:r>
            <w:proofErr w:type="gramStart"/>
            <w:r>
              <w:rPr>
                <w:rFonts w:ascii="Arial" w:eastAsia="Arial" w:hAnsi="Arial" w:cs="Arial"/>
                <w:b/>
                <w:color w:val="222222"/>
                <w:sz w:val="24"/>
                <w:szCs w:val="24"/>
              </w:rPr>
              <w:t>;59</w:t>
            </w:r>
            <w:proofErr w:type="gramEnd"/>
            <w:r>
              <w:rPr>
                <w:rFonts w:ascii="Arial" w:eastAsia="Arial" w:hAnsi="Arial" w:cs="Arial"/>
                <w:b/>
                <w:color w:val="222222"/>
                <w:sz w:val="24"/>
                <w:szCs w:val="24"/>
              </w:rPr>
              <w:t>(2):178-93.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38.</w:t>
            </w:r>
            <w:r>
              <w:rPr>
                <w:rFonts w:ascii="Arial" w:eastAsia="Arial" w:hAnsi="Arial" w:cs="Arial"/>
                <w:b/>
                <w:color w:val="222222"/>
                <w:sz w:val="24"/>
                <w:szCs w:val="24"/>
              </w:rPr>
              <w:tab/>
              <w:t>Cottin F, Medigue C, Lepretre PM, Papelier Y, Koralsztein JP, Billat V. Heart rate variability during exercise performed below and above ventilatory threshold. Medicine and science in sports and exercise. 2004</w:t>
            </w:r>
            <w:proofErr w:type="gramStart"/>
            <w:r>
              <w:rPr>
                <w:rFonts w:ascii="Arial" w:eastAsia="Arial" w:hAnsi="Arial" w:cs="Arial"/>
                <w:b/>
                <w:color w:val="222222"/>
                <w:sz w:val="24"/>
                <w:szCs w:val="24"/>
              </w:rPr>
              <w:t>;36</w:t>
            </w:r>
            <w:proofErr w:type="gramEnd"/>
            <w:r>
              <w:rPr>
                <w:rFonts w:ascii="Arial" w:eastAsia="Arial" w:hAnsi="Arial" w:cs="Arial"/>
                <w:b/>
                <w:color w:val="222222"/>
                <w:sz w:val="24"/>
                <w:szCs w:val="24"/>
              </w:rPr>
              <w:t>(4):594-600.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39.</w:t>
            </w:r>
            <w:r>
              <w:rPr>
                <w:rFonts w:ascii="Arial" w:eastAsia="Arial" w:hAnsi="Arial" w:cs="Arial"/>
                <w:b/>
                <w:color w:val="222222"/>
                <w:sz w:val="24"/>
                <w:szCs w:val="24"/>
              </w:rPr>
              <w:tab/>
              <w:t>Hynynen E, Uusitalo A, Konttinen N, Rusko H. Heart rate variability during night sleep and after awakening in overtrained athletes. Medicine and science in sports and exercise. 2006</w:t>
            </w:r>
            <w:proofErr w:type="gramStart"/>
            <w:r>
              <w:rPr>
                <w:rFonts w:ascii="Arial" w:eastAsia="Arial" w:hAnsi="Arial" w:cs="Arial"/>
                <w:b/>
                <w:color w:val="222222"/>
                <w:sz w:val="24"/>
                <w:szCs w:val="24"/>
              </w:rPr>
              <w:t>;38</w:t>
            </w:r>
            <w:proofErr w:type="gramEnd"/>
            <w:r>
              <w:rPr>
                <w:rFonts w:ascii="Arial" w:eastAsia="Arial" w:hAnsi="Arial" w:cs="Arial"/>
                <w:b/>
                <w:color w:val="222222"/>
                <w:sz w:val="24"/>
                <w:szCs w:val="24"/>
              </w:rPr>
              <w:t>(2):313-7.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40.</w:t>
            </w:r>
            <w:r>
              <w:rPr>
                <w:rFonts w:ascii="Arial" w:eastAsia="Arial" w:hAnsi="Arial" w:cs="Arial"/>
                <w:b/>
                <w:color w:val="222222"/>
                <w:sz w:val="24"/>
                <w:szCs w:val="24"/>
              </w:rPr>
              <w:tab/>
              <w:t xml:space="preserve">da Silva VP, de Oliveira NA, Silveira H, Mello RG, Deslandes AC. Heart rate variability indexes as a marker of chronic adaptation in athletes: a systematic review. Annals of noninvasive </w:t>
            </w:r>
            <w:proofErr w:type="gramStart"/>
            <w:r>
              <w:rPr>
                <w:rFonts w:ascii="Arial" w:eastAsia="Arial" w:hAnsi="Arial" w:cs="Arial"/>
                <w:b/>
                <w:color w:val="222222"/>
                <w:sz w:val="24"/>
                <w:szCs w:val="24"/>
              </w:rPr>
              <w:t>electrocardiology :</w:t>
            </w:r>
            <w:proofErr w:type="gramEnd"/>
            <w:r>
              <w:rPr>
                <w:rFonts w:ascii="Arial" w:eastAsia="Arial" w:hAnsi="Arial" w:cs="Arial"/>
                <w:b/>
                <w:color w:val="222222"/>
                <w:sz w:val="24"/>
                <w:szCs w:val="24"/>
              </w:rPr>
              <w:t xml:space="preserve"> the official journal of the International Society for Holter and Noninvasive Electrocardiology, Inc. 2015;20(2):108-18.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41.</w:t>
            </w:r>
            <w:r>
              <w:rPr>
                <w:rFonts w:ascii="Arial" w:eastAsia="Arial" w:hAnsi="Arial" w:cs="Arial"/>
                <w:b/>
                <w:color w:val="222222"/>
                <w:sz w:val="24"/>
                <w:szCs w:val="24"/>
              </w:rPr>
              <w:tab/>
              <w:t>Bellenger CR, Fuller JT, Thomson RL, Davison K, Robertson EY, Buckley JD. Monitoring Athletic Training Status Through Autonomic Heart Rate Regulation: A Systematic Review and Meta-Analysis. Sports medicine (Auckland, NZ). 2016</w:t>
            </w:r>
            <w:proofErr w:type="gramStart"/>
            <w:r>
              <w:rPr>
                <w:rFonts w:ascii="Arial" w:eastAsia="Arial" w:hAnsi="Arial" w:cs="Arial"/>
                <w:b/>
                <w:color w:val="222222"/>
                <w:sz w:val="24"/>
                <w:szCs w:val="24"/>
              </w:rPr>
              <w:t>;46</w:t>
            </w:r>
            <w:proofErr w:type="gramEnd"/>
            <w:r>
              <w:rPr>
                <w:rFonts w:ascii="Arial" w:eastAsia="Arial" w:hAnsi="Arial" w:cs="Arial"/>
                <w:b/>
                <w:color w:val="222222"/>
                <w:sz w:val="24"/>
                <w:szCs w:val="24"/>
              </w:rPr>
              <w:t>(10):1461-86.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42.</w:t>
            </w:r>
            <w:r>
              <w:rPr>
                <w:rFonts w:ascii="Arial" w:eastAsia="Arial" w:hAnsi="Arial" w:cs="Arial"/>
                <w:b/>
                <w:color w:val="222222"/>
                <w:sz w:val="24"/>
                <w:szCs w:val="24"/>
              </w:rPr>
              <w:tab/>
              <w:t>Monteiro ER, Novaes JS, Fiuza AG, Portugal E, Triani FS, Bigio L, et al. Behavior of Heart Rate Variability After 10 Repetitions Maximum Load Test for Lower Limbs. International journal of exercise science. 2018</w:t>
            </w:r>
            <w:proofErr w:type="gramStart"/>
            <w:r>
              <w:rPr>
                <w:rFonts w:ascii="Arial" w:eastAsia="Arial" w:hAnsi="Arial" w:cs="Arial"/>
                <w:b/>
                <w:color w:val="222222"/>
                <w:sz w:val="24"/>
                <w:szCs w:val="24"/>
              </w:rPr>
              <w:t>;11</w:t>
            </w:r>
            <w:proofErr w:type="gramEnd"/>
            <w:r>
              <w:rPr>
                <w:rFonts w:ascii="Arial" w:eastAsia="Arial" w:hAnsi="Arial" w:cs="Arial"/>
                <w:b/>
                <w:color w:val="222222"/>
                <w:sz w:val="24"/>
                <w:szCs w:val="24"/>
              </w:rPr>
              <w:t>(6):834-43.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43.</w:t>
            </w:r>
            <w:r>
              <w:rPr>
                <w:rFonts w:ascii="Arial" w:eastAsia="Arial" w:hAnsi="Arial" w:cs="Arial"/>
                <w:b/>
                <w:color w:val="222222"/>
                <w:sz w:val="24"/>
                <w:szCs w:val="24"/>
              </w:rPr>
              <w:tab/>
              <w:t>Kingsley JD, Mayo X, Tai YL, Fennell C. Arterial Stiffness and Autonomic Modulation After Free-Weight Resistance Exercises in Resistance Trained Individuals. Journal of strength and conditioning research. 2016</w:t>
            </w:r>
            <w:proofErr w:type="gramStart"/>
            <w:r>
              <w:rPr>
                <w:rFonts w:ascii="Arial" w:eastAsia="Arial" w:hAnsi="Arial" w:cs="Arial"/>
                <w:b/>
                <w:color w:val="222222"/>
                <w:sz w:val="24"/>
                <w:szCs w:val="24"/>
              </w:rPr>
              <w:t>;30</w:t>
            </w:r>
            <w:proofErr w:type="gramEnd"/>
            <w:r>
              <w:rPr>
                <w:rFonts w:ascii="Arial" w:eastAsia="Arial" w:hAnsi="Arial" w:cs="Arial"/>
                <w:b/>
                <w:color w:val="222222"/>
                <w:sz w:val="24"/>
                <w:szCs w:val="24"/>
              </w:rPr>
              <w:t>(12):3373-80.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44.</w:t>
            </w:r>
            <w:r>
              <w:rPr>
                <w:rFonts w:ascii="Arial" w:eastAsia="Arial" w:hAnsi="Arial" w:cs="Arial"/>
                <w:b/>
                <w:color w:val="222222"/>
                <w:sz w:val="24"/>
                <w:szCs w:val="24"/>
              </w:rPr>
              <w:tab/>
              <w:t>Lima AHRdA, Forjaz CLdM, Silva GQdM, Menêses AL, Silva AJMR, Ritti-Dias RM. Efeito agudo da intensidade do exercício de força na modulação autonômica cardíaca pós-exercício. Arquivos Brasileiros de Cardiologia. 2011</w:t>
            </w:r>
            <w:proofErr w:type="gramStart"/>
            <w:r>
              <w:rPr>
                <w:rFonts w:ascii="Arial" w:eastAsia="Arial" w:hAnsi="Arial" w:cs="Arial"/>
                <w:b/>
                <w:color w:val="222222"/>
                <w:sz w:val="24"/>
                <w:szCs w:val="24"/>
              </w:rPr>
              <w:t>;96:498</w:t>
            </w:r>
            <w:proofErr w:type="gramEnd"/>
            <w:r>
              <w:rPr>
                <w:rFonts w:ascii="Arial" w:eastAsia="Arial" w:hAnsi="Arial" w:cs="Arial"/>
                <w:b/>
                <w:color w:val="222222"/>
                <w:sz w:val="24"/>
                <w:szCs w:val="24"/>
              </w:rPr>
              <w:t>-503.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45.</w:t>
            </w:r>
            <w:r>
              <w:rPr>
                <w:rFonts w:ascii="Arial" w:eastAsia="Arial" w:hAnsi="Arial" w:cs="Arial"/>
                <w:b/>
                <w:color w:val="222222"/>
                <w:sz w:val="24"/>
                <w:szCs w:val="24"/>
              </w:rPr>
              <w:tab/>
              <w:t>Figueiredo T, Rhea MR, Peterson M, Miranda H, Bentes CM, dos Reis VM, et al. Influence of number of sets on blood pressure and heart rate variability after a strength training session. Journal of strength and conditioning research. 2015</w:t>
            </w:r>
            <w:proofErr w:type="gramStart"/>
            <w:r>
              <w:rPr>
                <w:rFonts w:ascii="Arial" w:eastAsia="Arial" w:hAnsi="Arial" w:cs="Arial"/>
                <w:b/>
                <w:color w:val="222222"/>
                <w:sz w:val="24"/>
                <w:szCs w:val="24"/>
              </w:rPr>
              <w:t>;29</w:t>
            </w:r>
            <w:proofErr w:type="gramEnd"/>
            <w:r>
              <w:rPr>
                <w:rFonts w:ascii="Arial" w:eastAsia="Arial" w:hAnsi="Arial" w:cs="Arial"/>
                <w:b/>
                <w:color w:val="222222"/>
                <w:sz w:val="24"/>
                <w:szCs w:val="24"/>
              </w:rPr>
              <w:t>(6):1556-63.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46.</w:t>
            </w:r>
            <w:r>
              <w:rPr>
                <w:rFonts w:ascii="Arial" w:eastAsia="Arial" w:hAnsi="Arial" w:cs="Arial"/>
                <w:b/>
                <w:color w:val="222222"/>
                <w:sz w:val="24"/>
                <w:szCs w:val="24"/>
              </w:rPr>
              <w:tab/>
              <w:t>Lemos S, Figueiredo T, Marques S, Leite T, Cardozo D, Willardson JM, et al. Effects of Strength Training Sessions Performed with Different Exercise Orders and Intervals on Blood Pressure and Heart Rate Variability. International journal of exercise science. 2018</w:t>
            </w:r>
            <w:proofErr w:type="gramStart"/>
            <w:r>
              <w:rPr>
                <w:rFonts w:ascii="Arial" w:eastAsia="Arial" w:hAnsi="Arial" w:cs="Arial"/>
                <w:b/>
                <w:color w:val="222222"/>
                <w:sz w:val="24"/>
                <w:szCs w:val="24"/>
              </w:rPr>
              <w:t>;11</w:t>
            </w:r>
            <w:proofErr w:type="gramEnd"/>
            <w:r>
              <w:rPr>
                <w:rFonts w:ascii="Arial" w:eastAsia="Arial" w:hAnsi="Arial" w:cs="Arial"/>
                <w:b/>
                <w:color w:val="222222"/>
                <w:sz w:val="24"/>
                <w:szCs w:val="24"/>
              </w:rPr>
              <w:t>(2):55-67.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47.</w:t>
            </w:r>
            <w:r>
              <w:rPr>
                <w:rFonts w:ascii="Arial" w:eastAsia="Arial" w:hAnsi="Arial" w:cs="Arial"/>
                <w:b/>
                <w:color w:val="222222"/>
                <w:sz w:val="24"/>
                <w:szCs w:val="24"/>
              </w:rPr>
              <w:tab/>
              <w:t xml:space="preserve">Carter JR, Ray CA, Downs EM, Cooke WH. Strength training reduces arterial blood pressure but not sympathetic neural activity in young normotensive subjects. Journal of applied physiology (Bethesda, </w:t>
            </w:r>
            <w:proofErr w:type="gramStart"/>
            <w:r>
              <w:rPr>
                <w:rFonts w:ascii="Arial" w:eastAsia="Arial" w:hAnsi="Arial" w:cs="Arial"/>
                <w:b/>
                <w:color w:val="222222"/>
                <w:sz w:val="24"/>
                <w:szCs w:val="24"/>
              </w:rPr>
              <w:t>Md :</w:t>
            </w:r>
            <w:proofErr w:type="gramEnd"/>
            <w:r>
              <w:rPr>
                <w:rFonts w:ascii="Arial" w:eastAsia="Arial" w:hAnsi="Arial" w:cs="Arial"/>
                <w:b/>
                <w:color w:val="222222"/>
                <w:sz w:val="24"/>
                <w:szCs w:val="24"/>
              </w:rPr>
              <w:t xml:space="preserve"> 1985). 2003</w:t>
            </w:r>
            <w:proofErr w:type="gramStart"/>
            <w:r>
              <w:rPr>
                <w:rFonts w:ascii="Arial" w:eastAsia="Arial" w:hAnsi="Arial" w:cs="Arial"/>
                <w:b/>
                <w:color w:val="222222"/>
                <w:sz w:val="24"/>
                <w:szCs w:val="24"/>
              </w:rPr>
              <w:t>;94</w:t>
            </w:r>
            <w:proofErr w:type="gramEnd"/>
            <w:r>
              <w:rPr>
                <w:rFonts w:ascii="Arial" w:eastAsia="Arial" w:hAnsi="Arial" w:cs="Arial"/>
                <w:b/>
                <w:color w:val="222222"/>
                <w:sz w:val="24"/>
                <w:szCs w:val="24"/>
              </w:rPr>
              <w:t>(6):2212-6.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48.</w:t>
            </w:r>
            <w:r>
              <w:rPr>
                <w:rFonts w:ascii="Arial" w:eastAsia="Arial" w:hAnsi="Arial" w:cs="Arial"/>
                <w:b/>
                <w:color w:val="222222"/>
                <w:sz w:val="24"/>
                <w:szCs w:val="24"/>
              </w:rPr>
              <w:tab/>
              <w:t>Madden KM, Levy WC, Stratton JK. Exercise training and heart rate variability in older adult female subjects. Clinical and investigative medicine Medecine clinique et experimentale. 2006</w:t>
            </w:r>
            <w:proofErr w:type="gramStart"/>
            <w:r>
              <w:rPr>
                <w:rFonts w:ascii="Arial" w:eastAsia="Arial" w:hAnsi="Arial" w:cs="Arial"/>
                <w:b/>
                <w:color w:val="222222"/>
                <w:sz w:val="24"/>
                <w:szCs w:val="24"/>
              </w:rPr>
              <w:t>;29</w:t>
            </w:r>
            <w:proofErr w:type="gramEnd"/>
            <w:r>
              <w:rPr>
                <w:rFonts w:ascii="Arial" w:eastAsia="Arial" w:hAnsi="Arial" w:cs="Arial"/>
                <w:b/>
                <w:color w:val="222222"/>
                <w:sz w:val="24"/>
                <w:szCs w:val="24"/>
              </w:rPr>
              <w:t>(1):20-8.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49.</w:t>
            </w:r>
            <w:r>
              <w:rPr>
                <w:rFonts w:ascii="Arial" w:eastAsia="Arial" w:hAnsi="Arial" w:cs="Arial"/>
                <w:b/>
                <w:color w:val="222222"/>
                <w:sz w:val="24"/>
                <w:szCs w:val="24"/>
              </w:rPr>
              <w:tab/>
              <w:t>Peake JM, Della Gatta P, Suzuki K, Nieman DC. Cytokine expression and secretion by skeletal muscle cells: regulatory mechanisms and exercise effects. Exercise immunology review. 2015</w:t>
            </w:r>
            <w:proofErr w:type="gramStart"/>
            <w:r>
              <w:rPr>
                <w:rFonts w:ascii="Arial" w:eastAsia="Arial" w:hAnsi="Arial" w:cs="Arial"/>
                <w:b/>
                <w:color w:val="222222"/>
                <w:sz w:val="24"/>
                <w:szCs w:val="24"/>
              </w:rPr>
              <w:t>;21:8</w:t>
            </w:r>
            <w:proofErr w:type="gramEnd"/>
            <w:r>
              <w:rPr>
                <w:rFonts w:ascii="Arial" w:eastAsia="Arial" w:hAnsi="Arial" w:cs="Arial"/>
                <w:b/>
                <w:color w:val="222222"/>
                <w:sz w:val="24"/>
                <w:szCs w:val="24"/>
              </w:rPr>
              <w:t>-25.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50.</w:t>
            </w:r>
            <w:r>
              <w:rPr>
                <w:rFonts w:ascii="Arial" w:eastAsia="Arial" w:hAnsi="Arial" w:cs="Arial"/>
                <w:b/>
                <w:color w:val="222222"/>
                <w:sz w:val="24"/>
                <w:szCs w:val="24"/>
              </w:rPr>
              <w:tab/>
              <w:t>Hasegawa H, Mizoguchi I, Chiba Y, Ohashi M, Xu M, Yoshimoto T. Expanding Diversity in Molecular Structures and Functions of the IL-6/IL-12 Heterodimeric Cytokine Family. Frontiers in immunology. 2016</w:t>
            </w:r>
            <w:proofErr w:type="gramStart"/>
            <w:r>
              <w:rPr>
                <w:rFonts w:ascii="Arial" w:eastAsia="Arial" w:hAnsi="Arial" w:cs="Arial"/>
                <w:b/>
                <w:color w:val="222222"/>
                <w:sz w:val="24"/>
                <w:szCs w:val="24"/>
              </w:rPr>
              <w:t>;7:479</w:t>
            </w:r>
            <w:proofErr w:type="gramEnd"/>
            <w:r>
              <w:rPr>
                <w:rFonts w:ascii="Arial" w:eastAsia="Arial" w:hAnsi="Arial" w:cs="Arial"/>
                <w:b/>
                <w:color w:val="222222"/>
                <w:sz w:val="24"/>
                <w:szCs w:val="24"/>
              </w:rPr>
              <w:t>.</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51.</w:t>
            </w:r>
            <w:r>
              <w:rPr>
                <w:rFonts w:ascii="Arial" w:eastAsia="Arial" w:hAnsi="Arial" w:cs="Arial"/>
                <w:b/>
                <w:color w:val="222222"/>
                <w:sz w:val="24"/>
                <w:szCs w:val="24"/>
              </w:rPr>
              <w:tab/>
              <w:t>Hung YL, Suzuki K. The pattern recognition receptors and lipopolysaccharides (LPS)-induced systemic</w:t>
            </w:r>
          </w:p>
          <w:p w:rsidR="00D4660B" w:rsidRDefault="00574EAC">
            <w:pPr>
              <w:rPr>
                <w:rFonts w:ascii="Arial" w:eastAsia="Arial" w:hAnsi="Arial" w:cs="Arial"/>
                <w:b/>
                <w:color w:val="222222"/>
                <w:sz w:val="24"/>
                <w:szCs w:val="24"/>
              </w:rPr>
            </w:pPr>
            <w:proofErr w:type="gramStart"/>
            <w:r>
              <w:rPr>
                <w:rFonts w:ascii="Arial" w:eastAsia="Arial" w:hAnsi="Arial" w:cs="Arial"/>
                <w:b/>
                <w:color w:val="222222"/>
                <w:sz w:val="24"/>
                <w:szCs w:val="24"/>
              </w:rPr>
              <w:t>inflammation</w:t>
            </w:r>
            <w:proofErr w:type="gramEnd"/>
            <w:r>
              <w:rPr>
                <w:rFonts w:ascii="Arial" w:eastAsia="Arial" w:hAnsi="Arial" w:cs="Arial"/>
                <w:b/>
                <w:color w:val="222222"/>
                <w:sz w:val="24"/>
                <w:szCs w:val="24"/>
              </w:rPr>
              <w:t>. Int J Res Stud Med Health Sci. 2017</w:t>
            </w:r>
            <w:proofErr w:type="gramStart"/>
            <w:r>
              <w:rPr>
                <w:rFonts w:ascii="Arial" w:eastAsia="Arial" w:hAnsi="Arial" w:cs="Arial"/>
                <w:b/>
                <w:color w:val="222222"/>
                <w:sz w:val="24"/>
                <w:szCs w:val="24"/>
              </w:rPr>
              <w:t>;2:1</w:t>
            </w:r>
            <w:proofErr w:type="gramEnd"/>
            <w:r>
              <w:rPr>
                <w:rFonts w:ascii="Arial" w:eastAsia="Arial" w:hAnsi="Arial" w:cs="Arial"/>
                <w:b/>
                <w:color w:val="222222"/>
                <w:sz w:val="24"/>
                <w:szCs w:val="24"/>
              </w:rPr>
              <w:t>-7.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52.</w:t>
            </w:r>
            <w:r>
              <w:rPr>
                <w:rFonts w:ascii="Arial" w:eastAsia="Arial" w:hAnsi="Arial" w:cs="Arial"/>
                <w:b/>
                <w:color w:val="222222"/>
                <w:sz w:val="24"/>
                <w:szCs w:val="24"/>
              </w:rPr>
              <w:tab/>
              <w:t>Peake JM, Suzuki K, Hordern M, Wilson G, Nosaka K, Coombes JS. Plasma cytokine changes in relation to exercise intensity and muscle damage. European journal of applied physiology. 2005</w:t>
            </w:r>
            <w:proofErr w:type="gramStart"/>
            <w:r>
              <w:rPr>
                <w:rFonts w:ascii="Arial" w:eastAsia="Arial" w:hAnsi="Arial" w:cs="Arial"/>
                <w:b/>
                <w:color w:val="222222"/>
                <w:sz w:val="24"/>
                <w:szCs w:val="24"/>
              </w:rPr>
              <w:t>;95</w:t>
            </w:r>
            <w:proofErr w:type="gramEnd"/>
            <w:r>
              <w:rPr>
                <w:rFonts w:ascii="Arial" w:eastAsia="Arial" w:hAnsi="Arial" w:cs="Arial"/>
                <w:b/>
                <w:color w:val="222222"/>
                <w:sz w:val="24"/>
                <w:szCs w:val="24"/>
              </w:rPr>
              <w:t>(5-6):514-21.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53.</w:t>
            </w:r>
            <w:r>
              <w:rPr>
                <w:rFonts w:ascii="Arial" w:eastAsia="Arial" w:hAnsi="Arial" w:cs="Arial"/>
                <w:b/>
                <w:color w:val="222222"/>
                <w:sz w:val="24"/>
                <w:szCs w:val="24"/>
              </w:rPr>
              <w:tab/>
              <w:t>Pedersen BK, Febbraio MA. Muscle as an endocrine organ: focus on muscle-derived interleukin-6. Physiological reviews. 2008</w:t>
            </w:r>
            <w:proofErr w:type="gramStart"/>
            <w:r>
              <w:rPr>
                <w:rFonts w:ascii="Arial" w:eastAsia="Arial" w:hAnsi="Arial" w:cs="Arial"/>
                <w:b/>
                <w:color w:val="222222"/>
                <w:sz w:val="24"/>
                <w:szCs w:val="24"/>
              </w:rPr>
              <w:t>;88</w:t>
            </w:r>
            <w:proofErr w:type="gramEnd"/>
            <w:r>
              <w:rPr>
                <w:rFonts w:ascii="Arial" w:eastAsia="Arial" w:hAnsi="Arial" w:cs="Arial"/>
                <w:b/>
                <w:color w:val="222222"/>
                <w:sz w:val="24"/>
                <w:szCs w:val="24"/>
              </w:rPr>
              <w:t>(4):1379-406.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54.</w:t>
            </w:r>
            <w:r>
              <w:rPr>
                <w:rFonts w:ascii="Arial" w:eastAsia="Arial" w:hAnsi="Arial" w:cs="Arial"/>
                <w:b/>
                <w:color w:val="222222"/>
                <w:sz w:val="24"/>
                <w:szCs w:val="24"/>
              </w:rPr>
              <w:tab/>
              <w:t>Elenkov IJ, Chrousos GP, Wilder RL. Neuroendocrine regulation of IL-12 and TNF-alpha/IL-10 balance. Clinical implications. Annals of the New York Academy of Sciences. 2000</w:t>
            </w:r>
            <w:proofErr w:type="gramStart"/>
            <w:r>
              <w:rPr>
                <w:rFonts w:ascii="Arial" w:eastAsia="Arial" w:hAnsi="Arial" w:cs="Arial"/>
                <w:b/>
                <w:color w:val="222222"/>
                <w:sz w:val="24"/>
                <w:szCs w:val="24"/>
              </w:rPr>
              <w:t>;917:94</w:t>
            </w:r>
            <w:proofErr w:type="gramEnd"/>
            <w:r>
              <w:rPr>
                <w:rFonts w:ascii="Arial" w:eastAsia="Arial" w:hAnsi="Arial" w:cs="Arial"/>
                <w:b/>
                <w:color w:val="222222"/>
                <w:sz w:val="24"/>
                <w:szCs w:val="24"/>
              </w:rPr>
              <w:t>-105.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55.</w:t>
            </w:r>
            <w:r>
              <w:rPr>
                <w:rFonts w:ascii="Arial" w:eastAsia="Arial" w:hAnsi="Arial" w:cs="Arial"/>
                <w:b/>
                <w:color w:val="222222"/>
                <w:sz w:val="24"/>
                <w:szCs w:val="24"/>
              </w:rPr>
              <w:tab/>
              <w:t xml:space="preserve">Omata N, Yasutomi M, Yamada A, Iwasaki H, Mayumi M, Ohshima Y. Monocyte chemoattractant protein-1 selectively inhibits the acquisition of CD40 ligand-dependent IL-12-producing capacity of monocyte-derived dendritic cells and modulates Th1 immune response. Journal of immunology (Baltimore, </w:t>
            </w:r>
            <w:proofErr w:type="gramStart"/>
            <w:r>
              <w:rPr>
                <w:rFonts w:ascii="Arial" w:eastAsia="Arial" w:hAnsi="Arial" w:cs="Arial"/>
                <w:b/>
                <w:color w:val="222222"/>
                <w:sz w:val="24"/>
                <w:szCs w:val="24"/>
              </w:rPr>
              <w:t>Md :</w:t>
            </w:r>
            <w:proofErr w:type="gramEnd"/>
            <w:r>
              <w:rPr>
                <w:rFonts w:ascii="Arial" w:eastAsia="Arial" w:hAnsi="Arial" w:cs="Arial"/>
                <w:b/>
                <w:color w:val="222222"/>
                <w:sz w:val="24"/>
                <w:szCs w:val="24"/>
              </w:rPr>
              <w:t xml:space="preserve"> 1950). 2002</w:t>
            </w:r>
            <w:proofErr w:type="gramStart"/>
            <w:r>
              <w:rPr>
                <w:rFonts w:ascii="Arial" w:eastAsia="Arial" w:hAnsi="Arial" w:cs="Arial"/>
                <w:b/>
                <w:color w:val="222222"/>
                <w:sz w:val="24"/>
                <w:szCs w:val="24"/>
              </w:rPr>
              <w:t>;169</w:t>
            </w:r>
            <w:proofErr w:type="gramEnd"/>
            <w:r>
              <w:rPr>
                <w:rFonts w:ascii="Arial" w:eastAsia="Arial" w:hAnsi="Arial" w:cs="Arial"/>
                <w:b/>
                <w:color w:val="222222"/>
                <w:sz w:val="24"/>
                <w:szCs w:val="24"/>
              </w:rPr>
              <w:t>(9):4861-6.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56.</w:t>
            </w:r>
            <w:r>
              <w:rPr>
                <w:rFonts w:ascii="Arial" w:eastAsia="Arial" w:hAnsi="Arial" w:cs="Arial"/>
                <w:b/>
                <w:color w:val="222222"/>
                <w:sz w:val="24"/>
                <w:szCs w:val="24"/>
              </w:rPr>
              <w:tab/>
              <w:t>Suzuki K. Cytokine Response to Exercise and Its Modulation. Antioxidants (Basel). 2018</w:t>
            </w:r>
            <w:proofErr w:type="gramStart"/>
            <w:r>
              <w:rPr>
                <w:rFonts w:ascii="Arial" w:eastAsia="Arial" w:hAnsi="Arial" w:cs="Arial"/>
                <w:b/>
                <w:color w:val="222222"/>
                <w:sz w:val="24"/>
                <w:szCs w:val="24"/>
              </w:rPr>
              <w:t>;7</w:t>
            </w:r>
            <w:proofErr w:type="gramEnd"/>
            <w:r>
              <w:rPr>
                <w:rFonts w:ascii="Arial" w:eastAsia="Arial" w:hAnsi="Arial" w:cs="Arial"/>
                <w:b/>
                <w:color w:val="222222"/>
                <w:sz w:val="24"/>
                <w:szCs w:val="24"/>
              </w:rPr>
              <w:t>(1):17.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57.</w:t>
            </w:r>
            <w:r>
              <w:rPr>
                <w:rFonts w:ascii="Arial" w:eastAsia="Arial" w:hAnsi="Arial" w:cs="Arial"/>
                <w:b/>
                <w:color w:val="222222"/>
                <w:sz w:val="24"/>
                <w:szCs w:val="24"/>
              </w:rPr>
              <w:tab/>
              <w:t>Scheller J, Chalaris A, Schmidt-Arras D, Rose-John S. The pro- and anti-inflammatory properties of the cytokine interleukin-6. Biochimica et biophysica acta. 2011</w:t>
            </w:r>
            <w:proofErr w:type="gramStart"/>
            <w:r>
              <w:rPr>
                <w:rFonts w:ascii="Arial" w:eastAsia="Arial" w:hAnsi="Arial" w:cs="Arial"/>
                <w:b/>
                <w:color w:val="222222"/>
                <w:sz w:val="24"/>
                <w:szCs w:val="24"/>
              </w:rPr>
              <w:t>;1813</w:t>
            </w:r>
            <w:proofErr w:type="gramEnd"/>
            <w:r>
              <w:rPr>
                <w:rFonts w:ascii="Arial" w:eastAsia="Arial" w:hAnsi="Arial" w:cs="Arial"/>
                <w:b/>
                <w:color w:val="222222"/>
                <w:sz w:val="24"/>
                <w:szCs w:val="24"/>
              </w:rPr>
              <w:t>(5):878-88.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58.</w:t>
            </w:r>
            <w:r>
              <w:rPr>
                <w:rFonts w:ascii="Arial" w:eastAsia="Arial" w:hAnsi="Arial" w:cs="Arial"/>
                <w:b/>
                <w:color w:val="222222"/>
                <w:sz w:val="24"/>
                <w:szCs w:val="24"/>
              </w:rPr>
              <w:tab/>
              <w:t>Dinan NE, Zak RB, Shute RJ, Laursen T, Bubak M. Exercise-Induced Interleukin-6 and Metabolic Responses in Hot, Temperate, and Cold Conditions. Journal of Human Performance in Extreme Environments. 2017</w:t>
            </w:r>
            <w:proofErr w:type="gramStart"/>
            <w:r>
              <w:rPr>
                <w:rFonts w:ascii="Arial" w:eastAsia="Arial" w:hAnsi="Arial" w:cs="Arial"/>
                <w:b/>
                <w:color w:val="222222"/>
                <w:sz w:val="24"/>
                <w:szCs w:val="24"/>
              </w:rPr>
              <w:t>;13</w:t>
            </w:r>
            <w:proofErr w:type="gramEnd"/>
            <w:r>
              <w:rPr>
                <w:rFonts w:ascii="Arial" w:eastAsia="Arial" w:hAnsi="Arial" w:cs="Arial"/>
                <w:b/>
                <w:color w:val="222222"/>
                <w:sz w:val="24"/>
                <w:szCs w:val="24"/>
              </w:rPr>
              <w:t>(1):8-11.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59.</w:t>
            </w:r>
            <w:r>
              <w:rPr>
                <w:rFonts w:ascii="Arial" w:eastAsia="Arial" w:hAnsi="Arial" w:cs="Arial"/>
                <w:b/>
                <w:color w:val="222222"/>
                <w:sz w:val="24"/>
                <w:szCs w:val="24"/>
              </w:rPr>
              <w:tab/>
              <w:t>Steensberg A, van Hall G, Osada T, Sacchetti M, Saltin B, Klarlund Pedersen B. Production of interleukin-6 in contracting human skeletal muscles can account for the exercise-induced increase in plasma interleukin-6. J Physiol. 2000</w:t>
            </w:r>
            <w:proofErr w:type="gramStart"/>
            <w:r>
              <w:rPr>
                <w:rFonts w:ascii="Arial" w:eastAsia="Arial" w:hAnsi="Arial" w:cs="Arial"/>
                <w:b/>
                <w:color w:val="222222"/>
                <w:sz w:val="24"/>
                <w:szCs w:val="24"/>
              </w:rPr>
              <w:t>;529</w:t>
            </w:r>
            <w:proofErr w:type="gramEnd"/>
            <w:r>
              <w:rPr>
                <w:rFonts w:ascii="Arial" w:eastAsia="Arial" w:hAnsi="Arial" w:cs="Arial"/>
                <w:b/>
                <w:color w:val="222222"/>
                <w:sz w:val="24"/>
                <w:szCs w:val="24"/>
              </w:rPr>
              <w:t xml:space="preserve"> Pt 1(Pt 1):237-42.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60.</w:t>
            </w:r>
            <w:r>
              <w:rPr>
                <w:rFonts w:ascii="Arial" w:eastAsia="Arial" w:hAnsi="Arial" w:cs="Arial"/>
                <w:b/>
                <w:color w:val="222222"/>
                <w:sz w:val="24"/>
                <w:szCs w:val="24"/>
              </w:rPr>
              <w:tab/>
              <w:t>Ostrowski K, Hermann C, Bangash A, Schjerling P, Nielsen JN, Pedersen BK. A trauma-like elevation of plasma cytokines in humans in response to treadmill running. J Physiol. 1998</w:t>
            </w:r>
            <w:proofErr w:type="gramStart"/>
            <w:r>
              <w:rPr>
                <w:rFonts w:ascii="Arial" w:eastAsia="Arial" w:hAnsi="Arial" w:cs="Arial"/>
                <w:b/>
                <w:color w:val="222222"/>
                <w:sz w:val="24"/>
                <w:szCs w:val="24"/>
              </w:rPr>
              <w:t>;513</w:t>
            </w:r>
            <w:proofErr w:type="gramEnd"/>
            <w:r>
              <w:rPr>
                <w:rFonts w:ascii="Arial" w:eastAsia="Arial" w:hAnsi="Arial" w:cs="Arial"/>
                <w:b/>
                <w:color w:val="222222"/>
                <w:sz w:val="24"/>
                <w:szCs w:val="24"/>
              </w:rPr>
              <w:t xml:space="preserve"> ( Pt 3)(Pt 3):889-94.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61.</w:t>
            </w:r>
            <w:r>
              <w:rPr>
                <w:rFonts w:ascii="Arial" w:eastAsia="Arial" w:hAnsi="Arial" w:cs="Arial"/>
                <w:b/>
                <w:color w:val="222222"/>
                <w:sz w:val="24"/>
                <w:szCs w:val="24"/>
              </w:rPr>
              <w:tab/>
              <w:t>Fischer CP. Interleukin-6 in acute exercise and training: what is the biological relevance? Exercise immunology review. 2006</w:t>
            </w:r>
            <w:proofErr w:type="gramStart"/>
            <w:r>
              <w:rPr>
                <w:rFonts w:ascii="Arial" w:eastAsia="Arial" w:hAnsi="Arial" w:cs="Arial"/>
                <w:b/>
                <w:color w:val="222222"/>
                <w:sz w:val="24"/>
                <w:szCs w:val="24"/>
              </w:rPr>
              <w:t>;12:6</w:t>
            </w:r>
            <w:proofErr w:type="gramEnd"/>
            <w:r>
              <w:rPr>
                <w:rFonts w:ascii="Arial" w:eastAsia="Arial" w:hAnsi="Arial" w:cs="Arial"/>
                <w:b/>
                <w:color w:val="222222"/>
                <w:sz w:val="24"/>
                <w:szCs w:val="24"/>
              </w:rPr>
              <w:t>-33.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62.</w:t>
            </w:r>
            <w:r>
              <w:rPr>
                <w:rFonts w:ascii="Arial" w:eastAsia="Arial" w:hAnsi="Arial" w:cs="Arial"/>
                <w:b/>
                <w:color w:val="222222"/>
                <w:sz w:val="24"/>
                <w:szCs w:val="24"/>
              </w:rPr>
              <w:tab/>
              <w:t>Brenner IK, Natale VM, Vasiliou P, Moldoveanu AI, Shek PN, Shephard RJ. Impact of three different types of exercise on components of the inflammatory response. European journal of applied physiology and occupational physiology. 1999</w:t>
            </w:r>
            <w:proofErr w:type="gramStart"/>
            <w:r>
              <w:rPr>
                <w:rFonts w:ascii="Arial" w:eastAsia="Arial" w:hAnsi="Arial" w:cs="Arial"/>
                <w:b/>
                <w:color w:val="222222"/>
                <w:sz w:val="24"/>
                <w:szCs w:val="24"/>
              </w:rPr>
              <w:t>;80</w:t>
            </w:r>
            <w:proofErr w:type="gramEnd"/>
            <w:r>
              <w:rPr>
                <w:rFonts w:ascii="Arial" w:eastAsia="Arial" w:hAnsi="Arial" w:cs="Arial"/>
                <w:b/>
                <w:color w:val="222222"/>
                <w:sz w:val="24"/>
                <w:szCs w:val="24"/>
              </w:rPr>
              <w:t>(5):452-60.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63.</w:t>
            </w:r>
            <w:r>
              <w:rPr>
                <w:rFonts w:ascii="Arial" w:eastAsia="Arial" w:hAnsi="Arial" w:cs="Arial"/>
                <w:b/>
                <w:color w:val="222222"/>
                <w:sz w:val="24"/>
                <w:szCs w:val="24"/>
              </w:rPr>
              <w:tab/>
              <w:t>Suzuki K, Nakaji S, Kurakake S, Totsuka M, Sato K, Kuriyama T, et al. Exhaustive exercise and type-1/type-2 cytokine balance with special focus on interleukin-12 p40/p70. Exercise immunology review. 2003</w:t>
            </w:r>
            <w:proofErr w:type="gramStart"/>
            <w:r>
              <w:rPr>
                <w:rFonts w:ascii="Arial" w:eastAsia="Arial" w:hAnsi="Arial" w:cs="Arial"/>
                <w:b/>
                <w:color w:val="222222"/>
                <w:sz w:val="24"/>
                <w:szCs w:val="24"/>
              </w:rPr>
              <w:t>;9:48</w:t>
            </w:r>
            <w:proofErr w:type="gramEnd"/>
            <w:r>
              <w:rPr>
                <w:rFonts w:ascii="Arial" w:eastAsia="Arial" w:hAnsi="Arial" w:cs="Arial"/>
                <w:b/>
                <w:color w:val="222222"/>
                <w:sz w:val="24"/>
                <w:szCs w:val="24"/>
              </w:rPr>
              <w:t>-57.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64.</w:t>
            </w:r>
            <w:r>
              <w:rPr>
                <w:rFonts w:ascii="Arial" w:eastAsia="Arial" w:hAnsi="Arial" w:cs="Arial"/>
                <w:b/>
                <w:color w:val="222222"/>
                <w:sz w:val="24"/>
                <w:szCs w:val="24"/>
              </w:rPr>
              <w:tab/>
              <w:t>Hirose L, Nosaka K, Newton M, Laveder A, Kano M, Peake J, et al. Changes in inflammatory mediators following eccentric exercise of the elbow flexors. Exercise immunology review. 2004</w:t>
            </w:r>
            <w:proofErr w:type="gramStart"/>
            <w:r>
              <w:rPr>
                <w:rFonts w:ascii="Arial" w:eastAsia="Arial" w:hAnsi="Arial" w:cs="Arial"/>
                <w:b/>
                <w:color w:val="222222"/>
                <w:sz w:val="24"/>
                <w:szCs w:val="24"/>
              </w:rPr>
              <w:t>;10:75</w:t>
            </w:r>
            <w:proofErr w:type="gramEnd"/>
            <w:r>
              <w:rPr>
                <w:rFonts w:ascii="Arial" w:eastAsia="Arial" w:hAnsi="Arial" w:cs="Arial"/>
                <w:b/>
                <w:color w:val="222222"/>
                <w:sz w:val="24"/>
                <w:szCs w:val="24"/>
              </w:rPr>
              <w:t>-90.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65.</w:t>
            </w:r>
            <w:r>
              <w:rPr>
                <w:rFonts w:ascii="Arial" w:eastAsia="Arial" w:hAnsi="Arial" w:cs="Arial"/>
                <w:b/>
                <w:color w:val="222222"/>
                <w:sz w:val="24"/>
                <w:szCs w:val="24"/>
              </w:rPr>
              <w:tab/>
              <w:t>Smith LL, Anwar A, Fragen M, Rananto C, Johnson R, Holbert D. Cytokines and cell adhesion molecules associated with high-intensity eccentric exercise. European journal of applied physiology. 2000</w:t>
            </w:r>
            <w:proofErr w:type="gramStart"/>
            <w:r>
              <w:rPr>
                <w:rFonts w:ascii="Arial" w:eastAsia="Arial" w:hAnsi="Arial" w:cs="Arial"/>
                <w:b/>
                <w:color w:val="222222"/>
                <w:sz w:val="24"/>
                <w:szCs w:val="24"/>
              </w:rPr>
              <w:t>;82</w:t>
            </w:r>
            <w:proofErr w:type="gramEnd"/>
            <w:r>
              <w:rPr>
                <w:rFonts w:ascii="Arial" w:eastAsia="Arial" w:hAnsi="Arial" w:cs="Arial"/>
                <w:b/>
                <w:color w:val="222222"/>
                <w:sz w:val="24"/>
                <w:szCs w:val="24"/>
              </w:rPr>
              <w:t>(1-2):61-7.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66.</w:t>
            </w:r>
            <w:r>
              <w:rPr>
                <w:rFonts w:ascii="Arial" w:eastAsia="Arial" w:hAnsi="Arial" w:cs="Arial"/>
                <w:b/>
                <w:color w:val="222222"/>
                <w:sz w:val="24"/>
                <w:szCs w:val="24"/>
              </w:rPr>
              <w:tab/>
              <w:t>Malm C, Sjodin TL, Sjoberg B, Lenkei R, Renstrom P, Lundberg IE, et al. Leukocytes, cytokines, growth factors and hormones in human skeletal muscle and blood after uphill or downhill running. J Physiol. 2004</w:t>
            </w:r>
            <w:proofErr w:type="gramStart"/>
            <w:r>
              <w:rPr>
                <w:rFonts w:ascii="Arial" w:eastAsia="Arial" w:hAnsi="Arial" w:cs="Arial"/>
                <w:b/>
                <w:color w:val="222222"/>
                <w:sz w:val="24"/>
                <w:szCs w:val="24"/>
              </w:rPr>
              <w:t>;556</w:t>
            </w:r>
            <w:proofErr w:type="gramEnd"/>
            <w:r>
              <w:rPr>
                <w:rFonts w:ascii="Arial" w:eastAsia="Arial" w:hAnsi="Arial" w:cs="Arial"/>
                <w:b/>
                <w:color w:val="222222"/>
                <w:sz w:val="24"/>
                <w:szCs w:val="24"/>
              </w:rPr>
              <w:t>(Pt 3):983-1000.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67.</w:t>
            </w:r>
            <w:r>
              <w:rPr>
                <w:rFonts w:ascii="Arial" w:eastAsia="Arial" w:hAnsi="Arial" w:cs="Arial"/>
                <w:b/>
                <w:color w:val="222222"/>
                <w:sz w:val="24"/>
                <w:szCs w:val="24"/>
              </w:rPr>
              <w:tab/>
              <w:t xml:space="preserve">Petersen AM, Pedersen BK. The anti-inflammatory effect of exercise. Journal of applied physiology (Bethesda, </w:t>
            </w:r>
            <w:proofErr w:type="gramStart"/>
            <w:r>
              <w:rPr>
                <w:rFonts w:ascii="Arial" w:eastAsia="Arial" w:hAnsi="Arial" w:cs="Arial"/>
                <w:b/>
                <w:color w:val="222222"/>
                <w:sz w:val="24"/>
                <w:szCs w:val="24"/>
              </w:rPr>
              <w:t>Md :</w:t>
            </w:r>
            <w:proofErr w:type="gramEnd"/>
            <w:r>
              <w:rPr>
                <w:rFonts w:ascii="Arial" w:eastAsia="Arial" w:hAnsi="Arial" w:cs="Arial"/>
                <w:b/>
                <w:color w:val="222222"/>
                <w:sz w:val="24"/>
                <w:szCs w:val="24"/>
              </w:rPr>
              <w:t xml:space="preserve"> 1985). 2005</w:t>
            </w:r>
            <w:proofErr w:type="gramStart"/>
            <w:r>
              <w:rPr>
                <w:rFonts w:ascii="Arial" w:eastAsia="Arial" w:hAnsi="Arial" w:cs="Arial"/>
                <w:b/>
                <w:color w:val="222222"/>
                <w:sz w:val="24"/>
                <w:szCs w:val="24"/>
              </w:rPr>
              <w:t>;98</w:t>
            </w:r>
            <w:proofErr w:type="gramEnd"/>
            <w:r>
              <w:rPr>
                <w:rFonts w:ascii="Arial" w:eastAsia="Arial" w:hAnsi="Arial" w:cs="Arial"/>
                <w:b/>
                <w:color w:val="222222"/>
                <w:sz w:val="24"/>
                <w:szCs w:val="24"/>
              </w:rPr>
              <w:t>(4):1154-62.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68.</w:t>
            </w:r>
            <w:r>
              <w:rPr>
                <w:rFonts w:ascii="Arial" w:eastAsia="Arial" w:hAnsi="Arial" w:cs="Arial"/>
                <w:b/>
                <w:color w:val="222222"/>
                <w:sz w:val="24"/>
                <w:szCs w:val="24"/>
              </w:rPr>
              <w:tab/>
              <w:t>Toft AD, Jensen LB, Bruunsgaard H, Ibfelt T, Halkjaer-Kristensen J, Febbraio M, et al. Cytokine response to eccentric exercise in young and elderly humans. American journal of physiology Cell physiology. 2002</w:t>
            </w:r>
            <w:proofErr w:type="gramStart"/>
            <w:r>
              <w:rPr>
                <w:rFonts w:ascii="Arial" w:eastAsia="Arial" w:hAnsi="Arial" w:cs="Arial"/>
                <w:b/>
                <w:color w:val="222222"/>
                <w:sz w:val="24"/>
                <w:szCs w:val="24"/>
              </w:rPr>
              <w:t>;283</w:t>
            </w:r>
            <w:proofErr w:type="gramEnd"/>
            <w:r>
              <w:rPr>
                <w:rFonts w:ascii="Arial" w:eastAsia="Arial" w:hAnsi="Arial" w:cs="Arial"/>
                <w:b/>
                <w:color w:val="222222"/>
                <w:sz w:val="24"/>
                <w:szCs w:val="24"/>
              </w:rPr>
              <w:t>(1):C289-95.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69.</w:t>
            </w:r>
            <w:r>
              <w:rPr>
                <w:rFonts w:ascii="Arial" w:eastAsia="Arial" w:hAnsi="Arial" w:cs="Arial"/>
                <w:b/>
                <w:color w:val="222222"/>
                <w:sz w:val="24"/>
                <w:szCs w:val="24"/>
              </w:rPr>
              <w:tab/>
              <w:t>Ostrowski K, Rohde T, Asp S, Schjerling P, Pedersen BK. Pro- and anti-inflammatory cytokine balance in strenuous exercise in humans. J Physiol. 1999</w:t>
            </w:r>
            <w:proofErr w:type="gramStart"/>
            <w:r>
              <w:rPr>
                <w:rFonts w:ascii="Arial" w:eastAsia="Arial" w:hAnsi="Arial" w:cs="Arial"/>
                <w:b/>
                <w:color w:val="222222"/>
                <w:sz w:val="24"/>
                <w:szCs w:val="24"/>
              </w:rPr>
              <w:t>;515</w:t>
            </w:r>
            <w:proofErr w:type="gramEnd"/>
            <w:r>
              <w:rPr>
                <w:rFonts w:ascii="Arial" w:eastAsia="Arial" w:hAnsi="Arial" w:cs="Arial"/>
                <w:b/>
                <w:color w:val="222222"/>
                <w:sz w:val="24"/>
                <w:szCs w:val="24"/>
              </w:rPr>
              <w:t xml:space="preserve"> ( Pt 1):287-91.</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70.</w:t>
            </w:r>
            <w:r>
              <w:rPr>
                <w:rFonts w:ascii="Arial" w:eastAsia="Arial" w:hAnsi="Arial" w:cs="Arial"/>
                <w:b/>
                <w:color w:val="222222"/>
                <w:sz w:val="24"/>
                <w:szCs w:val="24"/>
              </w:rPr>
              <w:tab/>
              <w:t>Peters EM, Anderson R, Nieman DC, Fickl H, Jogessar V. Vitamin C supplementation attenuates the increases in circulating cortisol, adrenaline and anti-inflammatory polypeptides following ultramarathon running. International journal of sports medicine. 2001</w:t>
            </w:r>
            <w:proofErr w:type="gramStart"/>
            <w:r>
              <w:rPr>
                <w:rFonts w:ascii="Arial" w:eastAsia="Arial" w:hAnsi="Arial" w:cs="Arial"/>
                <w:b/>
                <w:color w:val="222222"/>
                <w:sz w:val="24"/>
                <w:szCs w:val="24"/>
              </w:rPr>
              <w:t>;22</w:t>
            </w:r>
            <w:proofErr w:type="gramEnd"/>
            <w:r>
              <w:rPr>
                <w:rFonts w:ascii="Arial" w:eastAsia="Arial" w:hAnsi="Arial" w:cs="Arial"/>
                <w:b/>
                <w:color w:val="222222"/>
                <w:sz w:val="24"/>
                <w:szCs w:val="24"/>
              </w:rPr>
              <w:t>(7):537-43.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71.</w:t>
            </w:r>
            <w:r>
              <w:rPr>
                <w:rFonts w:ascii="Arial" w:eastAsia="Arial" w:hAnsi="Arial" w:cs="Arial"/>
                <w:b/>
                <w:color w:val="222222"/>
                <w:sz w:val="24"/>
                <w:szCs w:val="24"/>
              </w:rPr>
              <w:tab/>
              <w:t>Suzuki K, Yamada M, Kurakake S, Okamura N, Yamaya K, Liu Q, et al. Circulating cytokines and hormones with immunosuppressive but neutrophil-priming potentials rise after endurance exercise in humans. European journal of applied physiology. 2000</w:t>
            </w:r>
            <w:proofErr w:type="gramStart"/>
            <w:r>
              <w:rPr>
                <w:rFonts w:ascii="Arial" w:eastAsia="Arial" w:hAnsi="Arial" w:cs="Arial"/>
                <w:b/>
                <w:color w:val="222222"/>
                <w:sz w:val="24"/>
                <w:szCs w:val="24"/>
              </w:rPr>
              <w:t>;81</w:t>
            </w:r>
            <w:proofErr w:type="gramEnd"/>
            <w:r>
              <w:rPr>
                <w:rFonts w:ascii="Arial" w:eastAsia="Arial" w:hAnsi="Arial" w:cs="Arial"/>
                <w:b/>
                <w:color w:val="222222"/>
                <w:sz w:val="24"/>
                <w:szCs w:val="24"/>
              </w:rPr>
              <w:t>(4):281-7.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72.</w:t>
            </w:r>
            <w:r>
              <w:rPr>
                <w:rFonts w:ascii="Arial" w:eastAsia="Arial" w:hAnsi="Arial" w:cs="Arial"/>
                <w:b/>
                <w:color w:val="222222"/>
                <w:sz w:val="24"/>
                <w:szCs w:val="24"/>
              </w:rPr>
              <w:tab/>
              <w:t>Suzuki K, Nakaji S, Yamada M, Totsuka M, Sato K, Sugawara K. Systemic inflammatory response to exhaustive exercise. Cytokine kinetics. Exercise immunology review. 2002</w:t>
            </w:r>
            <w:proofErr w:type="gramStart"/>
            <w:r>
              <w:rPr>
                <w:rFonts w:ascii="Arial" w:eastAsia="Arial" w:hAnsi="Arial" w:cs="Arial"/>
                <w:b/>
                <w:color w:val="222222"/>
                <w:sz w:val="24"/>
                <w:szCs w:val="24"/>
              </w:rPr>
              <w:t>;8:6</w:t>
            </w:r>
            <w:proofErr w:type="gramEnd"/>
            <w:r>
              <w:rPr>
                <w:rFonts w:ascii="Arial" w:eastAsia="Arial" w:hAnsi="Arial" w:cs="Arial"/>
                <w:b/>
                <w:color w:val="222222"/>
                <w:sz w:val="24"/>
                <w:szCs w:val="24"/>
              </w:rPr>
              <w:t>-48.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73.</w:t>
            </w:r>
            <w:r>
              <w:rPr>
                <w:rFonts w:ascii="Arial" w:eastAsia="Arial" w:hAnsi="Arial" w:cs="Arial"/>
                <w:b/>
                <w:color w:val="222222"/>
                <w:sz w:val="24"/>
                <w:szCs w:val="24"/>
              </w:rPr>
              <w:tab/>
              <w:t>Goh J, Lim C, Suzuki K. Effects of Endurance-, Strength-, and Concurrent Training on Cytokines and Inflammation: Scientific Basics and Practical Applications. 2019. p. 125-38.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74.</w:t>
            </w:r>
            <w:r>
              <w:rPr>
                <w:rFonts w:ascii="Arial" w:eastAsia="Arial" w:hAnsi="Arial" w:cs="Arial"/>
                <w:b/>
                <w:color w:val="222222"/>
                <w:sz w:val="24"/>
                <w:szCs w:val="24"/>
              </w:rPr>
              <w:tab/>
              <w:t>Suzuki K, Naganuma S, Totsuka M, Suzuki KJ, Mochizuki M, Shiraishi M, et al. Effects of exhaustive endurance exercise and its one-week daily repetition on neutrophil count and functional status in untrained men. International journal of sports medicine. 1996</w:t>
            </w:r>
            <w:proofErr w:type="gramStart"/>
            <w:r>
              <w:rPr>
                <w:rFonts w:ascii="Arial" w:eastAsia="Arial" w:hAnsi="Arial" w:cs="Arial"/>
                <w:b/>
                <w:color w:val="222222"/>
                <w:sz w:val="24"/>
                <w:szCs w:val="24"/>
              </w:rPr>
              <w:t>;17</w:t>
            </w:r>
            <w:proofErr w:type="gramEnd"/>
            <w:r>
              <w:rPr>
                <w:rFonts w:ascii="Arial" w:eastAsia="Arial" w:hAnsi="Arial" w:cs="Arial"/>
                <w:b/>
                <w:color w:val="222222"/>
                <w:sz w:val="24"/>
                <w:szCs w:val="24"/>
              </w:rPr>
              <w:t>(3):205-12.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75.</w:t>
            </w:r>
            <w:r>
              <w:rPr>
                <w:rFonts w:ascii="Arial" w:eastAsia="Arial" w:hAnsi="Arial" w:cs="Arial"/>
                <w:b/>
                <w:color w:val="222222"/>
                <w:sz w:val="24"/>
                <w:szCs w:val="24"/>
              </w:rPr>
              <w:tab/>
              <w:t>Sugama K, Suzuki K, Yoshitani K, Shiraishi K, Miura S, Yoshioka H, et al. Changes of thioredoxin, oxidative stress markers, inflammation and muscle/renal damage following intensive endurance exercise. Exercise immunology review. 2015</w:t>
            </w:r>
            <w:proofErr w:type="gramStart"/>
            <w:r>
              <w:rPr>
                <w:rFonts w:ascii="Arial" w:eastAsia="Arial" w:hAnsi="Arial" w:cs="Arial"/>
                <w:b/>
                <w:color w:val="222222"/>
                <w:sz w:val="24"/>
                <w:szCs w:val="24"/>
              </w:rPr>
              <w:t>;21:130</w:t>
            </w:r>
            <w:proofErr w:type="gramEnd"/>
            <w:r>
              <w:rPr>
                <w:rFonts w:ascii="Arial" w:eastAsia="Arial" w:hAnsi="Arial" w:cs="Arial"/>
                <w:b/>
                <w:color w:val="222222"/>
                <w:sz w:val="24"/>
                <w:szCs w:val="24"/>
              </w:rPr>
              <w:t>-42.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76.</w:t>
            </w:r>
            <w:r>
              <w:rPr>
                <w:rFonts w:ascii="Arial" w:eastAsia="Arial" w:hAnsi="Arial" w:cs="Arial"/>
                <w:b/>
                <w:color w:val="222222"/>
                <w:sz w:val="24"/>
                <w:szCs w:val="24"/>
              </w:rPr>
              <w:tab/>
              <w:t>Peake J, Nosaka K, Suzuki K. Characterization of inflammatory responses to eccentric exercise in humans. Exercise immunology review. 2005</w:t>
            </w:r>
            <w:proofErr w:type="gramStart"/>
            <w:r>
              <w:rPr>
                <w:rFonts w:ascii="Arial" w:eastAsia="Arial" w:hAnsi="Arial" w:cs="Arial"/>
                <w:b/>
                <w:color w:val="222222"/>
                <w:sz w:val="24"/>
                <w:szCs w:val="24"/>
              </w:rPr>
              <w:t>;11:64</w:t>
            </w:r>
            <w:proofErr w:type="gramEnd"/>
            <w:r>
              <w:rPr>
                <w:rFonts w:ascii="Arial" w:eastAsia="Arial" w:hAnsi="Arial" w:cs="Arial"/>
                <w:b/>
                <w:color w:val="222222"/>
                <w:sz w:val="24"/>
                <w:szCs w:val="24"/>
              </w:rPr>
              <w:t>-85.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77.</w:t>
            </w:r>
            <w:r>
              <w:rPr>
                <w:rFonts w:ascii="Arial" w:eastAsia="Arial" w:hAnsi="Arial" w:cs="Arial"/>
                <w:b/>
                <w:color w:val="222222"/>
                <w:sz w:val="24"/>
                <w:szCs w:val="24"/>
              </w:rPr>
              <w:tab/>
              <w:t>Kanda K, Sugama K, Sakuma J, Kawakami Y, Suzuki K. Evaluation of serum leaking enzymes and investigation into new biomarkers for exercise-induced muscle damage. Exercise immunology review. 2014</w:t>
            </w:r>
            <w:proofErr w:type="gramStart"/>
            <w:r>
              <w:rPr>
                <w:rFonts w:ascii="Arial" w:eastAsia="Arial" w:hAnsi="Arial" w:cs="Arial"/>
                <w:b/>
                <w:color w:val="222222"/>
                <w:sz w:val="24"/>
                <w:szCs w:val="24"/>
              </w:rPr>
              <w:t>;20:39</w:t>
            </w:r>
            <w:proofErr w:type="gramEnd"/>
            <w:r>
              <w:rPr>
                <w:rFonts w:ascii="Arial" w:eastAsia="Arial" w:hAnsi="Arial" w:cs="Arial"/>
                <w:b/>
                <w:color w:val="222222"/>
                <w:sz w:val="24"/>
                <w:szCs w:val="24"/>
              </w:rPr>
              <w:t>-54.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78.</w:t>
            </w:r>
            <w:r>
              <w:rPr>
                <w:rFonts w:ascii="Arial" w:eastAsia="Arial" w:hAnsi="Arial" w:cs="Arial"/>
                <w:b/>
                <w:color w:val="222222"/>
                <w:sz w:val="24"/>
                <w:szCs w:val="24"/>
              </w:rPr>
              <w:tab/>
              <w:t>Kanda K, Sugama K, Hayashida H, Sakuma J, Kawakami Y, Miura S, et al. Eccentric exercise-induced delayed-onset muscle soreness and changes in markers of muscle damage and inflammation. Exercise immunology review. 2013</w:t>
            </w:r>
            <w:proofErr w:type="gramStart"/>
            <w:r>
              <w:rPr>
                <w:rFonts w:ascii="Arial" w:eastAsia="Arial" w:hAnsi="Arial" w:cs="Arial"/>
                <w:b/>
                <w:color w:val="222222"/>
                <w:sz w:val="24"/>
                <w:szCs w:val="24"/>
              </w:rPr>
              <w:t>;19:72</w:t>
            </w:r>
            <w:proofErr w:type="gramEnd"/>
            <w:r>
              <w:rPr>
                <w:rFonts w:ascii="Arial" w:eastAsia="Arial" w:hAnsi="Arial" w:cs="Arial"/>
                <w:b/>
                <w:color w:val="222222"/>
                <w:sz w:val="24"/>
                <w:szCs w:val="24"/>
              </w:rPr>
              <w:t>-85.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79.</w:t>
            </w:r>
            <w:r>
              <w:rPr>
                <w:rFonts w:ascii="Arial" w:eastAsia="Arial" w:hAnsi="Arial" w:cs="Arial"/>
                <w:b/>
                <w:color w:val="222222"/>
                <w:sz w:val="24"/>
                <w:szCs w:val="24"/>
              </w:rPr>
              <w:tab/>
              <w:t>Peake JM, Suzuki K, Wilson G, Hordern M, Nosaka K, Mackinnon L, et al. Exercise-induced muscle damage, plasma cytokines, and markers of neutrophil activation. Medicine and science in sports and exercise. 2005</w:t>
            </w:r>
            <w:proofErr w:type="gramStart"/>
            <w:r>
              <w:rPr>
                <w:rFonts w:ascii="Arial" w:eastAsia="Arial" w:hAnsi="Arial" w:cs="Arial"/>
                <w:b/>
                <w:color w:val="222222"/>
                <w:sz w:val="24"/>
                <w:szCs w:val="24"/>
              </w:rPr>
              <w:t>;37</w:t>
            </w:r>
            <w:proofErr w:type="gramEnd"/>
            <w:r>
              <w:rPr>
                <w:rFonts w:ascii="Arial" w:eastAsia="Arial" w:hAnsi="Arial" w:cs="Arial"/>
                <w:b/>
                <w:color w:val="222222"/>
                <w:sz w:val="24"/>
                <w:szCs w:val="24"/>
              </w:rPr>
              <w:t>(5):737-45.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80.</w:t>
            </w:r>
            <w:r>
              <w:rPr>
                <w:rFonts w:ascii="Arial" w:eastAsia="Arial" w:hAnsi="Arial" w:cs="Arial"/>
                <w:b/>
                <w:color w:val="222222"/>
                <w:sz w:val="24"/>
                <w:szCs w:val="24"/>
              </w:rPr>
              <w:tab/>
              <w:t xml:space="preserve">Peake J, Wilson G, Hordern M, Suzuki K, Yamaya K, Nosaka K, et al. Changes in neutrophil surface receptor expression, degranulation, and respiratory burst activity after moderate- and high-intensity exercise. Journal of applied physiology (Bethesda, </w:t>
            </w:r>
            <w:proofErr w:type="gramStart"/>
            <w:r>
              <w:rPr>
                <w:rFonts w:ascii="Arial" w:eastAsia="Arial" w:hAnsi="Arial" w:cs="Arial"/>
                <w:b/>
                <w:color w:val="222222"/>
                <w:sz w:val="24"/>
                <w:szCs w:val="24"/>
              </w:rPr>
              <w:t>Md :</w:t>
            </w:r>
            <w:proofErr w:type="gramEnd"/>
            <w:r>
              <w:rPr>
                <w:rFonts w:ascii="Arial" w:eastAsia="Arial" w:hAnsi="Arial" w:cs="Arial"/>
                <w:b/>
                <w:color w:val="222222"/>
                <w:sz w:val="24"/>
                <w:szCs w:val="24"/>
              </w:rPr>
              <w:t xml:space="preserve"> 1985). 2004</w:t>
            </w:r>
            <w:proofErr w:type="gramStart"/>
            <w:r>
              <w:rPr>
                <w:rFonts w:ascii="Arial" w:eastAsia="Arial" w:hAnsi="Arial" w:cs="Arial"/>
                <w:b/>
                <w:color w:val="222222"/>
                <w:sz w:val="24"/>
                <w:szCs w:val="24"/>
              </w:rPr>
              <w:t>;97</w:t>
            </w:r>
            <w:proofErr w:type="gramEnd"/>
            <w:r>
              <w:rPr>
                <w:rFonts w:ascii="Arial" w:eastAsia="Arial" w:hAnsi="Arial" w:cs="Arial"/>
                <w:b/>
                <w:color w:val="222222"/>
                <w:sz w:val="24"/>
                <w:szCs w:val="24"/>
              </w:rPr>
              <w:t>(2):612-8.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81.</w:t>
            </w:r>
            <w:r>
              <w:rPr>
                <w:rFonts w:ascii="Arial" w:eastAsia="Arial" w:hAnsi="Arial" w:cs="Arial"/>
                <w:b/>
                <w:color w:val="222222"/>
                <w:sz w:val="24"/>
                <w:szCs w:val="24"/>
              </w:rPr>
              <w:tab/>
              <w:t>Reihmane D, Jurka A, Tretjakovs P, Dela F. Increase in IL-6, TNF-alpha, and MMP-9, but not sICAM-1, concentrations depends on exercise duration. European journal of applied physiology. 2013</w:t>
            </w:r>
            <w:proofErr w:type="gramStart"/>
            <w:r>
              <w:rPr>
                <w:rFonts w:ascii="Arial" w:eastAsia="Arial" w:hAnsi="Arial" w:cs="Arial"/>
                <w:b/>
                <w:color w:val="222222"/>
                <w:sz w:val="24"/>
                <w:szCs w:val="24"/>
              </w:rPr>
              <w:t>;113</w:t>
            </w:r>
            <w:proofErr w:type="gramEnd"/>
            <w:r>
              <w:rPr>
                <w:rFonts w:ascii="Arial" w:eastAsia="Arial" w:hAnsi="Arial" w:cs="Arial"/>
                <w:b/>
                <w:color w:val="222222"/>
                <w:sz w:val="24"/>
                <w:szCs w:val="24"/>
              </w:rPr>
              <w:t>(4):851-8.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82.</w:t>
            </w:r>
            <w:r>
              <w:rPr>
                <w:rFonts w:ascii="Arial" w:eastAsia="Arial" w:hAnsi="Arial" w:cs="Arial"/>
                <w:b/>
                <w:color w:val="222222"/>
                <w:sz w:val="24"/>
                <w:szCs w:val="24"/>
              </w:rPr>
              <w:tab/>
              <w:t>Nieman DC, Davis JM, Henson DA, Gross SJ, Dumke CL, Utter AC, et al. Muscle cytokine mRNA changes after 2.5 h of cycling: influence of carbohydrate. Medicine and science in sports and exercise. 2005</w:t>
            </w:r>
            <w:proofErr w:type="gramStart"/>
            <w:r>
              <w:rPr>
                <w:rFonts w:ascii="Arial" w:eastAsia="Arial" w:hAnsi="Arial" w:cs="Arial"/>
                <w:b/>
                <w:color w:val="222222"/>
                <w:sz w:val="24"/>
                <w:szCs w:val="24"/>
              </w:rPr>
              <w:t>;37</w:t>
            </w:r>
            <w:proofErr w:type="gramEnd"/>
            <w:r>
              <w:rPr>
                <w:rFonts w:ascii="Arial" w:eastAsia="Arial" w:hAnsi="Arial" w:cs="Arial"/>
                <w:b/>
                <w:color w:val="222222"/>
                <w:sz w:val="24"/>
                <w:szCs w:val="24"/>
              </w:rPr>
              <w:t>(8):1283-90.</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83.</w:t>
            </w:r>
            <w:r>
              <w:rPr>
                <w:rFonts w:ascii="Arial" w:eastAsia="Arial" w:hAnsi="Arial" w:cs="Arial"/>
                <w:b/>
                <w:color w:val="222222"/>
                <w:sz w:val="24"/>
                <w:szCs w:val="24"/>
              </w:rPr>
              <w:tab/>
              <w:t xml:space="preserve">Nieman DC, Henson DA, Davis JM, Angela Murphy E, Jenkins DP, Gross SJ, et al. Quercetin's influence on exercise-induced changes in plasma cytokines and muscle and leukocyte cytokine mRNA. Journal of applied physiology (Bethesda, </w:t>
            </w:r>
            <w:proofErr w:type="gramStart"/>
            <w:r>
              <w:rPr>
                <w:rFonts w:ascii="Arial" w:eastAsia="Arial" w:hAnsi="Arial" w:cs="Arial"/>
                <w:b/>
                <w:color w:val="222222"/>
                <w:sz w:val="24"/>
                <w:szCs w:val="24"/>
              </w:rPr>
              <w:t>Md :</w:t>
            </w:r>
            <w:proofErr w:type="gramEnd"/>
            <w:r>
              <w:rPr>
                <w:rFonts w:ascii="Arial" w:eastAsia="Arial" w:hAnsi="Arial" w:cs="Arial"/>
                <w:b/>
                <w:color w:val="222222"/>
                <w:sz w:val="24"/>
                <w:szCs w:val="24"/>
              </w:rPr>
              <w:t xml:space="preserve"> 1985). 2007</w:t>
            </w:r>
            <w:proofErr w:type="gramStart"/>
            <w:r>
              <w:rPr>
                <w:rFonts w:ascii="Arial" w:eastAsia="Arial" w:hAnsi="Arial" w:cs="Arial"/>
                <w:b/>
                <w:color w:val="222222"/>
                <w:sz w:val="24"/>
                <w:szCs w:val="24"/>
              </w:rPr>
              <w:t>;103</w:t>
            </w:r>
            <w:proofErr w:type="gramEnd"/>
            <w:r>
              <w:rPr>
                <w:rFonts w:ascii="Arial" w:eastAsia="Arial" w:hAnsi="Arial" w:cs="Arial"/>
                <w:b/>
                <w:color w:val="222222"/>
                <w:sz w:val="24"/>
                <w:szCs w:val="24"/>
              </w:rPr>
              <w:t>(5):1728-35.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84.</w:t>
            </w:r>
            <w:r>
              <w:rPr>
                <w:rFonts w:ascii="Arial" w:eastAsia="Arial" w:hAnsi="Arial" w:cs="Arial"/>
                <w:b/>
                <w:color w:val="222222"/>
                <w:sz w:val="24"/>
                <w:szCs w:val="24"/>
              </w:rPr>
              <w:tab/>
              <w:t>Sprenger H, Jacobs C, Nain M, Gressner AM, Prinz H, Wesemann W, et al. Enhanced release of cytokines, interleukin-2 receptors, and neopterin after long-distance running. Clinical immunology and immunopathology. 1992</w:t>
            </w:r>
            <w:proofErr w:type="gramStart"/>
            <w:r>
              <w:rPr>
                <w:rFonts w:ascii="Arial" w:eastAsia="Arial" w:hAnsi="Arial" w:cs="Arial"/>
                <w:b/>
                <w:color w:val="222222"/>
                <w:sz w:val="24"/>
                <w:szCs w:val="24"/>
              </w:rPr>
              <w:t>;63</w:t>
            </w:r>
            <w:proofErr w:type="gramEnd"/>
            <w:r>
              <w:rPr>
                <w:rFonts w:ascii="Arial" w:eastAsia="Arial" w:hAnsi="Arial" w:cs="Arial"/>
                <w:b/>
                <w:color w:val="222222"/>
                <w:sz w:val="24"/>
                <w:szCs w:val="24"/>
              </w:rPr>
              <w:t>(2):188-95.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85.</w:t>
            </w:r>
            <w:r>
              <w:rPr>
                <w:rFonts w:ascii="Arial" w:eastAsia="Arial" w:hAnsi="Arial" w:cs="Arial"/>
                <w:b/>
                <w:color w:val="222222"/>
                <w:sz w:val="24"/>
                <w:szCs w:val="24"/>
              </w:rPr>
              <w:tab/>
              <w:t>Hellsten Y, Frandsen U, Orthenblad N, Sjodin B, Richter EA. Xanthine oxidase in human skeletal muscle following eccentric exercise: a role in inflammation. J Physiol. 1997</w:t>
            </w:r>
            <w:proofErr w:type="gramStart"/>
            <w:r>
              <w:rPr>
                <w:rFonts w:ascii="Arial" w:eastAsia="Arial" w:hAnsi="Arial" w:cs="Arial"/>
                <w:b/>
                <w:color w:val="222222"/>
                <w:sz w:val="24"/>
                <w:szCs w:val="24"/>
              </w:rPr>
              <w:t>;498</w:t>
            </w:r>
            <w:proofErr w:type="gramEnd"/>
            <w:r>
              <w:rPr>
                <w:rFonts w:ascii="Arial" w:eastAsia="Arial" w:hAnsi="Arial" w:cs="Arial"/>
                <w:b/>
                <w:color w:val="222222"/>
                <w:sz w:val="24"/>
                <w:szCs w:val="24"/>
              </w:rPr>
              <w:t xml:space="preserve"> ( Pt 1):239-48.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86.</w:t>
            </w:r>
            <w:r>
              <w:rPr>
                <w:rFonts w:ascii="Arial" w:eastAsia="Arial" w:hAnsi="Arial" w:cs="Arial"/>
                <w:b/>
                <w:color w:val="222222"/>
                <w:sz w:val="24"/>
                <w:szCs w:val="24"/>
              </w:rPr>
              <w:tab/>
              <w:t>Ostrowski K, Hermann C, Bangash A, Schjerling P, Nielsen JN, Pedersen BK. A trauma-like elevation of plasma cytokines in humans in response to treadmill running. J Physiol. 1998</w:t>
            </w:r>
            <w:proofErr w:type="gramStart"/>
            <w:r>
              <w:rPr>
                <w:rFonts w:ascii="Arial" w:eastAsia="Arial" w:hAnsi="Arial" w:cs="Arial"/>
                <w:b/>
                <w:color w:val="222222"/>
                <w:sz w:val="24"/>
                <w:szCs w:val="24"/>
              </w:rPr>
              <w:t>;513</w:t>
            </w:r>
            <w:proofErr w:type="gramEnd"/>
            <w:r>
              <w:rPr>
                <w:rFonts w:ascii="Arial" w:eastAsia="Arial" w:hAnsi="Arial" w:cs="Arial"/>
                <w:b/>
                <w:color w:val="222222"/>
                <w:sz w:val="24"/>
                <w:szCs w:val="24"/>
              </w:rPr>
              <w:t xml:space="preserve"> ( Pt 3):889-94.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87.</w:t>
            </w:r>
            <w:r>
              <w:rPr>
                <w:rFonts w:ascii="Arial" w:eastAsia="Arial" w:hAnsi="Arial" w:cs="Arial"/>
                <w:b/>
                <w:color w:val="222222"/>
                <w:sz w:val="24"/>
                <w:szCs w:val="24"/>
              </w:rPr>
              <w:tab/>
              <w:t xml:space="preserve">Ullum H, Haahr PM, Diamant M, Palmo J, Halkjaer-Kristensen J, Pedersen BK. Bicycle exercise enhances plasma IL-6 but does not change IL-1 alpha, IL-1 beta, IL-6, or TNF-alpha pre-mRNA in BMNC. Journal of applied physiology (Bethesda, </w:t>
            </w:r>
            <w:proofErr w:type="gramStart"/>
            <w:r>
              <w:rPr>
                <w:rFonts w:ascii="Arial" w:eastAsia="Arial" w:hAnsi="Arial" w:cs="Arial"/>
                <w:b/>
                <w:color w:val="222222"/>
                <w:sz w:val="24"/>
                <w:szCs w:val="24"/>
              </w:rPr>
              <w:t>Md :</w:t>
            </w:r>
            <w:proofErr w:type="gramEnd"/>
            <w:r>
              <w:rPr>
                <w:rFonts w:ascii="Arial" w:eastAsia="Arial" w:hAnsi="Arial" w:cs="Arial"/>
                <w:b/>
                <w:color w:val="222222"/>
                <w:sz w:val="24"/>
                <w:szCs w:val="24"/>
              </w:rPr>
              <w:t xml:space="preserve"> 1985). 1994</w:t>
            </w:r>
            <w:proofErr w:type="gramStart"/>
            <w:r>
              <w:rPr>
                <w:rFonts w:ascii="Arial" w:eastAsia="Arial" w:hAnsi="Arial" w:cs="Arial"/>
                <w:b/>
                <w:color w:val="222222"/>
                <w:sz w:val="24"/>
                <w:szCs w:val="24"/>
              </w:rPr>
              <w:t>;77</w:t>
            </w:r>
            <w:proofErr w:type="gramEnd"/>
            <w:r>
              <w:rPr>
                <w:rFonts w:ascii="Arial" w:eastAsia="Arial" w:hAnsi="Arial" w:cs="Arial"/>
                <w:b/>
                <w:color w:val="222222"/>
                <w:sz w:val="24"/>
                <w:szCs w:val="24"/>
              </w:rPr>
              <w:t>(1):93-7.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88.</w:t>
            </w:r>
            <w:r>
              <w:rPr>
                <w:rFonts w:ascii="Arial" w:eastAsia="Arial" w:hAnsi="Arial" w:cs="Arial"/>
                <w:b/>
                <w:color w:val="222222"/>
                <w:sz w:val="24"/>
                <w:szCs w:val="24"/>
              </w:rPr>
              <w:tab/>
              <w:t>Utter AC, Kang J, Nieman DC, Williams F, Robertson RJ, Henson DA, et al. Effect of carbohydrate ingestion and hormonal responses on ratings of perceived exertion during prolonged cycling and running. European journal of applied physiology and occupational physiology. 1999</w:t>
            </w:r>
            <w:proofErr w:type="gramStart"/>
            <w:r>
              <w:rPr>
                <w:rFonts w:ascii="Arial" w:eastAsia="Arial" w:hAnsi="Arial" w:cs="Arial"/>
                <w:b/>
                <w:color w:val="222222"/>
                <w:sz w:val="24"/>
                <w:szCs w:val="24"/>
              </w:rPr>
              <w:t>;80</w:t>
            </w:r>
            <w:proofErr w:type="gramEnd"/>
            <w:r>
              <w:rPr>
                <w:rFonts w:ascii="Arial" w:eastAsia="Arial" w:hAnsi="Arial" w:cs="Arial"/>
                <w:b/>
                <w:color w:val="222222"/>
                <w:sz w:val="24"/>
                <w:szCs w:val="24"/>
              </w:rPr>
              <w:t>(2):92-9.</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89.</w:t>
            </w:r>
            <w:r>
              <w:rPr>
                <w:rFonts w:ascii="Arial" w:eastAsia="Arial" w:hAnsi="Arial" w:cs="Arial"/>
                <w:b/>
                <w:color w:val="222222"/>
                <w:sz w:val="24"/>
                <w:szCs w:val="24"/>
              </w:rPr>
              <w:tab/>
              <w:t>Asociación médica mundial. Declaración de Helsinki de la AMM - Principios éticos para las investigaciones médicas en seres humanos Asociación medica mundial  [noviembre 2018]. Available from: www.wma.net/es/policies-post/declaracion-de-helsinki-de-la-amm-principios-eticos-para-las-investigaciones-medicas-en-seres-humanos/.</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90.</w:t>
            </w:r>
            <w:r>
              <w:rPr>
                <w:rFonts w:ascii="Arial" w:eastAsia="Arial" w:hAnsi="Arial" w:cs="Arial"/>
                <w:b/>
                <w:color w:val="222222"/>
                <w:sz w:val="24"/>
                <w:szCs w:val="24"/>
              </w:rPr>
              <w:tab/>
              <w:t>Resolucion numero 8430 de Octubre 4 de 1993., (1993).</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91.</w:t>
            </w:r>
            <w:r>
              <w:rPr>
                <w:rFonts w:ascii="Arial" w:eastAsia="Arial" w:hAnsi="Arial" w:cs="Arial"/>
                <w:b/>
                <w:color w:val="222222"/>
                <w:sz w:val="24"/>
                <w:szCs w:val="24"/>
              </w:rPr>
              <w:tab/>
              <w:t>Mora-Rodriguez R, Garcia Pallares J, Lopez-Samanes A, Ortega JF, Fernandez-Elias VE. Caffeine ingestion reverses the circadian rhythm effects on neuromuscular performance in highly resistance-trained men. PLoS One. 2012</w:t>
            </w:r>
            <w:proofErr w:type="gramStart"/>
            <w:r>
              <w:rPr>
                <w:rFonts w:ascii="Arial" w:eastAsia="Arial" w:hAnsi="Arial" w:cs="Arial"/>
                <w:b/>
                <w:color w:val="222222"/>
                <w:sz w:val="24"/>
                <w:szCs w:val="24"/>
              </w:rPr>
              <w:t>;7</w:t>
            </w:r>
            <w:proofErr w:type="gramEnd"/>
            <w:r>
              <w:rPr>
                <w:rFonts w:ascii="Arial" w:eastAsia="Arial" w:hAnsi="Arial" w:cs="Arial"/>
                <w:b/>
                <w:color w:val="222222"/>
                <w:sz w:val="24"/>
                <w:szCs w:val="24"/>
              </w:rPr>
              <w:t>(4):e33807.</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lastRenderedPageBreak/>
              <w:t>92.</w:t>
            </w:r>
            <w:r>
              <w:rPr>
                <w:rFonts w:ascii="Arial" w:eastAsia="Arial" w:hAnsi="Arial" w:cs="Arial"/>
                <w:b/>
                <w:color w:val="222222"/>
                <w:sz w:val="24"/>
                <w:szCs w:val="24"/>
              </w:rPr>
              <w:tab/>
              <w:t>Pallares JG, Lopez-Samanes A, Fernandez-Elias VE, Aguado-Jimenez R, Ortega JF, Gomez C, et al. Pseudoephedrine and circadian rhythm interaction on neuromuscular performance. Scandinavian journal of medicine &amp; science in sports. 2015</w:t>
            </w:r>
            <w:proofErr w:type="gramStart"/>
            <w:r>
              <w:rPr>
                <w:rFonts w:ascii="Arial" w:eastAsia="Arial" w:hAnsi="Arial" w:cs="Arial"/>
                <w:b/>
                <w:color w:val="222222"/>
                <w:sz w:val="24"/>
                <w:szCs w:val="24"/>
              </w:rPr>
              <w:t>;25</w:t>
            </w:r>
            <w:proofErr w:type="gramEnd"/>
            <w:r>
              <w:rPr>
                <w:rFonts w:ascii="Arial" w:eastAsia="Arial" w:hAnsi="Arial" w:cs="Arial"/>
                <w:b/>
                <w:color w:val="222222"/>
                <w:sz w:val="24"/>
                <w:szCs w:val="24"/>
              </w:rPr>
              <w:t>(6):e603-12.</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93.</w:t>
            </w:r>
            <w:r>
              <w:rPr>
                <w:rFonts w:ascii="Arial" w:eastAsia="Arial" w:hAnsi="Arial" w:cs="Arial"/>
                <w:b/>
                <w:color w:val="222222"/>
                <w:sz w:val="24"/>
                <w:szCs w:val="24"/>
              </w:rPr>
              <w:tab/>
              <w:t xml:space="preserve">Sanchez-Medina L, Gonzalez-Badillo JJ, Perez CE, Pallares JG. Velocity- and power-load relationships of the bench pull vs. </w:t>
            </w:r>
            <w:proofErr w:type="gramStart"/>
            <w:r>
              <w:rPr>
                <w:rFonts w:ascii="Arial" w:eastAsia="Arial" w:hAnsi="Arial" w:cs="Arial"/>
                <w:b/>
                <w:color w:val="222222"/>
                <w:sz w:val="24"/>
                <w:szCs w:val="24"/>
              </w:rPr>
              <w:t>bench</w:t>
            </w:r>
            <w:proofErr w:type="gramEnd"/>
            <w:r>
              <w:rPr>
                <w:rFonts w:ascii="Arial" w:eastAsia="Arial" w:hAnsi="Arial" w:cs="Arial"/>
                <w:b/>
                <w:color w:val="222222"/>
                <w:sz w:val="24"/>
                <w:szCs w:val="24"/>
              </w:rPr>
              <w:t xml:space="preserve"> press exercises. Int J Sports Med. 2014</w:t>
            </w:r>
            <w:proofErr w:type="gramStart"/>
            <w:r>
              <w:rPr>
                <w:rFonts w:ascii="Arial" w:eastAsia="Arial" w:hAnsi="Arial" w:cs="Arial"/>
                <w:b/>
                <w:color w:val="222222"/>
                <w:sz w:val="24"/>
                <w:szCs w:val="24"/>
              </w:rPr>
              <w:t>;35</w:t>
            </w:r>
            <w:proofErr w:type="gramEnd"/>
            <w:r>
              <w:rPr>
                <w:rFonts w:ascii="Arial" w:eastAsia="Arial" w:hAnsi="Arial" w:cs="Arial"/>
                <w:b/>
                <w:color w:val="222222"/>
                <w:sz w:val="24"/>
                <w:szCs w:val="24"/>
              </w:rPr>
              <w:t>(3):209-16.</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94.</w:t>
            </w:r>
            <w:r>
              <w:rPr>
                <w:rFonts w:ascii="Arial" w:eastAsia="Arial" w:hAnsi="Arial" w:cs="Arial"/>
                <w:b/>
                <w:color w:val="222222"/>
                <w:sz w:val="24"/>
                <w:szCs w:val="24"/>
              </w:rPr>
              <w:tab/>
              <w:t>Pallares JG, Sanchez-Medina L, Perez CE, De La Cruz-Sanchez E, Mora-Rodriguez R. Imposing a pause between the eccentric and concentric phases increases the reliability of isoinertial strength assessments. Journal of sports sciences. 2014</w:t>
            </w:r>
            <w:proofErr w:type="gramStart"/>
            <w:r>
              <w:rPr>
                <w:rFonts w:ascii="Arial" w:eastAsia="Arial" w:hAnsi="Arial" w:cs="Arial"/>
                <w:b/>
                <w:color w:val="222222"/>
                <w:sz w:val="24"/>
                <w:szCs w:val="24"/>
              </w:rPr>
              <w:t>;32</w:t>
            </w:r>
            <w:proofErr w:type="gramEnd"/>
            <w:r>
              <w:rPr>
                <w:rFonts w:ascii="Arial" w:eastAsia="Arial" w:hAnsi="Arial" w:cs="Arial"/>
                <w:b/>
                <w:color w:val="222222"/>
                <w:sz w:val="24"/>
                <w:szCs w:val="24"/>
              </w:rPr>
              <w:t>(12):1165-75.</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95.</w:t>
            </w:r>
            <w:r>
              <w:rPr>
                <w:rFonts w:ascii="Arial" w:eastAsia="Arial" w:hAnsi="Arial" w:cs="Arial"/>
                <w:b/>
                <w:color w:val="222222"/>
                <w:sz w:val="24"/>
                <w:szCs w:val="24"/>
              </w:rPr>
              <w:tab/>
              <w:t>Hartmann H, Wirth K, Klusemann M. Analysis of the load on the knee joint and vertebral column with changes in squatting depth and weight load. Sports medicine (Auckland, NZ). 2013</w:t>
            </w:r>
            <w:proofErr w:type="gramStart"/>
            <w:r>
              <w:rPr>
                <w:rFonts w:ascii="Arial" w:eastAsia="Arial" w:hAnsi="Arial" w:cs="Arial"/>
                <w:b/>
                <w:color w:val="222222"/>
                <w:sz w:val="24"/>
                <w:szCs w:val="24"/>
              </w:rPr>
              <w:t>;43</w:t>
            </w:r>
            <w:proofErr w:type="gramEnd"/>
            <w:r>
              <w:rPr>
                <w:rFonts w:ascii="Arial" w:eastAsia="Arial" w:hAnsi="Arial" w:cs="Arial"/>
                <w:b/>
                <w:color w:val="222222"/>
                <w:sz w:val="24"/>
                <w:szCs w:val="24"/>
              </w:rPr>
              <w:t>(10):993-1008.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96.</w:t>
            </w:r>
            <w:r>
              <w:rPr>
                <w:rFonts w:ascii="Arial" w:eastAsia="Arial" w:hAnsi="Arial" w:cs="Arial"/>
                <w:b/>
                <w:color w:val="222222"/>
                <w:sz w:val="24"/>
                <w:szCs w:val="24"/>
              </w:rPr>
              <w:tab/>
              <w:t>Ihalainen JK, Ahtiainen JP, Walker S, Paulsen G, Selanne H, Hamalainen M, et al. Resistance training status modifies inflammatory response to explosive and hypertrophic resistance exercise bouts. Journal of physiology and biochemistry. 2017</w:t>
            </w:r>
            <w:proofErr w:type="gramStart"/>
            <w:r>
              <w:rPr>
                <w:rFonts w:ascii="Arial" w:eastAsia="Arial" w:hAnsi="Arial" w:cs="Arial"/>
                <w:b/>
                <w:color w:val="222222"/>
                <w:sz w:val="24"/>
                <w:szCs w:val="24"/>
              </w:rPr>
              <w:t>;73</w:t>
            </w:r>
            <w:proofErr w:type="gramEnd"/>
            <w:r>
              <w:rPr>
                <w:rFonts w:ascii="Arial" w:eastAsia="Arial" w:hAnsi="Arial" w:cs="Arial"/>
                <w:b/>
                <w:color w:val="222222"/>
                <w:sz w:val="24"/>
                <w:szCs w:val="24"/>
              </w:rPr>
              <w:t>(4):595-604.</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97.</w:t>
            </w:r>
            <w:r>
              <w:rPr>
                <w:rFonts w:ascii="Arial" w:eastAsia="Arial" w:hAnsi="Arial" w:cs="Arial"/>
                <w:b/>
                <w:color w:val="222222"/>
                <w:sz w:val="24"/>
                <w:szCs w:val="24"/>
              </w:rPr>
              <w:tab/>
              <w:t>Ihalainen JK, Peltonen H, Paulsen G, Ahtiainen JP, Taipale RS, Hamalainen M, et al. Inflammation status of healthy young men: initial and specific responses to resistance training. Applied physiology, nutrition, and metabolism = Physiologie appliquee, nutrition et metabolisme. 2018</w:t>
            </w:r>
            <w:proofErr w:type="gramStart"/>
            <w:r>
              <w:rPr>
                <w:rFonts w:ascii="Arial" w:eastAsia="Arial" w:hAnsi="Arial" w:cs="Arial"/>
                <w:b/>
                <w:color w:val="222222"/>
                <w:sz w:val="24"/>
                <w:szCs w:val="24"/>
              </w:rPr>
              <w:t>;43</w:t>
            </w:r>
            <w:proofErr w:type="gramEnd"/>
            <w:r>
              <w:rPr>
                <w:rFonts w:ascii="Arial" w:eastAsia="Arial" w:hAnsi="Arial" w:cs="Arial"/>
                <w:b/>
                <w:color w:val="222222"/>
                <w:sz w:val="24"/>
                <w:szCs w:val="24"/>
              </w:rPr>
              <w:t>(3):252-8.</w:t>
            </w:r>
          </w:p>
          <w:p w:rsidR="00D4660B" w:rsidRDefault="00574EAC">
            <w:pPr>
              <w:rPr>
                <w:rFonts w:ascii="Arial" w:eastAsia="Arial" w:hAnsi="Arial" w:cs="Arial"/>
                <w:b/>
                <w:color w:val="222222"/>
                <w:sz w:val="24"/>
                <w:szCs w:val="24"/>
              </w:rPr>
            </w:pPr>
            <w:r>
              <w:rPr>
                <w:rFonts w:ascii="Arial" w:eastAsia="Arial" w:hAnsi="Arial" w:cs="Arial"/>
                <w:b/>
                <w:color w:val="222222"/>
                <w:sz w:val="24"/>
                <w:szCs w:val="24"/>
              </w:rPr>
              <w:t>98.</w:t>
            </w:r>
            <w:r>
              <w:rPr>
                <w:rFonts w:ascii="Arial" w:eastAsia="Arial" w:hAnsi="Arial" w:cs="Arial"/>
                <w:b/>
                <w:color w:val="222222"/>
                <w:sz w:val="24"/>
                <w:szCs w:val="24"/>
              </w:rPr>
              <w:tab/>
              <w:t>Prestes J, Shiguemoto G, Botero JP, Frollini A, Dias R, Leite R, et al. Effects of resistance training on resistin, leptin, cytokines, and muscle force in elderly post-menopausal women. Journal of sports sciences. 2009</w:t>
            </w:r>
            <w:proofErr w:type="gramStart"/>
            <w:r>
              <w:rPr>
                <w:rFonts w:ascii="Arial" w:eastAsia="Arial" w:hAnsi="Arial" w:cs="Arial"/>
                <w:b/>
                <w:color w:val="222222"/>
                <w:sz w:val="24"/>
                <w:szCs w:val="24"/>
              </w:rPr>
              <w:t>;27</w:t>
            </w:r>
            <w:proofErr w:type="gramEnd"/>
            <w:r>
              <w:rPr>
                <w:rFonts w:ascii="Arial" w:eastAsia="Arial" w:hAnsi="Arial" w:cs="Arial"/>
                <w:b/>
                <w:color w:val="222222"/>
                <w:sz w:val="24"/>
                <w:szCs w:val="24"/>
              </w:rPr>
              <w:t>(14):1607-15.</w:t>
            </w: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p w:rsidR="00D4660B" w:rsidRDefault="00D4660B">
            <w:pPr>
              <w:rPr>
                <w:rFonts w:ascii="Arial" w:eastAsia="Arial" w:hAnsi="Arial" w:cs="Arial"/>
                <w:b/>
                <w:color w:val="222222"/>
                <w:sz w:val="24"/>
                <w:szCs w:val="24"/>
              </w:rPr>
            </w:pPr>
          </w:p>
        </w:tc>
      </w:tr>
    </w:tbl>
    <w:p w:rsidR="00D4660B" w:rsidRDefault="00D4660B">
      <w:pPr>
        <w:spacing w:after="0" w:line="240" w:lineRule="auto"/>
        <w:rPr>
          <w:rFonts w:ascii="Times New Roman" w:eastAsia="Times New Roman" w:hAnsi="Times New Roman" w:cs="Times New Roman"/>
          <w:sz w:val="24"/>
          <w:szCs w:val="24"/>
        </w:rPr>
      </w:pPr>
    </w:p>
    <w:tbl>
      <w:tblPr>
        <w:tblStyle w:val="ab"/>
        <w:tblW w:w="768" w:type="dxa"/>
        <w:tblInd w:w="8" w:type="dxa"/>
        <w:tblLayout w:type="fixed"/>
        <w:tblLook w:val="0400" w:firstRow="0" w:lastRow="0" w:firstColumn="0" w:lastColumn="0" w:noHBand="0" w:noVBand="1"/>
      </w:tblPr>
      <w:tblGrid>
        <w:gridCol w:w="768"/>
      </w:tblGrid>
      <w:tr w:rsidR="00D4660B">
        <w:tc>
          <w:tcPr>
            <w:tcW w:w="768" w:type="dxa"/>
            <w:shd w:val="clear" w:color="auto" w:fill="FFFFFF"/>
            <w:tcMar>
              <w:top w:w="15" w:type="dxa"/>
              <w:left w:w="15" w:type="dxa"/>
              <w:bottom w:w="15" w:type="dxa"/>
              <w:right w:w="15" w:type="dxa"/>
            </w:tcMar>
            <w:vAlign w:val="center"/>
          </w:tcPr>
          <w:p w:rsidR="00D4660B" w:rsidRDefault="00D4660B">
            <w:pPr>
              <w:spacing w:after="0"/>
              <w:rPr>
                <w:sz w:val="20"/>
                <w:szCs w:val="20"/>
              </w:rPr>
            </w:pPr>
          </w:p>
        </w:tc>
      </w:tr>
    </w:tbl>
    <w:p w:rsidR="00D4660B" w:rsidRDefault="00D4660B"/>
    <w:p w:rsidR="00D4660B" w:rsidRDefault="00D4660B">
      <w:pPr>
        <w:jc w:val="center"/>
        <w:rPr>
          <w:b/>
        </w:rPr>
      </w:pPr>
    </w:p>
    <w:p w:rsidR="00D4660B" w:rsidRDefault="00D4660B">
      <w:pPr>
        <w:jc w:val="center"/>
        <w:rPr>
          <w:b/>
        </w:rPr>
      </w:pPr>
    </w:p>
    <w:sectPr w:rsidR="00D4660B">
      <w:headerReference w:type="even" r:id="rId14"/>
      <w:headerReference w:type="default" r:id="rId15"/>
      <w:footerReference w:type="default" r:id="rId16"/>
      <w:headerReference w:type="first" r:id="rId17"/>
      <w:footerReference w:type="first" r:id="rId18"/>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6865" w:rsidRDefault="00566865">
      <w:pPr>
        <w:spacing w:after="0" w:line="240" w:lineRule="auto"/>
      </w:pPr>
      <w:r>
        <w:separator/>
      </w:r>
    </w:p>
  </w:endnote>
  <w:endnote w:type="continuationSeparator" w:id="0">
    <w:p w:rsidR="00566865" w:rsidRDefault="005668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2A" w:rsidRDefault="00CC012A">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-222709</wp:posOffset>
          </wp:positionV>
          <wp:extent cx="5748834" cy="761478"/>
          <wp:effectExtent l="0" t="0" r="0" b="0"/>
          <wp:wrapNone/>
          <wp:docPr id="61"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2A" w:rsidRDefault="00CC012A">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59"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6865" w:rsidRDefault="00566865">
      <w:pPr>
        <w:spacing w:after="0" w:line="240" w:lineRule="auto"/>
      </w:pPr>
      <w:r>
        <w:separator/>
      </w:r>
    </w:p>
  </w:footnote>
  <w:footnote w:type="continuationSeparator" w:id="0">
    <w:p w:rsidR="00566865" w:rsidRDefault="005668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2A" w:rsidRDefault="00CC012A">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2A" w:rsidRDefault="00CC012A">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60"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CC012A" w:rsidRDefault="00CC012A">
    <w:pPr>
      <w:pBdr>
        <w:top w:val="nil"/>
        <w:left w:val="nil"/>
        <w:bottom w:val="nil"/>
        <w:right w:val="nil"/>
        <w:between w:val="nil"/>
      </w:pBdr>
      <w:tabs>
        <w:tab w:val="center" w:pos="4419"/>
        <w:tab w:val="right" w:pos="8838"/>
      </w:tabs>
      <w:spacing w:after="0" w:line="240" w:lineRule="auto"/>
      <w:jc w:val="right"/>
      <w:rPr>
        <w:color w:val="000000"/>
        <w:sz w:val="14"/>
        <w:szCs w:val="14"/>
      </w:rPr>
    </w:pPr>
  </w:p>
  <w:p w:rsidR="00CC012A" w:rsidRDefault="00CC012A">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0C62E0">
      <w:rPr>
        <w:b/>
        <w:noProof/>
        <w:color w:val="000000"/>
        <w:sz w:val="14"/>
        <w:szCs w:val="14"/>
      </w:rPr>
      <w:t>22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0C62E0">
      <w:rPr>
        <w:b/>
        <w:noProof/>
        <w:color w:val="000000"/>
        <w:sz w:val="14"/>
        <w:szCs w:val="14"/>
      </w:rPr>
      <w:t>26</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2A" w:rsidRDefault="00CC012A">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58"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CC012A" w:rsidRDefault="00CC012A">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0C62E0">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0C62E0">
      <w:rPr>
        <w:b/>
        <w:noProof/>
        <w:color w:val="000000"/>
        <w:sz w:val="14"/>
        <w:szCs w:val="14"/>
      </w:rPr>
      <w:t>26</w:t>
    </w:r>
    <w:r>
      <w:rPr>
        <w:b/>
        <w:color w:val="000000"/>
        <w:sz w:val="14"/>
        <w:szCs w:val="14"/>
      </w:rPr>
      <w:fldChar w:fldCharType="end"/>
    </w:r>
  </w:p>
  <w:p w:rsidR="00CC012A" w:rsidRDefault="00CC012A">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0C387A"/>
    <w:multiLevelType w:val="multilevel"/>
    <w:tmpl w:val="98C6734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60B"/>
    <w:rsid w:val="000C62E0"/>
    <w:rsid w:val="00566865"/>
    <w:rsid w:val="00574EAC"/>
    <w:rsid w:val="00A04A16"/>
    <w:rsid w:val="00CC012A"/>
    <w:rsid w:val="00D4660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3DE22A-17EE-4200-9735-0F7AB2AE9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apple-tab-span">
    <w:name w:val="apple-tab-span"/>
    <w:basedOn w:val="Fuentedeprrafopredeter"/>
    <w:rsid w:val="00186DCE"/>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EnRecursoHumano/inicio.do" TargetMode="External"/><Relationship Id="rId13" Type="http://schemas.openxmlformats.org/officeDocument/2006/relationships/hyperlink" Target="https://scholar.google.es/citations?view_op=list_works&amp;hl=es&amp;user=4R6ginUAAAAJ"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rcid.org/0000-0002-3666-79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1339267"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scholar.google.es/citations?user=VNE1BmgAAAAJ&amp;hl=e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0-0002-5545-0127"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1jO6c+hm/FP9PHmlIFc+Oa+n6Q==">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9596</Words>
  <Characters>52778</Characters>
  <Application>Microsoft Office Word</Application>
  <DocSecurity>0</DocSecurity>
  <Lines>439</Lines>
  <Paragraphs>124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62250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HP</cp:lastModifiedBy>
  <cp:revision>5</cp:revision>
  <dcterms:created xsi:type="dcterms:W3CDTF">2019-07-26T13:03:00Z</dcterms:created>
  <dcterms:modified xsi:type="dcterms:W3CDTF">2019-08-01T16:21:00Z</dcterms:modified>
</cp:coreProperties>
</file>