
<file path=[Content_Types].xml><?xml version="1.0" encoding="utf-8"?>
<Types xmlns="http://schemas.openxmlformats.org/package/2006/content-types">
  <Default Extension="xml" ContentType="application/xml"/>
  <Default Extension="png" ContentType="image/png"/>
  <Default Extension="jpg" ContentType="image/jpeg"/>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4" Type="http://schemas.openxmlformats.org/officeDocument/2006/relationships/custom-properties" Target="docProps/custom.xml"/><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1F87A3C" w14:textId="77777777" w:rsidR="005A3412" w:rsidRDefault="00110E44">
      <w:pPr>
        <w:pStyle w:val="normal0"/>
        <w:spacing w:line="276"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DECIMOQUINTA CONVOCATORIA PARA EL FOMENTO DE LA INVESTIGACIÓN Y LA INNOVACIÓN 2020</w:t>
      </w:r>
    </w:p>
    <w:tbl>
      <w:tblPr>
        <w:tblStyle w:val="a"/>
        <w:tblW w:w="15165" w:type="dxa"/>
        <w:tblInd w:w="0" w:type="dxa"/>
        <w:tblLayout w:type="fixed"/>
        <w:tblLook w:val="0400" w:firstRow="0" w:lastRow="0" w:firstColumn="0" w:lastColumn="0" w:noHBand="0" w:noVBand="1"/>
      </w:tblPr>
      <w:tblGrid>
        <w:gridCol w:w="5340"/>
        <w:gridCol w:w="9825"/>
      </w:tblGrid>
      <w:tr w:rsidR="005A3412" w14:paraId="1838B513" w14:textId="77777777">
        <w:tc>
          <w:tcPr>
            <w:tcW w:w="15165" w:type="dxa"/>
            <w:gridSpan w:val="2"/>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147644C3" w14:textId="77777777" w:rsidR="005A3412" w:rsidRDefault="00110E44">
            <w:pPr>
              <w:pStyle w:val="normal0"/>
              <w:spacing w:line="276" w:lineRule="auto"/>
              <w:jc w:val="center"/>
              <w:rPr>
                <w:rFonts w:ascii="Times New Roman" w:eastAsia="Times New Roman" w:hAnsi="Times New Roman" w:cs="Times New Roman"/>
                <w:b/>
                <w:color w:val="222222"/>
                <w:sz w:val="24"/>
                <w:szCs w:val="24"/>
              </w:rPr>
            </w:pPr>
            <w:r>
              <w:rPr>
                <w:rFonts w:ascii="Times New Roman" w:eastAsia="Times New Roman" w:hAnsi="Times New Roman" w:cs="Times New Roman"/>
                <w:b/>
                <w:color w:val="222222"/>
                <w:sz w:val="24"/>
                <w:szCs w:val="24"/>
              </w:rPr>
              <w:t>Título del proyecto</w:t>
            </w:r>
          </w:p>
        </w:tc>
      </w:tr>
      <w:tr w:rsidR="005A3412" w14:paraId="2C45CD30" w14:textId="77777777">
        <w:tc>
          <w:tcPr>
            <w:tcW w:w="15165" w:type="dxa"/>
            <w:gridSpan w:val="2"/>
            <w:tcBorders>
              <w:top w:val="single" w:sz="6" w:space="0" w:color="DDDDDD"/>
              <w:left w:val="single" w:sz="6" w:space="0" w:color="DDDDDD"/>
              <w:bottom w:val="single" w:sz="6" w:space="0" w:color="DDDDDD"/>
              <w:right w:val="single" w:sz="6" w:space="0" w:color="DDDDDD"/>
            </w:tcBorders>
            <w:tcMar>
              <w:top w:w="15" w:type="dxa"/>
              <w:left w:w="15" w:type="dxa"/>
              <w:bottom w:w="15" w:type="dxa"/>
              <w:right w:w="15" w:type="dxa"/>
            </w:tcMar>
            <w:vAlign w:val="center"/>
          </w:tcPr>
          <w:p w14:paraId="52875146" w14:textId="3F1C66BF" w:rsidR="00956F6A" w:rsidRDefault="00BF44A6" w:rsidP="00BF44A6">
            <w:pPr>
              <w:pStyle w:val="normal0"/>
              <w:spacing w:line="276" w:lineRule="auto"/>
              <w:jc w:val="center"/>
              <w:rPr>
                <w:rFonts w:ascii="Times New Roman" w:eastAsia="Times New Roman" w:hAnsi="Times New Roman" w:cs="Times New Roman"/>
                <w:color w:val="222222"/>
                <w:sz w:val="24"/>
                <w:szCs w:val="24"/>
              </w:rPr>
            </w:pPr>
            <w:r>
              <w:rPr>
                <w:rFonts w:ascii="Times New Roman" w:eastAsia="Times New Roman" w:hAnsi="Times New Roman" w:cs="Times New Roman"/>
                <w:color w:val="222222"/>
                <w:sz w:val="24"/>
                <w:szCs w:val="24"/>
              </w:rPr>
              <w:t xml:space="preserve">Identificación del ahorro de energía eléctrica asociado a la implementación de estrategias de educación ambiental para el ahorro del consumo de agua </w:t>
            </w:r>
            <w:r w:rsidR="00956F6A" w:rsidRPr="00956F6A">
              <w:rPr>
                <w:rFonts w:ascii="Times New Roman" w:eastAsia="Times New Roman" w:hAnsi="Times New Roman" w:cs="Times New Roman"/>
                <w:color w:val="222222"/>
                <w:sz w:val="24"/>
                <w:szCs w:val="24"/>
              </w:rPr>
              <w:t xml:space="preserve">en edificaciones de uso </w:t>
            </w:r>
            <w:r w:rsidR="00956F6A">
              <w:rPr>
                <w:rFonts w:ascii="Times New Roman" w:eastAsia="Times New Roman" w:hAnsi="Times New Roman" w:cs="Times New Roman"/>
                <w:color w:val="222222"/>
                <w:sz w:val="24"/>
                <w:szCs w:val="24"/>
              </w:rPr>
              <w:t>residencial en las ciudades de B</w:t>
            </w:r>
            <w:r w:rsidR="00956F6A" w:rsidRPr="00956F6A">
              <w:rPr>
                <w:rFonts w:ascii="Times New Roman" w:eastAsia="Times New Roman" w:hAnsi="Times New Roman" w:cs="Times New Roman"/>
                <w:color w:val="222222"/>
                <w:sz w:val="24"/>
                <w:szCs w:val="24"/>
              </w:rPr>
              <w:t>ogotá para</w:t>
            </w:r>
            <w:r w:rsidR="000B443E">
              <w:rPr>
                <w:rFonts w:ascii="Times New Roman" w:eastAsia="Times New Roman" w:hAnsi="Times New Roman" w:cs="Times New Roman"/>
                <w:color w:val="222222"/>
                <w:sz w:val="24"/>
                <w:szCs w:val="24"/>
              </w:rPr>
              <w:t xml:space="preserve"> estratos 2,</w:t>
            </w:r>
            <w:r w:rsidR="00956F6A" w:rsidRPr="00956F6A">
              <w:rPr>
                <w:rFonts w:ascii="Times New Roman" w:eastAsia="Times New Roman" w:hAnsi="Times New Roman" w:cs="Times New Roman"/>
                <w:color w:val="222222"/>
                <w:sz w:val="24"/>
                <w:szCs w:val="24"/>
              </w:rPr>
              <w:t xml:space="preserve"> 3</w:t>
            </w:r>
            <w:r w:rsidR="000B443E">
              <w:rPr>
                <w:rFonts w:ascii="Times New Roman" w:eastAsia="Times New Roman" w:hAnsi="Times New Roman" w:cs="Times New Roman"/>
                <w:color w:val="222222"/>
                <w:sz w:val="24"/>
                <w:szCs w:val="24"/>
              </w:rPr>
              <w:t xml:space="preserve"> y 4</w:t>
            </w:r>
            <w:r w:rsidR="00956F6A" w:rsidRPr="00956F6A">
              <w:rPr>
                <w:rFonts w:ascii="Times New Roman" w:eastAsia="Times New Roman" w:hAnsi="Times New Roman" w:cs="Times New Roman"/>
                <w:color w:val="222222"/>
                <w:sz w:val="24"/>
                <w:szCs w:val="24"/>
              </w:rPr>
              <w:t>.</w:t>
            </w:r>
          </w:p>
        </w:tc>
      </w:tr>
      <w:tr w:rsidR="005A3412" w14:paraId="3E384114" w14:textId="77777777">
        <w:tc>
          <w:tcPr>
            <w:tcW w:w="5340"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0CDD6D5A" w14:textId="77777777" w:rsidR="005A3412" w:rsidRDefault="00110E44">
            <w:pPr>
              <w:pStyle w:val="normal0"/>
              <w:spacing w:line="276" w:lineRule="auto"/>
              <w:jc w:val="center"/>
              <w:rPr>
                <w:rFonts w:ascii="Times New Roman" w:eastAsia="Times New Roman" w:hAnsi="Times New Roman" w:cs="Times New Roman"/>
                <w:b/>
                <w:color w:val="222222"/>
                <w:sz w:val="24"/>
                <w:szCs w:val="24"/>
              </w:rPr>
            </w:pPr>
            <w:r>
              <w:rPr>
                <w:rFonts w:ascii="Times New Roman" w:eastAsia="Times New Roman" w:hAnsi="Times New Roman" w:cs="Times New Roman"/>
                <w:b/>
                <w:color w:val="222222"/>
                <w:sz w:val="24"/>
                <w:szCs w:val="24"/>
              </w:rPr>
              <w:t>Campo de acción</w:t>
            </w:r>
          </w:p>
        </w:tc>
        <w:tc>
          <w:tcPr>
            <w:tcW w:w="9825" w:type="dxa"/>
            <w:tcBorders>
              <w:top w:val="single" w:sz="6" w:space="0" w:color="DDDDDD"/>
              <w:left w:val="single" w:sz="6" w:space="0" w:color="DDDDDD"/>
              <w:bottom w:val="single" w:sz="6" w:space="0" w:color="DDDDDD"/>
              <w:right w:val="single" w:sz="6" w:space="0" w:color="DDDDDD"/>
            </w:tcBorders>
            <w:shd w:val="clear" w:color="auto" w:fill="F2F2F2"/>
            <w:vAlign w:val="center"/>
          </w:tcPr>
          <w:p w14:paraId="25B8D10A" w14:textId="77777777" w:rsidR="005A3412" w:rsidRDefault="00110E44">
            <w:pPr>
              <w:pStyle w:val="normal0"/>
              <w:spacing w:line="276" w:lineRule="auto"/>
              <w:jc w:val="center"/>
              <w:rPr>
                <w:rFonts w:ascii="Times New Roman" w:eastAsia="Times New Roman" w:hAnsi="Times New Roman" w:cs="Times New Roman"/>
                <w:b/>
                <w:color w:val="222222"/>
                <w:sz w:val="24"/>
                <w:szCs w:val="24"/>
              </w:rPr>
            </w:pPr>
            <w:r>
              <w:rPr>
                <w:rFonts w:ascii="Times New Roman" w:eastAsia="Times New Roman" w:hAnsi="Times New Roman" w:cs="Times New Roman"/>
                <w:b/>
                <w:color w:val="222222"/>
                <w:sz w:val="24"/>
                <w:szCs w:val="24"/>
              </w:rPr>
              <w:t>Transdisciplinariedad - Aporte al PIM</w:t>
            </w:r>
          </w:p>
        </w:tc>
      </w:tr>
      <w:tr w:rsidR="005A3412" w14:paraId="5899955D" w14:textId="77777777">
        <w:tc>
          <w:tcPr>
            <w:tcW w:w="5340" w:type="dxa"/>
            <w:tcBorders>
              <w:top w:val="single" w:sz="6" w:space="0" w:color="DDDDDD"/>
              <w:left w:val="single" w:sz="6" w:space="0" w:color="DDDDDD"/>
              <w:bottom w:val="single" w:sz="6" w:space="0" w:color="DDDDDD"/>
              <w:right w:val="single" w:sz="6" w:space="0" w:color="DDDDDD"/>
            </w:tcBorders>
            <w:tcMar>
              <w:top w:w="15" w:type="dxa"/>
              <w:left w:w="15" w:type="dxa"/>
              <w:bottom w:w="15" w:type="dxa"/>
              <w:right w:w="15" w:type="dxa"/>
            </w:tcMar>
            <w:vAlign w:val="center"/>
          </w:tcPr>
          <w:p w14:paraId="0F256AF2" w14:textId="77777777" w:rsidR="005A3412" w:rsidRDefault="00110E44">
            <w:pPr>
              <w:pStyle w:val="normal0"/>
              <w:spacing w:line="276" w:lineRule="auto"/>
              <w:jc w:val="center"/>
              <w:rPr>
                <w:rFonts w:ascii="Times New Roman" w:eastAsia="Times New Roman" w:hAnsi="Times New Roman" w:cs="Times New Roman"/>
                <w:color w:val="222222"/>
                <w:sz w:val="24"/>
                <w:szCs w:val="24"/>
              </w:rPr>
            </w:pPr>
            <w:r>
              <w:rPr>
                <w:rFonts w:ascii="Times New Roman" w:eastAsia="Times New Roman" w:hAnsi="Times New Roman" w:cs="Times New Roman"/>
                <w:color w:val="222222"/>
                <w:sz w:val="24"/>
                <w:szCs w:val="24"/>
              </w:rPr>
              <w:t>Ambiental</w:t>
            </w:r>
          </w:p>
        </w:tc>
        <w:tc>
          <w:tcPr>
            <w:tcW w:w="9825" w:type="dxa"/>
            <w:tcBorders>
              <w:top w:val="single" w:sz="6" w:space="0" w:color="DDDDDD"/>
              <w:left w:val="single" w:sz="6" w:space="0" w:color="DDDDDD"/>
              <w:bottom w:val="single" w:sz="6" w:space="0" w:color="DDDDDD"/>
              <w:right w:val="single" w:sz="6" w:space="0" w:color="DDDDDD"/>
            </w:tcBorders>
            <w:vAlign w:val="center"/>
          </w:tcPr>
          <w:p w14:paraId="29846EC0" w14:textId="50DEDCED" w:rsidR="005A3412" w:rsidRDefault="00110E44" w:rsidP="00BF44A6">
            <w:pPr>
              <w:pStyle w:val="normal0"/>
              <w:spacing w:line="276" w:lineRule="auto"/>
              <w:jc w:val="both"/>
              <w:rPr>
                <w:rFonts w:ascii="Times New Roman" w:eastAsia="Times New Roman" w:hAnsi="Times New Roman" w:cs="Times New Roman"/>
                <w:b/>
                <w:color w:val="222222"/>
                <w:sz w:val="24"/>
                <w:szCs w:val="24"/>
              </w:rPr>
            </w:pPr>
            <w:r>
              <w:rPr>
                <w:rFonts w:ascii="Times New Roman" w:eastAsia="Times New Roman" w:hAnsi="Times New Roman" w:cs="Times New Roman"/>
                <w:sz w:val="24"/>
                <w:szCs w:val="24"/>
              </w:rPr>
              <w:t>La</w:t>
            </w:r>
            <w:r w:rsidR="00956F6A">
              <w:rPr>
                <w:rFonts w:ascii="Times New Roman" w:eastAsia="Times New Roman" w:hAnsi="Times New Roman" w:cs="Times New Roman"/>
                <w:sz w:val="24"/>
                <w:szCs w:val="24"/>
              </w:rPr>
              <w:t xml:space="preserve"> necesidad de construir ciudades sostenibles</w:t>
            </w:r>
            <w:r w:rsidR="00BF44A6">
              <w:rPr>
                <w:rFonts w:ascii="Times New Roman" w:eastAsia="Times New Roman" w:hAnsi="Times New Roman" w:cs="Times New Roman"/>
                <w:sz w:val="24"/>
                <w:szCs w:val="24"/>
              </w:rPr>
              <w:t xml:space="preserve"> </w:t>
            </w:r>
            <w:r w:rsidR="00956F6A">
              <w:rPr>
                <w:rFonts w:ascii="Times New Roman" w:eastAsia="Times New Roman" w:hAnsi="Times New Roman" w:cs="Times New Roman"/>
                <w:sz w:val="24"/>
                <w:szCs w:val="24"/>
              </w:rPr>
              <w:t>cada vez toma mayor fuerza en el mundo y para esto en necesario ver de forma integral y holística las relaciones e interconexiones que se dan entre el recurso agua y energía</w:t>
            </w:r>
            <w:r w:rsidR="00BF44A6">
              <w:rPr>
                <w:rFonts w:ascii="Times New Roman" w:eastAsia="Times New Roman" w:hAnsi="Times New Roman" w:cs="Times New Roman"/>
                <w:sz w:val="24"/>
                <w:szCs w:val="24"/>
              </w:rPr>
              <w:t xml:space="preserve"> eléctrica</w:t>
            </w:r>
            <w:r w:rsidR="00956F6A">
              <w:rPr>
                <w:rFonts w:ascii="Times New Roman" w:eastAsia="Times New Roman" w:hAnsi="Times New Roman" w:cs="Times New Roman"/>
                <w:sz w:val="24"/>
                <w:szCs w:val="24"/>
              </w:rPr>
              <w:t xml:space="preserve">, por lo tanto el presente proyecto </w:t>
            </w:r>
            <w:r>
              <w:rPr>
                <w:rFonts w:ascii="Times New Roman" w:eastAsia="Times New Roman" w:hAnsi="Times New Roman" w:cs="Times New Roman"/>
                <w:sz w:val="24"/>
                <w:szCs w:val="24"/>
              </w:rPr>
              <w:t xml:space="preserve">pretende </w:t>
            </w:r>
            <w:r w:rsidR="00BF44A6">
              <w:rPr>
                <w:rFonts w:ascii="Times New Roman" w:eastAsia="Times New Roman" w:hAnsi="Times New Roman" w:cs="Times New Roman"/>
                <w:color w:val="222222"/>
                <w:sz w:val="24"/>
                <w:szCs w:val="24"/>
              </w:rPr>
              <w:t>identificar el posible ahorro de energía eléctrica asociado a la implementación de estrategias de educación ambiental para el ahorro del consumo de agua</w:t>
            </w:r>
            <w:r w:rsidR="00BF44A6">
              <w:rPr>
                <w:rFonts w:ascii="Times New Roman" w:eastAsia="Times New Roman" w:hAnsi="Times New Roman" w:cs="Times New Roman"/>
                <w:sz w:val="24"/>
                <w:szCs w:val="24"/>
              </w:rPr>
              <w:t>, esto con el fin de generar</w:t>
            </w:r>
            <w:r w:rsidR="00956F6A">
              <w:rPr>
                <w:rFonts w:ascii="Times New Roman" w:eastAsia="Times New Roman" w:hAnsi="Times New Roman" w:cs="Times New Roman"/>
                <w:sz w:val="24"/>
                <w:szCs w:val="24"/>
              </w:rPr>
              <w:t xml:space="preserve"> estratégias para la gestión </w:t>
            </w:r>
            <w:r w:rsidR="00BF44A6">
              <w:rPr>
                <w:rFonts w:ascii="Times New Roman" w:eastAsia="Times New Roman" w:hAnsi="Times New Roman" w:cs="Times New Roman"/>
                <w:sz w:val="24"/>
                <w:szCs w:val="24"/>
              </w:rPr>
              <w:t>de estos dos recursos</w:t>
            </w:r>
            <w:r w:rsidR="00956F6A">
              <w:rPr>
                <w:rFonts w:ascii="Times New Roman" w:eastAsia="Times New Roman" w:hAnsi="Times New Roman" w:cs="Times New Roman"/>
                <w:sz w:val="24"/>
                <w:szCs w:val="24"/>
              </w:rPr>
              <w:t xml:space="preserve"> en centros urbanos.</w:t>
            </w:r>
            <w:r>
              <w:rPr>
                <w:rFonts w:ascii="Times New Roman" w:eastAsia="Times New Roman" w:hAnsi="Times New Roman" w:cs="Times New Roman"/>
                <w:sz w:val="24"/>
                <w:szCs w:val="24"/>
              </w:rPr>
              <w:t xml:space="preserve"> </w:t>
            </w:r>
            <w:r w:rsidR="00956F6A">
              <w:rPr>
                <w:rFonts w:ascii="Times New Roman" w:eastAsia="Times New Roman" w:hAnsi="Times New Roman" w:cs="Times New Roman"/>
                <w:sz w:val="24"/>
                <w:szCs w:val="24"/>
              </w:rPr>
              <w:t>Esto da como resultado</w:t>
            </w:r>
            <w:r>
              <w:rPr>
                <w:rFonts w:ascii="Times New Roman" w:eastAsia="Times New Roman" w:hAnsi="Times New Roman" w:cs="Times New Roman"/>
                <w:sz w:val="24"/>
                <w:szCs w:val="24"/>
              </w:rPr>
              <w:t>,</w:t>
            </w:r>
            <w:r w:rsidR="00956F6A">
              <w:rPr>
                <w:rFonts w:ascii="Times New Roman" w:eastAsia="Times New Roman" w:hAnsi="Times New Roman" w:cs="Times New Roman"/>
                <w:sz w:val="24"/>
                <w:szCs w:val="24"/>
              </w:rPr>
              <w:t xml:space="preserve"> que esta investigación</w:t>
            </w:r>
            <w:r>
              <w:rPr>
                <w:rFonts w:ascii="Times New Roman" w:eastAsia="Times New Roman" w:hAnsi="Times New Roman" w:cs="Times New Roman"/>
                <w:sz w:val="24"/>
                <w:szCs w:val="24"/>
              </w:rPr>
              <w:t xml:space="preserve"> posee un vínculo transversal con las líneas del PIM “Proyección Social e Investigación Pertinentes” y “Per</w:t>
            </w:r>
            <w:r w:rsidR="00956F6A">
              <w:rPr>
                <w:rFonts w:ascii="Times New Roman" w:eastAsia="Times New Roman" w:hAnsi="Times New Roman" w:cs="Times New Roman"/>
                <w:sz w:val="24"/>
                <w:szCs w:val="24"/>
              </w:rPr>
              <w:t>sonas que Transforman Sociedad”</w:t>
            </w:r>
            <w:r>
              <w:rPr>
                <w:rFonts w:ascii="Times New Roman" w:eastAsia="Times New Roman" w:hAnsi="Times New Roman" w:cs="Times New Roman"/>
                <w:sz w:val="24"/>
                <w:szCs w:val="24"/>
              </w:rPr>
              <w:t>.</w:t>
            </w:r>
            <w:r w:rsidR="00956F6A">
              <w:rPr>
                <w:rFonts w:ascii="Times New Roman" w:eastAsia="Times New Roman" w:hAnsi="Times New Roman" w:cs="Times New Roman"/>
                <w:sz w:val="24"/>
                <w:szCs w:val="24"/>
              </w:rPr>
              <w:t xml:space="preserve"> Al mismo tiempo este proyecto buscará identificar factores de consumo y estrategias para la busquedad de ciudades sostenibles. </w:t>
            </w:r>
            <w:r>
              <w:rPr>
                <w:rFonts w:ascii="Times New Roman" w:eastAsia="Times New Roman" w:hAnsi="Times New Roman" w:cs="Times New Roman"/>
                <w:sz w:val="24"/>
                <w:szCs w:val="24"/>
              </w:rPr>
              <w:t xml:space="preserve"> </w:t>
            </w:r>
          </w:p>
        </w:tc>
      </w:tr>
      <w:tr w:rsidR="005A3412" w14:paraId="0DB13DC4" w14:textId="77777777">
        <w:tc>
          <w:tcPr>
            <w:tcW w:w="15165" w:type="dxa"/>
            <w:gridSpan w:val="2"/>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1703F3EB" w14:textId="77777777" w:rsidR="005A3412" w:rsidRDefault="00110E44">
            <w:pPr>
              <w:pStyle w:val="normal0"/>
              <w:spacing w:line="276" w:lineRule="auto"/>
              <w:jc w:val="center"/>
              <w:rPr>
                <w:rFonts w:ascii="Times New Roman" w:eastAsia="Times New Roman" w:hAnsi="Times New Roman" w:cs="Times New Roman"/>
                <w:b/>
                <w:color w:val="222222"/>
                <w:sz w:val="24"/>
                <w:szCs w:val="24"/>
              </w:rPr>
            </w:pPr>
            <w:r>
              <w:rPr>
                <w:rFonts w:ascii="Times New Roman" w:eastAsia="Times New Roman" w:hAnsi="Times New Roman" w:cs="Times New Roman"/>
                <w:b/>
                <w:color w:val="222222"/>
                <w:sz w:val="24"/>
                <w:szCs w:val="24"/>
              </w:rPr>
              <w:t>Articulación con funciones sustantivas y el sector social y productivo</w:t>
            </w:r>
          </w:p>
        </w:tc>
      </w:tr>
      <w:tr w:rsidR="005A3412" w14:paraId="5364A9DE" w14:textId="77777777">
        <w:tc>
          <w:tcPr>
            <w:tcW w:w="15165" w:type="dxa"/>
            <w:gridSpan w:val="2"/>
            <w:tcBorders>
              <w:top w:val="single" w:sz="6" w:space="0" w:color="DDDDDD"/>
              <w:left w:val="single" w:sz="6" w:space="0" w:color="DDDDDD"/>
              <w:bottom w:val="single" w:sz="6" w:space="0" w:color="DDDDDD"/>
              <w:right w:val="single" w:sz="6" w:space="0" w:color="DDDDDD"/>
            </w:tcBorders>
            <w:tcMar>
              <w:top w:w="15" w:type="dxa"/>
              <w:left w:w="15" w:type="dxa"/>
              <w:bottom w:w="15" w:type="dxa"/>
              <w:right w:w="15" w:type="dxa"/>
            </w:tcMar>
            <w:vAlign w:val="center"/>
          </w:tcPr>
          <w:p w14:paraId="639B2EF0" w14:textId="77777777" w:rsidR="005A3412" w:rsidRDefault="00110E44" w:rsidP="00956F6A">
            <w:pPr>
              <w:pStyle w:val="normal0"/>
              <w:spacing w:line="276" w:lineRule="auto"/>
              <w:jc w:val="both"/>
              <w:rPr>
                <w:rFonts w:ascii="Times New Roman" w:eastAsia="Times New Roman" w:hAnsi="Times New Roman" w:cs="Times New Roman"/>
                <w:b/>
                <w:color w:val="222222"/>
                <w:sz w:val="24"/>
                <w:szCs w:val="24"/>
              </w:rPr>
            </w:pPr>
            <w:r>
              <w:rPr>
                <w:rFonts w:ascii="Times New Roman" w:eastAsia="Times New Roman" w:hAnsi="Times New Roman" w:cs="Times New Roman"/>
                <w:sz w:val="24"/>
                <w:szCs w:val="24"/>
              </w:rPr>
              <w:t xml:space="preserve">El presente proyecto </w:t>
            </w:r>
            <w:r w:rsidR="00956F6A">
              <w:rPr>
                <w:rFonts w:ascii="Times New Roman" w:eastAsia="Times New Roman" w:hAnsi="Times New Roman" w:cs="Times New Roman"/>
                <w:sz w:val="24"/>
                <w:szCs w:val="24"/>
              </w:rPr>
              <w:t>generará un aporte técnico-científico para al gestión de recursos agua y energía en ciudades, permitirá reconocer los factores de consumo de estos recursos para así generar soluciones basadas en la educación ambiental como fuente central, esto podría generar políticas de gestión y desarrollo territorial en materia de energía y agua para sectores residenciales.</w:t>
            </w:r>
            <w:r>
              <w:rPr>
                <w:rFonts w:ascii="Times New Roman" w:eastAsia="Times New Roman" w:hAnsi="Times New Roman" w:cs="Times New Roman"/>
                <w:sz w:val="24"/>
                <w:szCs w:val="24"/>
              </w:rPr>
              <w:t xml:space="preserve"> Finalmente el proyecto integra las tres funciones sustantivas de la USTA, inve</w:t>
            </w:r>
            <w:r w:rsidR="00956F6A">
              <w:rPr>
                <w:rFonts w:ascii="Times New Roman" w:eastAsia="Times New Roman" w:hAnsi="Times New Roman" w:cs="Times New Roman"/>
                <w:sz w:val="24"/>
                <w:szCs w:val="24"/>
              </w:rPr>
              <w:t>stigación, formación y docencia, tomando como eje central</w:t>
            </w:r>
            <w:r>
              <w:rPr>
                <w:rFonts w:ascii="Times New Roman" w:eastAsia="Times New Roman" w:hAnsi="Times New Roman" w:cs="Times New Roman"/>
                <w:sz w:val="24"/>
                <w:szCs w:val="24"/>
              </w:rPr>
              <w:t xml:space="preserve"> la línea de profundización de la facultad de ingeniería ambiental denominada “</w:t>
            </w:r>
            <w:r w:rsidR="00956F6A">
              <w:rPr>
                <w:rFonts w:ascii="Times New Roman" w:eastAsia="Times New Roman" w:hAnsi="Times New Roman" w:cs="Times New Roman"/>
                <w:sz w:val="24"/>
                <w:szCs w:val="24"/>
              </w:rPr>
              <w:t>gestión del recurso hídrico</w:t>
            </w:r>
            <w:r>
              <w:rPr>
                <w:rFonts w:ascii="Times New Roman" w:eastAsia="Times New Roman" w:hAnsi="Times New Roman" w:cs="Times New Roman"/>
                <w:sz w:val="24"/>
                <w:szCs w:val="24"/>
              </w:rPr>
              <w:t>”</w:t>
            </w:r>
            <w:r w:rsidR="00956F6A">
              <w:rPr>
                <w:rFonts w:ascii="Times New Roman" w:eastAsia="Times New Roman" w:hAnsi="Times New Roman" w:cs="Times New Roman"/>
                <w:sz w:val="24"/>
                <w:szCs w:val="24"/>
              </w:rPr>
              <w:t>, fortalecerá la generación de investigación y elcrecieminto de jovenes investigadores asociados a la vinculación de proyectos de gardo al semillero Hidrociencias.</w:t>
            </w:r>
          </w:p>
        </w:tc>
      </w:tr>
      <w:tr w:rsidR="005A3412" w14:paraId="1D040507" w14:textId="77777777">
        <w:tc>
          <w:tcPr>
            <w:tcW w:w="5340"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57D58D14" w14:textId="77777777" w:rsidR="005A3412" w:rsidRDefault="00110E44">
            <w:pPr>
              <w:pStyle w:val="normal0"/>
              <w:jc w:val="center"/>
              <w:rPr>
                <w:rFonts w:ascii="Times New Roman" w:eastAsia="Times New Roman" w:hAnsi="Times New Roman" w:cs="Times New Roman"/>
                <w:b/>
                <w:color w:val="222222"/>
              </w:rPr>
            </w:pPr>
            <w:r>
              <w:rPr>
                <w:rFonts w:ascii="Times New Roman" w:eastAsia="Times New Roman" w:hAnsi="Times New Roman" w:cs="Times New Roman"/>
                <w:b/>
                <w:color w:val="222222"/>
              </w:rPr>
              <w:t>Grupo de investigación</w:t>
            </w:r>
          </w:p>
        </w:tc>
        <w:tc>
          <w:tcPr>
            <w:tcW w:w="9825" w:type="dxa"/>
            <w:tcBorders>
              <w:top w:val="single" w:sz="6" w:space="0" w:color="DDDDDD"/>
              <w:left w:val="single" w:sz="6" w:space="0" w:color="DDDDDD"/>
              <w:bottom w:val="single" w:sz="6" w:space="0" w:color="DDDDDD"/>
              <w:right w:val="single" w:sz="6" w:space="0" w:color="DDDDDD"/>
            </w:tcBorders>
            <w:shd w:val="clear" w:color="auto" w:fill="F2F2F2"/>
            <w:vAlign w:val="center"/>
          </w:tcPr>
          <w:p w14:paraId="36921387" w14:textId="77777777" w:rsidR="005A3412" w:rsidRDefault="00110E44">
            <w:pPr>
              <w:pStyle w:val="normal0"/>
              <w:jc w:val="center"/>
              <w:rPr>
                <w:rFonts w:ascii="Times New Roman" w:eastAsia="Times New Roman" w:hAnsi="Times New Roman" w:cs="Times New Roman"/>
                <w:b/>
                <w:color w:val="222222"/>
              </w:rPr>
            </w:pPr>
            <w:r>
              <w:rPr>
                <w:rFonts w:ascii="Times New Roman" w:eastAsia="Times New Roman" w:hAnsi="Times New Roman" w:cs="Times New Roman"/>
                <w:b/>
                <w:color w:val="222222"/>
              </w:rPr>
              <w:t>Línea de investigación en la que se inscribe el proyecto</w:t>
            </w:r>
          </w:p>
        </w:tc>
      </w:tr>
      <w:tr w:rsidR="005A3412" w14:paraId="7417A1FA" w14:textId="77777777">
        <w:tc>
          <w:tcPr>
            <w:tcW w:w="15165" w:type="dxa"/>
            <w:gridSpan w:val="2"/>
            <w:tcBorders>
              <w:top w:val="single" w:sz="6" w:space="0" w:color="DDDDDD"/>
              <w:left w:val="single" w:sz="6" w:space="0" w:color="DDDDDD"/>
              <w:bottom w:val="single" w:sz="6" w:space="0" w:color="DDDDDD"/>
              <w:right w:val="single" w:sz="6" w:space="0" w:color="DDDDDD"/>
            </w:tcBorders>
            <w:tcMar>
              <w:top w:w="15" w:type="dxa"/>
              <w:left w:w="15" w:type="dxa"/>
              <w:bottom w:w="15" w:type="dxa"/>
              <w:right w:w="15" w:type="dxa"/>
            </w:tcMar>
            <w:vAlign w:val="center"/>
          </w:tcPr>
          <w:p w14:paraId="3E418EFF" w14:textId="77777777" w:rsidR="005A3412" w:rsidRDefault="00110E44">
            <w:pPr>
              <w:pStyle w:val="normal0"/>
              <w:jc w:val="center"/>
              <w:rPr>
                <w:rFonts w:ascii="Times New Roman" w:eastAsia="Times New Roman" w:hAnsi="Times New Roman" w:cs="Times New Roman"/>
                <w:color w:val="222222"/>
              </w:rPr>
            </w:pPr>
            <w:r>
              <w:rPr>
                <w:rFonts w:ascii="Times New Roman" w:eastAsia="Times New Roman" w:hAnsi="Times New Roman" w:cs="Times New Roman"/>
                <w:color w:val="222222"/>
              </w:rPr>
              <w:t xml:space="preserve">INAM USTA                                                                               </w:t>
            </w:r>
            <w:r w:rsidR="00956F6A">
              <w:rPr>
                <w:rFonts w:ascii="Times New Roman" w:hAnsi="Times New Roman"/>
                <w:sz w:val="24"/>
                <w:szCs w:val="24"/>
              </w:rPr>
              <w:t>ORDENAMIENTO AMBIENTAL Y DEL TERRITORIO</w:t>
            </w:r>
          </w:p>
        </w:tc>
      </w:tr>
    </w:tbl>
    <w:p w14:paraId="49ADEFC0" w14:textId="77777777" w:rsidR="005A3412" w:rsidRDefault="005A3412">
      <w:pPr>
        <w:pStyle w:val="normal0"/>
        <w:spacing w:after="0" w:line="276" w:lineRule="auto"/>
        <w:rPr>
          <w:rFonts w:ascii="Times New Roman" w:eastAsia="Times New Roman" w:hAnsi="Times New Roman" w:cs="Times New Roman"/>
          <w:sz w:val="24"/>
          <w:szCs w:val="24"/>
        </w:rPr>
      </w:pPr>
    </w:p>
    <w:tbl>
      <w:tblPr>
        <w:tblStyle w:val="a0"/>
        <w:tblW w:w="14729" w:type="dxa"/>
        <w:tblInd w:w="0" w:type="dxa"/>
        <w:tblLayout w:type="fixed"/>
        <w:tblLook w:val="0400" w:firstRow="0" w:lastRow="0" w:firstColumn="0" w:lastColumn="0" w:noHBand="0" w:noVBand="1"/>
      </w:tblPr>
      <w:tblGrid>
        <w:gridCol w:w="4246"/>
        <w:gridCol w:w="3118"/>
        <w:gridCol w:w="3030"/>
        <w:gridCol w:w="4335"/>
      </w:tblGrid>
      <w:tr w:rsidR="005A3412" w14:paraId="232C0FA2" w14:textId="77777777">
        <w:trPr>
          <w:trHeight w:val="500"/>
        </w:trPr>
        <w:tc>
          <w:tcPr>
            <w:tcW w:w="4246"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30D38360" w14:textId="77777777" w:rsidR="005A3412" w:rsidRDefault="00110E44">
            <w:pPr>
              <w:pStyle w:val="normal0"/>
              <w:jc w:val="center"/>
              <w:rPr>
                <w:rFonts w:ascii="Times New Roman" w:eastAsia="Times New Roman" w:hAnsi="Times New Roman" w:cs="Times New Roman"/>
                <w:b/>
                <w:color w:val="222222"/>
              </w:rPr>
            </w:pPr>
            <w:r>
              <w:rPr>
                <w:rFonts w:ascii="Times New Roman" w:eastAsia="Times New Roman" w:hAnsi="Times New Roman" w:cs="Times New Roman"/>
                <w:b/>
                <w:color w:val="222222"/>
              </w:rPr>
              <w:t>Nombre del Investigador principal</w:t>
            </w:r>
          </w:p>
        </w:tc>
        <w:tc>
          <w:tcPr>
            <w:tcW w:w="3118"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3D63BF8F" w14:textId="77777777" w:rsidR="005A3412" w:rsidRDefault="00110E44">
            <w:pPr>
              <w:pStyle w:val="normal0"/>
              <w:jc w:val="center"/>
              <w:rPr>
                <w:rFonts w:ascii="Times New Roman" w:eastAsia="Times New Roman" w:hAnsi="Times New Roman" w:cs="Times New Roman"/>
                <w:b/>
                <w:color w:val="222222"/>
              </w:rPr>
            </w:pPr>
            <w:r>
              <w:rPr>
                <w:rFonts w:ascii="Times New Roman" w:eastAsia="Times New Roman" w:hAnsi="Times New Roman" w:cs="Times New Roman"/>
                <w:b/>
                <w:color w:val="222222"/>
              </w:rPr>
              <w:t>Enlace CvLAC</w:t>
            </w:r>
          </w:p>
        </w:tc>
        <w:tc>
          <w:tcPr>
            <w:tcW w:w="3030"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36B8A7F1" w14:textId="77777777" w:rsidR="005A3412" w:rsidRDefault="00110E44">
            <w:pPr>
              <w:pStyle w:val="normal0"/>
              <w:jc w:val="center"/>
              <w:rPr>
                <w:rFonts w:ascii="Times New Roman" w:eastAsia="Times New Roman" w:hAnsi="Times New Roman" w:cs="Times New Roman"/>
                <w:b/>
                <w:color w:val="222222"/>
              </w:rPr>
            </w:pPr>
            <w:r>
              <w:rPr>
                <w:rFonts w:ascii="Times New Roman" w:eastAsia="Times New Roman" w:hAnsi="Times New Roman" w:cs="Times New Roman"/>
                <w:b/>
                <w:color w:val="222222"/>
              </w:rPr>
              <w:t>Enlace ORCID</w:t>
            </w:r>
          </w:p>
        </w:tc>
        <w:tc>
          <w:tcPr>
            <w:tcW w:w="4335"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650F9DF8" w14:textId="77777777" w:rsidR="005A3412" w:rsidRDefault="00110E44">
            <w:pPr>
              <w:pStyle w:val="normal0"/>
              <w:jc w:val="center"/>
              <w:rPr>
                <w:rFonts w:ascii="Times New Roman" w:eastAsia="Times New Roman" w:hAnsi="Times New Roman" w:cs="Times New Roman"/>
                <w:b/>
                <w:color w:val="222222"/>
              </w:rPr>
            </w:pPr>
            <w:r>
              <w:rPr>
                <w:rFonts w:ascii="Times New Roman" w:eastAsia="Times New Roman" w:hAnsi="Times New Roman" w:cs="Times New Roman"/>
                <w:b/>
                <w:color w:val="222222"/>
              </w:rPr>
              <w:t>Enlace Google Académico</w:t>
            </w:r>
          </w:p>
        </w:tc>
      </w:tr>
      <w:tr w:rsidR="005A3412" w14:paraId="5CBD44CA" w14:textId="77777777">
        <w:trPr>
          <w:trHeight w:val="520"/>
        </w:trPr>
        <w:tc>
          <w:tcPr>
            <w:tcW w:w="4246" w:type="dxa"/>
            <w:tcBorders>
              <w:top w:val="single" w:sz="6" w:space="0" w:color="DDDDDD"/>
              <w:left w:val="single" w:sz="6" w:space="0" w:color="DDDDDD"/>
              <w:bottom w:val="single" w:sz="6" w:space="0" w:color="DDDDDD"/>
              <w:right w:val="single" w:sz="6" w:space="0" w:color="DDDDDD"/>
            </w:tcBorders>
            <w:tcMar>
              <w:top w:w="15" w:type="dxa"/>
              <w:left w:w="15" w:type="dxa"/>
              <w:bottom w:w="15" w:type="dxa"/>
              <w:right w:w="15" w:type="dxa"/>
            </w:tcMar>
            <w:vAlign w:val="center"/>
          </w:tcPr>
          <w:p w14:paraId="6C6079D7" w14:textId="77777777" w:rsidR="005A3412" w:rsidRDefault="00110E44">
            <w:pPr>
              <w:pStyle w:val="normal0"/>
              <w:jc w:val="center"/>
              <w:rPr>
                <w:rFonts w:ascii="Times New Roman" w:eastAsia="Times New Roman" w:hAnsi="Times New Roman" w:cs="Times New Roman"/>
                <w:color w:val="222222"/>
              </w:rPr>
            </w:pPr>
            <w:r>
              <w:rPr>
                <w:rFonts w:ascii="Times New Roman" w:eastAsia="Times New Roman" w:hAnsi="Times New Roman" w:cs="Times New Roman"/>
                <w:color w:val="222222"/>
              </w:rPr>
              <w:t>CARLOS ANDRÉS PEÑAGUZMÁN</w:t>
            </w:r>
          </w:p>
        </w:tc>
        <w:tc>
          <w:tcPr>
            <w:tcW w:w="3118" w:type="dxa"/>
            <w:tcBorders>
              <w:top w:val="single" w:sz="6" w:space="0" w:color="DDDDDD"/>
              <w:left w:val="single" w:sz="6" w:space="0" w:color="DDDDDD"/>
              <w:bottom w:val="single" w:sz="6" w:space="0" w:color="DDDDDD"/>
              <w:right w:val="single" w:sz="6" w:space="0" w:color="DDDDDD"/>
            </w:tcBorders>
            <w:tcMar>
              <w:top w:w="15" w:type="dxa"/>
              <w:left w:w="15" w:type="dxa"/>
              <w:bottom w:w="15" w:type="dxa"/>
              <w:right w:w="15" w:type="dxa"/>
            </w:tcMar>
            <w:vAlign w:val="center"/>
          </w:tcPr>
          <w:p w14:paraId="4C2F0B97" w14:textId="77777777" w:rsidR="005A3412" w:rsidRDefault="00956F6A">
            <w:pPr>
              <w:pStyle w:val="normal0"/>
              <w:jc w:val="center"/>
              <w:rPr>
                <w:rFonts w:ascii="Times New Roman" w:eastAsia="Times New Roman" w:hAnsi="Times New Roman" w:cs="Times New Roman"/>
                <w:color w:val="222222"/>
              </w:rPr>
            </w:pPr>
            <w:r w:rsidRPr="00956F6A">
              <w:rPr>
                <w:rFonts w:ascii="Times New Roman" w:eastAsia="Times New Roman" w:hAnsi="Times New Roman" w:cs="Times New Roman"/>
                <w:color w:val="222222"/>
              </w:rPr>
              <w:t>http://scienti.colciencias.gov.co:8081/cvlac/visualizador/generarCurriculoCv.do?cod_rh=0001500000</w:t>
            </w:r>
          </w:p>
        </w:tc>
        <w:tc>
          <w:tcPr>
            <w:tcW w:w="3030" w:type="dxa"/>
            <w:tcBorders>
              <w:top w:val="single" w:sz="6" w:space="0" w:color="DDDDDD"/>
              <w:left w:val="single" w:sz="6" w:space="0" w:color="DDDDDD"/>
              <w:bottom w:val="single" w:sz="6" w:space="0" w:color="DDDDDD"/>
              <w:right w:val="single" w:sz="6" w:space="0" w:color="DDDDDD"/>
            </w:tcBorders>
            <w:tcMar>
              <w:top w:w="15" w:type="dxa"/>
              <w:left w:w="15" w:type="dxa"/>
              <w:bottom w:w="15" w:type="dxa"/>
              <w:right w:w="15" w:type="dxa"/>
            </w:tcMar>
            <w:vAlign w:val="center"/>
          </w:tcPr>
          <w:p w14:paraId="43DC7BA5" w14:textId="77777777" w:rsidR="005A3412" w:rsidRDefault="00110E44">
            <w:pPr>
              <w:pStyle w:val="normal0"/>
              <w:jc w:val="center"/>
              <w:rPr>
                <w:rFonts w:ascii="Times New Roman" w:eastAsia="Times New Roman" w:hAnsi="Times New Roman" w:cs="Times New Roman"/>
                <w:color w:val="222222"/>
              </w:rPr>
            </w:pPr>
            <w:r w:rsidRPr="00016260">
              <w:rPr>
                <w:rFonts w:ascii="Times New Roman" w:eastAsia="Times New Roman" w:hAnsi="Times New Roman" w:cs="Times New Roman"/>
                <w:color w:val="222222"/>
              </w:rPr>
              <w:t>https://orcid.org/0000-0003-0496-9612</w:t>
            </w:r>
          </w:p>
        </w:tc>
        <w:tc>
          <w:tcPr>
            <w:tcW w:w="4335" w:type="dxa"/>
            <w:tcBorders>
              <w:top w:val="single" w:sz="6" w:space="0" w:color="DDDDDD"/>
              <w:left w:val="single" w:sz="6" w:space="0" w:color="DDDDDD"/>
              <w:bottom w:val="single" w:sz="6" w:space="0" w:color="DDDDDD"/>
              <w:right w:val="single" w:sz="6" w:space="0" w:color="DDDDDD"/>
            </w:tcBorders>
            <w:tcMar>
              <w:top w:w="15" w:type="dxa"/>
              <w:left w:w="15" w:type="dxa"/>
              <w:bottom w:w="15" w:type="dxa"/>
              <w:right w:w="15" w:type="dxa"/>
            </w:tcMar>
            <w:vAlign w:val="center"/>
          </w:tcPr>
          <w:p w14:paraId="7C802FF8" w14:textId="77777777" w:rsidR="005A3412" w:rsidRDefault="00110E44">
            <w:pPr>
              <w:pStyle w:val="normal0"/>
              <w:jc w:val="center"/>
              <w:rPr>
                <w:rFonts w:ascii="Times New Roman" w:eastAsia="Times New Roman" w:hAnsi="Times New Roman" w:cs="Times New Roman"/>
                <w:color w:val="222222"/>
              </w:rPr>
            </w:pPr>
            <w:r w:rsidRPr="00110E44">
              <w:rPr>
                <w:rFonts w:ascii="Times New Roman" w:eastAsia="Times New Roman" w:hAnsi="Times New Roman" w:cs="Times New Roman"/>
                <w:color w:val="222222"/>
              </w:rPr>
              <w:t>https://scholar.google.es/citations?user=aD5MEigAAAAJ&amp;hl=es&amp;oi=ao</w:t>
            </w:r>
          </w:p>
        </w:tc>
      </w:tr>
      <w:tr w:rsidR="005A3412" w14:paraId="75CC7E60" w14:textId="77777777">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6404D16C" w14:textId="77777777" w:rsidR="005A3412" w:rsidRDefault="00110E44">
            <w:pPr>
              <w:pStyle w:val="normal0"/>
              <w:jc w:val="center"/>
              <w:rPr>
                <w:rFonts w:ascii="Times New Roman" w:eastAsia="Times New Roman" w:hAnsi="Times New Roman" w:cs="Times New Roman"/>
                <w:b/>
                <w:color w:val="222222"/>
              </w:rPr>
            </w:pPr>
            <w:r>
              <w:rPr>
                <w:rFonts w:ascii="Times New Roman" w:eastAsia="Times New Roman" w:hAnsi="Times New Roman" w:cs="Times New Roman"/>
                <w:b/>
                <w:color w:val="222222"/>
              </w:rPr>
              <w:lastRenderedPageBreak/>
              <w:t>División</w:t>
            </w:r>
          </w:p>
        </w:tc>
        <w:tc>
          <w:tcPr>
            <w:tcW w:w="311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27E3067C" w14:textId="77777777" w:rsidR="005A3412" w:rsidRDefault="00110E44">
            <w:pPr>
              <w:pStyle w:val="normal0"/>
              <w:jc w:val="center"/>
              <w:rPr>
                <w:rFonts w:ascii="Times New Roman" w:eastAsia="Times New Roman" w:hAnsi="Times New Roman" w:cs="Times New Roman"/>
                <w:b/>
                <w:color w:val="222222"/>
              </w:rPr>
            </w:pPr>
            <w:r>
              <w:rPr>
                <w:rFonts w:ascii="Times New Roman" w:eastAsia="Times New Roman" w:hAnsi="Times New Roman" w:cs="Times New Roman"/>
                <w:b/>
                <w:color w:val="222222"/>
              </w:rPr>
              <w:t>Facultad</w:t>
            </w:r>
          </w:p>
        </w:tc>
        <w:tc>
          <w:tcPr>
            <w:tcW w:w="3030"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4B7C8C40" w14:textId="77777777" w:rsidR="005A3412" w:rsidRDefault="00110E44">
            <w:pPr>
              <w:pStyle w:val="normal0"/>
              <w:jc w:val="center"/>
              <w:rPr>
                <w:rFonts w:ascii="Times New Roman" w:eastAsia="Times New Roman" w:hAnsi="Times New Roman" w:cs="Times New Roman"/>
                <w:b/>
                <w:color w:val="222222"/>
              </w:rPr>
            </w:pPr>
            <w:r>
              <w:rPr>
                <w:rFonts w:ascii="Times New Roman" w:eastAsia="Times New Roman" w:hAnsi="Times New Roman" w:cs="Times New Roman"/>
                <w:b/>
                <w:color w:val="222222"/>
              </w:rPr>
              <w:t>Programa</w:t>
            </w:r>
          </w:p>
        </w:tc>
        <w:tc>
          <w:tcPr>
            <w:tcW w:w="4335"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041D5EDA" w14:textId="77777777" w:rsidR="005A3412" w:rsidRDefault="00110E44">
            <w:pPr>
              <w:pStyle w:val="normal0"/>
              <w:jc w:val="center"/>
              <w:rPr>
                <w:rFonts w:ascii="Times New Roman" w:eastAsia="Times New Roman" w:hAnsi="Times New Roman" w:cs="Times New Roman"/>
                <w:b/>
                <w:color w:val="222222"/>
              </w:rPr>
            </w:pPr>
            <w:r>
              <w:rPr>
                <w:rFonts w:ascii="Times New Roman" w:eastAsia="Times New Roman" w:hAnsi="Times New Roman" w:cs="Times New Roman"/>
                <w:b/>
                <w:color w:val="222222"/>
              </w:rPr>
              <w:t>Grupo de investigación</w:t>
            </w:r>
          </w:p>
        </w:tc>
      </w:tr>
      <w:tr w:rsidR="005A3412" w14:paraId="3B19843F" w14:textId="77777777">
        <w:trPr>
          <w:trHeight w:val="520"/>
        </w:trPr>
        <w:tc>
          <w:tcPr>
            <w:tcW w:w="4246" w:type="dxa"/>
            <w:tcBorders>
              <w:top w:val="single" w:sz="6" w:space="0" w:color="DDDDDD"/>
              <w:left w:val="single" w:sz="6" w:space="0" w:color="DDDDDD"/>
              <w:bottom w:val="single" w:sz="6" w:space="0" w:color="DDDDDD"/>
              <w:right w:val="single" w:sz="6" w:space="0" w:color="DDDDDD"/>
            </w:tcBorders>
            <w:tcMar>
              <w:top w:w="15" w:type="dxa"/>
              <w:left w:w="15" w:type="dxa"/>
              <w:bottom w:w="15" w:type="dxa"/>
              <w:right w:w="15" w:type="dxa"/>
            </w:tcMar>
            <w:vAlign w:val="center"/>
          </w:tcPr>
          <w:p w14:paraId="41191705" w14:textId="77777777" w:rsidR="005A3412" w:rsidRDefault="00110E44">
            <w:pPr>
              <w:pStyle w:val="normal0"/>
              <w:jc w:val="center"/>
              <w:rPr>
                <w:rFonts w:ascii="Times New Roman" w:eastAsia="Times New Roman" w:hAnsi="Times New Roman" w:cs="Times New Roman"/>
                <w:color w:val="222222"/>
              </w:rPr>
            </w:pPr>
            <w:r>
              <w:rPr>
                <w:rFonts w:ascii="Times New Roman" w:eastAsia="Times New Roman" w:hAnsi="Times New Roman" w:cs="Times New Roman"/>
                <w:color w:val="222222"/>
              </w:rPr>
              <w:t>INGENIERÍAS</w:t>
            </w:r>
          </w:p>
        </w:tc>
        <w:tc>
          <w:tcPr>
            <w:tcW w:w="3118" w:type="dxa"/>
            <w:tcBorders>
              <w:top w:val="single" w:sz="6" w:space="0" w:color="DDDDDD"/>
              <w:left w:val="single" w:sz="6" w:space="0" w:color="DDDDDD"/>
              <w:bottom w:val="single" w:sz="6" w:space="0" w:color="DDDDDD"/>
              <w:right w:val="single" w:sz="6" w:space="0" w:color="DDDDDD"/>
            </w:tcBorders>
            <w:tcMar>
              <w:top w:w="15" w:type="dxa"/>
              <w:left w:w="15" w:type="dxa"/>
              <w:bottom w:w="15" w:type="dxa"/>
              <w:right w:w="15" w:type="dxa"/>
            </w:tcMar>
            <w:vAlign w:val="center"/>
          </w:tcPr>
          <w:p w14:paraId="7A94F540" w14:textId="77777777" w:rsidR="005A3412" w:rsidRDefault="00110E44">
            <w:pPr>
              <w:pStyle w:val="normal0"/>
              <w:jc w:val="center"/>
              <w:rPr>
                <w:rFonts w:ascii="Times New Roman" w:eastAsia="Times New Roman" w:hAnsi="Times New Roman" w:cs="Times New Roman"/>
                <w:color w:val="222222"/>
              </w:rPr>
            </w:pPr>
            <w:r>
              <w:rPr>
                <w:rFonts w:ascii="Times New Roman" w:eastAsia="Times New Roman" w:hAnsi="Times New Roman" w:cs="Times New Roman"/>
                <w:color w:val="222222"/>
              </w:rPr>
              <w:t>INGENIERÍA AMBIENTAL</w:t>
            </w:r>
          </w:p>
        </w:tc>
        <w:tc>
          <w:tcPr>
            <w:tcW w:w="3030" w:type="dxa"/>
            <w:tcBorders>
              <w:top w:val="single" w:sz="6" w:space="0" w:color="DDDDDD"/>
              <w:left w:val="single" w:sz="6" w:space="0" w:color="DDDDDD"/>
              <w:bottom w:val="single" w:sz="6" w:space="0" w:color="DDDDDD"/>
              <w:right w:val="single" w:sz="6" w:space="0" w:color="DDDDDD"/>
            </w:tcBorders>
            <w:tcMar>
              <w:top w:w="15" w:type="dxa"/>
              <w:left w:w="15" w:type="dxa"/>
              <w:bottom w:w="15" w:type="dxa"/>
              <w:right w:w="15" w:type="dxa"/>
            </w:tcMar>
            <w:vAlign w:val="center"/>
          </w:tcPr>
          <w:p w14:paraId="3F91A1AB" w14:textId="77777777" w:rsidR="005A3412" w:rsidRDefault="00110E44">
            <w:pPr>
              <w:pStyle w:val="normal0"/>
              <w:jc w:val="center"/>
              <w:rPr>
                <w:rFonts w:ascii="Times New Roman" w:eastAsia="Times New Roman" w:hAnsi="Times New Roman" w:cs="Times New Roman"/>
                <w:color w:val="222222"/>
              </w:rPr>
            </w:pPr>
            <w:r>
              <w:rPr>
                <w:rFonts w:ascii="Times New Roman" w:eastAsia="Times New Roman" w:hAnsi="Times New Roman" w:cs="Times New Roman"/>
                <w:color w:val="222222"/>
              </w:rPr>
              <w:t>INGENIERÍA AMBIENTAL</w:t>
            </w:r>
          </w:p>
        </w:tc>
        <w:tc>
          <w:tcPr>
            <w:tcW w:w="4335" w:type="dxa"/>
            <w:tcBorders>
              <w:top w:val="single" w:sz="6" w:space="0" w:color="DDDDDD"/>
              <w:left w:val="single" w:sz="6" w:space="0" w:color="DDDDDD"/>
              <w:bottom w:val="single" w:sz="6" w:space="0" w:color="DDDDDD"/>
              <w:right w:val="single" w:sz="6" w:space="0" w:color="DDDDDD"/>
            </w:tcBorders>
            <w:tcMar>
              <w:top w:w="15" w:type="dxa"/>
              <w:left w:w="15" w:type="dxa"/>
              <w:bottom w:w="15" w:type="dxa"/>
              <w:right w:w="15" w:type="dxa"/>
            </w:tcMar>
            <w:vAlign w:val="center"/>
          </w:tcPr>
          <w:p w14:paraId="50F3FC0E" w14:textId="77777777" w:rsidR="005A3412" w:rsidRDefault="00110E44">
            <w:pPr>
              <w:pStyle w:val="normal0"/>
              <w:jc w:val="center"/>
              <w:rPr>
                <w:rFonts w:ascii="Times New Roman" w:eastAsia="Times New Roman" w:hAnsi="Times New Roman" w:cs="Times New Roman"/>
                <w:color w:val="222222"/>
              </w:rPr>
            </w:pPr>
            <w:r>
              <w:rPr>
                <w:rFonts w:ascii="Times New Roman" w:eastAsia="Times New Roman" w:hAnsi="Times New Roman" w:cs="Times New Roman"/>
                <w:color w:val="222222"/>
              </w:rPr>
              <w:t>INAM USTA</w:t>
            </w:r>
          </w:p>
        </w:tc>
      </w:tr>
      <w:tr w:rsidR="005A3412" w14:paraId="53A1F0A4" w14:textId="77777777">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5CF33296" w14:textId="77777777" w:rsidR="005A3412" w:rsidRDefault="00110E44">
            <w:pPr>
              <w:pStyle w:val="normal0"/>
              <w:jc w:val="center"/>
              <w:rPr>
                <w:rFonts w:ascii="Times New Roman" w:eastAsia="Times New Roman" w:hAnsi="Times New Roman" w:cs="Times New Roman"/>
                <w:b/>
                <w:color w:val="222222"/>
              </w:rPr>
            </w:pPr>
            <w:r>
              <w:rPr>
                <w:rFonts w:ascii="Times New Roman" w:eastAsia="Times New Roman" w:hAnsi="Times New Roman" w:cs="Times New Roman"/>
                <w:b/>
                <w:color w:val="222222"/>
              </w:rPr>
              <w:t xml:space="preserve">Nombre del Co-investigador </w:t>
            </w:r>
          </w:p>
        </w:tc>
        <w:tc>
          <w:tcPr>
            <w:tcW w:w="311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78E88C31" w14:textId="77777777" w:rsidR="005A3412" w:rsidRDefault="00110E44">
            <w:pPr>
              <w:pStyle w:val="normal0"/>
              <w:jc w:val="center"/>
              <w:rPr>
                <w:rFonts w:ascii="Times New Roman" w:eastAsia="Times New Roman" w:hAnsi="Times New Roman" w:cs="Times New Roman"/>
                <w:b/>
                <w:color w:val="222222"/>
              </w:rPr>
            </w:pPr>
            <w:r>
              <w:rPr>
                <w:rFonts w:ascii="Times New Roman" w:eastAsia="Times New Roman" w:hAnsi="Times New Roman" w:cs="Times New Roman"/>
                <w:b/>
                <w:color w:val="222222"/>
              </w:rPr>
              <w:t>Enlace CvLAC</w:t>
            </w:r>
          </w:p>
        </w:tc>
        <w:tc>
          <w:tcPr>
            <w:tcW w:w="3030"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0C571CA1" w14:textId="77777777" w:rsidR="005A3412" w:rsidRDefault="00110E44">
            <w:pPr>
              <w:pStyle w:val="normal0"/>
              <w:jc w:val="center"/>
              <w:rPr>
                <w:rFonts w:ascii="Times New Roman" w:eastAsia="Times New Roman" w:hAnsi="Times New Roman" w:cs="Times New Roman"/>
                <w:b/>
                <w:color w:val="222222"/>
              </w:rPr>
            </w:pPr>
            <w:r>
              <w:rPr>
                <w:rFonts w:ascii="Times New Roman" w:eastAsia="Times New Roman" w:hAnsi="Times New Roman" w:cs="Times New Roman"/>
                <w:b/>
                <w:color w:val="222222"/>
              </w:rPr>
              <w:t>Enlace ORCID</w:t>
            </w:r>
          </w:p>
        </w:tc>
        <w:tc>
          <w:tcPr>
            <w:tcW w:w="4335"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04F20477" w14:textId="77777777" w:rsidR="005A3412" w:rsidRDefault="00110E44">
            <w:pPr>
              <w:pStyle w:val="normal0"/>
              <w:jc w:val="center"/>
              <w:rPr>
                <w:rFonts w:ascii="Times New Roman" w:eastAsia="Times New Roman" w:hAnsi="Times New Roman" w:cs="Times New Roman"/>
                <w:b/>
                <w:color w:val="222222"/>
              </w:rPr>
            </w:pPr>
            <w:r>
              <w:rPr>
                <w:rFonts w:ascii="Times New Roman" w:eastAsia="Times New Roman" w:hAnsi="Times New Roman" w:cs="Times New Roman"/>
                <w:b/>
                <w:color w:val="222222"/>
              </w:rPr>
              <w:t>Enlace Google Académico</w:t>
            </w:r>
          </w:p>
        </w:tc>
      </w:tr>
      <w:tr w:rsidR="005A3412" w14:paraId="6F9DC0A2" w14:textId="77777777">
        <w:trPr>
          <w:trHeight w:val="520"/>
        </w:trPr>
        <w:tc>
          <w:tcPr>
            <w:tcW w:w="4246" w:type="dxa"/>
            <w:tcBorders>
              <w:top w:val="single" w:sz="6" w:space="0" w:color="DDDDDD"/>
              <w:left w:val="single" w:sz="6" w:space="0" w:color="DDDDDD"/>
              <w:bottom w:val="single" w:sz="6" w:space="0" w:color="DDDDDD"/>
              <w:right w:val="single" w:sz="6" w:space="0" w:color="DDDDDD"/>
            </w:tcBorders>
            <w:tcMar>
              <w:top w:w="15" w:type="dxa"/>
              <w:left w:w="15" w:type="dxa"/>
              <w:bottom w:w="15" w:type="dxa"/>
              <w:right w:w="15" w:type="dxa"/>
            </w:tcMar>
            <w:vAlign w:val="center"/>
          </w:tcPr>
          <w:p w14:paraId="0699B240" w14:textId="77777777" w:rsidR="005A3412" w:rsidRDefault="00110E44">
            <w:pPr>
              <w:pStyle w:val="normal0"/>
              <w:pBdr>
                <w:top w:val="nil"/>
                <w:left w:val="nil"/>
                <w:bottom w:val="nil"/>
                <w:right w:val="nil"/>
                <w:between w:val="nil"/>
              </w:pBdr>
              <w:jc w:val="center"/>
              <w:rPr>
                <w:rFonts w:ascii="Times New Roman" w:eastAsia="Times New Roman" w:hAnsi="Times New Roman" w:cs="Times New Roman"/>
                <w:color w:val="222222"/>
              </w:rPr>
            </w:pPr>
            <w:r>
              <w:rPr>
                <w:rFonts w:ascii="Times New Roman" w:eastAsia="Times New Roman" w:hAnsi="Times New Roman" w:cs="Times New Roman"/>
                <w:color w:val="222222"/>
              </w:rPr>
              <w:t>DAVID ANDRES ZAMORA ÁVILA</w:t>
            </w:r>
          </w:p>
        </w:tc>
        <w:tc>
          <w:tcPr>
            <w:tcW w:w="3118" w:type="dxa"/>
            <w:tcBorders>
              <w:top w:val="single" w:sz="6" w:space="0" w:color="DDDDDD"/>
              <w:left w:val="single" w:sz="6" w:space="0" w:color="DDDDDD"/>
              <w:bottom w:val="single" w:sz="6" w:space="0" w:color="DDDDDD"/>
              <w:right w:val="single" w:sz="6" w:space="0" w:color="DDDDDD"/>
            </w:tcBorders>
            <w:tcMar>
              <w:top w:w="15" w:type="dxa"/>
              <w:left w:w="15" w:type="dxa"/>
              <w:bottom w:w="15" w:type="dxa"/>
              <w:right w:w="15" w:type="dxa"/>
            </w:tcMar>
            <w:vAlign w:val="center"/>
          </w:tcPr>
          <w:p w14:paraId="5157FF97" w14:textId="77777777" w:rsidR="005A3412" w:rsidRDefault="00110E44">
            <w:pPr>
              <w:pStyle w:val="normal0"/>
              <w:jc w:val="center"/>
              <w:rPr>
                <w:rFonts w:ascii="Times New Roman" w:eastAsia="Times New Roman" w:hAnsi="Times New Roman" w:cs="Times New Roman"/>
                <w:color w:val="222222"/>
              </w:rPr>
            </w:pPr>
            <w:r w:rsidRPr="00110E44">
              <w:rPr>
                <w:rFonts w:ascii="Times New Roman" w:eastAsia="Times New Roman" w:hAnsi="Times New Roman" w:cs="Times New Roman"/>
                <w:color w:val="222222"/>
              </w:rPr>
              <w:t>https://scienti.colciencias.gov.co/cvlac/visualizador/generarCurriculoCv.do?cod_rh=0001370654</w:t>
            </w:r>
          </w:p>
        </w:tc>
        <w:tc>
          <w:tcPr>
            <w:tcW w:w="3030" w:type="dxa"/>
            <w:tcBorders>
              <w:top w:val="single" w:sz="6" w:space="0" w:color="DDDDDD"/>
              <w:left w:val="single" w:sz="6" w:space="0" w:color="DDDDDD"/>
              <w:bottom w:val="single" w:sz="6" w:space="0" w:color="DDDDDD"/>
              <w:right w:val="single" w:sz="6" w:space="0" w:color="DDDDDD"/>
            </w:tcBorders>
            <w:tcMar>
              <w:top w:w="15" w:type="dxa"/>
              <w:left w:w="15" w:type="dxa"/>
              <w:bottom w:w="15" w:type="dxa"/>
              <w:right w:w="15" w:type="dxa"/>
            </w:tcMar>
            <w:vAlign w:val="center"/>
          </w:tcPr>
          <w:p w14:paraId="37F5227E" w14:textId="6C07DC56" w:rsidR="005A3412" w:rsidRDefault="00016260">
            <w:pPr>
              <w:pStyle w:val="normal0"/>
              <w:jc w:val="center"/>
              <w:rPr>
                <w:rFonts w:ascii="Times New Roman" w:eastAsia="Times New Roman" w:hAnsi="Times New Roman" w:cs="Times New Roman"/>
                <w:color w:val="222222"/>
              </w:rPr>
            </w:pPr>
            <w:r>
              <w:rPr>
                <w:rFonts w:ascii="Times New Roman" w:eastAsia="Times New Roman" w:hAnsi="Times New Roman" w:cs="Times New Roman"/>
                <w:color w:val="222222"/>
              </w:rPr>
              <w:t>https://orcid.org/0000-0002-2256-7054</w:t>
            </w:r>
          </w:p>
        </w:tc>
        <w:tc>
          <w:tcPr>
            <w:tcW w:w="4335" w:type="dxa"/>
            <w:tcBorders>
              <w:top w:val="single" w:sz="6" w:space="0" w:color="DDDDDD"/>
              <w:left w:val="single" w:sz="6" w:space="0" w:color="DDDDDD"/>
              <w:bottom w:val="single" w:sz="6" w:space="0" w:color="DDDDDD"/>
              <w:right w:val="single" w:sz="6" w:space="0" w:color="DDDDDD"/>
            </w:tcBorders>
            <w:tcMar>
              <w:top w:w="15" w:type="dxa"/>
              <w:left w:w="15" w:type="dxa"/>
              <w:bottom w:w="15" w:type="dxa"/>
              <w:right w:w="15" w:type="dxa"/>
            </w:tcMar>
            <w:vAlign w:val="center"/>
          </w:tcPr>
          <w:p w14:paraId="5238FF0F" w14:textId="33409056" w:rsidR="005A3412" w:rsidRDefault="00016260" w:rsidP="00016260">
            <w:pPr>
              <w:pStyle w:val="normal0"/>
              <w:jc w:val="center"/>
              <w:rPr>
                <w:rFonts w:ascii="Times New Roman" w:eastAsia="Times New Roman" w:hAnsi="Times New Roman" w:cs="Times New Roman"/>
                <w:color w:val="222222"/>
              </w:rPr>
            </w:pPr>
            <w:r w:rsidRPr="00016260">
              <w:rPr>
                <w:rFonts w:ascii="Times New Roman" w:eastAsia="Times New Roman" w:hAnsi="Times New Roman" w:cs="Times New Roman"/>
                <w:color w:val="222222"/>
              </w:rPr>
              <w:t>https://scholar.google.com/citations?user=NIhF088AAAAJ&amp;hl=es&amp;oi=sra</w:t>
            </w:r>
          </w:p>
        </w:tc>
      </w:tr>
      <w:tr w:rsidR="005A3412" w14:paraId="3420C616" w14:textId="77777777">
        <w:tc>
          <w:tcPr>
            <w:tcW w:w="4246"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11F3ED0F" w14:textId="77777777" w:rsidR="005A3412" w:rsidRDefault="00110E44">
            <w:pPr>
              <w:pStyle w:val="normal0"/>
              <w:jc w:val="center"/>
              <w:rPr>
                <w:rFonts w:ascii="Times New Roman" w:eastAsia="Times New Roman" w:hAnsi="Times New Roman" w:cs="Times New Roman"/>
                <w:b/>
                <w:color w:val="222222"/>
              </w:rPr>
            </w:pPr>
            <w:r>
              <w:rPr>
                <w:rFonts w:ascii="Times New Roman" w:eastAsia="Times New Roman" w:hAnsi="Times New Roman" w:cs="Times New Roman"/>
                <w:b/>
                <w:color w:val="222222"/>
              </w:rPr>
              <w:t>División</w:t>
            </w:r>
          </w:p>
        </w:tc>
        <w:tc>
          <w:tcPr>
            <w:tcW w:w="311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55DA02A2" w14:textId="77777777" w:rsidR="005A3412" w:rsidRDefault="00110E44">
            <w:pPr>
              <w:pStyle w:val="normal0"/>
              <w:jc w:val="center"/>
              <w:rPr>
                <w:rFonts w:ascii="Times New Roman" w:eastAsia="Times New Roman" w:hAnsi="Times New Roman" w:cs="Times New Roman"/>
                <w:b/>
                <w:color w:val="222222"/>
              </w:rPr>
            </w:pPr>
            <w:r>
              <w:rPr>
                <w:rFonts w:ascii="Times New Roman" w:eastAsia="Times New Roman" w:hAnsi="Times New Roman" w:cs="Times New Roman"/>
                <w:b/>
                <w:color w:val="222222"/>
              </w:rPr>
              <w:t>Facultad</w:t>
            </w:r>
          </w:p>
        </w:tc>
        <w:tc>
          <w:tcPr>
            <w:tcW w:w="3030"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27A3E4CF" w14:textId="77777777" w:rsidR="005A3412" w:rsidRDefault="00110E44">
            <w:pPr>
              <w:pStyle w:val="normal0"/>
              <w:jc w:val="center"/>
              <w:rPr>
                <w:rFonts w:ascii="Times New Roman" w:eastAsia="Times New Roman" w:hAnsi="Times New Roman" w:cs="Times New Roman"/>
                <w:b/>
                <w:color w:val="222222"/>
              </w:rPr>
            </w:pPr>
            <w:r>
              <w:rPr>
                <w:rFonts w:ascii="Times New Roman" w:eastAsia="Times New Roman" w:hAnsi="Times New Roman" w:cs="Times New Roman"/>
                <w:b/>
                <w:color w:val="222222"/>
              </w:rPr>
              <w:t>Programa</w:t>
            </w:r>
          </w:p>
        </w:tc>
        <w:tc>
          <w:tcPr>
            <w:tcW w:w="4335"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558D9883" w14:textId="77777777" w:rsidR="005A3412" w:rsidRDefault="00110E44">
            <w:pPr>
              <w:pStyle w:val="normal0"/>
              <w:jc w:val="center"/>
              <w:rPr>
                <w:rFonts w:ascii="Times New Roman" w:eastAsia="Times New Roman" w:hAnsi="Times New Roman" w:cs="Times New Roman"/>
                <w:b/>
                <w:color w:val="222222"/>
              </w:rPr>
            </w:pPr>
            <w:r>
              <w:rPr>
                <w:rFonts w:ascii="Times New Roman" w:eastAsia="Times New Roman" w:hAnsi="Times New Roman" w:cs="Times New Roman"/>
                <w:b/>
                <w:color w:val="222222"/>
              </w:rPr>
              <w:t>Grupo de investigación</w:t>
            </w:r>
          </w:p>
        </w:tc>
      </w:tr>
      <w:tr w:rsidR="005A3412" w14:paraId="71A1ED8B" w14:textId="77777777">
        <w:trPr>
          <w:trHeight w:val="340"/>
        </w:trPr>
        <w:tc>
          <w:tcPr>
            <w:tcW w:w="4246" w:type="dxa"/>
            <w:tcBorders>
              <w:top w:val="single" w:sz="6" w:space="0" w:color="DDDDDD"/>
              <w:left w:val="single" w:sz="6" w:space="0" w:color="DDDDDD"/>
              <w:bottom w:val="single" w:sz="6" w:space="0" w:color="DDDDDD"/>
              <w:right w:val="single" w:sz="6" w:space="0" w:color="DDDDDD"/>
            </w:tcBorders>
            <w:tcMar>
              <w:top w:w="15" w:type="dxa"/>
              <w:left w:w="15" w:type="dxa"/>
              <w:bottom w:w="15" w:type="dxa"/>
              <w:right w:w="15" w:type="dxa"/>
            </w:tcMar>
            <w:vAlign w:val="center"/>
          </w:tcPr>
          <w:p w14:paraId="685C146E" w14:textId="77777777" w:rsidR="005A3412" w:rsidRDefault="00110E44">
            <w:pPr>
              <w:pStyle w:val="normal0"/>
              <w:jc w:val="center"/>
              <w:rPr>
                <w:rFonts w:ascii="Times New Roman" w:eastAsia="Times New Roman" w:hAnsi="Times New Roman" w:cs="Times New Roman"/>
                <w:color w:val="222222"/>
              </w:rPr>
            </w:pPr>
            <w:r>
              <w:rPr>
                <w:rFonts w:ascii="Times New Roman" w:eastAsia="Times New Roman" w:hAnsi="Times New Roman" w:cs="Times New Roman"/>
                <w:color w:val="222222"/>
              </w:rPr>
              <w:t>INGENIERIAS</w:t>
            </w:r>
          </w:p>
        </w:tc>
        <w:tc>
          <w:tcPr>
            <w:tcW w:w="3118" w:type="dxa"/>
            <w:tcBorders>
              <w:top w:val="single" w:sz="6" w:space="0" w:color="DDDDDD"/>
              <w:left w:val="single" w:sz="6" w:space="0" w:color="DDDDDD"/>
              <w:bottom w:val="single" w:sz="6" w:space="0" w:color="DDDDDD"/>
              <w:right w:val="single" w:sz="6" w:space="0" w:color="DDDDDD"/>
            </w:tcBorders>
            <w:tcMar>
              <w:top w:w="15" w:type="dxa"/>
              <w:left w:w="15" w:type="dxa"/>
              <w:bottom w:w="15" w:type="dxa"/>
              <w:right w:w="15" w:type="dxa"/>
            </w:tcMar>
            <w:vAlign w:val="center"/>
          </w:tcPr>
          <w:p w14:paraId="2F88A304" w14:textId="77777777" w:rsidR="005A3412" w:rsidRDefault="00110E44">
            <w:pPr>
              <w:pStyle w:val="normal0"/>
              <w:jc w:val="center"/>
              <w:rPr>
                <w:rFonts w:ascii="Times New Roman" w:eastAsia="Times New Roman" w:hAnsi="Times New Roman" w:cs="Times New Roman"/>
                <w:color w:val="222222"/>
              </w:rPr>
            </w:pPr>
            <w:r>
              <w:rPr>
                <w:rFonts w:ascii="Times New Roman" w:eastAsia="Times New Roman" w:hAnsi="Times New Roman" w:cs="Times New Roman"/>
                <w:color w:val="222222"/>
              </w:rPr>
              <w:t>INGENIERIA AMBIENTAL</w:t>
            </w:r>
          </w:p>
        </w:tc>
        <w:tc>
          <w:tcPr>
            <w:tcW w:w="3030" w:type="dxa"/>
            <w:tcBorders>
              <w:top w:val="single" w:sz="6" w:space="0" w:color="DDDDDD"/>
              <w:left w:val="single" w:sz="6" w:space="0" w:color="DDDDDD"/>
              <w:bottom w:val="single" w:sz="6" w:space="0" w:color="DDDDDD"/>
              <w:right w:val="single" w:sz="6" w:space="0" w:color="DDDDDD"/>
            </w:tcBorders>
            <w:tcMar>
              <w:top w:w="15" w:type="dxa"/>
              <w:left w:w="15" w:type="dxa"/>
              <w:bottom w:w="15" w:type="dxa"/>
              <w:right w:w="15" w:type="dxa"/>
            </w:tcMar>
            <w:vAlign w:val="center"/>
          </w:tcPr>
          <w:p w14:paraId="27E2AF3D" w14:textId="77777777" w:rsidR="005A3412" w:rsidRDefault="00110E44">
            <w:pPr>
              <w:pStyle w:val="normal0"/>
              <w:jc w:val="center"/>
              <w:rPr>
                <w:rFonts w:ascii="Times New Roman" w:eastAsia="Times New Roman" w:hAnsi="Times New Roman" w:cs="Times New Roman"/>
                <w:color w:val="222222"/>
              </w:rPr>
            </w:pPr>
            <w:r>
              <w:rPr>
                <w:rFonts w:ascii="Times New Roman" w:eastAsia="Times New Roman" w:hAnsi="Times New Roman" w:cs="Times New Roman"/>
                <w:color w:val="222222"/>
              </w:rPr>
              <w:t>INGENIERIA AMBIENTAL</w:t>
            </w:r>
          </w:p>
        </w:tc>
        <w:tc>
          <w:tcPr>
            <w:tcW w:w="4335" w:type="dxa"/>
            <w:tcBorders>
              <w:top w:val="single" w:sz="6" w:space="0" w:color="DDDDDD"/>
              <w:left w:val="single" w:sz="6" w:space="0" w:color="DDDDDD"/>
              <w:bottom w:val="single" w:sz="6" w:space="0" w:color="DDDDDD"/>
              <w:right w:val="single" w:sz="6" w:space="0" w:color="DDDDDD"/>
            </w:tcBorders>
            <w:tcMar>
              <w:top w:w="15" w:type="dxa"/>
              <w:left w:w="15" w:type="dxa"/>
              <w:bottom w:w="15" w:type="dxa"/>
              <w:right w:w="15" w:type="dxa"/>
            </w:tcMar>
            <w:vAlign w:val="center"/>
          </w:tcPr>
          <w:p w14:paraId="3E698862" w14:textId="77777777" w:rsidR="005A3412" w:rsidRDefault="00110E44">
            <w:pPr>
              <w:pStyle w:val="normal0"/>
              <w:jc w:val="center"/>
              <w:rPr>
                <w:rFonts w:ascii="Times New Roman" w:eastAsia="Times New Roman" w:hAnsi="Times New Roman" w:cs="Times New Roman"/>
                <w:color w:val="222222"/>
              </w:rPr>
            </w:pPr>
            <w:r>
              <w:rPr>
                <w:rFonts w:ascii="Times New Roman" w:eastAsia="Times New Roman" w:hAnsi="Times New Roman" w:cs="Times New Roman"/>
                <w:color w:val="222222"/>
              </w:rPr>
              <w:t>INAM USTA</w:t>
            </w:r>
          </w:p>
        </w:tc>
      </w:tr>
    </w:tbl>
    <w:p w14:paraId="6C22D472" w14:textId="77777777" w:rsidR="005A3412" w:rsidRDefault="005A3412">
      <w:pPr>
        <w:pStyle w:val="normal0"/>
        <w:spacing w:after="0" w:line="276" w:lineRule="auto"/>
        <w:rPr>
          <w:rFonts w:ascii="Times New Roman" w:eastAsia="Times New Roman" w:hAnsi="Times New Roman" w:cs="Times New Roman"/>
          <w:sz w:val="24"/>
          <w:szCs w:val="24"/>
        </w:rPr>
      </w:pPr>
    </w:p>
    <w:tbl>
      <w:tblPr>
        <w:tblStyle w:val="a1"/>
        <w:tblW w:w="14983" w:type="dxa"/>
        <w:tblInd w:w="0" w:type="dxa"/>
        <w:tblLayout w:type="fixed"/>
        <w:tblLook w:val="0400" w:firstRow="0" w:lastRow="0" w:firstColumn="0" w:lastColumn="0" w:noHBand="0" w:noVBand="1"/>
      </w:tblPr>
      <w:tblGrid>
        <w:gridCol w:w="7491"/>
        <w:gridCol w:w="7492"/>
      </w:tblGrid>
      <w:tr w:rsidR="005A3412" w14:paraId="1032D76B" w14:textId="77777777">
        <w:tc>
          <w:tcPr>
            <w:tcW w:w="7491"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0F3D096F" w14:textId="77777777" w:rsidR="005A3412" w:rsidRDefault="00110E44">
            <w:pPr>
              <w:pStyle w:val="normal0"/>
              <w:spacing w:line="276" w:lineRule="auto"/>
              <w:jc w:val="center"/>
              <w:rPr>
                <w:rFonts w:ascii="Times New Roman" w:eastAsia="Times New Roman" w:hAnsi="Times New Roman" w:cs="Times New Roman"/>
                <w:b/>
                <w:color w:val="222222"/>
                <w:sz w:val="24"/>
                <w:szCs w:val="24"/>
              </w:rPr>
            </w:pPr>
            <w:r>
              <w:rPr>
                <w:rFonts w:ascii="Times New Roman" w:eastAsia="Times New Roman" w:hAnsi="Times New Roman" w:cs="Times New Roman"/>
                <w:b/>
                <w:color w:val="222222"/>
                <w:sz w:val="24"/>
                <w:szCs w:val="24"/>
              </w:rPr>
              <w:t>Resumen de la propuesta</w:t>
            </w:r>
          </w:p>
        </w:tc>
        <w:tc>
          <w:tcPr>
            <w:tcW w:w="7492"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339FB015" w14:textId="77777777" w:rsidR="005A3412" w:rsidRDefault="00110E44">
            <w:pPr>
              <w:pStyle w:val="normal0"/>
              <w:spacing w:line="276" w:lineRule="auto"/>
              <w:jc w:val="center"/>
              <w:rPr>
                <w:rFonts w:ascii="Times New Roman" w:eastAsia="Times New Roman" w:hAnsi="Times New Roman" w:cs="Times New Roman"/>
                <w:b/>
                <w:color w:val="222222"/>
                <w:sz w:val="24"/>
                <w:szCs w:val="24"/>
              </w:rPr>
            </w:pPr>
            <w:r>
              <w:rPr>
                <w:rFonts w:ascii="Times New Roman" w:eastAsia="Times New Roman" w:hAnsi="Times New Roman" w:cs="Times New Roman"/>
                <w:b/>
                <w:color w:val="222222"/>
                <w:sz w:val="24"/>
                <w:szCs w:val="24"/>
              </w:rPr>
              <w:t>Palabras clave</w:t>
            </w:r>
          </w:p>
        </w:tc>
      </w:tr>
      <w:tr w:rsidR="005A3412" w14:paraId="4F7917DB" w14:textId="77777777">
        <w:trPr>
          <w:trHeight w:val="40"/>
        </w:trPr>
        <w:tc>
          <w:tcPr>
            <w:tcW w:w="7491" w:type="dxa"/>
            <w:tcBorders>
              <w:top w:val="single" w:sz="6" w:space="0" w:color="DDDDDD"/>
              <w:left w:val="single" w:sz="6" w:space="0" w:color="DDDDDD"/>
              <w:bottom w:val="single" w:sz="6" w:space="0" w:color="DDDDDD"/>
              <w:right w:val="single" w:sz="6" w:space="0" w:color="DDDDDD"/>
            </w:tcBorders>
            <w:tcMar>
              <w:top w:w="15" w:type="dxa"/>
              <w:left w:w="15" w:type="dxa"/>
              <w:bottom w:w="15" w:type="dxa"/>
              <w:right w:w="15" w:type="dxa"/>
            </w:tcMar>
            <w:vAlign w:val="center"/>
          </w:tcPr>
          <w:p w14:paraId="2CB22C4B" w14:textId="7913E1BC" w:rsidR="000B443E" w:rsidRPr="0063463C" w:rsidRDefault="000B443E" w:rsidP="000B443E">
            <w:pPr>
              <w:jc w:val="both"/>
              <w:rPr>
                <w:rFonts w:ascii="Times New Roman" w:hAnsi="Times New Roman"/>
                <w:sz w:val="24"/>
                <w:szCs w:val="24"/>
              </w:rPr>
            </w:pPr>
            <w:r>
              <w:rPr>
                <w:rFonts w:ascii="Times New Roman" w:hAnsi="Times New Roman"/>
                <w:sz w:val="24"/>
                <w:szCs w:val="24"/>
              </w:rPr>
              <w:t>La gestión de los recursos agua y energía en áreas urbanas es un necesidad para el desarrollo de ciudades sostenibles, asociado a su crecimiento acelerado y al excesivo consumo de recursos naturales. En la actualidad los centros de investigación y entidades gubernamentales mundiales han iniciado la identificación y cuantificación de la relación entre energía y agua en sectores residenciales con fines de generación de políticas de consumo y generación de ciudades más sostenibles</w:t>
            </w:r>
            <w:r w:rsidRPr="00F16D00">
              <w:rPr>
                <w:rFonts w:ascii="Times New Roman" w:hAnsi="Times New Roman"/>
                <w:sz w:val="24"/>
                <w:szCs w:val="24"/>
              </w:rPr>
              <w:t>.</w:t>
            </w:r>
            <w:r>
              <w:rPr>
                <w:rFonts w:ascii="Times New Roman" w:hAnsi="Times New Roman"/>
                <w:sz w:val="24"/>
                <w:szCs w:val="24"/>
              </w:rPr>
              <w:t xml:space="preserve"> Es por esto que este proyecto busca </w:t>
            </w:r>
            <w:r w:rsidR="00BF44A6">
              <w:rPr>
                <w:rFonts w:ascii="Times New Roman" w:eastAsia="Times New Roman" w:hAnsi="Times New Roman" w:cs="Times New Roman"/>
                <w:color w:val="222222"/>
                <w:sz w:val="24"/>
                <w:szCs w:val="24"/>
              </w:rPr>
              <w:t>identificar el posible ahorro de energía eléctrica asociado a la implementación de estrategias de educación ambiental para el ahorro del consumo de agua</w:t>
            </w:r>
            <w:r w:rsidR="00BF44A6">
              <w:rPr>
                <w:rFonts w:ascii="Times New Roman" w:hAnsi="Times New Roman"/>
                <w:sz w:val="24"/>
                <w:szCs w:val="24"/>
              </w:rPr>
              <w:t xml:space="preserve"> </w:t>
            </w:r>
            <w:r>
              <w:rPr>
                <w:rFonts w:ascii="Times New Roman" w:hAnsi="Times New Roman"/>
                <w:sz w:val="24"/>
                <w:szCs w:val="24"/>
              </w:rPr>
              <w:t>en sectores residenciales en estratos 2, 3 y 4 de la ciudad de Bogotá,</w:t>
            </w:r>
            <w:r w:rsidR="007E5870">
              <w:rPr>
                <w:rFonts w:ascii="Times New Roman" w:hAnsi="Times New Roman"/>
                <w:sz w:val="24"/>
                <w:szCs w:val="24"/>
              </w:rPr>
              <w:t xml:space="preserve"> para esto se tomaran tres</w:t>
            </w:r>
            <w:r>
              <w:rPr>
                <w:rFonts w:ascii="Times New Roman" w:hAnsi="Times New Roman"/>
                <w:sz w:val="24"/>
                <w:szCs w:val="24"/>
              </w:rPr>
              <w:t xml:space="preserve"> zonas pilotos como puntos de investigación, se mediran los consumos actulaes y se</w:t>
            </w:r>
            <w:r w:rsidR="007E5870">
              <w:rPr>
                <w:rFonts w:ascii="Times New Roman" w:hAnsi="Times New Roman"/>
                <w:sz w:val="24"/>
                <w:szCs w:val="24"/>
              </w:rPr>
              <w:t xml:space="preserve"> determinaran los factores de consumo de agua y energía. Finalmente se</w:t>
            </w:r>
            <w:r>
              <w:rPr>
                <w:rFonts w:ascii="Times New Roman" w:hAnsi="Times New Roman"/>
                <w:sz w:val="24"/>
                <w:szCs w:val="24"/>
              </w:rPr>
              <w:t xml:space="preserve"> generaran tres diferentes tipos de estrategias de educación ambiental, las cuales </w:t>
            </w:r>
            <w:r w:rsidR="007E5870">
              <w:rPr>
                <w:rFonts w:ascii="Times New Roman" w:hAnsi="Times New Roman"/>
                <w:sz w:val="24"/>
                <w:szCs w:val="24"/>
              </w:rPr>
              <w:t xml:space="preserve">se desarrollaran en un tremino de 6 meses, </w:t>
            </w:r>
            <w:r>
              <w:rPr>
                <w:rFonts w:ascii="Times New Roman" w:hAnsi="Times New Roman"/>
                <w:sz w:val="24"/>
                <w:szCs w:val="24"/>
              </w:rPr>
              <w:t xml:space="preserve">posterior a </w:t>
            </w:r>
            <w:r w:rsidR="00BF44A6">
              <w:rPr>
                <w:rFonts w:ascii="Times New Roman" w:hAnsi="Times New Roman"/>
                <w:sz w:val="24"/>
                <w:szCs w:val="24"/>
              </w:rPr>
              <w:t xml:space="preserve">este tiempo </w:t>
            </w:r>
            <w:r w:rsidR="007E5870">
              <w:rPr>
                <w:rFonts w:ascii="Times New Roman" w:hAnsi="Times New Roman"/>
                <w:sz w:val="24"/>
                <w:szCs w:val="24"/>
              </w:rPr>
              <w:t xml:space="preserve">se </w:t>
            </w:r>
            <w:r>
              <w:rPr>
                <w:rFonts w:ascii="Times New Roman" w:hAnsi="Times New Roman"/>
                <w:sz w:val="24"/>
                <w:szCs w:val="24"/>
              </w:rPr>
              <w:t>mediran los valores de flujo de agua y si se desarrollaron habitos de ahorro en el consumo de agua, para así evaluar el impacto ambiental y económico de estas estrategias.</w:t>
            </w:r>
          </w:p>
          <w:p w14:paraId="097EE9C8" w14:textId="167F4CCE" w:rsidR="005A3412" w:rsidRDefault="005A3412">
            <w:pPr>
              <w:pStyle w:val="normal0"/>
              <w:spacing w:line="276" w:lineRule="auto"/>
              <w:jc w:val="both"/>
              <w:rPr>
                <w:rFonts w:ascii="Times New Roman" w:eastAsia="Times New Roman" w:hAnsi="Times New Roman" w:cs="Times New Roman"/>
                <w:color w:val="222222"/>
                <w:sz w:val="24"/>
                <w:szCs w:val="24"/>
              </w:rPr>
            </w:pPr>
          </w:p>
        </w:tc>
        <w:tc>
          <w:tcPr>
            <w:tcW w:w="7492" w:type="dxa"/>
            <w:tcBorders>
              <w:top w:val="single" w:sz="6" w:space="0" w:color="DDDDDD"/>
              <w:left w:val="single" w:sz="6" w:space="0" w:color="DDDDDD"/>
              <w:bottom w:val="single" w:sz="6" w:space="0" w:color="DDDDDD"/>
              <w:right w:val="single" w:sz="6" w:space="0" w:color="DDDDDD"/>
            </w:tcBorders>
            <w:tcMar>
              <w:top w:w="15" w:type="dxa"/>
              <w:left w:w="15" w:type="dxa"/>
              <w:bottom w:w="15" w:type="dxa"/>
              <w:right w:w="15" w:type="dxa"/>
            </w:tcMar>
            <w:vAlign w:val="center"/>
          </w:tcPr>
          <w:p w14:paraId="64DB6330" w14:textId="25AB4A7D" w:rsidR="005A3412" w:rsidRDefault="007E5870">
            <w:pPr>
              <w:pStyle w:val="normal0"/>
              <w:spacing w:line="276" w:lineRule="auto"/>
              <w:jc w:val="both"/>
              <w:rPr>
                <w:rFonts w:ascii="Times New Roman" w:eastAsia="Times New Roman" w:hAnsi="Times New Roman" w:cs="Times New Roman"/>
                <w:color w:val="222222"/>
                <w:sz w:val="24"/>
                <w:szCs w:val="24"/>
              </w:rPr>
            </w:pPr>
            <w:r>
              <w:rPr>
                <w:rFonts w:ascii="Times New Roman" w:hAnsi="Times New Roman"/>
                <w:sz w:val="24"/>
                <w:szCs w:val="24"/>
              </w:rPr>
              <w:t>Agua</w:t>
            </w:r>
            <w:r w:rsidRPr="00F16D00">
              <w:rPr>
                <w:rFonts w:ascii="Times New Roman" w:hAnsi="Times New Roman"/>
                <w:sz w:val="24"/>
                <w:szCs w:val="24"/>
              </w:rPr>
              <w:t>,</w:t>
            </w:r>
            <w:r>
              <w:rPr>
                <w:rFonts w:ascii="Times New Roman" w:hAnsi="Times New Roman"/>
                <w:sz w:val="24"/>
                <w:szCs w:val="24"/>
              </w:rPr>
              <w:t xml:space="preserve"> Energía, Educación Ambiental, Sector Residencial, Sostenibilidad</w:t>
            </w:r>
          </w:p>
        </w:tc>
      </w:tr>
    </w:tbl>
    <w:p w14:paraId="73950A37" w14:textId="77777777" w:rsidR="005A3412" w:rsidRDefault="005A3412">
      <w:pPr>
        <w:pStyle w:val="normal0"/>
        <w:spacing w:after="0" w:line="276" w:lineRule="auto"/>
        <w:rPr>
          <w:rFonts w:ascii="Times New Roman" w:eastAsia="Times New Roman" w:hAnsi="Times New Roman" w:cs="Times New Roman"/>
          <w:sz w:val="24"/>
          <w:szCs w:val="24"/>
        </w:rPr>
      </w:pPr>
    </w:p>
    <w:tbl>
      <w:tblPr>
        <w:tblStyle w:val="a2"/>
        <w:tblW w:w="14983" w:type="dxa"/>
        <w:tblInd w:w="0" w:type="dxa"/>
        <w:tblLayout w:type="fixed"/>
        <w:tblLook w:val="0400" w:firstRow="0" w:lastRow="0" w:firstColumn="0" w:lastColumn="0" w:noHBand="0" w:noVBand="1"/>
      </w:tblPr>
      <w:tblGrid>
        <w:gridCol w:w="14983"/>
      </w:tblGrid>
      <w:tr w:rsidR="005A3412" w14:paraId="57B0F975" w14:textId="77777777">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37B5E222" w14:textId="77777777" w:rsidR="005A3412" w:rsidRDefault="00110E44">
            <w:pPr>
              <w:pStyle w:val="normal0"/>
              <w:spacing w:line="276" w:lineRule="auto"/>
              <w:jc w:val="center"/>
              <w:rPr>
                <w:rFonts w:ascii="Times New Roman" w:eastAsia="Times New Roman" w:hAnsi="Times New Roman" w:cs="Times New Roman"/>
                <w:b/>
                <w:color w:val="222222"/>
                <w:sz w:val="24"/>
                <w:szCs w:val="24"/>
              </w:rPr>
            </w:pPr>
            <w:r>
              <w:rPr>
                <w:rFonts w:ascii="Times New Roman" w:eastAsia="Times New Roman" w:hAnsi="Times New Roman" w:cs="Times New Roman"/>
                <w:b/>
                <w:color w:val="222222"/>
                <w:sz w:val="24"/>
                <w:szCs w:val="24"/>
              </w:rPr>
              <w:t>Problema de investigación</w:t>
            </w:r>
          </w:p>
        </w:tc>
      </w:tr>
      <w:tr w:rsidR="005A3412" w14:paraId="7E056DDD" w14:textId="77777777">
        <w:tc>
          <w:tcPr>
            <w:tcW w:w="14983" w:type="dxa"/>
            <w:tcBorders>
              <w:top w:val="single" w:sz="6" w:space="0" w:color="DDDDDD"/>
              <w:left w:val="single" w:sz="6" w:space="0" w:color="DDDDDD"/>
              <w:bottom w:val="single" w:sz="6" w:space="0" w:color="DDDDDD"/>
              <w:right w:val="single" w:sz="6" w:space="0" w:color="DDDDDD"/>
            </w:tcBorders>
            <w:tcMar>
              <w:top w:w="15" w:type="dxa"/>
              <w:left w:w="15" w:type="dxa"/>
              <w:bottom w:w="15" w:type="dxa"/>
              <w:right w:w="15" w:type="dxa"/>
            </w:tcMar>
            <w:vAlign w:val="center"/>
          </w:tcPr>
          <w:p w14:paraId="12871604" w14:textId="500CD9C3" w:rsidR="007E5870" w:rsidRDefault="007E5870" w:rsidP="00294344">
            <w:pPr>
              <w:widowControl w:val="0"/>
              <w:tabs>
                <w:tab w:val="left" w:pos="220"/>
                <w:tab w:val="left" w:pos="720"/>
              </w:tabs>
              <w:autoSpaceDE w:val="0"/>
              <w:autoSpaceDN w:val="0"/>
              <w:adjustRightInd w:val="0"/>
              <w:jc w:val="both"/>
              <w:rPr>
                <w:rFonts w:ascii="Times New Roman" w:hAnsi="Times New Roman"/>
                <w:sz w:val="24"/>
                <w:szCs w:val="24"/>
              </w:rPr>
            </w:pPr>
            <w:r w:rsidRPr="00925112">
              <w:rPr>
                <w:rFonts w:ascii="Times New Roman" w:hAnsi="Times New Roman"/>
                <w:sz w:val="24"/>
                <w:szCs w:val="24"/>
              </w:rPr>
              <w:t xml:space="preserve">El crecimiento de las áreas urbanas y de la población en estas áreas ha venido siendo acelerado en los últimos 60 años, tanto así que en los 50’s vivía el 30% de la población en áreas urbanas, en la actualidad se cuenta con un 54% de la población y se espera que para el 2050 viva dos tercios de la población mundial </w:t>
            </w:r>
            <w:r w:rsidRPr="00925112">
              <w:rPr>
                <w:rFonts w:ascii="Times New Roman" w:hAnsi="Times New Roman"/>
                <w:sz w:val="24"/>
                <w:szCs w:val="24"/>
              </w:rPr>
              <w:fldChar w:fldCharType="begin"/>
            </w:r>
            <w:r>
              <w:rPr>
                <w:rFonts w:ascii="Times New Roman" w:hAnsi="Times New Roman"/>
                <w:sz w:val="24"/>
                <w:szCs w:val="24"/>
              </w:rPr>
              <w:instrText xml:space="preserve"> ADDIN ZOTERO_ITEM CSL_CITATION {"citationID":"a8oqnsra65","properties":{"formattedCitation":"(United Nations, 2014)","plainCitation":"(United Nations, 2014)"},"citationItems":[{"id":3438,"uris":["http://zotero.org/users/306373/items/P3X6TEA4"],"uri":["http://zotero.org/users/306373/items/P3X6TEA4"],"itemData":{"id":3438,"type":"article-journal","title":"World urbanization prospects: The 2014 revision, highlights. department of economic and social affairs","container-title":"Population Division, United Nations","volume":"32","source":"Google Scholar","shortTitle":"World urbanization prospects","author":[{"family":"United Nations","given":""}],"issued":{"date-parts":[["2014"]]}}}],"schema":"https://github.com/citation-style-language/schema/raw/master/csl-citation.json"} </w:instrText>
            </w:r>
            <w:r w:rsidRPr="00925112">
              <w:rPr>
                <w:rFonts w:ascii="Times New Roman" w:hAnsi="Times New Roman"/>
                <w:sz w:val="24"/>
                <w:szCs w:val="24"/>
              </w:rPr>
              <w:fldChar w:fldCharType="separate"/>
            </w:r>
            <w:r>
              <w:rPr>
                <w:rFonts w:ascii="Times New Roman" w:hAnsi="Times New Roman"/>
                <w:sz w:val="24"/>
                <w:szCs w:val="24"/>
              </w:rPr>
              <w:t>(United Nations, 2014)</w:t>
            </w:r>
            <w:r w:rsidRPr="00925112">
              <w:rPr>
                <w:rFonts w:ascii="Times New Roman" w:hAnsi="Times New Roman"/>
                <w:sz w:val="24"/>
                <w:szCs w:val="24"/>
              </w:rPr>
              <w:fldChar w:fldCharType="end"/>
            </w:r>
            <w:r w:rsidRPr="00925112">
              <w:rPr>
                <w:rFonts w:ascii="Times New Roman" w:hAnsi="Times New Roman"/>
                <w:sz w:val="24"/>
                <w:szCs w:val="24"/>
              </w:rPr>
              <w:t xml:space="preserve">. Siendo Norte América quien más posee áreas urbanizadas con un 82%, seguido de Latinoamérica y el Caribe con un 80% y en tercer lugar Europa con 73% </w:t>
            </w:r>
            <w:r w:rsidRPr="00925112">
              <w:rPr>
                <w:rFonts w:ascii="Times New Roman" w:hAnsi="Times New Roman"/>
                <w:sz w:val="24"/>
                <w:szCs w:val="24"/>
              </w:rPr>
              <w:fldChar w:fldCharType="begin"/>
            </w:r>
            <w:r>
              <w:rPr>
                <w:rFonts w:ascii="Times New Roman" w:hAnsi="Times New Roman"/>
                <w:sz w:val="24"/>
                <w:szCs w:val="24"/>
              </w:rPr>
              <w:instrText xml:space="preserve"> ADDIN ZOTERO_ITEM CSL_CITATION {"citationID":"a13uleut947","properties":{"formattedCitation":"(United Nations, 2014)","plainCitation":"(United Nations, 2014)"},"citationItems":[{"id":3438,"uris":["http://zotero.org/users/306373/items/P3X6TEA4"],"uri":["http://zotero.org/users/306373/items/P3X6TEA4"],"itemData":{"id":3438,"type":"article-journal","title":"World urbanization prospects: The 2014 revision, highlights. department of economic and social affairs","container-title":"Population Division, United Nations","volume":"32","source":"Google Scholar","shortTitle":"World urbanization prospects","author":[{"family":"United Nations","given":""}],"issued":{"date-parts":[["2014"]]}}}],"schema":"https://github.com/citation-style-language/schema/raw/master/csl-citation.json"} </w:instrText>
            </w:r>
            <w:r w:rsidRPr="00925112">
              <w:rPr>
                <w:rFonts w:ascii="Times New Roman" w:hAnsi="Times New Roman"/>
                <w:sz w:val="24"/>
                <w:szCs w:val="24"/>
              </w:rPr>
              <w:fldChar w:fldCharType="separate"/>
            </w:r>
            <w:r>
              <w:rPr>
                <w:rFonts w:ascii="Times New Roman" w:hAnsi="Times New Roman"/>
                <w:sz w:val="24"/>
                <w:szCs w:val="24"/>
              </w:rPr>
              <w:t>(United Nations, 2014)</w:t>
            </w:r>
            <w:r w:rsidRPr="00925112">
              <w:rPr>
                <w:rFonts w:ascii="Times New Roman" w:hAnsi="Times New Roman"/>
                <w:sz w:val="24"/>
                <w:szCs w:val="24"/>
              </w:rPr>
              <w:fldChar w:fldCharType="end"/>
            </w:r>
            <w:r w:rsidRPr="00925112">
              <w:rPr>
                <w:rFonts w:ascii="Times New Roman" w:hAnsi="Times New Roman"/>
                <w:sz w:val="24"/>
                <w:szCs w:val="24"/>
              </w:rPr>
              <w:t xml:space="preserve">.   </w:t>
            </w:r>
          </w:p>
          <w:p w14:paraId="3BA08087" w14:textId="77777777" w:rsidR="00294344" w:rsidRPr="00925112" w:rsidRDefault="00294344" w:rsidP="00294344">
            <w:pPr>
              <w:widowControl w:val="0"/>
              <w:tabs>
                <w:tab w:val="left" w:pos="220"/>
                <w:tab w:val="left" w:pos="720"/>
              </w:tabs>
              <w:autoSpaceDE w:val="0"/>
              <w:autoSpaceDN w:val="0"/>
              <w:adjustRightInd w:val="0"/>
              <w:jc w:val="both"/>
              <w:rPr>
                <w:rFonts w:ascii="Times New Roman" w:hAnsi="Times New Roman"/>
                <w:sz w:val="24"/>
                <w:szCs w:val="24"/>
              </w:rPr>
            </w:pPr>
          </w:p>
          <w:p w14:paraId="6364526B" w14:textId="77777777" w:rsidR="007E5870" w:rsidRDefault="007E5870" w:rsidP="00294344">
            <w:pPr>
              <w:widowControl w:val="0"/>
              <w:tabs>
                <w:tab w:val="left" w:pos="220"/>
                <w:tab w:val="left" w:pos="720"/>
              </w:tabs>
              <w:autoSpaceDE w:val="0"/>
              <w:autoSpaceDN w:val="0"/>
              <w:adjustRightInd w:val="0"/>
              <w:jc w:val="both"/>
              <w:rPr>
                <w:rFonts w:ascii="Times New Roman" w:hAnsi="Times New Roman"/>
                <w:sz w:val="24"/>
                <w:szCs w:val="24"/>
              </w:rPr>
            </w:pPr>
            <w:r w:rsidRPr="00925112">
              <w:rPr>
                <w:rFonts w:ascii="Times New Roman" w:hAnsi="Times New Roman"/>
                <w:sz w:val="24"/>
                <w:szCs w:val="24"/>
              </w:rPr>
              <w:t xml:space="preserve">Este aumento ha traído consigo un aligerado consumo en diferentes recursos </w:t>
            </w:r>
            <w:r w:rsidRPr="00925112">
              <w:rPr>
                <w:rFonts w:ascii="Times New Roman" w:hAnsi="Times New Roman"/>
                <w:sz w:val="24"/>
                <w:szCs w:val="24"/>
              </w:rPr>
              <w:fldChar w:fldCharType="begin"/>
            </w:r>
            <w:r>
              <w:rPr>
                <w:rFonts w:ascii="Times New Roman" w:hAnsi="Times New Roman"/>
                <w:sz w:val="24"/>
                <w:szCs w:val="24"/>
              </w:rPr>
              <w:instrText xml:space="preserve"> ADDIN ZOTERO_ITEM CSL_CITATION {"citationID":"ahd0jlo0c8","properties":{"formattedCitation":"(Newton &amp; Meyer, 2016)","plainCitation":"(Newton &amp; Meyer, 2016)"},"citationItems":[{"id":3439,"uris":["http://zotero.org/users/306373/items/QBUKGV8K"],"uri":["http://zotero.org/users/306373/items/QBUKGV8K"],"itemData":{"id":3439,"type":"chapter","title":"Built Environment and Human Behaviour Challenges to Sustainable Consumption","container-title":"Ethics and Morality in Consumption: Interdisciplinary Perspectives","publisher":"Routledge","source":"Google Books","abstract":"Ethical consumerism is on the rise. No longer bound to the counter-cultural fringes, ethical concerns and practices are reaching into the mainstream of society and being adopted by everyday consumers – from considering carbon miles to purchasing free-range eggs to making renewable energy choices. The wide reach and magnitude of ethical issues in society across individual and collective consumption has given rise to a series of important questions that are inspiring scholars from a range of disciplinary areas. These differing disciplinary lenses, however, tend to be contained in separate streams of research literature that are developing in parallel and in relative isolation.   Ethics in Morality and Consumption takes an interdisciplinary perspective to provide multiple vantage points in creating a more holistic and integrated view of ethics in consumption. In this sense, interdisciplinary presupposes the consideration of multiple and distinct disciplines, which in this book are considered in delineated chapters. In addition, the Editors make an editorial contribution in the final chapter of the book by combining these separate disciplinary perspectives to develop a nascent interdisciplinary perspective that integrates these perspectives and presents platforms for further research.","ISBN":"978-1-317-65394-3","note":"Google-Books-ID: OJr7CwAAQBAJ","language":"en","author":[{"family":"Newton","given":"Peter"},{"family":"Meyer","given":"Denny"}],"issued":{"date-parts":[["2016",4,14]]}}}],"schema":"https://github.com/citation-style-language/schema/raw/master/csl-citation.json"} </w:instrText>
            </w:r>
            <w:r w:rsidRPr="00925112">
              <w:rPr>
                <w:rFonts w:ascii="Times New Roman" w:hAnsi="Times New Roman"/>
                <w:sz w:val="24"/>
                <w:szCs w:val="24"/>
              </w:rPr>
              <w:fldChar w:fldCharType="separate"/>
            </w:r>
            <w:r>
              <w:rPr>
                <w:rFonts w:ascii="Times New Roman" w:hAnsi="Times New Roman"/>
                <w:sz w:val="24"/>
                <w:szCs w:val="24"/>
              </w:rPr>
              <w:t>(Newton &amp; Meyer, 2016)</w:t>
            </w:r>
            <w:r w:rsidRPr="00925112">
              <w:rPr>
                <w:rFonts w:ascii="Times New Roman" w:hAnsi="Times New Roman"/>
                <w:sz w:val="24"/>
                <w:szCs w:val="24"/>
              </w:rPr>
              <w:fldChar w:fldCharType="end"/>
            </w:r>
            <w:r w:rsidRPr="00925112">
              <w:rPr>
                <w:rFonts w:ascii="Times New Roman" w:hAnsi="Times New Roman"/>
                <w:sz w:val="24"/>
                <w:szCs w:val="24"/>
              </w:rPr>
              <w:t xml:space="preserve">, los cuales son empleados para la totalidad de actividades que se llevan a cabo en estas áreas, siendo el agua y la energía los más empleados. El consumo de estos dos recursos trae consigo una gran variedad de impactos ambientales, tales como gases de efectos de invernadero, perdida de calidad y cantidad del recurso, generación de residuos líquidos, entre otros </w:t>
            </w:r>
            <w:r w:rsidRPr="00925112">
              <w:rPr>
                <w:rFonts w:ascii="Times New Roman" w:hAnsi="Times New Roman"/>
                <w:sz w:val="24"/>
                <w:szCs w:val="24"/>
              </w:rPr>
              <w:fldChar w:fldCharType="begin"/>
            </w:r>
            <w:r>
              <w:rPr>
                <w:rFonts w:ascii="Times New Roman" w:hAnsi="Times New Roman"/>
                <w:sz w:val="24"/>
                <w:szCs w:val="24"/>
              </w:rPr>
              <w:instrText xml:space="preserve"> ADDIN ZOTERO_ITEM CSL_CITATION {"citationID":"a2k9hov514a","properties":{"formattedCitation":"(Kalbar, Birkved, Hauschild, Kabins, &amp; Nygaard, 2018)","plainCitation":"(Kalbar, Birkved, Hauschild, Kabins, &amp; Nygaard, 2018)"},"citationItems":[{"id":3441,"uris":["http://zotero.org/users/306373/items/B3P5BVE6"],"uri":["http://zotero.org/users/306373/items/B3P5BVE6"],"itemData":{"id":3441,"type":"article-journal","title":"Environmental impact of urban consumption patterns: Drivers and focus points","container-title":"Resources, Conservation and Recycling","page":"260-269","volume":"137","source":"ScienceDirect","abstract":"The purpose of our study is to analyse how urban lifestyles impact on the environment to offer knowledge based inspiration for effective environmental policies relating to contemporary Danish consumption patterns. The application of a Personal Metabolism (PM) coupled Life Cycle Assessment (LCA) approach supported by cluster analysis facilitated the identification of consumption-related clusters based on central demographic and life style parameters such as income, diet, transport, and age. The environmental performance of the assessed consumption patterns were calculated in a full life cycle perspective and covering all relevant environmental impacts both on midpoint and endpoint levels by applying the ReCiPe 2008 Life Cycle Impact Assessment (LCIA) methodology. The results of the contribution analysis revealed that climate change, particulate matter, human toxicity, fossil depletion and ionizing radiation contribute most to the three endpoints covered by ReCiPe 2008. Results of cluster analysis indicated that demographic parameters such as income level and age of the respondents has a strong influence on the environmental impacts. The influence of lifestyle aspects such as choice of diet, use of private car and household size was also investigated. These three parameters were found to significantly influence the consumption related environmental impacts of urban Danish residents. Overall our study identify drivers and focus points of consumption and provides a contemporary picture of Danish urban consumption-related environmental impacts.","DOI":"10.1016/j.resconrec.2018.06.019","ISSN":"0921-3449","shortTitle":"Environmental impact of urban consumption patterns","journalAbbreviation":"Resources, Conservation and Recycling","author":[{"family":"Kalbar","given":"Pradip P."},{"family":"Birkved","given":"Morten"},{"family":"Hauschild","given":"Michael"},{"family":"Kabins","given":"Simon"},{"family":"Nygaard","given":"Simon Elsborg"}],"issued":{"date-parts":[["2018",10,1]]}}}],"schema":"https://github.com/citation-style-language/schema/raw/master/csl-citation.json"} </w:instrText>
            </w:r>
            <w:r w:rsidRPr="00925112">
              <w:rPr>
                <w:rFonts w:ascii="Times New Roman" w:hAnsi="Times New Roman"/>
                <w:sz w:val="24"/>
                <w:szCs w:val="24"/>
              </w:rPr>
              <w:fldChar w:fldCharType="separate"/>
            </w:r>
            <w:r>
              <w:rPr>
                <w:rFonts w:ascii="Times New Roman" w:hAnsi="Times New Roman"/>
                <w:sz w:val="24"/>
                <w:szCs w:val="24"/>
              </w:rPr>
              <w:t>(Kalbar, Birkved, Hauschild, Kabins, &amp; Nygaard, 2018)</w:t>
            </w:r>
            <w:r w:rsidRPr="00925112">
              <w:rPr>
                <w:rFonts w:ascii="Times New Roman" w:hAnsi="Times New Roman"/>
                <w:sz w:val="24"/>
                <w:szCs w:val="24"/>
              </w:rPr>
              <w:fldChar w:fldCharType="end"/>
            </w:r>
            <w:r w:rsidRPr="00925112">
              <w:rPr>
                <w:rFonts w:ascii="Times New Roman" w:hAnsi="Times New Roman"/>
                <w:sz w:val="24"/>
                <w:szCs w:val="24"/>
              </w:rPr>
              <w:t>.</w:t>
            </w:r>
          </w:p>
          <w:p w14:paraId="176F9389" w14:textId="77777777" w:rsidR="00294344" w:rsidRPr="00925112" w:rsidRDefault="00294344" w:rsidP="00294344">
            <w:pPr>
              <w:widowControl w:val="0"/>
              <w:tabs>
                <w:tab w:val="left" w:pos="220"/>
                <w:tab w:val="left" w:pos="720"/>
              </w:tabs>
              <w:autoSpaceDE w:val="0"/>
              <w:autoSpaceDN w:val="0"/>
              <w:adjustRightInd w:val="0"/>
              <w:jc w:val="both"/>
              <w:rPr>
                <w:rFonts w:ascii="Times New Roman" w:hAnsi="Times New Roman"/>
                <w:sz w:val="24"/>
                <w:szCs w:val="24"/>
              </w:rPr>
            </w:pPr>
          </w:p>
          <w:p w14:paraId="1E196EE7" w14:textId="6F668429" w:rsidR="00BF44A6" w:rsidRDefault="007E5870" w:rsidP="00294344">
            <w:pPr>
              <w:widowControl w:val="0"/>
              <w:tabs>
                <w:tab w:val="left" w:pos="220"/>
                <w:tab w:val="left" w:pos="720"/>
              </w:tabs>
              <w:autoSpaceDE w:val="0"/>
              <w:autoSpaceDN w:val="0"/>
              <w:adjustRightInd w:val="0"/>
              <w:jc w:val="both"/>
              <w:rPr>
                <w:rFonts w:ascii="Times New Roman" w:hAnsi="Times New Roman"/>
                <w:sz w:val="24"/>
                <w:szCs w:val="24"/>
              </w:rPr>
            </w:pPr>
            <w:r w:rsidRPr="00925112">
              <w:rPr>
                <w:rFonts w:ascii="Times New Roman" w:hAnsi="Times New Roman"/>
                <w:sz w:val="24"/>
                <w:szCs w:val="24"/>
              </w:rPr>
              <w:t>En la actualidad, a pesar de conocer que estos dos recursos son los más usados, en diferentes países no se ha estudiado la interacción</w:t>
            </w:r>
            <w:r w:rsidR="00BF44A6">
              <w:rPr>
                <w:rFonts w:ascii="Times New Roman" w:hAnsi="Times New Roman"/>
                <w:sz w:val="24"/>
                <w:szCs w:val="24"/>
              </w:rPr>
              <w:t xml:space="preserve"> y relación</w:t>
            </w:r>
            <w:r w:rsidRPr="00925112">
              <w:rPr>
                <w:rFonts w:ascii="Times New Roman" w:hAnsi="Times New Roman"/>
                <w:sz w:val="24"/>
                <w:szCs w:val="24"/>
              </w:rPr>
              <w:t xml:space="preserve"> que existe entre estos dos elementos </w:t>
            </w:r>
            <w:r w:rsidRPr="00925112">
              <w:rPr>
                <w:rFonts w:ascii="Times New Roman" w:hAnsi="Times New Roman"/>
                <w:sz w:val="24"/>
                <w:szCs w:val="24"/>
              </w:rPr>
              <w:fldChar w:fldCharType="begin"/>
            </w:r>
            <w:r>
              <w:rPr>
                <w:rFonts w:ascii="Times New Roman" w:hAnsi="Times New Roman"/>
                <w:sz w:val="24"/>
                <w:szCs w:val="24"/>
              </w:rPr>
              <w:instrText xml:space="preserve"> ADDIN ZOTERO_ITEM CSL_CITATION {"citationID":"aqiij8o799","properties":{"formattedCitation":"(Steven J. Kenway, Scheidegger, Larsen, Lant, &amp; Bader, 2013)","plainCitation":"(Steven J. Kenway, Scheidegger, Larsen, Lant, &amp; Bader, 2013)"},"citationItems":[{"id":3446,"uris":["http://zotero.org/users/306373/items/IXMI796R"],"uri":["http://zotero.org/users/306373/items/IXMI796R"],"itemData":{"id":3446,"type":"article-journal","title":"Water-related energy in households: A model designed to understand the current state and simulate possible measures","container-title":"Energy and Buildings","page":"378-389","volume":"58","source":"ScienceDirect","abstract":"Energy use in households, including private transport, accounts for about 30% of primary energy use in industrialised countries. Therefore, households are important key drivers of energy use and related greenhouse gas emissions. In order to understand energy use related to water in households a detailed mathematical flow analysis of materials, energy, CO2 emissions and costs (MMFA) for household water use was set up and tested for a specific family household in Brisbane, Australia. The simulation results for the current state of this household were well within 20% of the monitored data. After calibration, a detailed scenario investigation determined the impact of (i) potential and (ii) realistic reduction values for all relevant (a) behavioural and (b) technical parameters, including a shift from gas to a solar hot-water system. The reduction potentials for water use, greenhouse gas emissions, water-related energy consumption, water costs and water-related energy costs were 4–77%, 14–85%, 15–93%, 1–31% and 13–90% respectively. The study showed that for this household, technical improvements alone, without changing to a solar hot-water system, result in less than a 15% change in terms of energy and greenhouse gas emissions. In contrast, combined behavioural and technical changes have a much higher reduction potential.","DOI":"10.1016/j.enbuild.2012.08.035","ISSN":"0378-7788","shortTitle":"Water-related energy in households","journalAbbreviation":"Energy and Buildings","author":[{"family":"Kenway","given":"Steven J."},{"family":"Scheidegger","given":"Ruth"},{"family":"Larsen","given":"Tove A."},{"family":"Lant","given":"Paul"},{"family":"Bader","given":"Hans-Peter"}],"issued":{"date-parts":[["2013",3,1]]}}}],"schema":"https://github.com/citation-style-language/schema/raw/master/csl-citation.json"} </w:instrText>
            </w:r>
            <w:r w:rsidRPr="00925112">
              <w:rPr>
                <w:rFonts w:ascii="Times New Roman" w:hAnsi="Times New Roman"/>
                <w:sz w:val="24"/>
                <w:szCs w:val="24"/>
              </w:rPr>
              <w:fldChar w:fldCharType="separate"/>
            </w:r>
            <w:r>
              <w:rPr>
                <w:rFonts w:ascii="Times New Roman" w:hAnsi="Times New Roman"/>
                <w:sz w:val="24"/>
                <w:szCs w:val="24"/>
              </w:rPr>
              <w:t>(Steven J. Kenway, Scheidegger, Larsen, Lant, &amp; Bader, 2013)</w:t>
            </w:r>
            <w:r w:rsidRPr="00925112">
              <w:rPr>
                <w:rFonts w:ascii="Times New Roman" w:hAnsi="Times New Roman"/>
                <w:sz w:val="24"/>
                <w:szCs w:val="24"/>
              </w:rPr>
              <w:fldChar w:fldCharType="end"/>
            </w:r>
            <w:r w:rsidRPr="00925112">
              <w:rPr>
                <w:rFonts w:ascii="Times New Roman" w:hAnsi="Times New Roman"/>
                <w:sz w:val="24"/>
                <w:szCs w:val="24"/>
              </w:rPr>
              <w:t xml:space="preserve">, </w:t>
            </w:r>
            <w:r w:rsidR="00BF44A6">
              <w:rPr>
                <w:rFonts w:ascii="Times New Roman" w:hAnsi="Times New Roman"/>
                <w:sz w:val="24"/>
                <w:szCs w:val="24"/>
              </w:rPr>
              <w:t xml:space="preserve">a pesar de que estar </w:t>
            </w:r>
            <w:r w:rsidR="00BF44A6" w:rsidRPr="00925112">
              <w:rPr>
                <w:rFonts w:ascii="Times New Roman" w:hAnsi="Times New Roman"/>
                <w:sz w:val="24"/>
                <w:szCs w:val="24"/>
              </w:rPr>
              <w:t xml:space="preserve">esta interacción se vive en todo el proceso del ciclo urbano del agua, desde la captación, tratamiento, </w:t>
            </w:r>
            <w:r w:rsidR="00BF44A6">
              <w:rPr>
                <w:rFonts w:ascii="Times New Roman" w:hAnsi="Times New Roman"/>
                <w:sz w:val="24"/>
                <w:szCs w:val="24"/>
              </w:rPr>
              <w:t>distribución, uso y disposición.</w:t>
            </w:r>
          </w:p>
          <w:p w14:paraId="7DC4653C" w14:textId="77777777" w:rsidR="00BF44A6" w:rsidRDefault="00BF44A6" w:rsidP="00294344">
            <w:pPr>
              <w:widowControl w:val="0"/>
              <w:tabs>
                <w:tab w:val="left" w:pos="220"/>
                <w:tab w:val="left" w:pos="720"/>
              </w:tabs>
              <w:autoSpaceDE w:val="0"/>
              <w:autoSpaceDN w:val="0"/>
              <w:adjustRightInd w:val="0"/>
              <w:jc w:val="both"/>
              <w:rPr>
                <w:rFonts w:ascii="Times New Roman" w:hAnsi="Times New Roman"/>
                <w:sz w:val="24"/>
                <w:szCs w:val="24"/>
              </w:rPr>
            </w:pPr>
          </w:p>
          <w:p w14:paraId="0F78DF2D" w14:textId="77777777" w:rsidR="00350739" w:rsidRDefault="00350739" w:rsidP="00294344">
            <w:pPr>
              <w:widowControl w:val="0"/>
              <w:tabs>
                <w:tab w:val="left" w:pos="220"/>
                <w:tab w:val="left" w:pos="720"/>
              </w:tabs>
              <w:autoSpaceDE w:val="0"/>
              <w:autoSpaceDN w:val="0"/>
              <w:adjustRightInd w:val="0"/>
              <w:jc w:val="both"/>
              <w:rPr>
                <w:rFonts w:ascii="Times New Roman" w:hAnsi="Times New Roman"/>
                <w:sz w:val="24"/>
                <w:szCs w:val="24"/>
              </w:rPr>
            </w:pPr>
            <w:r>
              <w:rPr>
                <w:rFonts w:ascii="Times New Roman" w:hAnsi="Times New Roman"/>
                <w:sz w:val="24"/>
                <w:szCs w:val="24"/>
              </w:rPr>
              <w:t xml:space="preserve">De acuerdo a lo anterios tres </w:t>
            </w:r>
            <w:r w:rsidR="00BF44A6" w:rsidRPr="00925112">
              <w:rPr>
                <w:rFonts w:ascii="Times New Roman" w:hAnsi="Times New Roman"/>
                <w:sz w:val="24"/>
                <w:szCs w:val="24"/>
              </w:rPr>
              <w:t>gran</w:t>
            </w:r>
            <w:r>
              <w:rPr>
                <w:rFonts w:ascii="Times New Roman" w:hAnsi="Times New Roman"/>
                <w:sz w:val="24"/>
                <w:szCs w:val="24"/>
              </w:rPr>
              <w:t>des</w:t>
            </w:r>
            <w:r w:rsidR="00BF44A6" w:rsidRPr="00925112">
              <w:rPr>
                <w:rFonts w:ascii="Times New Roman" w:hAnsi="Times New Roman"/>
                <w:sz w:val="24"/>
                <w:szCs w:val="24"/>
              </w:rPr>
              <w:t xml:space="preserve"> ret</w:t>
            </w:r>
            <w:r>
              <w:rPr>
                <w:rFonts w:ascii="Times New Roman" w:hAnsi="Times New Roman"/>
                <w:sz w:val="24"/>
                <w:szCs w:val="24"/>
              </w:rPr>
              <w:t xml:space="preserve">os se presentan para </w:t>
            </w:r>
            <w:r w:rsidR="00BF44A6" w:rsidRPr="00925112">
              <w:rPr>
                <w:rFonts w:ascii="Times New Roman" w:hAnsi="Times New Roman"/>
                <w:sz w:val="24"/>
                <w:szCs w:val="24"/>
              </w:rPr>
              <w:t xml:space="preserve">la administración </w:t>
            </w:r>
            <w:r>
              <w:rPr>
                <w:rFonts w:ascii="Times New Roman" w:hAnsi="Times New Roman"/>
                <w:sz w:val="24"/>
                <w:szCs w:val="24"/>
              </w:rPr>
              <w:t xml:space="preserve">pública </w:t>
            </w:r>
            <w:r w:rsidR="00BF44A6" w:rsidRPr="00925112">
              <w:rPr>
                <w:rFonts w:ascii="Times New Roman" w:hAnsi="Times New Roman"/>
                <w:sz w:val="24"/>
                <w:szCs w:val="24"/>
              </w:rPr>
              <w:t xml:space="preserve">ambiental territorial, </w:t>
            </w:r>
            <w:r>
              <w:rPr>
                <w:rFonts w:ascii="Times New Roman" w:hAnsi="Times New Roman"/>
                <w:sz w:val="24"/>
                <w:szCs w:val="24"/>
              </w:rPr>
              <w:t xml:space="preserve">el primero </w:t>
            </w:r>
            <w:r w:rsidR="00BF44A6" w:rsidRPr="00925112">
              <w:rPr>
                <w:rFonts w:ascii="Times New Roman" w:hAnsi="Times New Roman"/>
                <w:sz w:val="24"/>
                <w:szCs w:val="24"/>
              </w:rPr>
              <w:t xml:space="preserve">esta dado en evaluar principalmente </w:t>
            </w:r>
            <w:r>
              <w:rPr>
                <w:rFonts w:ascii="Times New Roman" w:hAnsi="Times New Roman"/>
                <w:sz w:val="24"/>
                <w:szCs w:val="24"/>
              </w:rPr>
              <w:t xml:space="preserve">la relación entre agua y energía eléctrica en </w:t>
            </w:r>
            <w:r w:rsidR="00BF44A6" w:rsidRPr="00925112">
              <w:rPr>
                <w:rFonts w:ascii="Times New Roman" w:hAnsi="Times New Roman"/>
                <w:sz w:val="24"/>
                <w:szCs w:val="24"/>
              </w:rPr>
              <w:t xml:space="preserve">sectores residenciales, ya que el control y gestión de esto recursos en las viviendas es nulo o mínimo </w:t>
            </w:r>
            <w:r w:rsidR="00BF44A6" w:rsidRPr="00925112">
              <w:rPr>
                <w:rFonts w:ascii="Times New Roman" w:hAnsi="Times New Roman"/>
                <w:sz w:val="24"/>
                <w:szCs w:val="24"/>
              </w:rPr>
              <w:fldChar w:fldCharType="begin"/>
            </w:r>
            <w:r w:rsidR="00BF44A6">
              <w:rPr>
                <w:rFonts w:ascii="Times New Roman" w:hAnsi="Times New Roman"/>
                <w:sz w:val="24"/>
                <w:szCs w:val="24"/>
              </w:rPr>
              <w:instrText xml:space="preserve"> ADDIN ZOTERO_ITEM CSL_CITATION {"citationID":"a2bvdarqmg6","properties":{"formattedCitation":"(S. J. Kenway, Lant, Priestley, &amp; Daniels, 2011)","plainCitation":"(S. J. Kenway, Lant, Priestley, &amp; Daniels, 2011)"},"citationItems":[{"id":1996,"uris":["http://zotero.org/users/306373/items/B84D9PSS"],"uri":["http://zotero.org/users/306373/items/B84D9PSS"],"itemData":{"id":1996,"type":"article-journal","title":"The connection between water and energy in cities: a review","container-title":"Water Science and Technology","page":"1983-1990","volume":"63","issue":"9","source":"wst.iwaponline.com","abstract":"We have only rudimentary understanding of the complex and pervasive connections between water and energy in cities. As water security now threatens energy and economic security, this is a major omission. Understanding the water-energy nexus is necessary if we want to contribute to solving water and energy issues simultaneously; if we want to stop moving problems from one resource dimension to another. This is particularly relevant in the Australian context where energy use for water supplies is forecast to rapidly escalate, growing around 300% from 2007 levels, by 2030. This paper presents a literature review with an aim of characterising the research to date with a particular focus on cities, the major centres of consumption and growth. It systematically analyses a wide range of papers and summarises the diverse objectives, dimensions, and scale of the research to-date together with knowledge gaps. There are many major gaps. These include energy use associated with water in industrial and commercial operations as well as socio-political perspectives. A major gap is the lack of a unifying theoretical framework and consistent methodology for analysis. This is considered a prerequisite for quantitative trans-city comparisons.","DOI":"10.2166/wst.2011.070","ISSN":"0273-1223, 1996-9732","shortTitle":"The connection between water and energy in cities","language":"en","author":[{"family":"Kenway","given":"S. J."},{"family":"Lant","given":"P. A."},{"family":"Priestley","given":"A."},{"family":"Daniels","given":"P."}],"issued":{"date-parts":[["2011",5,1]]}}}],"schema":"https://github.com/citation-style-language/schema/raw/master/csl-citation.json"} </w:instrText>
            </w:r>
            <w:r w:rsidR="00BF44A6" w:rsidRPr="00925112">
              <w:rPr>
                <w:rFonts w:ascii="Times New Roman" w:hAnsi="Times New Roman"/>
                <w:sz w:val="24"/>
                <w:szCs w:val="24"/>
              </w:rPr>
              <w:fldChar w:fldCharType="separate"/>
            </w:r>
            <w:r w:rsidR="00BF44A6">
              <w:rPr>
                <w:rFonts w:ascii="Times New Roman" w:hAnsi="Times New Roman"/>
                <w:sz w:val="24"/>
                <w:szCs w:val="24"/>
              </w:rPr>
              <w:t>(S. J. Kenway, Lant, Priestley, &amp; Daniels, 2011)</w:t>
            </w:r>
            <w:r w:rsidR="00BF44A6" w:rsidRPr="00925112">
              <w:rPr>
                <w:rFonts w:ascii="Times New Roman" w:hAnsi="Times New Roman"/>
                <w:sz w:val="24"/>
                <w:szCs w:val="24"/>
              </w:rPr>
              <w:fldChar w:fldCharType="end"/>
            </w:r>
            <w:r w:rsidR="00BF44A6" w:rsidRPr="00925112">
              <w:rPr>
                <w:rFonts w:ascii="Times New Roman" w:hAnsi="Times New Roman"/>
                <w:sz w:val="24"/>
                <w:szCs w:val="24"/>
              </w:rPr>
              <w:t xml:space="preserve">, principalmente dado por la falta de regulación y vigilancia gubernamental, ya que los grandes esfuerzos se dan principalmente sobre sectores industriales, comerciales e institucionales </w:t>
            </w:r>
            <w:r w:rsidR="00BF44A6" w:rsidRPr="00925112">
              <w:rPr>
                <w:rFonts w:ascii="Times New Roman" w:hAnsi="Times New Roman"/>
                <w:sz w:val="24"/>
                <w:szCs w:val="24"/>
              </w:rPr>
              <w:fldChar w:fldCharType="begin"/>
            </w:r>
            <w:r w:rsidR="00BF44A6">
              <w:rPr>
                <w:rFonts w:ascii="Times New Roman" w:hAnsi="Times New Roman"/>
                <w:sz w:val="24"/>
                <w:szCs w:val="24"/>
              </w:rPr>
              <w:instrText xml:space="preserve"> ADDIN ZOTERO_ITEM CSL_CITATION {"citationID":"aeo8crfd5s","properties":{"formattedCitation":"(Cheng, 2002)","plainCitation":"(Cheng, 2002)"},"citationItems":[{"id":3496,"uris":["http://zotero.org/users/306373/items/5TDR5KCW"],"uri":["http://zotero.org/users/306373/items/5TDR5KCW"],"itemData":{"id":3496,"type":"article-journal","title":"Study of the inter-relationship between water use and energy conservation for a building","container-title":"Energy and Buildings","page":"261-266","volume":"34","issue":"3","source":"ScienceDirect","abstract":"While the new industrial water conservation programs recently been adopted by the Taiwan, have been remarkably successful, few notice the inter-relationship between domestic water use and energy consumption, particularly in urban residential buildings. Energy consumption for residential water supply and drainage systems involves numerous variables. This study merely presents an overview of residential water use, and provides a simple equation for analyzing energy consumption with regard to the electric power of urban water treatment systems. Electricity consumption by house pumps is relatively minimal, and is frequently overlooked by the general public. In fact, the city shoulders the bulk of the energy costs of supplying water to citizens, with its electricity expenses per unit of water delivered being six times higher than those of a house pump. This phenomenon also indicates that water saving is crucial to energy conservation. Accordingly, residential water use consumes significant energy. On the other words, it means that raising public awareness of water conservation can also achieve significant energy savings.","DOI":"10.1016/S0378-7788(01)00097-4","ISSN":"0378-7788","journalAbbreviation":"Energy and Buildings","author":[{"family":"Cheng","given":"Cheng-Li"}],"issued":{"date-parts":[["2002",3,1]]}}}],"schema":"https://github.com/citation-style-language/schema/raw/master/csl-citation.json"} </w:instrText>
            </w:r>
            <w:r w:rsidR="00BF44A6" w:rsidRPr="00925112">
              <w:rPr>
                <w:rFonts w:ascii="Times New Roman" w:hAnsi="Times New Roman"/>
                <w:sz w:val="24"/>
                <w:szCs w:val="24"/>
              </w:rPr>
              <w:fldChar w:fldCharType="separate"/>
            </w:r>
            <w:r w:rsidR="00BF44A6">
              <w:rPr>
                <w:rFonts w:ascii="Times New Roman" w:hAnsi="Times New Roman"/>
                <w:sz w:val="24"/>
                <w:szCs w:val="24"/>
              </w:rPr>
              <w:t>(Cheng, 2002)</w:t>
            </w:r>
            <w:r w:rsidR="00BF44A6" w:rsidRPr="00925112">
              <w:rPr>
                <w:rFonts w:ascii="Times New Roman" w:hAnsi="Times New Roman"/>
                <w:sz w:val="24"/>
                <w:szCs w:val="24"/>
              </w:rPr>
              <w:fldChar w:fldCharType="end"/>
            </w:r>
            <w:r>
              <w:rPr>
                <w:rFonts w:ascii="Times New Roman" w:hAnsi="Times New Roman"/>
                <w:sz w:val="24"/>
                <w:szCs w:val="24"/>
              </w:rPr>
              <w:t xml:space="preserve">, a pesar de haberse determinado </w:t>
            </w:r>
            <w:r w:rsidRPr="00925112">
              <w:rPr>
                <w:rFonts w:ascii="Times New Roman" w:hAnsi="Times New Roman"/>
                <w:sz w:val="24"/>
                <w:szCs w:val="24"/>
              </w:rPr>
              <w:t>que  el consumo energético</w:t>
            </w:r>
            <w:r>
              <w:rPr>
                <w:rFonts w:ascii="Times New Roman" w:hAnsi="Times New Roman"/>
                <w:sz w:val="24"/>
                <w:szCs w:val="24"/>
              </w:rPr>
              <w:t xml:space="preserve"> y de </w:t>
            </w:r>
            <w:r w:rsidRPr="00925112">
              <w:rPr>
                <w:rFonts w:ascii="Times New Roman" w:hAnsi="Times New Roman"/>
                <w:sz w:val="24"/>
                <w:szCs w:val="24"/>
              </w:rPr>
              <w:t xml:space="preserve">asociado al consumo de agua en edificios residenciales es mayor que edificaciones, tales como oficinas o sectores institucionales </w:t>
            </w:r>
            <w:r w:rsidRPr="00925112">
              <w:rPr>
                <w:rFonts w:ascii="Times New Roman" w:hAnsi="Times New Roman"/>
                <w:sz w:val="24"/>
                <w:szCs w:val="24"/>
              </w:rPr>
              <w:fldChar w:fldCharType="begin"/>
            </w:r>
            <w:r>
              <w:rPr>
                <w:rFonts w:ascii="Times New Roman" w:hAnsi="Times New Roman"/>
                <w:sz w:val="24"/>
                <w:szCs w:val="24"/>
              </w:rPr>
              <w:instrText xml:space="preserve"> ADDIN ZOTERO_ITEM CSL_CITATION {"citationID":"a1omfm0271b","properties":{"formattedCitation":"(Arpke &amp; Hutzler, 2006)","plainCitation":"(Arpke &amp; Hutzler, 2006)"},"citationItems":[{"id":3494,"uris":["http://zotero.org/users/306373/items/83NDF4X2"],"uri":[</w:instrText>
            </w:r>
            <w:r>
              <w:rPr>
                <w:rFonts w:ascii="Times New Roman" w:hAnsi="Times New Roman" w:hint="eastAsia"/>
                <w:sz w:val="24"/>
                <w:szCs w:val="24"/>
              </w:rPr>
              <w:instrText>"http://zotero.org/users/306373/items/83NDF4X2"],"itemData":{"id":3494,"type":"article-journal","title":"Domestic Water Use in the United States: A Life</w:instrText>
            </w:r>
            <w:r>
              <w:rPr>
                <w:rFonts w:ascii="Times New Roman" w:hAnsi="Times New Roman" w:hint="eastAsia"/>
                <w:sz w:val="24"/>
                <w:szCs w:val="24"/>
              </w:rPr>
              <w:instrText>‐</w:instrText>
            </w:r>
            <w:r>
              <w:rPr>
                <w:rFonts w:ascii="Times New Roman" w:hAnsi="Times New Roman" w:hint="eastAsia"/>
                <w:sz w:val="24"/>
                <w:szCs w:val="24"/>
              </w:rPr>
              <w:instrText>Cycle Approach","container-title":"Journal of industrial ecology","page":"169-184","volume":"10","issu</w:instrText>
            </w:r>
            <w:r>
              <w:rPr>
                <w:rFonts w:ascii="Times New Roman" w:hAnsi="Times New Roman"/>
                <w:sz w:val="24"/>
                <w:szCs w:val="24"/>
              </w:rPr>
              <w:instrText xml:space="preserve">e":"1-2","source":"onlinelibrary.wiley.com","language":"en","author":[{"family":"Arpke","given":"A."},{"family":"Hutzler","given":"N."}],"issued":{"date-parts":[["2006"]]}}}],"schema":"https://github.com/citation-style-language/schema/raw/master/csl-citation.json"} </w:instrText>
            </w:r>
            <w:r w:rsidRPr="00925112">
              <w:rPr>
                <w:rFonts w:ascii="Times New Roman" w:hAnsi="Times New Roman"/>
                <w:sz w:val="24"/>
                <w:szCs w:val="24"/>
              </w:rPr>
              <w:fldChar w:fldCharType="separate"/>
            </w:r>
            <w:r>
              <w:rPr>
                <w:rFonts w:ascii="Times New Roman" w:hAnsi="Times New Roman"/>
                <w:sz w:val="24"/>
                <w:szCs w:val="24"/>
              </w:rPr>
              <w:t>(Arpke &amp; Hutzler, 2006)</w:t>
            </w:r>
            <w:r w:rsidRPr="00925112">
              <w:rPr>
                <w:rFonts w:ascii="Times New Roman" w:hAnsi="Times New Roman"/>
                <w:sz w:val="24"/>
                <w:szCs w:val="24"/>
              </w:rPr>
              <w:fldChar w:fldCharType="end"/>
            </w:r>
            <w:r w:rsidRPr="00925112">
              <w:rPr>
                <w:rFonts w:ascii="Times New Roman" w:hAnsi="Times New Roman"/>
                <w:sz w:val="24"/>
                <w:szCs w:val="24"/>
              </w:rPr>
              <w:t xml:space="preserve">. </w:t>
            </w:r>
          </w:p>
          <w:p w14:paraId="0BF874D0" w14:textId="44904B6C" w:rsidR="007E5870" w:rsidRDefault="00350739" w:rsidP="00294344">
            <w:pPr>
              <w:widowControl w:val="0"/>
              <w:tabs>
                <w:tab w:val="left" w:pos="220"/>
                <w:tab w:val="left" w:pos="720"/>
              </w:tabs>
              <w:autoSpaceDE w:val="0"/>
              <w:autoSpaceDN w:val="0"/>
              <w:adjustRightInd w:val="0"/>
              <w:jc w:val="both"/>
              <w:rPr>
                <w:rFonts w:ascii="Times New Roman" w:hAnsi="Times New Roman"/>
                <w:sz w:val="24"/>
                <w:szCs w:val="24"/>
              </w:rPr>
            </w:pPr>
            <w:r>
              <w:rPr>
                <w:rFonts w:ascii="Times New Roman" w:hAnsi="Times New Roman"/>
                <w:sz w:val="24"/>
                <w:szCs w:val="24"/>
              </w:rPr>
              <w:t xml:space="preserve">En segundo lugar, </w:t>
            </w:r>
            <w:r w:rsidR="00BF44A6">
              <w:rPr>
                <w:rFonts w:ascii="Times New Roman" w:hAnsi="Times New Roman"/>
                <w:sz w:val="24"/>
                <w:szCs w:val="24"/>
              </w:rPr>
              <w:t xml:space="preserve">como la implementación de estrategias de control sobre un de estos podría afectar de manera directa el otro, </w:t>
            </w:r>
            <w:r w:rsidR="007E5870" w:rsidRPr="00925112">
              <w:rPr>
                <w:rFonts w:ascii="Times New Roman" w:hAnsi="Times New Roman"/>
                <w:sz w:val="24"/>
                <w:szCs w:val="24"/>
              </w:rPr>
              <w:t xml:space="preserve">lo cual no ha permitido una mejor </w:t>
            </w:r>
            <w:r w:rsidR="00BF44A6">
              <w:rPr>
                <w:rFonts w:ascii="Times New Roman" w:hAnsi="Times New Roman"/>
                <w:sz w:val="24"/>
                <w:szCs w:val="24"/>
              </w:rPr>
              <w:t>administración</w:t>
            </w:r>
            <w:r w:rsidR="007E5870" w:rsidRPr="00925112">
              <w:rPr>
                <w:rFonts w:ascii="Times New Roman" w:hAnsi="Times New Roman"/>
                <w:sz w:val="24"/>
                <w:szCs w:val="24"/>
              </w:rPr>
              <w:t xml:space="preserve"> y manejo de estos</w:t>
            </w:r>
            <w:r w:rsidR="00BF44A6">
              <w:rPr>
                <w:rFonts w:ascii="Times New Roman" w:hAnsi="Times New Roman"/>
                <w:sz w:val="24"/>
                <w:szCs w:val="24"/>
              </w:rPr>
              <w:t xml:space="preserve"> recursos</w:t>
            </w:r>
            <w:r w:rsidR="007E5870" w:rsidRPr="00925112">
              <w:rPr>
                <w:rFonts w:ascii="Times New Roman" w:hAnsi="Times New Roman"/>
                <w:sz w:val="24"/>
                <w:szCs w:val="24"/>
              </w:rPr>
              <w:t xml:space="preserve"> y una disminución en los impactos producidos</w:t>
            </w:r>
            <w:r w:rsidR="00294344">
              <w:rPr>
                <w:rFonts w:ascii="Times New Roman" w:hAnsi="Times New Roman"/>
                <w:sz w:val="24"/>
                <w:szCs w:val="24"/>
              </w:rPr>
              <w:t>, s</w:t>
            </w:r>
            <w:r w:rsidR="007E5870" w:rsidRPr="00925112">
              <w:rPr>
                <w:rFonts w:ascii="Times New Roman" w:hAnsi="Times New Roman"/>
                <w:sz w:val="24"/>
                <w:szCs w:val="24"/>
              </w:rPr>
              <w:t xml:space="preserve">ituación a la que no es ajena Colombia. </w:t>
            </w:r>
            <w:r>
              <w:rPr>
                <w:rFonts w:ascii="Times New Roman" w:hAnsi="Times New Roman"/>
                <w:sz w:val="24"/>
                <w:szCs w:val="24"/>
              </w:rPr>
              <w:t>Finalmente, en tercer lugar</w:t>
            </w:r>
            <w:r w:rsidR="004D2FBD">
              <w:rPr>
                <w:rFonts w:ascii="Times New Roman" w:hAnsi="Times New Roman"/>
                <w:sz w:val="24"/>
                <w:szCs w:val="24"/>
              </w:rPr>
              <w:t xml:space="preserve"> como los habitos de consumo afectan y podría ser empleados como controles en el gestión de estos recursos.</w:t>
            </w:r>
          </w:p>
          <w:p w14:paraId="5B05DA49" w14:textId="77777777" w:rsidR="00294344" w:rsidRPr="00925112" w:rsidRDefault="00294344" w:rsidP="00294344">
            <w:pPr>
              <w:widowControl w:val="0"/>
              <w:tabs>
                <w:tab w:val="left" w:pos="220"/>
                <w:tab w:val="left" w:pos="720"/>
              </w:tabs>
              <w:autoSpaceDE w:val="0"/>
              <w:autoSpaceDN w:val="0"/>
              <w:adjustRightInd w:val="0"/>
              <w:jc w:val="both"/>
              <w:rPr>
                <w:rFonts w:ascii="Times New Roman" w:hAnsi="Times New Roman"/>
                <w:sz w:val="24"/>
                <w:szCs w:val="24"/>
              </w:rPr>
            </w:pPr>
          </w:p>
          <w:p w14:paraId="5AEF5DE7" w14:textId="375AD7DD" w:rsidR="007E5870" w:rsidRDefault="007E5870" w:rsidP="00294344">
            <w:pPr>
              <w:autoSpaceDE w:val="0"/>
              <w:autoSpaceDN w:val="0"/>
              <w:adjustRightInd w:val="0"/>
              <w:jc w:val="both"/>
              <w:rPr>
                <w:rFonts w:ascii="Times New Roman" w:hAnsi="Times New Roman"/>
                <w:sz w:val="24"/>
                <w:szCs w:val="24"/>
              </w:rPr>
            </w:pPr>
            <w:r w:rsidRPr="00925112">
              <w:rPr>
                <w:rFonts w:ascii="Times New Roman" w:hAnsi="Times New Roman"/>
                <w:sz w:val="24"/>
                <w:szCs w:val="24"/>
              </w:rPr>
              <w:t xml:space="preserve">Lo anterior nos lleva a pensar, que para ciudades sostenibles es necesario pensar en de manera holística, buscar la integralidad que permita identificar las interconexiones entre el consumo de agua y energía en sectores residencial, para la exploración de soluciones integrales que aborden factores no solo estructurales si no de </w:t>
            </w:r>
            <w:r w:rsidR="00350739">
              <w:rPr>
                <w:rFonts w:ascii="Times New Roman" w:hAnsi="Times New Roman"/>
                <w:sz w:val="24"/>
                <w:szCs w:val="24"/>
              </w:rPr>
              <w:t xml:space="preserve">habitos y factores de </w:t>
            </w:r>
            <w:r w:rsidRPr="00925112">
              <w:rPr>
                <w:rFonts w:ascii="Times New Roman" w:hAnsi="Times New Roman"/>
                <w:sz w:val="24"/>
                <w:szCs w:val="24"/>
              </w:rPr>
              <w:t xml:space="preserve">consumo, lo cual aumentaría la capacidad en la gestión, direccionando políticas para el manejo tecnológico, para el desarrollo de productos de innovación y  para la disminución de una gran variedad de impactos ambientales </w:t>
            </w:r>
            <w:r w:rsidRPr="00925112">
              <w:rPr>
                <w:rFonts w:ascii="Times New Roman" w:hAnsi="Times New Roman"/>
                <w:sz w:val="24"/>
                <w:szCs w:val="24"/>
              </w:rPr>
              <w:fldChar w:fldCharType="begin"/>
            </w:r>
            <w:r>
              <w:rPr>
                <w:rFonts w:ascii="Times New Roman" w:hAnsi="Times New Roman"/>
                <w:sz w:val="24"/>
                <w:szCs w:val="24"/>
              </w:rPr>
              <w:instrText xml:space="preserve"> ADDIN ZOTERO_ITEM CSL_CITATION {"citationID":"a16iovs7imb","properties":{"formattedCitation":"{\\rtf (S. J. Kenway et\\uc0\\u160{}al., 2011)}","plainCitation":"(S. J. Kenway et al., 2011)"},"citationItems":[{"id":1996,"uris":["http://zotero.org/users/306373/items/B84D9PSS"],"uri":["http://zotero.org/users/306373/items/B84D9PSS"],"itemData":{"id":1996,"type":"article-journal","title":"The connection between water and energy in cities: a review","container-title":"Water Science and Technology","page":"1983-1990","volume":"63","issue":"9","source":"wst.iwaponline.com","abstract":"We have only rudimentary understanding of the complex and pervasive connections between water and energy in cities. As water security now threatens energy and economic security, this is a major omission. Understanding the water-energy nexus is necessary if we want to contribute to solving water and energy issues simultaneously; if we want to stop moving problems from one resource dimension to another. This is particularly relevant in the Australian context where energy use for water supplies is forecast to rapidly escalate, growing around 300% from 2007 levels, by 2030. This paper presents a literature review with an aim of characterising the research to date with a particular focus on cities, the major centres of consumption and growth. It systematically analyses a wide range of papers and summarises the diverse objectives, dimensions, and scale of the research to-date together with knowledge gaps. There are many major gaps. These include energy use associated with water in industrial and commercial operations as well as socio-political perspectives. A major gap is the lack of a unifying theoretical framework and consistent methodology for analysis. This is considered a prerequisite for quantitative trans-city comparisons.","DOI":"10.2166/wst.2011.070","ISSN":"0273-1223, 1996-9732","shortTitle":"The connection between water and energy in cities","language":"en","author":[{"family":"Kenway","given":"S. J."},{"family":"Lant","given":"P. A."},{"family":"Priestley","given":"A."},{"family":"Daniels","given":"P."}],"issued":{"date-parts":[["2011",5,1]]}}}],"schema":"https://github.com/citation-style-language/schema/raw/master/csl-citation.json"} </w:instrText>
            </w:r>
            <w:r w:rsidRPr="00925112">
              <w:rPr>
                <w:rFonts w:ascii="Times New Roman" w:hAnsi="Times New Roman"/>
                <w:sz w:val="24"/>
                <w:szCs w:val="24"/>
              </w:rPr>
              <w:fldChar w:fldCharType="separate"/>
            </w:r>
            <w:r w:rsidRPr="00195B6C">
              <w:rPr>
                <w:rFonts w:ascii="Times New Roman" w:hAnsi="Times New Roman" w:cs="Times New Roman"/>
                <w:sz w:val="24"/>
                <w:szCs w:val="24"/>
                <w:lang w:val="es-ES"/>
              </w:rPr>
              <w:t>(S. J. Kenway et al., 2011)</w:t>
            </w:r>
            <w:r w:rsidRPr="00925112">
              <w:rPr>
                <w:rFonts w:ascii="Times New Roman" w:hAnsi="Times New Roman"/>
                <w:sz w:val="24"/>
                <w:szCs w:val="24"/>
              </w:rPr>
              <w:fldChar w:fldCharType="end"/>
            </w:r>
            <w:r>
              <w:rPr>
                <w:rFonts w:ascii="Times New Roman" w:hAnsi="Times New Roman"/>
                <w:sz w:val="24"/>
                <w:szCs w:val="24"/>
              </w:rPr>
              <w:t>.</w:t>
            </w:r>
          </w:p>
          <w:p w14:paraId="38E0DE61" w14:textId="77777777" w:rsidR="00294344" w:rsidRDefault="00294344" w:rsidP="00294344">
            <w:pPr>
              <w:autoSpaceDE w:val="0"/>
              <w:autoSpaceDN w:val="0"/>
              <w:adjustRightInd w:val="0"/>
              <w:jc w:val="both"/>
              <w:rPr>
                <w:rFonts w:ascii="Times New Roman" w:hAnsi="Times New Roman"/>
                <w:sz w:val="24"/>
                <w:szCs w:val="24"/>
              </w:rPr>
            </w:pPr>
            <w:r>
              <w:rPr>
                <w:rFonts w:ascii="Times New Roman" w:hAnsi="Times New Roman"/>
                <w:sz w:val="24"/>
                <w:szCs w:val="24"/>
              </w:rPr>
              <w:t>De acuerdo a lo anterior se plantea la siguiente pregunta:</w:t>
            </w:r>
          </w:p>
          <w:p w14:paraId="25BFF453" w14:textId="77777777" w:rsidR="00294344" w:rsidRDefault="00294344" w:rsidP="00294344">
            <w:pPr>
              <w:autoSpaceDE w:val="0"/>
              <w:autoSpaceDN w:val="0"/>
              <w:adjustRightInd w:val="0"/>
              <w:jc w:val="both"/>
              <w:rPr>
                <w:rFonts w:ascii="Times New Roman" w:hAnsi="Times New Roman"/>
                <w:sz w:val="24"/>
                <w:szCs w:val="24"/>
              </w:rPr>
            </w:pPr>
          </w:p>
          <w:p w14:paraId="73EE40D2" w14:textId="246CC9E5" w:rsidR="00294344" w:rsidRDefault="007C15B9" w:rsidP="00294344">
            <w:pPr>
              <w:jc w:val="both"/>
              <w:rPr>
                <w:rFonts w:ascii="Times New Roman" w:eastAsia="Times New Roman" w:hAnsi="Times New Roman" w:cs="Times New Roman"/>
                <w:sz w:val="24"/>
                <w:szCs w:val="24"/>
                <w:lang w:val="es-ES"/>
              </w:rPr>
            </w:pPr>
            <w:r>
              <w:rPr>
                <w:rFonts w:ascii="Times New Roman" w:eastAsia="Times New Roman" w:hAnsi="Times New Roman" w:cs="Times New Roman"/>
                <w:sz w:val="24"/>
                <w:szCs w:val="24"/>
                <w:lang w:val="es-ES"/>
              </w:rPr>
              <w:t>¿Cómo la implementación de estrategias de ahorro en agua permitiría ahorro en</w:t>
            </w:r>
            <w:r w:rsidR="00294344">
              <w:rPr>
                <w:rFonts w:ascii="Times New Roman" w:eastAsia="Times New Roman" w:hAnsi="Times New Roman" w:cs="Times New Roman"/>
                <w:sz w:val="24"/>
                <w:szCs w:val="24"/>
                <w:lang w:val="es-ES"/>
              </w:rPr>
              <w:t xml:space="preserve"> la energía</w:t>
            </w:r>
            <w:r>
              <w:rPr>
                <w:rFonts w:ascii="Times New Roman" w:eastAsia="Times New Roman" w:hAnsi="Times New Roman" w:cs="Times New Roman"/>
                <w:sz w:val="24"/>
                <w:szCs w:val="24"/>
                <w:lang w:val="es-ES"/>
              </w:rPr>
              <w:t xml:space="preserve"> eléctrica</w:t>
            </w:r>
            <w:r w:rsidR="00294344">
              <w:rPr>
                <w:rFonts w:ascii="Times New Roman" w:eastAsia="Times New Roman" w:hAnsi="Times New Roman" w:cs="Times New Roman"/>
                <w:sz w:val="24"/>
                <w:szCs w:val="24"/>
                <w:lang w:val="es-ES"/>
              </w:rPr>
              <w:t xml:space="preserve"> en sectores residenciales en Bogotá</w:t>
            </w:r>
            <w:r w:rsidR="00294344" w:rsidRPr="0063463C">
              <w:rPr>
                <w:rFonts w:ascii="Times New Roman" w:eastAsia="Times New Roman" w:hAnsi="Times New Roman" w:cs="Times New Roman"/>
                <w:sz w:val="24"/>
                <w:szCs w:val="24"/>
                <w:lang w:val="es-ES"/>
              </w:rPr>
              <w:t>?</w:t>
            </w:r>
          </w:p>
          <w:p w14:paraId="1639BAD1" w14:textId="75B3526E" w:rsidR="00294344" w:rsidRPr="0063463C" w:rsidRDefault="00294344" w:rsidP="00294344">
            <w:pPr>
              <w:jc w:val="both"/>
              <w:rPr>
                <w:rFonts w:ascii="Times New Roman" w:hAnsi="Times New Roman"/>
                <w:sz w:val="24"/>
                <w:szCs w:val="24"/>
              </w:rPr>
            </w:pPr>
            <w:r>
              <w:rPr>
                <w:rFonts w:ascii="Times New Roman" w:eastAsia="Times New Roman" w:hAnsi="Times New Roman" w:cs="Times New Roman"/>
                <w:sz w:val="24"/>
                <w:szCs w:val="24"/>
                <w:lang w:val="es-ES"/>
              </w:rPr>
              <w:t>¿Qué factores o hábitos de consumo presentan los habitantes de sectores residenciales en estratos 2, 3 y 4?</w:t>
            </w:r>
          </w:p>
          <w:p w14:paraId="180ADDDE" w14:textId="77777777" w:rsidR="00294344" w:rsidRPr="00925112" w:rsidRDefault="00294344" w:rsidP="00294344">
            <w:pPr>
              <w:autoSpaceDE w:val="0"/>
              <w:autoSpaceDN w:val="0"/>
              <w:adjustRightInd w:val="0"/>
              <w:spacing w:line="360" w:lineRule="auto"/>
              <w:jc w:val="both"/>
              <w:rPr>
                <w:rFonts w:ascii="Times New Roman" w:hAnsi="Times New Roman"/>
                <w:sz w:val="24"/>
                <w:szCs w:val="24"/>
              </w:rPr>
            </w:pPr>
          </w:p>
          <w:p w14:paraId="42A2E3AE" w14:textId="73836358" w:rsidR="005A3412" w:rsidRDefault="005A3412">
            <w:pPr>
              <w:pStyle w:val="normal0"/>
              <w:spacing w:line="276" w:lineRule="auto"/>
              <w:jc w:val="both"/>
              <w:rPr>
                <w:rFonts w:ascii="Times New Roman" w:eastAsia="Times New Roman" w:hAnsi="Times New Roman" w:cs="Times New Roman"/>
                <w:color w:val="222222"/>
                <w:sz w:val="24"/>
                <w:szCs w:val="24"/>
              </w:rPr>
            </w:pPr>
          </w:p>
        </w:tc>
      </w:tr>
    </w:tbl>
    <w:p w14:paraId="3154A774" w14:textId="77777777" w:rsidR="005A3412" w:rsidRDefault="005A3412">
      <w:pPr>
        <w:pStyle w:val="normal0"/>
        <w:spacing w:after="0" w:line="276" w:lineRule="auto"/>
        <w:rPr>
          <w:rFonts w:ascii="Times New Roman" w:eastAsia="Times New Roman" w:hAnsi="Times New Roman" w:cs="Times New Roman"/>
          <w:sz w:val="24"/>
          <w:szCs w:val="24"/>
        </w:rPr>
      </w:pPr>
    </w:p>
    <w:tbl>
      <w:tblPr>
        <w:tblStyle w:val="a3"/>
        <w:tblW w:w="14983" w:type="dxa"/>
        <w:tblInd w:w="0" w:type="dxa"/>
        <w:tblLayout w:type="fixed"/>
        <w:tblLook w:val="0400" w:firstRow="0" w:lastRow="0" w:firstColumn="0" w:lastColumn="0" w:noHBand="0" w:noVBand="1"/>
      </w:tblPr>
      <w:tblGrid>
        <w:gridCol w:w="14983"/>
      </w:tblGrid>
      <w:tr w:rsidR="005A3412" w14:paraId="4539424A" w14:textId="77777777">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17A8E3D6" w14:textId="77777777" w:rsidR="005A3412" w:rsidRDefault="00110E44">
            <w:pPr>
              <w:pStyle w:val="normal0"/>
              <w:spacing w:line="276" w:lineRule="auto"/>
              <w:jc w:val="center"/>
              <w:rPr>
                <w:rFonts w:ascii="Times New Roman" w:eastAsia="Times New Roman" w:hAnsi="Times New Roman" w:cs="Times New Roman"/>
                <w:b/>
                <w:color w:val="222222"/>
                <w:sz w:val="24"/>
                <w:szCs w:val="24"/>
              </w:rPr>
            </w:pPr>
            <w:r>
              <w:rPr>
                <w:rFonts w:ascii="Times New Roman" w:eastAsia="Times New Roman" w:hAnsi="Times New Roman" w:cs="Times New Roman"/>
                <w:b/>
                <w:color w:val="222222"/>
                <w:sz w:val="24"/>
                <w:szCs w:val="24"/>
              </w:rPr>
              <w:t>Justificación</w:t>
            </w:r>
          </w:p>
        </w:tc>
      </w:tr>
      <w:tr w:rsidR="005A3412" w14:paraId="4A00363A" w14:textId="77777777">
        <w:tc>
          <w:tcPr>
            <w:tcW w:w="14983" w:type="dxa"/>
            <w:tcBorders>
              <w:top w:val="single" w:sz="6" w:space="0" w:color="DDDDDD"/>
              <w:left w:val="single" w:sz="6" w:space="0" w:color="DDDDDD"/>
              <w:bottom w:val="single" w:sz="6" w:space="0" w:color="DDDDDD"/>
              <w:right w:val="single" w:sz="6" w:space="0" w:color="DDDDDD"/>
            </w:tcBorders>
            <w:tcMar>
              <w:top w:w="15" w:type="dxa"/>
              <w:left w:w="15" w:type="dxa"/>
              <w:bottom w:w="15" w:type="dxa"/>
              <w:right w:w="15" w:type="dxa"/>
            </w:tcMar>
            <w:vAlign w:val="center"/>
          </w:tcPr>
          <w:p w14:paraId="4A627C21" w14:textId="42D7E9B5" w:rsidR="00294344" w:rsidRDefault="00294344" w:rsidP="00294344">
            <w:pPr>
              <w:spacing w:after="293"/>
              <w:jc w:val="both"/>
              <w:rPr>
                <w:rFonts w:ascii="Times New Roman" w:hAnsi="Times New Roman"/>
                <w:sz w:val="24"/>
                <w:szCs w:val="24"/>
              </w:rPr>
            </w:pPr>
            <w:r>
              <w:rPr>
                <w:rFonts w:ascii="Times New Roman" w:hAnsi="Times New Roman"/>
                <w:sz w:val="24"/>
                <w:szCs w:val="24"/>
              </w:rPr>
              <w:t>P</w:t>
            </w:r>
            <w:r w:rsidRPr="00C16828">
              <w:rPr>
                <w:rFonts w:ascii="Times New Roman" w:hAnsi="Times New Roman"/>
                <w:sz w:val="24"/>
                <w:szCs w:val="24"/>
              </w:rPr>
              <w:t>ara l</w:t>
            </w:r>
            <w:r>
              <w:rPr>
                <w:rFonts w:ascii="Times New Roman" w:hAnsi="Times New Roman"/>
                <w:sz w:val="24"/>
                <w:szCs w:val="24"/>
              </w:rPr>
              <w:t>levar a cabo una planificación de ciudades sotenibles</w:t>
            </w:r>
            <w:r w:rsidRPr="00C16828">
              <w:rPr>
                <w:rFonts w:ascii="Times New Roman" w:hAnsi="Times New Roman"/>
                <w:sz w:val="24"/>
                <w:szCs w:val="24"/>
              </w:rPr>
              <w:t xml:space="preserve"> efectiva, en línea con los marcos de las políticas institucionales, se hace necesario la comprensión profunda de los factores, hábitos, desiciones y comportamientos que intervienen en el consumo energético</w:t>
            </w:r>
            <w:r>
              <w:rPr>
                <w:rFonts w:ascii="Times New Roman" w:hAnsi="Times New Roman"/>
                <w:sz w:val="24"/>
                <w:szCs w:val="24"/>
              </w:rPr>
              <w:t xml:space="preserve"> y consumo del agua y la relaciñon entre estos</w:t>
            </w:r>
            <w:r w:rsidRPr="00C16828">
              <w:rPr>
                <w:rFonts w:ascii="Times New Roman" w:hAnsi="Times New Roman"/>
                <w:sz w:val="24"/>
                <w:szCs w:val="24"/>
              </w:rPr>
              <w:t xml:space="preserve"> en los hogares</w:t>
            </w:r>
            <w:r>
              <w:rPr>
                <w:rFonts w:ascii="Times New Roman" w:hAnsi="Times New Roman"/>
                <w:sz w:val="24"/>
                <w:szCs w:val="24"/>
              </w:rPr>
              <w:t xml:space="preserve"> </w:t>
            </w:r>
            <w:r>
              <w:rPr>
                <w:rFonts w:ascii="Times New Roman" w:hAnsi="Times New Roman"/>
                <w:sz w:val="24"/>
                <w:szCs w:val="24"/>
              </w:rPr>
              <w:fldChar w:fldCharType="begin"/>
            </w:r>
            <w:r>
              <w:rPr>
                <w:rFonts w:ascii="Times New Roman" w:hAnsi="Times New Roman"/>
                <w:sz w:val="24"/>
                <w:szCs w:val="24"/>
              </w:rPr>
              <w:instrText xml:space="preserve"> ADDIN ZOTERO_ITEM CSL_CITATION {"citationID":"a4hgsf9ksn","properties":{"formattedCitation":"{\\rtf (Domene &amp; Saur\\uc0\\u237{}, 2006; Haas, 1997)}","plainCitation":"(Domene &amp; Saurí, 2006; Haas, 1997)"},"citationItems":[{"id":3502,"uris":["http://zotero.org/users/306373/items/25QNP3DS"],"uri":["http://zotero.org/users/306373/items/25QNP3DS"],"itemData":{"id":3502,"type":"article-journal","title":"Energy efficiency indicators in the residential sector: What do we know and what has to be ensured?","container-title":"Energy Policy","collection-title":"Cross-country comparisons of indicators of energy use, energy efficiency and CO2 emissions","page":"789-802","volume":"25","issue":"7","source":"ScienceDirect","abstract":"The residential sector was the focus of most of the energy policies in International Energy Agency (IEA) countries after the oil price shocks of the 1970s. In order to assess the impact of these policies, it is important to construct and establish a set of key, internationally accepted, energy efficiency indicators for use in cross-country comparisons. This paper focuses on the methodological issues rather than comprehensive applications of cross-country comparisons. The major conclusions are as follows: 1.(1) end uses can be identified with reasonable reliability;2.(2) in principle, the energy and CO2 indicators necessary for policy assessment can be identified and derived;3.(3) the key factors for both normalization (climate) and comparison are understood;4.(4) the development of more disaggregated structural indicators is the key to gaining a better understanding of the evolution of the demand of energy services;5.(5) a better measurement of the impact of life-styles is necessary for meaningful cross-country comparisons.","DOI":"10.1016/S0301-4215(97)00069-4","ISSN":"0301-4215","shortTitle":"Energy efficiency indicators in the residential sector","journalAbbreviation":"Energy Policy","author":[{"family":"Haas","given":"Reinhard"}],"issued":{"date-parts":[["1997",6,1]]}}},{"id":3505,"uris":["http://zotero.org/users/306373/items/VR66JKN5"],"uri":["http://zotero.org/users/306373/items/VR66JKN5"],"itemData":{"id":3505,"type":"article-journal","title":"Urbanisation and Water Consumption: Influencing Factors in the Metropolitan Region of Barcelona","container-title":"Urban Studies","page":"1605-1623","volume":"43","issue":"9","source":"SAGE Journals","abstract":"This paper is concerned with the relationships between urbanisation and residential water consumption, taking as a case study the Metropolitan Region of Barcelona. More precisely, it investigates the influence of certain demographic, behavioural and housing factors on this consumption using descriptive statistics and a regression analysis. The data are derived from a sample of 532 households in 22 municipalities of the study area. Results show that income, housing type, members per household, the presence of outdoor uses (garden and swimming pool), the kind of species planted in the garden and consumer behaviour towards conservation practices play a significant role in explaining variations in water consumption. It is concluded that, along with prices and incomes, further research is needed on other demographic and housing variables in order to obtain a more comprehensive understanding of the determinants of domestic water consumption in areas periodically affected by water stress.","DOI":"10.1080/00420980600749969","ISSN":"0042-0980","shortTitle":"Urbanisation and Water Consumption","journalAbbreviation":"Urban Studies","language":"en","author":[{"family":"Domene","given":"Elena"},{"family":"Saurí","given":"David"}],"issued":{"date-parts":[["2006",8,1]]}}}],"schema":"https://github.com/citation-style-language/schema/raw/master/csl-citation.json"} </w:instrText>
            </w:r>
            <w:r>
              <w:rPr>
                <w:rFonts w:ascii="Times New Roman" w:hAnsi="Times New Roman"/>
                <w:sz w:val="24"/>
                <w:szCs w:val="24"/>
              </w:rPr>
              <w:fldChar w:fldCharType="separate"/>
            </w:r>
            <w:r w:rsidRPr="00195B6C">
              <w:rPr>
                <w:rFonts w:ascii="Times New Roman" w:hAnsi="Times New Roman" w:cs="Times New Roman"/>
                <w:sz w:val="24"/>
                <w:szCs w:val="24"/>
                <w:lang w:val="es-ES"/>
              </w:rPr>
              <w:t>(Domene &amp; Saurí, 2006; Haas, 1997)</w:t>
            </w:r>
            <w:r>
              <w:rPr>
                <w:rFonts w:ascii="Times New Roman" w:hAnsi="Times New Roman"/>
                <w:sz w:val="24"/>
                <w:szCs w:val="24"/>
              </w:rPr>
              <w:fldChar w:fldCharType="end"/>
            </w:r>
            <w:r w:rsidRPr="00C16828">
              <w:rPr>
                <w:rFonts w:ascii="Times New Roman" w:hAnsi="Times New Roman"/>
                <w:sz w:val="24"/>
                <w:szCs w:val="24"/>
              </w:rPr>
              <w:t>. Sin embargo, la falta de datos o mediciones que permitan evaluar y comprender estos factores o determinantes no se han examinado exhaustivamente</w:t>
            </w:r>
            <w:r>
              <w:rPr>
                <w:rFonts w:ascii="Times New Roman" w:hAnsi="Times New Roman"/>
                <w:sz w:val="24"/>
                <w:szCs w:val="24"/>
              </w:rPr>
              <w:t xml:space="preserve"> </w:t>
            </w:r>
            <w:r>
              <w:rPr>
                <w:rFonts w:ascii="Times New Roman" w:hAnsi="Times New Roman"/>
                <w:sz w:val="24"/>
                <w:szCs w:val="24"/>
              </w:rPr>
              <w:fldChar w:fldCharType="begin"/>
            </w:r>
            <w:r>
              <w:rPr>
                <w:rFonts w:ascii="Times New Roman" w:hAnsi="Times New Roman"/>
                <w:sz w:val="24"/>
                <w:szCs w:val="24"/>
              </w:rPr>
              <w:instrText xml:space="preserve"> ADDIN ZOTERO_ITEM CSL_CITATION {"citationID":"a1mm3v72pks","properties":{"formattedCitation":"(Abrahamse, Steg, Vlek, &amp; Rothengatter, 2005; Willis, Stewart, Panuwatwanich, Williams, &amp; Hollingsworth, 2011)","plainCitation":"(Abrahamse, Steg, Vlek, &amp; Rothengatter, 2005; Willis, Stewart, Panuwatwanich, Williams, &amp; Hollingsworth, 2011)"},"citationItems":[{"id":3507,"uris":["http://zotero.org/users/306373/items/EHPBQN46"],"uri":["http://zotero.org/users/306373/items/EHPBQN46"],"itemData":{"id":3507,"type":"article-journal","title":"Quantifying the influence of environmental and water conservation attitudes on household end use water consumption","container-title":"Journal of Environmental Management","page":"1996-2009","volume":"92","issue":"8","source":"ScienceDirect","abstract":"Within the research field of urban water demand management, understanding the link between environmental and water conservation attitudes and observed end use water consumption has been limited. Through a mixed method research design incorporating field-based smart metering technology and questionnaire surveys, this paper reveals the relationship between environmental and water conservation attitudes and a domestic water end use break down for 132 detached households located in Gold Coast city, Australia. Using confirmatory factor analysis, attitudinal factors were developed and refined; households were then categorised based on these factors through cluster analysis technique. Results indicated that residents with very positive environmental and water conservation attitudes consumed significantly less water in total and across the behaviourally influenced end uses of shower, clothes washer, irrigation and tap, than those with moderately positive attitudinal concern. The paper concluded with implications for urban water demand management planning, policy and practice.","DOI":"10.1016/j.jenvman.2011.03.023","ISSN":"0301-4797","journalAbbreviation":"Journal of Environmental Management","author":[{"family":"Willis","given":"Rachelle M."},{"family":"Stewart","given":"Rodney A."},{"family":"Panuwatwanich","given":"Kriengsak"},{"family":"Williams","given":"Philip R."},{"family":"Hollingsworth","given":"Anna L."}],"issued":{"date-parts":[["2011",8,1]]}}},{"id":3510,"uris":["http://zotero.org/users/306373/items/2AJETT3A"],"uri":["http://zotero.org/users/306373/items/2AJETT3A"],"itemData":{"id":3510,"type":"article-journal","title":"A review of intervention studies aimed at household energy conservation","container-title":"Journal of Environmental Psychology","page":"273-291","volume":"25","issue":"3","source":"ScienceDirect","abstract":"This article reviews and evaluates the effectiveness of interventions aiming to encourage households to reduce energy consumption. Thirty-eight studies performed within the field of (applied) social and environmental psychology are reviewed, and categorized as involving either antecedent strategies (i.e. commitment, goal setting, information, modeling) or consequence strategies (i.e. feedback, rewards). Particular attention is given to the following evaluation criteria: (1) to what extent did the intervention result in behavioral changes and/or reductions in energy use, (2) were underlying behavioral determinants examined (e.g. knowledge, attitudes), (3) to what extent could effects be attributed to the interventions and, (4) were effects maintained over longer periods of time? Interestingly, most studies focus on voluntary behavior change, by changing individual knowledge and/or perceptions rather than changing contextual factors (i.e. pay-off structure) which may determine households’ behavioral decisions. Interventions have been employed with varying degrees of success. Information tends to result in higher knowledge levels, but not necessarily in behavioral changes or energy savings. Rewards have effectively encouraged energy conservation, but with rather short-lived effects. Feedback has also proven its merits, in particular when given frequently. Some important issues cloud these conclusions, such as methodological problems. Also, little attention is given to actual environmental impact of energy savings. Often, an intervention's effectiveness is studied without examining underlying psychological determinants of energy use and energy savings. Also, it is not always clear whether effects were maintained over a longer period of time. Recommendations are given to further improve intervention planning and to enhance the effectiveness of interventions.","DOI":"10.1016/j.jenvp.2005.08.002","ISSN":"0272-4944","journalAbbreviation":"Journal of Environmental Psychology","author":[{"family":"Abrahamse","given":"Wokje"},{"family":"Steg","given":"Linda"},{"family":"Vlek","given":"Charles"},{"family":"Rothengatter","given":"Talib"}],"issued":{"date-parts":[["2005",9,1]]}}}],"schema":"https://github.com/citation-style-language/schema/raw/master/csl-citation.json"} </w:instrText>
            </w:r>
            <w:r>
              <w:rPr>
                <w:rFonts w:ascii="Times New Roman" w:hAnsi="Times New Roman"/>
                <w:sz w:val="24"/>
                <w:szCs w:val="24"/>
              </w:rPr>
              <w:fldChar w:fldCharType="separate"/>
            </w:r>
            <w:r>
              <w:rPr>
                <w:rFonts w:ascii="Times New Roman" w:hAnsi="Times New Roman"/>
                <w:noProof/>
                <w:sz w:val="24"/>
                <w:szCs w:val="24"/>
              </w:rPr>
              <w:t>(Abrahamse, Steg, Vlek, &amp; Rothengatter, 2005; Willis, Stewart, Panuwatwanich, Williams, &amp; Hollingsworth, 2011)</w:t>
            </w:r>
            <w:r>
              <w:rPr>
                <w:rFonts w:ascii="Times New Roman" w:hAnsi="Times New Roman"/>
                <w:sz w:val="24"/>
                <w:szCs w:val="24"/>
              </w:rPr>
              <w:fldChar w:fldCharType="end"/>
            </w:r>
            <w:r w:rsidRPr="00C16828">
              <w:rPr>
                <w:rFonts w:ascii="Times New Roman" w:hAnsi="Times New Roman"/>
                <w:sz w:val="24"/>
                <w:szCs w:val="24"/>
              </w:rPr>
              <w:t xml:space="preserve">, </w:t>
            </w:r>
            <w:r w:rsidR="004D2FBD">
              <w:rPr>
                <w:rFonts w:ascii="Times New Roman" w:hAnsi="Times New Roman"/>
                <w:sz w:val="24"/>
                <w:szCs w:val="24"/>
              </w:rPr>
              <w:t>esto afecta a paises en desarrollo principalmente</w:t>
            </w:r>
            <w:r w:rsidRPr="00C16828">
              <w:rPr>
                <w:rFonts w:ascii="Times New Roman" w:hAnsi="Times New Roman"/>
                <w:sz w:val="24"/>
                <w:szCs w:val="24"/>
              </w:rPr>
              <w:t xml:space="preserve"> es ajena a Colombia. </w:t>
            </w:r>
          </w:p>
          <w:p w14:paraId="3F40D235" w14:textId="3AE2CE11" w:rsidR="00294344" w:rsidRPr="002341CD" w:rsidRDefault="00294344" w:rsidP="00294344">
            <w:pPr>
              <w:spacing w:after="293"/>
              <w:jc w:val="both"/>
              <w:rPr>
                <w:rFonts w:ascii="Times New Roman" w:hAnsi="Times New Roman"/>
                <w:sz w:val="24"/>
                <w:szCs w:val="24"/>
              </w:rPr>
            </w:pPr>
            <w:r>
              <w:rPr>
                <w:rFonts w:ascii="Times New Roman" w:hAnsi="Times New Roman"/>
                <w:sz w:val="24"/>
                <w:szCs w:val="24"/>
              </w:rPr>
              <w:t xml:space="preserve">La nuevas tendencias en la administración ambiental urbana debe presentar las interconexiones entre los recurso, ya que se ha identificado que para la gestión el consumo energético es necesario ver las relaciones con el agua, materiales, comida entre otros </w:t>
            </w:r>
            <w:r>
              <w:rPr>
                <w:rFonts w:ascii="Times New Roman" w:hAnsi="Times New Roman"/>
                <w:sz w:val="24"/>
                <w:szCs w:val="24"/>
              </w:rPr>
              <w:fldChar w:fldCharType="begin"/>
            </w:r>
            <w:r>
              <w:rPr>
                <w:rFonts w:ascii="Times New Roman" w:hAnsi="Times New Roman"/>
                <w:sz w:val="24"/>
                <w:szCs w:val="24"/>
              </w:rPr>
              <w:instrText xml:space="preserve"> ADDIN ZOTERO_ITEM CSL_CITATION {"citationID":"a193rrn06po","properties":{"formattedCitation":"(Boardman, 2004)","plainCitation":"(Boardman, 2004)"},"citationItems":[{"id":3533,"uris":["http://zotero.org/users/306373/items/KU6PPF7Z"],"uri":["http://zotero.org/users/306373/items/KU6PPF7Z"],"itemData":{"id":3533,"type":"article-journal","title":"New directions for household energy efficiency: evidence from the UK","container-title":"Energy Policy","collection-title":"Energy Policy for a Sustainable Energy Future","page":"1921-1933","volume":"32","issue":"17","source":"ScienceDirect","abstract":"The market rarely delivers energy efficiency improvements spontaneously, as there is no market push. Consumers are not providing a pull towards energy efficiency, usually because they are ignorant of (or indifferent to) the range on the market, or the energy implications of their purchases. Whilst consumers are concerned about climate change and generally understand the causal role of fossil fuels, they believe either that they have done everything or that one person cannot make a difference. Without a positive design focus from manufacturers or a clear demand from consumers, no part of the market will deliver energy efficiency naturally: policy has to provide the drive. Within the UK, the opportunities to introduce policies based on higher energy prices are constrained by the impact these have on low-income households. This means that product policy (market transformation) has to be the main delivery mechanism for domestic energy efficiency in the UK. The policies adopted so far in the UK and EU have been successful, with existing products, but have not prevented the development of new, profligate equipment. This limited success demonstrates the need for European policy to be more forceful and for policy to involve engagement with manufacturers about the products they are planning to introduce. To motivate consumers, policy should focus on carbon and incorporate feedback. Without these developments, and considerably more activity by the European Commission and Member States, energy efficiency will not contribute its potential to the UK target of 60% reduction in carbon dioxide emissions by 2050.","DOI":"10.1016/j.enpol.2004.03.021","ISSN":"0301-4215","shortTitle":"New directions for household energy efficiency","journalAbbreviation":"Energy Policy","author":[{"family":"Boardman","given":"Brenda"}],"issued":{"date-parts":[["2004",11,1]]}}}],"schema":"https://github.com/citation-style-language/schema/raw/master/csl-citation.json"} </w:instrText>
            </w:r>
            <w:r>
              <w:rPr>
                <w:rFonts w:ascii="Times New Roman" w:hAnsi="Times New Roman"/>
                <w:sz w:val="24"/>
                <w:szCs w:val="24"/>
              </w:rPr>
              <w:fldChar w:fldCharType="separate"/>
            </w:r>
            <w:r>
              <w:rPr>
                <w:rFonts w:ascii="Times New Roman" w:hAnsi="Times New Roman"/>
                <w:noProof/>
                <w:sz w:val="24"/>
                <w:szCs w:val="24"/>
              </w:rPr>
              <w:t>(Boardman, 2004)</w:t>
            </w:r>
            <w:r>
              <w:rPr>
                <w:rFonts w:ascii="Times New Roman" w:hAnsi="Times New Roman"/>
                <w:sz w:val="24"/>
                <w:szCs w:val="24"/>
              </w:rPr>
              <w:fldChar w:fldCharType="end"/>
            </w:r>
            <w:r>
              <w:rPr>
                <w:rFonts w:ascii="Times New Roman" w:hAnsi="Times New Roman"/>
                <w:sz w:val="24"/>
                <w:szCs w:val="24"/>
              </w:rPr>
              <w:t>.  Por otra parte, la</w:t>
            </w:r>
            <w:r w:rsidRPr="002341CD">
              <w:rPr>
                <w:rFonts w:ascii="Times New Roman" w:hAnsi="Times New Roman"/>
                <w:sz w:val="24"/>
                <w:szCs w:val="24"/>
              </w:rPr>
              <w:t xml:space="preserve"> evidencia ha mostrado que el cambio en el comportamiento por parte de los individuos y sus hogares ofrece la posibilidad de una transformación hacia la sostenibilidad en ocaciones mucho más rápida que la innovación tecnológica o que el rediseño de entornos construidos</w:t>
            </w:r>
            <w:r>
              <w:rPr>
                <w:rFonts w:ascii="Times New Roman" w:hAnsi="Times New Roman"/>
                <w:sz w:val="24"/>
                <w:szCs w:val="24"/>
              </w:rPr>
              <w:t xml:space="preserve"> </w:t>
            </w:r>
            <w:r>
              <w:rPr>
                <w:rFonts w:ascii="Times New Roman" w:hAnsi="Times New Roman"/>
                <w:sz w:val="24"/>
                <w:szCs w:val="24"/>
              </w:rPr>
              <w:fldChar w:fldCharType="begin"/>
            </w:r>
            <w:r>
              <w:rPr>
                <w:rFonts w:ascii="Times New Roman" w:hAnsi="Times New Roman"/>
                <w:sz w:val="24"/>
                <w:szCs w:val="24"/>
              </w:rPr>
              <w:instrText xml:space="preserve"> ADDIN ZOTERO_ITEM CSL_CITATION {"citationID":"a1redkqt5m8","properties":{"formattedCitation":"(Newton &amp; Meyer, 2013)","plainCitation":"(Newton &amp; Meyer, 2013)"},"citationItems":[{"id":3513,"uris":["http://zotero.org/users/306373/items/6QRSFT3M"],"uri":["http://zotero.org/users/306373/items/6QRSFT3M"],"itemData":{"id":3513,"type":"article-journal","title":"Exploring the Attitudes-Action Gap in Household Resource Consumption: Does “Environmental Lifestyle” Segmentation Align with Consumer Behaviour?","container-title":"Sustainability","page":"1211-1233","volume":"5","issue":"3","source":"www.mdpi.com","abstract":"Consumption is a transcending challenge for the 21st century that is stimulating research on multiple pathways required to deliver a more environmentally sustainable future. This paper is nested in what is a much larger field of research on sustainable consumption and reports on part of a major Australian Research Council study into the determinants of household resource consumption, based on a survey of 1,250 residents in Melbourne, Australia. Three environmental lifestyle segments are established that represent the spectrum of attitudes, opinions and intentions across the surveyed population: “committed” greens, “material” greens and “enviro-sceptics” (representing respectively 33.5%, 40.3% and 26.3% of the population). Each segment was found to display distinctive socio-demographic attributes, as well as urban geographies. However, few differences were found in relation to each segment’s actual consumption of energy, water, housing space, urban travel and domestic appliances. The research findings indicate that in these areas of urban resource consumption—all principal contributors to the ecological footprint of households—there are sets of factors at work that override attitudes, opinions and intentions as indicators of consumer behaviour. Some of these factors are information, organization and finance related and are the focus of much public policy. However, the persistence of well ingrained habits and practices among individuals and households and the lack of norms and values in western societies that explicitly promote environmental conservation among its population, are fundamentally involved in the attitude-action gap and constitute important avenues for future research and action.","DOI":"10.3390/su5031211","shortTitle":"Exploring the Attitudes-Action Gap in Household Resource Consumption","language":"en","author":[{"family":"Newton","given":"Peter"},{"family":"Meyer","given":"Denny"}],"issued":{"date-parts":[["2013",3]]}}}],"schema":"https://github.com/citation-style-language/schema/raw/master/csl-citation.json"} </w:instrText>
            </w:r>
            <w:r>
              <w:rPr>
                <w:rFonts w:ascii="Times New Roman" w:hAnsi="Times New Roman"/>
                <w:sz w:val="24"/>
                <w:szCs w:val="24"/>
              </w:rPr>
              <w:fldChar w:fldCharType="separate"/>
            </w:r>
            <w:r>
              <w:rPr>
                <w:rFonts w:ascii="Times New Roman" w:hAnsi="Times New Roman"/>
                <w:noProof/>
                <w:sz w:val="24"/>
                <w:szCs w:val="24"/>
              </w:rPr>
              <w:t>(Newton &amp; Meyer, 2013)</w:t>
            </w:r>
            <w:r>
              <w:rPr>
                <w:rFonts w:ascii="Times New Roman" w:hAnsi="Times New Roman"/>
                <w:sz w:val="24"/>
                <w:szCs w:val="24"/>
              </w:rPr>
              <w:fldChar w:fldCharType="end"/>
            </w:r>
            <w:r>
              <w:rPr>
                <w:rFonts w:ascii="Times New Roman" w:hAnsi="Times New Roman"/>
                <w:sz w:val="24"/>
                <w:szCs w:val="24"/>
              </w:rPr>
              <w:t xml:space="preserve">, </w:t>
            </w:r>
            <w:r w:rsidRPr="002341CD">
              <w:rPr>
                <w:rFonts w:ascii="Times New Roman" w:hAnsi="Times New Roman"/>
                <w:sz w:val="24"/>
                <w:szCs w:val="24"/>
              </w:rPr>
              <w:t>adicionalmente es necesario comprender y ampliar los diferentes estrategias, teorías y explicaciones, así como de crear  enfoques integrados. Es por esto que los diferentes actores gubernamentales muestren un alto interés en la generación de políticas y programas para el cambio en el comportamiento del uso de los diferentes recursos en áreas urbanas</w:t>
            </w:r>
            <w:r>
              <w:rPr>
                <w:rFonts w:ascii="Times New Roman" w:hAnsi="Times New Roman"/>
                <w:sz w:val="24"/>
                <w:szCs w:val="24"/>
              </w:rPr>
              <w:t xml:space="preserve"> </w:t>
            </w:r>
            <w:r>
              <w:rPr>
                <w:rFonts w:ascii="Times New Roman" w:hAnsi="Times New Roman"/>
                <w:sz w:val="24"/>
                <w:szCs w:val="24"/>
              </w:rPr>
              <w:fldChar w:fldCharType="begin"/>
            </w:r>
            <w:r>
              <w:rPr>
                <w:rFonts w:ascii="Times New Roman" w:hAnsi="Times New Roman"/>
                <w:sz w:val="24"/>
                <w:szCs w:val="24"/>
              </w:rPr>
              <w:instrText xml:space="preserve"> ADDIN ZOTERO_ITEM CSL_CITATION {"citationID":"a1mf8ppe9k6","properties":{"formattedCitation":"(Fielding, Russell, Spinks, &amp; Mankad, 2012; Kavousian, Rajagopal, &amp; Fischer, 2013)","plainCitation":"(Fielding, Russell, Spinks, &amp; Mankad, 2012; Kavousian, Rajagopal, &amp; Fischer, 2013)"},"citationItems":[{"id":3516,"uris":["http://zotero.org/users/306373/items/HWS5GIZR"],"uri":["http://zotero.org/users/306373/items/HWS5GIZR"],"itemData":{"id":3516,"type":"article-journal","title":"Determinants of residential electricity consumption: Using smart meter data to examine the effect of climate, building characteristics, appliance stock, and occupants' behavior","container-title":"Energy","page":"184-194","volume":"55","source":"ScienceDirect","abstract":"We propose a method to examine structural and behavioral determinants of residential electricity consumption, by developing separate models for daily maximum (peak) and minimum (idle) consumption. We apply our method on a data set of 1628 households' electricity consumption. The results show that weather, location and floor area are among the most important determinants of residential electricity consumption. In addition to these variables, number of refrigerators and entertainment devices (e.g., VCRs) are among the most important determinants of daily minimum consumption, while number of occupants and high-consumption appliances such as electric water heaters are the most significant determinants of daily maximum consumption. Installing double-pane windows and energy-efficient lights helped to reduce consumption, as did the energy-conscious use of electric heater. Acknowledging climate change as a motivation to save energy showed correlation with lower electricity consumption. Households with individuals over 55 or between 19 and 35 years old recorded lower electricity consumption, while pet owners showed higher consumption. Contrary to some previous studies, we observed no significant correlation between electricity consumption and income level, home ownership, or building age. Some otherwise energy-efficient features such as energy-efficient appliances, programmable thermostats, and insulation were correlated with slight increase in electricity consumption.","DOI":"10.1016/j.energy.2013.03.086","ISSN":"0360-5442","shortTitle":"Determinants of residential electricity consumption","journalAbbreviation":"Energy","author":[{"family":"Kavousian","given":"Amir"},{"family":"Rajagopal","given":"Ram"},{"family":"Fischer","given":"Martin"}],"issued":{"date-parts":[["2013",6,15]]}}},{"id":3519,"uris":["http://zotero.org/users/306373/items/BG7GV5ZH"],"uri":["http://zotero.org/users/306373/items/BG7GV5ZH"],"itemData":{"id":3519,"type":"article-journal","title":"Determinants of household water conservation: The role of demographic, infrastructure, behavior, and psychosocial variables","container-title":"Water Resources Research","volume":"48","issue":"10","source":"Wiley Online Library","abstract":"Securing water supplies in urban areas is a major challenge for policy makers, both now and into the future. This study aimed to identify the key determinants of household water use, with a view to identifying those factors that could be targeted in water demand management campaigns. Objective water use data and surveys were collected from 1008 households in four local government areas of southeast Queensland, Australia. Results showed that demographic, psychosocial, behavioral, and infrastructure variables all have a role to play in determining household water use. Consistent with past research, household occupancy was the most important predictor of water use. Households in regions recently exposed to drought conditions and higher-level restrictions also used less water than those who had less experience with drought. The effect of water efficient technology was mixed: some water efficient appliances were associated with less water use, while others were associated with more water use. Results also demonstrated the importance of considering water use as a collective behavior that is influenced by household dynamics. Households who reported a stronger culture of water conservation used less water. These findings, along with evidence that good water-saving habits are linked to water conservation, highlight the value of policies that support long-term cultural shifts in the way people think about and use water.","URL":"https://agupubs.onlinelibrary.wiley.com/doi/abs/10.1029/2012WR012398","DOI":"10.1029/2012WR012398","ISSN":"1944-7973","shortTitle":"Determinants of household water conservation","language":"en","author":[{"family":"Fielding","given":"Kelly S."},{"family":"Russell","given":"Sally"},{"family":"Spinks","given":"Anneliese"},{"family":"Mankad","given":"Aditi"}],"issued":{"date-parts":[["2012"]]},"accessed":{"date-parts":[["2019",7,29]]}}}],"schema":"https://github.com/citation-style-language/schema/raw/master/csl-citation.json"} </w:instrText>
            </w:r>
            <w:r>
              <w:rPr>
                <w:rFonts w:ascii="Times New Roman" w:hAnsi="Times New Roman"/>
                <w:sz w:val="24"/>
                <w:szCs w:val="24"/>
              </w:rPr>
              <w:fldChar w:fldCharType="separate"/>
            </w:r>
            <w:r>
              <w:rPr>
                <w:rFonts w:ascii="Times New Roman" w:hAnsi="Times New Roman"/>
                <w:noProof/>
                <w:sz w:val="24"/>
                <w:szCs w:val="24"/>
              </w:rPr>
              <w:t>(Fielding, Russell, Spinks, &amp; Mankad, 2012; Kavousian, Rajagopal, &amp; Fischer, 2013)</w:t>
            </w:r>
            <w:r>
              <w:rPr>
                <w:rFonts w:ascii="Times New Roman" w:hAnsi="Times New Roman"/>
                <w:sz w:val="24"/>
                <w:szCs w:val="24"/>
              </w:rPr>
              <w:fldChar w:fldCharType="end"/>
            </w:r>
            <w:r w:rsidRPr="002341CD">
              <w:rPr>
                <w:rFonts w:ascii="Times New Roman" w:hAnsi="Times New Roman"/>
                <w:sz w:val="24"/>
                <w:szCs w:val="24"/>
              </w:rPr>
              <w:t>.</w:t>
            </w:r>
          </w:p>
          <w:p w14:paraId="34CD1B63" w14:textId="636F6BB6" w:rsidR="00294344" w:rsidRPr="0063605F" w:rsidRDefault="00294344" w:rsidP="00294344">
            <w:pPr>
              <w:autoSpaceDE w:val="0"/>
              <w:autoSpaceDN w:val="0"/>
              <w:adjustRightInd w:val="0"/>
              <w:jc w:val="both"/>
              <w:rPr>
                <w:rFonts w:ascii="Times New Roman" w:eastAsia="Times New Roman" w:hAnsi="Times New Roman" w:cs="Times New Roman"/>
                <w:sz w:val="24"/>
                <w:szCs w:val="24"/>
                <w:lang w:val="es-ES"/>
              </w:rPr>
            </w:pPr>
            <w:r>
              <w:rPr>
                <w:rFonts w:ascii="Times New Roman" w:eastAsia="Times New Roman" w:hAnsi="Times New Roman" w:cs="Times New Roman"/>
                <w:sz w:val="24"/>
                <w:szCs w:val="24"/>
                <w:lang w:val="es-ES"/>
              </w:rPr>
              <w:t xml:space="preserve">Por lo anterior se ve una necesidad de desarrollar un primer piloto, ya que con esta esta investigación </w:t>
            </w:r>
            <w:r w:rsidRPr="002E44DD">
              <w:rPr>
                <w:rFonts w:ascii="Times New Roman" w:eastAsia="Times New Roman" w:hAnsi="Times New Roman" w:cs="Times New Roman"/>
                <w:sz w:val="24"/>
                <w:szCs w:val="24"/>
                <w:lang w:val="es-ES"/>
              </w:rPr>
              <w:t xml:space="preserve">se pretende realizar una </w:t>
            </w:r>
            <w:r>
              <w:rPr>
                <w:rFonts w:ascii="Times New Roman" w:eastAsia="Times New Roman" w:hAnsi="Times New Roman" w:cs="Times New Roman"/>
                <w:sz w:val="24"/>
                <w:szCs w:val="24"/>
                <w:lang w:val="es-ES"/>
              </w:rPr>
              <w:t xml:space="preserve">primera </w:t>
            </w:r>
            <w:r w:rsidRPr="002E44DD">
              <w:rPr>
                <w:rFonts w:ascii="Times New Roman" w:eastAsia="Times New Roman" w:hAnsi="Times New Roman" w:cs="Times New Roman"/>
                <w:sz w:val="24"/>
                <w:szCs w:val="24"/>
                <w:lang w:val="es-ES"/>
              </w:rPr>
              <w:t xml:space="preserve">propuesta con fines </w:t>
            </w:r>
            <w:r>
              <w:rPr>
                <w:rFonts w:ascii="Times New Roman" w:eastAsia="Times New Roman" w:hAnsi="Times New Roman" w:cs="Times New Roman"/>
                <w:sz w:val="24"/>
                <w:szCs w:val="24"/>
                <w:lang w:val="es-ES"/>
              </w:rPr>
              <w:t>académicos y social</w:t>
            </w:r>
            <w:r w:rsidRPr="002E44DD">
              <w:rPr>
                <w:rFonts w:ascii="Times New Roman" w:eastAsia="Times New Roman" w:hAnsi="Times New Roman" w:cs="Times New Roman"/>
                <w:sz w:val="24"/>
                <w:szCs w:val="24"/>
                <w:lang w:val="es-ES"/>
              </w:rPr>
              <w:t xml:space="preserve"> para el </w:t>
            </w:r>
            <w:r>
              <w:rPr>
                <w:rFonts w:ascii="Times New Roman" w:eastAsia="Times New Roman" w:hAnsi="Times New Roman" w:cs="Times New Roman"/>
                <w:sz w:val="24"/>
                <w:szCs w:val="24"/>
                <w:lang w:val="es-ES"/>
              </w:rPr>
              <w:t>ahorro en el consumo de agua y energía en sectores residenciales con estrategias de educación ambiental.</w:t>
            </w:r>
          </w:p>
          <w:p w14:paraId="34A4891E" w14:textId="77777777" w:rsidR="005A3412" w:rsidRDefault="005A3412">
            <w:pPr>
              <w:pStyle w:val="normal0"/>
              <w:spacing w:line="276" w:lineRule="auto"/>
              <w:jc w:val="both"/>
              <w:rPr>
                <w:rFonts w:ascii="Times New Roman" w:eastAsia="Times New Roman" w:hAnsi="Times New Roman" w:cs="Times New Roman"/>
                <w:color w:val="222222"/>
                <w:sz w:val="24"/>
                <w:szCs w:val="24"/>
              </w:rPr>
            </w:pPr>
          </w:p>
          <w:p w14:paraId="09FD0046" w14:textId="06AA3290" w:rsidR="005A3412" w:rsidRDefault="00110E44">
            <w:pPr>
              <w:pStyle w:val="normal0"/>
              <w:spacing w:line="276" w:lineRule="auto"/>
              <w:jc w:val="both"/>
              <w:rPr>
                <w:rFonts w:ascii="Times New Roman" w:eastAsia="Times New Roman" w:hAnsi="Times New Roman" w:cs="Times New Roman"/>
                <w:color w:val="222222"/>
                <w:sz w:val="24"/>
                <w:szCs w:val="24"/>
              </w:rPr>
            </w:pPr>
            <w:r>
              <w:rPr>
                <w:rFonts w:ascii="Times New Roman" w:eastAsia="Times New Roman" w:hAnsi="Times New Roman" w:cs="Times New Roman"/>
                <w:color w:val="222222"/>
                <w:sz w:val="24"/>
                <w:szCs w:val="24"/>
              </w:rPr>
              <w:t xml:space="preserve"> </w:t>
            </w:r>
          </w:p>
        </w:tc>
      </w:tr>
    </w:tbl>
    <w:p w14:paraId="052D1CC6" w14:textId="77777777" w:rsidR="005A3412" w:rsidRDefault="005A3412">
      <w:pPr>
        <w:pStyle w:val="normal0"/>
        <w:spacing w:after="0" w:line="276" w:lineRule="auto"/>
        <w:rPr>
          <w:rFonts w:ascii="Times New Roman" w:eastAsia="Times New Roman" w:hAnsi="Times New Roman" w:cs="Times New Roman"/>
          <w:sz w:val="24"/>
          <w:szCs w:val="24"/>
        </w:rPr>
      </w:pPr>
    </w:p>
    <w:tbl>
      <w:tblPr>
        <w:tblStyle w:val="a4"/>
        <w:tblW w:w="14983" w:type="dxa"/>
        <w:tblInd w:w="0" w:type="dxa"/>
        <w:tblLayout w:type="fixed"/>
        <w:tblLook w:val="0400" w:firstRow="0" w:lastRow="0" w:firstColumn="0" w:lastColumn="0" w:noHBand="0" w:noVBand="1"/>
      </w:tblPr>
      <w:tblGrid>
        <w:gridCol w:w="14983"/>
      </w:tblGrid>
      <w:tr w:rsidR="005A3412" w14:paraId="07C5AE88" w14:textId="77777777">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2EB59945" w14:textId="77777777" w:rsidR="005A3412" w:rsidRDefault="00110E44">
            <w:pPr>
              <w:pStyle w:val="normal0"/>
              <w:spacing w:line="276" w:lineRule="auto"/>
              <w:jc w:val="center"/>
              <w:rPr>
                <w:rFonts w:ascii="Times New Roman" w:eastAsia="Times New Roman" w:hAnsi="Times New Roman" w:cs="Times New Roman"/>
                <w:b/>
                <w:color w:val="222222"/>
                <w:sz w:val="24"/>
                <w:szCs w:val="24"/>
              </w:rPr>
            </w:pPr>
            <w:r>
              <w:rPr>
                <w:rFonts w:ascii="Times New Roman" w:eastAsia="Times New Roman" w:hAnsi="Times New Roman" w:cs="Times New Roman"/>
                <w:b/>
                <w:color w:val="222222"/>
                <w:sz w:val="24"/>
                <w:szCs w:val="24"/>
              </w:rPr>
              <w:t>Objetivo general</w:t>
            </w:r>
          </w:p>
        </w:tc>
      </w:tr>
      <w:tr w:rsidR="005A3412" w14:paraId="78DD99DD" w14:textId="77777777">
        <w:trPr>
          <w:trHeight w:val="240"/>
        </w:trPr>
        <w:tc>
          <w:tcPr>
            <w:tcW w:w="14983" w:type="dxa"/>
            <w:tcBorders>
              <w:top w:val="single" w:sz="6" w:space="0" w:color="DDDDDD"/>
              <w:left w:val="single" w:sz="6" w:space="0" w:color="DDDDDD"/>
              <w:bottom w:val="single" w:sz="6" w:space="0" w:color="DDDDDD"/>
              <w:right w:val="single" w:sz="6" w:space="0" w:color="DDDDDD"/>
            </w:tcBorders>
            <w:tcMar>
              <w:top w:w="15" w:type="dxa"/>
              <w:left w:w="15" w:type="dxa"/>
              <w:bottom w:w="15" w:type="dxa"/>
              <w:right w:w="15" w:type="dxa"/>
            </w:tcMar>
            <w:vAlign w:val="center"/>
          </w:tcPr>
          <w:p w14:paraId="45C54F4D" w14:textId="77777777" w:rsidR="005A3412" w:rsidRDefault="005A3412">
            <w:pPr>
              <w:pStyle w:val="normal0"/>
              <w:spacing w:line="276" w:lineRule="auto"/>
              <w:jc w:val="both"/>
              <w:rPr>
                <w:rFonts w:ascii="Times New Roman" w:eastAsia="Times New Roman" w:hAnsi="Times New Roman" w:cs="Times New Roman"/>
                <w:color w:val="222222"/>
                <w:sz w:val="24"/>
                <w:szCs w:val="24"/>
              </w:rPr>
            </w:pPr>
          </w:p>
          <w:p w14:paraId="3D802A25" w14:textId="5DCD748C" w:rsidR="005A3412" w:rsidRPr="00294344" w:rsidRDefault="00C57D96" w:rsidP="00294344">
            <w:pPr>
              <w:widowControl w:val="0"/>
              <w:tabs>
                <w:tab w:val="left" w:pos="220"/>
                <w:tab w:val="left" w:pos="720"/>
              </w:tabs>
              <w:autoSpaceDE w:val="0"/>
              <w:autoSpaceDN w:val="0"/>
              <w:adjustRightInd w:val="0"/>
              <w:spacing w:after="293" w:line="340" w:lineRule="atLeast"/>
              <w:jc w:val="both"/>
              <w:rPr>
                <w:b/>
              </w:rPr>
            </w:pPr>
            <w:r>
              <w:rPr>
                <w:rFonts w:ascii="Times New Roman" w:eastAsia="Times New Roman" w:hAnsi="Times New Roman" w:cs="Times New Roman"/>
                <w:color w:val="222222"/>
                <w:sz w:val="24"/>
                <w:szCs w:val="24"/>
              </w:rPr>
              <w:t xml:space="preserve">Cuantificar </w:t>
            </w:r>
            <w:r w:rsidR="004D2FBD">
              <w:rPr>
                <w:rFonts w:ascii="Times New Roman" w:eastAsia="Times New Roman" w:hAnsi="Times New Roman" w:cs="Times New Roman"/>
                <w:color w:val="222222"/>
                <w:sz w:val="24"/>
                <w:szCs w:val="24"/>
              </w:rPr>
              <w:t xml:space="preserve">el ahorro de energía eléctrica asociado a la implementación de estrategias de educación ambiental para el ahorro del consumo de agua </w:t>
            </w:r>
            <w:r w:rsidR="004D2FBD" w:rsidRPr="00956F6A">
              <w:rPr>
                <w:rFonts w:ascii="Times New Roman" w:eastAsia="Times New Roman" w:hAnsi="Times New Roman" w:cs="Times New Roman"/>
                <w:color w:val="222222"/>
                <w:sz w:val="24"/>
                <w:szCs w:val="24"/>
              </w:rPr>
              <w:t xml:space="preserve">en edificaciones de uso </w:t>
            </w:r>
            <w:r w:rsidR="004D2FBD">
              <w:rPr>
                <w:rFonts w:ascii="Times New Roman" w:eastAsia="Times New Roman" w:hAnsi="Times New Roman" w:cs="Times New Roman"/>
                <w:color w:val="222222"/>
                <w:sz w:val="24"/>
                <w:szCs w:val="24"/>
              </w:rPr>
              <w:t>residencial en las ciudades de B</w:t>
            </w:r>
            <w:r w:rsidR="004D2FBD" w:rsidRPr="00956F6A">
              <w:rPr>
                <w:rFonts w:ascii="Times New Roman" w:eastAsia="Times New Roman" w:hAnsi="Times New Roman" w:cs="Times New Roman"/>
                <w:color w:val="222222"/>
                <w:sz w:val="24"/>
                <w:szCs w:val="24"/>
              </w:rPr>
              <w:t>ogotá para</w:t>
            </w:r>
            <w:r w:rsidR="004D2FBD">
              <w:rPr>
                <w:rFonts w:ascii="Times New Roman" w:eastAsia="Times New Roman" w:hAnsi="Times New Roman" w:cs="Times New Roman"/>
                <w:color w:val="222222"/>
                <w:sz w:val="24"/>
                <w:szCs w:val="24"/>
              </w:rPr>
              <w:t xml:space="preserve"> estratos 2,</w:t>
            </w:r>
            <w:r w:rsidR="004D2FBD" w:rsidRPr="00956F6A">
              <w:rPr>
                <w:rFonts w:ascii="Times New Roman" w:eastAsia="Times New Roman" w:hAnsi="Times New Roman" w:cs="Times New Roman"/>
                <w:color w:val="222222"/>
                <w:sz w:val="24"/>
                <w:szCs w:val="24"/>
              </w:rPr>
              <w:t xml:space="preserve"> 3</w:t>
            </w:r>
            <w:r w:rsidR="004D2FBD">
              <w:rPr>
                <w:rFonts w:ascii="Times New Roman" w:eastAsia="Times New Roman" w:hAnsi="Times New Roman" w:cs="Times New Roman"/>
                <w:color w:val="222222"/>
                <w:sz w:val="24"/>
                <w:szCs w:val="24"/>
              </w:rPr>
              <w:t xml:space="preserve"> y 4</w:t>
            </w:r>
            <w:r w:rsidR="004D2FBD" w:rsidRPr="00956F6A">
              <w:rPr>
                <w:rFonts w:ascii="Times New Roman" w:eastAsia="Times New Roman" w:hAnsi="Times New Roman" w:cs="Times New Roman"/>
                <w:color w:val="222222"/>
                <w:sz w:val="24"/>
                <w:szCs w:val="24"/>
              </w:rPr>
              <w:t>.</w:t>
            </w:r>
          </w:p>
        </w:tc>
      </w:tr>
    </w:tbl>
    <w:p w14:paraId="6864BDFA" w14:textId="77777777" w:rsidR="005A3412" w:rsidRDefault="005A3412">
      <w:pPr>
        <w:pStyle w:val="normal0"/>
        <w:spacing w:after="0" w:line="276" w:lineRule="auto"/>
        <w:rPr>
          <w:rFonts w:ascii="Times New Roman" w:eastAsia="Times New Roman" w:hAnsi="Times New Roman" w:cs="Times New Roman"/>
          <w:sz w:val="24"/>
          <w:szCs w:val="24"/>
        </w:rPr>
      </w:pPr>
    </w:p>
    <w:tbl>
      <w:tblPr>
        <w:tblStyle w:val="a5"/>
        <w:tblW w:w="14983" w:type="dxa"/>
        <w:tblInd w:w="0" w:type="dxa"/>
        <w:tblLayout w:type="fixed"/>
        <w:tblLook w:val="0400" w:firstRow="0" w:lastRow="0" w:firstColumn="0" w:lastColumn="0" w:noHBand="0" w:noVBand="1"/>
      </w:tblPr>
      <w:tblGrid>
        <w:gridCol w:w="14983"/>
      </w:tblGrid>
      <w:tr w:rsidR="005A3412" w14:paraId="4F308B95" w14:textId="77777777">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7BD9020C" w14:textId="77777777" w:rsidR="005A3412" w:rsidRDefault="00110E44">
            <w:pPr>
              <w:pStyle w:val="normal0"/>
              <w:spacing w:line="276" w:lineRule="auto"/>
              <w:jc w:val="center"/>
              <w:rPr>
                <w:rFonts w:ascii="Times New Roman" w:eastAsia="Times New Roman" w:hAnsi="Times New Roman" w:cs="Times New Roman"/>
                <w:b/>
                <w:color w:val="222222"/>
                <w:sz w:val="24"/>
                <w:szCs w:val="24"/>
              </w:rPr>
            </w:pPr>
            <w:r>
              <w:rPr>
                <w:rFonts w:ascii="Times New Roman" w:eastAsia="Times New Roman" w:hAnsi="Times New Roman" w:cs="Times New Roman"/>
                <w:b/>
                <w:color w:val="222222"/>
                <w:sz w:val="24"/>
                <w:szCs w:val="24"/>
              </w:rPr>
              <w:t>Objetivos específicos</w:t>
            </w:r>
          </w:p>
        </w:tc>
      </w:tr>
      <w:tr w:rsidR="005A3412" w14:paraId="29C71864" w14:textId="77777777">
        <w:trPr>
          <w:trHeight w:val="1320"/>
        </w:trPr>
        <w:tc>
          <w:tcPr>
            <w:tcW w:w="14983" w:type="dxa"/>
            <w:tcBorders>
              <w:top w:val="single" w:sz="6" w:space="0" w:color="DDDDDD"/>
              <w:left w:val="single" w:sz="6" w:space="0" w:color="DDDDDD"/>
              <w:bottom w:val="single" w:sz="6" w:space="0" w:color="DDDDDD"/>
              <w:right w:val="single" w:sz="6" w:space="0" w:color="DDDDDD"/>
            </w:tcBorders>
            <w:tcMar>
              <w:top w:w="15" w:type="dxa"/>
              <w:left w:w="15" w:type="dxa"/>
              <w:bottom w:w="15" w:type="dxa"/>
              <w:right w:w="15" w:type="dxa"/>
            </w:tcMar>
            <w:vAlign w:val="center"/>
          </w:tcPr>
          <w:p w14:paraId="0A4C887C" w14:textId="2DFCF7F3" w:rsidR="00294344" w:rsidRPr="002C4826" w:rsidRDefault="00294344" w:rsidP="00294344">
            <w:pPr>
              <w:pStyle w:val="Prrafodelista"/>
              <w:widowControl w:val="0"/>
              <w:numPr>
                <w:ilvl w:val="0"/>
                <w:numId w:val="3"/>
              </w:numPr>
              <w:tabs>
                <w:tab w:val="left" w:pos="220"/>
                <w:tab w:val="left" w:pos="720"/>
              </w:tabs>
              <w:autoSpaceDE w:val="0"/>
              <w:autoSpaceDN w:val="0"/>
              <w:adjustRightInd w:val="0"/>
              <w:spacing w:after="293" w:line="340" w:lineRule="atLeast"/>
              <w:jc w:val="both"/>
              <w:rPr>
                <w:rFonts w:ascii="Times New Roman" w:eastAsia="Times New Roman" w:hAnsi="Times New Roman" w:cs="Times New Roman"/>
                <w:sz w:val="24"/>
                <w:szCs w:val="24"/>
                <w:lang w:val="es-ES"/>
              </w:rPr>
            </w:pPr>
            <w:r w:rsidRPr="002C4826">
              <w:rPr>
                <w:rFonts w:ascii="Times New Roman" w:eastAsia="Times New Roman" w:hAnsi="Times New Roman" w:cs="Times New Roman"/>
                <w:sz w:val="24"/>
                <w:szCs w:val="24"/>
                <w:lang w:val="es-ES"/>
              </w:rPr>
              <w:lastRenderedPageBreak/>
              <w:t xml:space="preserve">Identificar los factores principales asociados al consumo de agua potable </w:t>
            </w:r>
            <w:r>
              <w:rPr>
                <w:rFonts w:ascii="Times New Roman" w:eastAsia="Times New Roman" w:hAnsi="Times New Roman" w:cs="Times New Roman"/>
                <w:sz w:val="24"/>
                <w:szCs w:val="24"/>
                <w:lang w:val="es-ES"/>
              </w:rPr>
              <w:t>en sectores residenciales de la</w:t>
            </w:r>
            <w:r w:rsidRPr="002C4826">
              <w:rPr>
                <w:rFonts w:ascii="Times New Roman" w:eastAsia="Times New Roman" w:hAnsi="Times New Roman" w:cs="Times New Roman"/>
                <w:sz w:val="24"/>
                <w:szCs w:val="24"/>
                <w:lang w:val="es-ES"/>
              </w:rPr>
              <w:t xml:space="preserve"> ciudades de Bogotá </w:t>
            </w:r>
            <w:r>
              <w:rPr>
                <w:rFonts w:ascii="Times New Roman" w:eastAsia="Times New Roman" w:hAnsi="Times New Roman" w:cs="Times New Roman"/>
                <w:sz w:val="24"/>
                <w:szCs w:val="24"/>
                <w:lang w:val="es-ES"/>
              </w:rPr>
              <w:t>para estratos 2, 3 y 4.</w:t>
            </w:r>
          </w:p>
          <w:p w14:paraId="2BB21390" w14:textId="5FE2C965" w:rsidR="00294344" w:rsidRDefault="00294344" w:rsidP="00294344">
            <w:pPr>
              <w:pStyle w:val="Prrafodelista"/>
              <w:widowControl w:val="0"/>
              <w:numPr>
                <w:ilvl w:val="0"/>
                <w:numId w:val="3"/>
              </w:numPr>
              <w:tabs>
                <w:tab w:val="left" w:pos="220"/>
                <w:tab w:val="left" w:pos="720"/>
              </w:tabs>
              <w:autoSpaceDE w:val="0"/>
              <w:autoSpaceDN w:val="0"/>
              <w:adjustRightInd w:val="0"/>
              <w:spacing w:after="293" w:line="340" w:lineRule="atLeast"/>
              <w:jc w:val="both"/>
              <w:rPr>
                <w:rFonts w:ascii="Times New Roman" w:eastAsia="Times New Roman" w:hAnsi="Times New Roman" w:cs="Times New Roman"/>
                <w:sz w:val="24"/>
                <w:szCs w:val="24"/>
                <w:lang w:val="es-ES"/>
              </w:rPr>
            </w:pPr>
            <w:r w:rsidRPr="002C4826">
              <w:rPr>
                <w:rFonts w:ascii="Times New Roman" w:eastAsia="Times New Roman" w:hAnsi="Times New Roman" w:cs="Times New Roman"/>
                <w:sz w:val="24"/>
                <w:szCs w:val="24"/>
                <w:lang w:val="es-ES"/>
              </w:rPr>
              <w:t xml:space="preserve">Proponer alternativas </w:t>
            </w:r>
            <w:r>
              <w:rPr>
                <w:rFonts w:ascii="Times New Roman" w:eastAsia="Times New Roman" w:hAnsi="Times New Roman" w:cs="Times New Roman"/>
                <w:sz w:val="24"/>
                <w:szCs w:val="24"/>
                <w:lang w:val="es-ES"/>
              </w:rPr>
              <w:t xml:space="preserve">mediante educación ambiental </w:t>
            </w:r>
            <w:r w:rsidRPr="002C4826">
              <w:rPr>
                <w:rFonts w:ascii="Times New Roman" w:eastAsia="Times New Roman" w:hAnsi="Times New Roman" w:cs="Times New Roman"/>
                <w:sz w:val="24"/>
                <w:szCs w:val="24"/>
                <w:lang w:val="es-ES"/>
              </w:rPr>
              <w:t>para la disminuci</w:t>
            </w:r>
            <w:r>
              <w:rPr>
                <w:rFonts w:ascii="Times New Roman" w:eastAsia="Times New Roman" w:hAnsi="Times New Roman" w:cs="Times New Roman"/>
                <w:sz w:val="24"/>
                <w:szCs w:val="24"/>
                <w:lang w:val="es-ES"/>
              </w:rPr>
              <w:t>ón de consumos de agua potable que generaría disminución de consumo energético</w:t>
            </w:r>
            <w:r w:rsidRPr="002C4826">
              <w:rPr>
                <w:rFonts w:ascii="Times New Roman" w:eastAsia="Times New Roman" w:hAnsi="Times New Roman" w:cs="Times New Roman"/>
                <w:sz w:val="24"/>
                <w:szCs w:val="24"/>
                <w:lang w:val="es-ES"/>
              </w:rPr>
              <w:t>.</w:t>
            </w:r>
          </w:p>
          <w:p w14:paraId="6982F44B" w14:textId="15B0627D" w:rsidR="00C57D96" w:rsidRPr="002C4826" w:rsidRDefault="00C57D96" w:rsidP="00C57D96">
            <w:pPr>
              <w:pStyle w:val="Prrafodelista"/>
              <w:widowControl w:val="0"/>
              <w:numPr>
                <w:ilvl w:val="0"/>
                <w:numId w:val="3"/>
              </w:numPr>
              <w:tabs>
                <w:tab w:val="left" w:pos="220"/>
                <w:tab w:val="left" w:pos="720"/>
              </w:tabs>
              <w:autoSpaceDE w:val="0"/>
              <w:autoSpaceDN w:val="0"/>
              <w:adjustRightInd w:val="0"/>
              <w:spacing w:after="293" w:line="340" w:lineRule="atLeast"/>
              <w:jc w:val="both"/>
              <w:rPr>
                <w:rFonts w:ascii="Times New Roman" w:eastAsia="Times New Roman" w:hAnsi="Times New Roman" w:cs="Times New Roman"/>
                <w:sz w:val="24"/>
                <w:szCs w:val="24"/>
                <w:lang w:val="es-ES"/>
              </w:rPr>
            </w:pPr>
            <w:r>
              <w:rPr>
                <w:rFonts w:ascii="Times New Roman" w:eastAsia="Times New Roman" w:hAnsi="Times New Roman" w:cs="Times New Roman"/>
                <w:sz w:val="24"/>
                <w:szCs w:val="24"/>
                <w:lang w:val="es-ES"/>
              </w:rPr>
              <w:t>C</w:t>
            </w:r>
            <w:r w:rsidRPr="002C4826">
              <w:rPr>
                <w:rFonts w:ascii="Times New Roman" w:eastAsia="Times New Roman" w:hAnsi="Times New Roman" w:cs="Times New Roman"/>
                <w:sz w:val="24"/>
                <w:szCs w:val="24"/>
                <w:lang w:val="es-ES"/>
              </w:rPr>
              <w:t xml:space="preserve">uantificar </w:t>
            </w:r>
            <w:r>
              <w:rPr>
                <w:rFonts w:ascii="Times New Roman" w:eastAsia="Times New Roman" w:hAnsi="Times New Roman" w:cs="Times New Roman"/>
                <w:sz w:val="24"/>
                <w:szCs w:val="24"/>
                <w:lang w:val="es-ES"/>
              </w:rPr>
              <w:t>el ahorro de</w:t>
            </w:r>
            <w:r w:rsidRPr="002C4826">
              <w:rPr>
                <w:rFonts w:ascii="Times New Roman" w:eastAsia="Times New Roman" w:hAnsi="Times New Roman" w:cs="Times New Roman"/>
                <w:sz w:val="24"/>
                <w:szCs w:val="24"/>
                <w:lang w:val="es-ES"/>
              </w:rPr>
              <w:t xml:space="preserve"> consumo energético </w:t>
            </w:r>
            <w:r>
              <w:rPr>
                <w:rFonts w:ascii="Times New Roman" w:eastAsia="Times New Roman" w:hAnsi="Times New Roman" w:cs="Times New Roman"/>
                <w:sz w:val="24"/>
                <w:szCs w:val="24"/>
                <w:lang w:val="es-ES"/>
              </w:rPr>
              <w:t xml:space="preserve">asociado a la implementación de estrategias de educación ambiental para el ahorro de agua </w:t>
            </w:r>
            <w:r w:rsidRPr="002C4826">
              <w:rPr>
                <w:rFonts w:ascii="Times New Roman" w:eastAsia="Times New Roman" w:hAnsi="Times New Roman" w:cs="Times New Roman"/>
                <w:sz w:val="24"/>
                <w:szCs w:val="24"/>
                <w:lang w:val="es-ES"/>
              </w:rPr>
              <w:t xml:space="preserve">en sectores </w:t>
            </w:r>
            <w:r>
              <w:rPr>
                <w:rFonts w:ascii="Times New Roman" w:eastAsia="Times New Roman" w:hAnsi="Times New Roman" w:cs="Times New Roman"/>
                <w:sz w:val="24"/>
                <w:szCs w:val="24"/>
                <w:lang w:val="es-ES"/>
              </w:rPr>
              <w:t>residenciales de la</w:t>
            </w:r>
            <w:r w:rsidRPr="002C4826">
              <w:rPr>
                <w:rFonts w:ascii="Times New Roman" w:eastAsia="Times New Roman" w:hAnsi="Times New Roman" w:cs="Times New Roman"/>
                <w:sz w:val="24"/>
                <w:szCs w:val="24"/>
                <w:lang w:val="es-ES"/>
              </w:rPr>
              <w:t xml:space="preserve"> ciudades de Bogotá </w:t>
            </w:r>
            <w:r>
              <w:rPr>
                <w:rFonts w:ascii="Times New Roman" w:eastAsia="Times New Roman" w:hAnsi="Times New Roman" w:cs="Times New Roman"/>
                <w:sz w:val="24"/>
                <w:szCs w:val="24"/>
                <w:lang w:val="es-ES"/>
              </w:rPr>
              <w:t>para estratos 2, 3 y 4</w:t>
            </w:r>
            <w:r w:rsidRPr="002C4826">
              <w:rPr>
                <w:rFonts w:ascii="Times New Roman" w:eastAsia="Times New Roman" w:hAnsi="Times New Roman" w:cs="Times New Roman"/>
                <w:sz w:val="24"/>
                <w:szCs w:val="24"/>
                <w:lang w:val="es-ES"/>
              </w:rPr>
              <w:t>.</w:t>
            </w:r>
          </w:p>
          <w:p w14:paraId="1CF7CD12" w14:textId="77777777" w:rsidR="00C57D96" w:rsidRPr="00C57D96" w:rsidRDefault="00C57D96" w:rsidP="00C57D96">
            <w:pPr>
              <w:widowControl w:val="0"/>
              <w:tabs>
                <w:tab w:val="left" w:pos="220"/>
                <w:tab w:val="left" w:pos="720"/>
              </w:tabs>
              <w:autoSpaceDE w:val="0"/>
              <w:autoSpaceDN w:val="0"/>
              <w:adjustRightInd w:val="0"/>
              <w:spacing w:after="293" w:line="340" w:lineRule="atLeast"/>
              <w:ind w:left="360"/>
              <w:jc w:val="both"/>
              <w:rPr>
                <w:rFonts w:ascii="Times New Roman" w:eastAsia="Times New Roman" w:hAnsi="Times New Roman" w:cs="Times New Roman"/>
                <w:sz w:val="24"/>
                <w:szCs w:val="24"/>
                <w:lang w:val="es-ES"/>
              </w:rPr>
            </w:pPr>
          </w:p>
          <w:p w14:paraId="2D762DC8" w14:textId="07C777D3" w:rsidR="005A3412" w:rsidRDefault="005A3412" w:rsidP="00294344">
            <w:pPr>
              <w:pStyle w:val="normal0"/>
              <w:spacing w:line="276" w:lineRule="auto"/>
              <w:jc w:val="both"/>
              <w:rPr>
                <w:rFonts w:ascii="Times New Roman" w:eastAsia="Times New Roman" w:hAnsi="Times New Roman" w:cs="Times New Roman"/>
                <w:sz w:val="24"/>
                <w:szCs w:val="24"/>
              </w:rPr>
            </w:pPr>
          </w:p>
        </w:tc>
      </w:tr>
    </w:tbl>
    <w:p w14:paraId="55FF79C9" w14:textId="77777777" w:rsidR="005A3412" w:rsidRDefault="005A3412">
      <w:pPr>
        <w:pStyle w:val="normal0"/>
        <w:spacing w:after="0" w:line="276" w:lineRule="auto"/>
        <w:rPr>
          <w:rFonts w:ascii="Times New Roman" w:eastAsia="Times New Roman" w:hAnsi="Times New Roman" w:cs="Times New Roman"/>
          <w:sz w:val="24"/>
          <w:szCs w:val="24"/>
        </w:rPr>
      </w:pPr>
    </w:p>
    <w:tbl>
      <w:tblPr>
        <w:tblStyle w:val="a6"/>
        <w:tblW w:w="15160" w:type="dxa"/>
        <w:tblInd w:w="0" w:type="dxa"/>
        <w:tblLayout w:type="fixed"/>
        <w:tblLook w:val="0400" w:firstRow="0" w:lastRow="0" w:firstColumn="0" w:lastColumn="0" w:noHBand="0" w:noVBand="1"/>
      </w:tblPr>
      <w:tblGrid>
        <w:gridCol w:w="15160"/>
      </w:tblGrid>
      <w:tr w:rsidR="005A3412" w14:paraId="45B56960" w14:textId="77777777">
        <w:tc>
          <w:tcPr>
            <w:tcW w:w="15160"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44EFFC78" w14:textId="77777777" w:rsidR="005A3412" w:rsidRDefault="00110E44">
            <w:pPr>
              <w:pStyle w:val="normal0"/>
              <w:spacing w:line="276" w:lineRule="auto"/>
              <w:jc w:val="center"/>
              <w:rPr>
                <w:rFonts w:ascii="Times New Roman" w:eastAsia="Times New Roman" w:hAnsi="Times New Roman" w:cs="Times New Roman"/>
                <w:b/>
                <w:color w:val="222222"/>
                <w:sz w:val="24"/>
                <w:szCs w:val="24"/>
              </w:rPr>
            </w:pPr>
            <w:r>
              <w:rPr>
                <w:rFonts w:ascii="Times New Roman" w:eastAsia="Times New Roman" w:hAnsi="Times New Roman" w:cs="Times New Roman"/>
                <w:b/>
                <w:color w:val="222222"/>
                <w:sz w:val="24"/>
                <w:szCs w:val="24"/>
              </w:rPr>
              <w:t>Estado del arte y marco conceptual</w:t>
            </w:r>
          </w:p>
        </w:tc>
      </w:tr>
      <w:tr w:rsidR="005A3412" w14:paraId="75F3560C" w14:textId="77777777">
        <w:tc>
          <w:tcPr>
            <w:tcW w:w="15160" w:type="dxa"/>
            <w:tcBorders>
              <w:top w:val="single" w:sz="6" w:space="0" w:color="DDDDDD"/>
              <w:left w:val="single" w:sz="6" w:space="0" w:color="DDDDDD"/>
              <w:bottom w:val="single" w:sz="6" w:space="0" w:color="DDDDDD"/>
              <w:right w:val="single" w:sz="6" w:space="0" w:color="DDDDDD"/>
            </w:tcBorders>
            <w:tcMar>
              <w:top w:w="15" w:type="dxa"/>
              <w:left w:w="15" w:type="dxa"/>
              <w:bottom w:w="15" w:type="dxa"/>
              <w:right w:w="15" w:type="dxa"/>
            </w:tcMar>
            <w:vAlign w:val="center"/>
          </w:tcPr>
          <w:p w14:paraId="5B986349" w14:textId="77777777" w:rsidR="005A3412" w:rsidRDefault="005A3412">
            <w:pPr>
              <w:pStyle w:val="normal0"/>
              <w:spacing w:line="276" w:lineRule="auto"/>
              <w:jc w:val="both"/>
              <w:rPr>
                <w:rFonts w:ascii="Times New Roman" w:eastAsia="Times New Roman" w:hAnsi="Times New Roman" w:cs="Times New Roman"/>
                <w:b/>
                <w:color w:val="222222"/>
                <w:sz w:val="24"/>
                <w:szCs w:val="24"/>
              </w:rPr>
            </w:pPr>
          </w:p>
          <w:p w14:paraId="29FF842E" w14:textId="77777777" w:rsidR="00294344" w:rsidRPr="00D6619B" w:rsidRDefault="00294344" w:rsidP="00294344">
            <w:pPr>
              <w:jc w:val="both"/>
              <w:rPr>
                <w:rFonts w:ascii="Times New Roman" w:eastAsia="Times New Roman" w:hAnsi="Times New Roman" w:cs="Times New Roman"/>
                <w:sz w:val="24"/>
                <w:szCs w:val="24"/>
                <w:lang w:val="es-ES"/>
              </w:rPr>
            </w:pPr>
            <w:r w:rsidRPr="00D6619B">
              <w:rPr>
                <w:rFonts w:ascii="Times New Roman" w:eastAsia="Times New Roman" w:hAnsi="Times New Roman" w:cs="Times New Roman"/>
                <w:sz w:val="24"/>
                <w:szCs w:val="24"/>
                <w:lang w:val="es-ES"/>
              </w:rPr>
              <w:t>El agua es probablemente el recurso más importante del planeta, es esencial en la vida de</w:t>
            </w:r>
            <w:r>
              <w:rPr>
                <w:rFonts w:ascii="Times New Roman" w:eastAsia="Times New Roman" w:hAnsi="Times New Roman" w:cs="Times New Roman"/>
                <w:sz w:val="24"/>
                <w:szCs w:val="24"/>
                <w:lang w:val="es-ES"/>
              </w:rPr>
              <w:t xml:space="preserve"> </w:t>
            </w:r>
            <w:r w:rsidRPr="00D6619B">
              <w:rPr>
                <w:rFonts w:ascii="Times New Roman" w:eastAsia="Times New Roman" w:hAnsi="Times New Roman" w:cs="Times New Roman"/>
                <w:sz w:val="24"/>
                <w:szCs w:val="24"/>
                <w:lang w:val="es-ES"/>
              </w:rPr>
              <w:t>todos los seres vivos existentes, en las actividades cotidianas de los seres humanos (en su</w:t>
            </w:r>
            <w:r>
              <w:rPr>
                <w:rFonts w:ascii="Times New Roman" w:eastAsia="Times New Roman" w:hAnsi="Times New Roman" w:cs="Times New Roman"/>
                <w:sz w:val="24"/>
                <w:szCs w:val="24"/>
                <w:lang w:val="es-ES"/>
              </w:rPr>
              <w:t xml:space="preserve"> </w:t>
            </w:r>
            <w:r w:rsidRPr="00D6619B">
              <w:rPr>
                <w:rFonts w:ascii="Times New Roman" w:eastAsia="Times New Roman" w:hAnsi="Times New Roman" w:cs="Times New Roman"/>
                <w:sz w:val="24"/>
                <w:szCs w:val="24"/>
                <w:lang w:val="es-ES"/>
              </w:rPr>
              <w:t>alimentación, aseo, recreación y actividades industriales) y en general en todo el ciclo</w:t>
            </w:r>
            <w:r>
              <w:rPr>
                <w:rFonts w:ascii="Times New Roman" w:eastAsia="Times New Roman" w:hAnsi="Times New Roman" w:cs="Times New Roman"/>
                <w:sz w:val="24"/>
                <w:szCs w:val="24"/>
                <w:lang w:val="es-ES"/>
              </w:rPr>
              <w:t xml:space="preserve"> </w:t>
            </w:r>
            <w:r w:rsidRPr="00D6619B">
              <w:rPr>
                <w:rFonts w:ascii="Times New Roman" w:eastAsia="Times New Roman" w:hAnsi="Times New Roman" w:cs="Times New Roman"/>
                <w:sz w:val="24"/>
                <w:szCs w:val="24"/>
                <w:lang w:val="es-ES"/>
              </w:rPr>
              <w:t>natural y el desarrollo humano. Sin embargo es importante establecer unos límites de</w:t>
            </w:r>
            <w:r>
              <w:rPr>
                <w:rFonts w:ascii="Times New Roman" w:eastAsia="Times New Roman" w:hAnsi="Times New Roman" w:cs="Times New Roman"/>
                <w:sz w:val="24"/>
                <w:szCs w:val="24"/>
                <w:lang w:val="es-ES"/>
              </w:rPr>
              <w:t xml:space="preserve"> </w:t>
            </w:r>
            <w:r w:rsidRPr="00D6619B">
              <w:rPr>
                <w:rFonts w:ascii="Times New Roman" w:eastAsia="Times New Roman" w:hAnsi="Times New Roman" w:cs="Times New Roman"/>
                <w:sz w:val="24"/>
                <w:szCs w:val="24"/>
                <w:lang w:val="es-ES"/>
              </w:rPr>
              <w:t>consumo. si es verdad que el agua es un recurso natural renovable, el agua potable (agua</w:t>
            </w:r>
            <w:r>
              <w:rPr>
                <w:rFonts w:ascii="Times New Roman" w:eastAsia="Times New Roman" w:hAnsi="Times New Roman" w:cs="Times New Roman"/>
                <w:sz w:val="24"/>
                <w:szCs w:val="24"/>
                <w:lang w:val="es-ES"/>
              </w:rPr>
              <w:t xml:space="preserve"> </w:t>
            </w:r>
            <w:r w:rsidRPr="00D6619B">
              <w:rPr>
                <w:rFonts w:ascii="Times New Roman" w:eastAsia="Times New Roman" w:hAnsi="Times New Roman" w:cs="Times New Roman"/>
                <w:sz w:val="24"/>
                <w:szCs w:val="24"/>
                <w:lang w:val="es-ES"/>
              </w:rPr>
              <w:t>dulce) cada vez es más escasa, por esta razón es indispensable implementar estrategias de</w:t>
            </w:r>
            <w:r>
              <w:rPr>
                <w:rFonts w:ascii="Times New Roman" w:eastAsia="Times New Roman" w:hAnsi="Times New Roman" w:cs="Times New Roman"/>
                <w:sz w:val="24"/>
                <w:szCs w:val="24"/>
                <w:lang w:val="es-ES"/>
              </w:rPr>
              <w:t xml:space="preserve"> </w:t>
            </w:r>
            <w:r w:rsidRPr="00D6619B">
              <w:rPr>
                <w:rFonts w:ascii="Times New Roman" w:eastAsia="Times New Roman" w:hAnsi="Times New Roman" w:cs="Times New Roman"/>
                <w:sz w:val="24"/>
                <w:szCs w:val="24"/>
                <w:lang w:val="es-ES"/>
              </w:rPr>
              <w:t>uso eficiente del agua.</w:t>
            </w:r>
          </w:p>
          <w:p w14:paraId="4A7EA630" w14:textId="77777777" w:rsidR="00294344" w:rsidRDefault="00294344" w:rsidP="00294344">
            <w:pPr>
              <w:jc w:val="both"/>
              <w:rPr>
                <w:rFonts w:ascii="Times New Roman" w:eastAsia="Times New Roman" w:hAnsi="Times New Roman" w:cs="Times New Roman"/>
                <w:sz w:val="24"/>
                <w:szCs w:val="24"/>
                <w:lang w:val="es-ES"/>
              </w:rPr>
            </w:pPr>
          </w:p>
          <w:p w14:paraId="77BA523B" w14:textId="77777777" w:rsidR="00294344" w:rsidRDefault="00294344" w:rsidP="00294344">
            <w:pPr>
              <w:jc w:val="both"/>
              <w:rPr>
                <w:rFonts w:ascii="Times New Roman" w:eastAsia="Times New Roman" w:hAnsi="Times New Roman" w:cs="Times New Roman"/>
                <w:sz w:val="24"/>
                <w:szCs w:val="24"/>
                <w:lang w:val="es-ES"/>
              </w:rPr>
            </w:pPr>
            <w:r w:rsidRPr="00D6619B">
              <w:rPr>
                <w:rFonts w:ascii="Times New Roman" w:eastAsia="Times New Roman" w:hAnsi="Times New Roman" w:cs="Times New Roman"/>
                <w:sz w:val="24"/>
                <w:szCs w:val="24"/>
                <w:lang w:val="es-ES"/>
              </w:rPr>
              <w:t>El ahorro de agua consiste básicamente en racionalizar su uso y su consumo, a través de</w:t>
            </w:r>
            <w:r>
              <w:rPr>
                <w:rFonts w:ascii="Times New Roman" w:eastAsia="Times New Roman" w:hAnsi="Times New Roman" w:cs="Times New Roman"/>
                <w:sz w:val="24"/>
                <w:szCs w:val="24"/>
                <w:lang w:val="es-ES"/>
              </w:rPr>
              <w:t xml:space="preserve"> </w:t>
            </w:r>
            <w:r w:rsidRPr="00D6619B">
              <w:rPr>
                <w:rFonts w:ascii="Times New Roman" w:eastAsia="Times New Roman" w:hAnsi="Times New Roman" w:cs="Times New Roman"/>
                <w:sz w:val="24"/>
                <w:szCs w:val="24"/>
                <w:lang w:val="es-ES"/>
              </w:rPr>
              <w:t>actividades y hábitos apropiados que procuren llevar a cabo todas las actividades diarias, a</w:t>
            </w:r>
            <w:r>
              <w:rPr>
                <w:rFonts w:ascii="Times New Roman" w:eastAsia="Times New Roman" w:hAnsi="Times New Roman" w:cs="Times New Roman"/>
                <w:sz w:val="24"/>
                <w:szCs w:val="24"/>
                <w:lang w:val="es-ES"/>
              </w:rPr>
              <w:t xml:space="preserve"> </w:t>
            </w:r>
            <w:r w:rsidRPr="00D6619B">
              <w:rPr>
                <w:rFonts w:ascii="Times New Roman" w:eastAsia="Times New Roman" w:hAnsi="Times New Roman" w:cs="Times New Roman"/>
                <w:sz w:val="24"/>
                <w:szCs w:val="24"/>
                <w:lang w:val="es-ES"/>
              </w:rPr>
              <w:t>la vez que se genera una reducción significativa en el gasto de dicho recurso. El ahorro</w:t>
            </w:r>
            <w:r>
              <w:rPr>
                <w:rFonts w:ascii="Times New Roman" w:eastAsia="Times New Roman" w:hAnsi="Times New Roman" w:cs="Times New Roman"/>
                <w:sz w:val="24"/>
                <w:szCs w:val="24"/>
                <w:lang w:val="es-ES"/>
              </w:rPr>
              <w:t xml:space="preserve"> </w:t>
            </w:r>
            <w:r w:rsidRPr="00D6619B">
              <w:rPr>
                <w:rFonts w:ascii="Times New Roman" w:eastAsia="Times New Roman" w:hAnsi="Times New Roman" w:cs="Times New Roman"/>
                <w:sz w:val="24"/>
                <w:szCs w:val="24"/>
                <w:lang w:val="es-ES"/>
              </w:rPr>
              <w:t>nace como una necesidad de subsistencia, dicho de otro modo los seres humanos</w:t>
            </w:r>
            <w:r>
              <w:rPr>
                <w:rFonts w:ascii="Times New Roman" w:eastAsia="Times New Roman" w:hAnsi="Times New Roman" w:cs="Times New Roman"/>
                <w:sz w:val="24"/>
                <w:szCs w:val="24"/>
                <w:lang w:val="es-ES"/>
              </w:rPr>
              <w:t xml:space="preserve"> </w:t>
            </w:r>
            <w:r w:rsidRPr="00D6619B">
              <w:rPr>
                <w:rFonts w:ascii="Times New Roman" w:eastAsia="Times New Roman" w:hAnsi="Times New Roman" w:cs="Times New Roman"/>
                <w:sz w:val="24"/>
                <w:szCs w:val="24"/>
                <w:lang w:val="es-ES"/>
              </w:rPr>
              <w:t>necesitamos del agua, pues somos nosotros quienes dependemos intrínsecamente de ella.</w:t>
            </w:r>
          </w:p>
          <w:p w14:paraId="41F1969F" w14:textId="77777777" w:rsidR="00294344" w:rsidRDefault="00294344" w:rsidP="00294344">
            <w:pPr>
              <w:jc w:val="both"/>
              <w:rPr>
                <w:rFonts w:ascii="Times New Roman" w:eastAsia="Times New Roman" w:hAnsi="Times New Roman" w:cs="Times New Roman"/>
                <w:sz w:val="24"/>
                <w:szCs w:val="24"/>
                <w:lang w:val="es-ES"/>
              </w:rPr>
            </w:pPr>
          </w:p>
          <w:p w14:paraId="6C2C2EE5" w14:textId="77777777" w:rsidR="00294344" w:rsidRPr="003762B4" w:rsidRDefault="00294344" w:rsidP="00294344">
            <w:pPr>
              <w:ind w:firstLine="708"/>
              <w:jc w:val="both"/>
              <w:rPr>
                <w:rFonts w:ascii="Times New Roman" w:eastAsia="Times New Roman" w:hAnsi="Times New Roman" w:cs="Times New Roman"/>
                <w:b/>
                <w:i/>
                <w:sz w:val="24"/>
                <w:szCs w:val="24"/>
                <w:lang w:val="es-ES"/>
              </w:rPr>
            </w:pPr>
            <w:r w:rsidRPr="003762B4">
              <w:rPr>
                <w:rFonts w:ascii="Times New Roman" w:eastAsia="Times New Roman" w:hAnsi="Times New Roman" w:cs="Times New Roman"/>
                <w:b/>
                <w:i/>
                <w:sz w:val="24"/>
                <w:szCs w:val="24"/>
                <w:lang w:val="es-ES"/>
              </w:rPr>
              <w:t>Relación agua-energía</w:t>
            </w:r>
          </w:p>
          <w:p w14:paraId="760FFEED" w14:textId="77777777" w:rsidR="00294344" w:rsidRDefault="00294344" w:rsidP="00294344">
            <w:pPr>
              <w:jc w:val="both"/>
              <w:rPr>
                <w:rFonts w:ascii="Times New Roman" w:eastAsia="Times New Roman" w:hAnsi="Times New Roman" w:cs="Times New Roman"/>
                <w:sz w:val="24"/>
                <w:szCs w:val="24"/>
                <w:lang w:val="es-ES"/>
              </w:rPr>
            </w:pPr>
          </w:p>
          <w:p w14:paraId="5EB3AE20" w14:textId="77777777" w:rsidR="00294344" w:rsidRDefault="00294344" w:rsidP="00294344">
            <w:pPr>
              <w:jc w:val="both"/>
              <w:rPr>
                <w:rFonts w:ascii="Times New Roman" w:eastAsia="Times New Roman" w:hAnsi="Times New Roman" w:cs="Times New Roman"/>
                <w:sz w:val="24"/>
                <w:szCs w:val="24"/>
                <w:lang w:val="es-ES"/>
              </w:rPr>
            </w:pPr>
            <w:r w:rsidRPr="003762B4">
              <w:rPr>
                <w:rFonts w:ascii="Times New Roman" w:eastAsia="Times New Roman" w:hAnsi="Times New Roman" w:cs="Times New Roman"/>
                <w:sz w:val="24"/>
                <w:szCs w:val="24"/>
                <w:lang w:val="es-ES"/>
              </w:rPr>
              <w:t xml:space="preserve">La influencia </w:t>
            </w:r>
            <w:r>
              <w:rPr>
                <w:rFonts w:ascii="Times New Roman" w:eastAsia="Times New Roman" w:hAnsi="Times New Roman" w:cs="Times New Roman"/>
                <w:sz w:val="24"/>
                <w:szCs w:val="24"/>
                <w:lang w:val="es-ES"/>
              </w:rPr>
              <w:t>que presenta el agua</w:t>
            </w:r>
            <w:r w:rsidRPr="003762B4">
              <w:rPr>
                <w:rFonts w:ascii="Times New Roman" w:eastAsia="Times New Roman" w:hAnsi="Times New Roman" w:cs="Times New Roman"/>
                <w:sz w:val="24"/>
                <w:szCs w:val="24"/>
                <w:lang w:val="es-ES"/>
              </w:rPr>
              <w:t xml:space="preserve"> suministro urbano de agua, el uso del agua y los servicios de ag</w:t>
            </w:r>
            <w:r>
              <w:rPr>
                <w:rFonts w:ascii="Times New Roman" w:eastAsia="Times New Roman" w:hAnsi="Times New Roman" w:cs="Times New Roman"/>
                <w:sz w:val="24"/>
                <w:szCs w:val="24"/>
                <w:lang w:val="es-ES"/>
              </w:rPr>
              <w:t>uas residuales sobre la energía es significativa, ya que se ha definido que estos dos recursos (agua – energía) están relacionados</w:t>
            </w:r>
            <w:r w:rsidRPr="003762B4">
              <w:rPr>
                <w:rFonts w:ascii="Times New Roman" w:eastAsia="Times New Roman" w:hAnsi="Times New Roman" w:cs="Times New Roman"/>
                <w:sz w:val="24"/>
                <w:szCs w:val="24"/>
                <w:lang w:val="es-ES"/>
              </w:rPr>
              <w:t xml:space="preserve"> directa o indirectamente </w:t>
            </w:r>
            <w:r>
              <w:rPr>
                <w:rFonts w:ascii="Times New Roman" w:eastAsia="Times New Roman" w:hAnsi="Times New Roman" w:cs="Times New Roman"/>
                <w:sz w:val="24"/>
                <w:szCs w:val="24"/>
                <w:lang w:val="es-ES"/>
              </w:rPr>
              <w:fldChar w:fldCharType="begin"/>
            </w:r>
            <w:r>
              <w:rPr>
                <w:rFonts w:ascii="Times New Roman" w:eastAsia="Times New Roman" w:hAnsi="Times New Roman" w:cs="Times New Roman"/>
                <w:sz w:val="24"/>
                <w:szCs w:val="24"/>
                <w:lang w:val="es-ES"/>
              </w:rPr>
              <w:instrText xml:space="preserve"> ADDIN ZOTERO_ITEM CSL_CITATION {"citationID":"a1eigi165e3","properties":{"formattedCitation":"{\\rtf (S. J. Kenway et\\uc0\\u160{}al., 2015)}","plainCitation":"(S. J. Kenway et al., 2015)"},"citationItems":[{"id":3536,"uris":["http://zotero.org/users/306373/items/ZJ3M47SM"],"uri":["http://zotero.org/users/306373/items/ZJ3M47SM"],"itemData":{"id":3536,"type":"article-journal","title":"A systemic framework and analysis of urban water energy","container-title":"Environmental Modelling &amp; Software","page":"272-285","volume":"73","source":"ScienceDirect","abstract":"Energy impacts of urban water systems are substantial, but not typically analysed systemically. We develop a new system boundary framework including a utility, the ‘bulk water supply authority’ (SB1); the ‘urban water system’ including water use (SB2); and the ‘regional water system’ (SB3). We use the framework to review existing models and show that most address only one boundary. We apply the framework to quantify thermal equivalents of water-related energy in SB1 and SB2, and identify that over 96% of water-related energy in South East Queensland (SEQ) is outside SB1 and within SB2. Consideration of energy influenced by water use is paramount to systemic energy efficiency and optimisation in the urban water system. Clear articulation of system boundaries will improve modelling and management of the energy impact of urban water. Systemic modelling will help decision makers answer increasingly integrated and cross-system and sector questions regarding water and energy interactions.","DOI":"10.1016/j.envsoft.2015.08.009","ISSN":"1364-8152","journalAbbreviation":"Environmental Modelling &amp; Software","author":[{"family":"Kenway","given":"S. J."},{"family":"Binks","given":"A."},{"family":"Lane","given":"J."},{"family":"Lant","given":"P. A."},{"family":"Lam","given":"K. L."},{"family":"Simms","given":"A."}],"issued":{"date-parts":[["2015",11,1]]}}}],"schema":"https://github.com/citation-style-language/schema/raw/master/csl-citation.json"} </w:instrText>
            </w:r>
            <w:r>
              <w:rPr>
                <w:rFonts w:ascii="Times New Roman" w:eastAsia="Times New Roman" w:hAnsi="Times New Roman" w:cs="Times New Roman"/>
                <w:sz w:val="24"/>
                <w:szCs w:val="24"/>
                <w:lang w:val="es-ES"/>
              </w:rPr>
              <w:fldChar w:fldCharType="separate"/>
            </w:r>
            <w:r w:rsidRPr="00195B6C">
              <w:rPr>
                <w:rFonts w:ascii="Times New Roman" w:hAnsi="Times New Roman" w:cs="Times New Roman"/>
                <w:sz w:val="24"/>
                <w:szCs w:val="24"/>
                <w:lang w:val="es-ES"/>
              </w:rPr>
              <w:t>(S. J. Kenway et al., 2015)</w:t>
            </w:r>
            <w:r>
              <w:rPr>
                <w:rFonts w:ascii="Times New Roman" w:eastAsia="Times New Roman" w:hAnsi="Times New Roman" w:cs="Times New Roman"/>
                <w:sz w:val="24"/>
                <w:szCs w:val="24"/>
                <w:lang w:val="es-ES"/>
              </w:rPr>
              <w:fldChar w:fldCharType="end"/>
            </w:r>
            <w:r>
              <w:rPr>
                <w:rFonts w:ascii="Times New Roman" w:eastAsia="Times New Roman" w:hAnsi="Times New Roman" w:cs="Times New Roman"/>
                <w:sz w:val="24"/>
                <w:szCs w:val="24"/>
                <w:lang w:val="es-ES"/>
              </w:rPr>
              <w:t xml:space="preserve">. </w:t>
            </w:r>
          </w:p>
          <w:p w14:paraId="2E2BEE59" w14:textId="77777777" w:rsidR="00294344" w:rsidRDefault="00294344" w:rsidP="00294344">
            <w:pPr>
              <w:jc w:val="both"/>
              <w:rPr>
                <w:rFonts w:ascii="Times New Roman" w:eastAsia="Times New Roman" w:hAnsi="Times New Roman" w:cs="Times New Roman"/>
                <w:sz w:val="24"/>
                <w:szCs w:val="24"/>
                <w:lang w:val="es-ES"/>
              </w:rPr>
            </w:pPr>
          </w:p>
          <w:p w14:paraId="6663954F" w14:textId="77777777" w:rsidR="00294344" w:rsidRDefault="00294344" w:rsidP="00294344">
            <w:pPr>
              <w:jc w:val="both"/>
              <w:rPr>
                <w:rFonts w:ascii="Times New Roman" w:eastAsia="Times New Roman" w:hAnsi="Times New Roman" w:cs="Times New Roman"/>
                <w:sz w:val="24"/>
                <w:szCs w:val="24"/>
                <w:lang w:val="es-ES"/>
              </w:rPr>
            </w:pPr>
            <w:r>
              <w:rPr>
                <w:rFonts w:ascii="Times New Roman" w:eastAsia="Times New Roman" w:hAnsi="Times New Roman" w:cs="Times New Roman"/>
                <w:sz w:val="24"/>
                <w:szCs w:val="24"/>
                <w:lang w:val="es-ES"/>
              </w:rPr>
              <w:t>Se ha podido determinar que la energía consumida en el ciclo urbano del agua (CUA) alcanza</w:t>
            </w:r>
            <w:r w:rsidRPr="003762B4">
              <w:rPr>
                <w:rFonts w:ascii="Times New Roman" w:eastAsia="Times New Roman" w:hAnsi="Times New Roman" w:cs="Times New Roman"/>
                <w:sz w:val="24"/>
                <w:szCs w:val="24"/>
                <w:lang w:val="es-ES"/>
              </w:rPr>
              <w:t xml:space="preserve"> </w:t>
            </w:r>
            <w:r>
              <w:rPr>
                <w:rFonts w:ascii="Times New Roman" w:eastAsia="Times New Roman" w:hAnsi="Times New Roman" w:cs="Times New Roman"/>
                <w:sz w:val="24"/>
                <w:szCs w:val="24"/>
                <w:lang w:val="es-ES"/>
              </w:rPr>
              <w:t xml:space="preserve">rangos del 13 hasta </w:t>
            </w:r>
            <w:r w:rsidRPr="003762B4">
              <w:rPr>
                <w:rFonts w:ascii="Times New Roman" w:eastAsia="Times New Roman" w:hAnsi="Times New Roman" w:cs="Times New Roman"/>
                <w:sz w:val="24"/>
                <w:szCs w:val="24"/>
                <w:lang w:val="es-ES"/>
              </w:rPr>
              <w:t>18</w:t>
            </w:r>
            <w:r w:rsidRPr="004324B8">
              <w:rPr>
                <w:rFonts w:ascii="Times New Roman" w:eastAsia="Times New Roman" w:hAnsi="Times New Roman" w:cs="Times New Roman"/>
                <w:sz w:val="24"/>
                <w:szCs w:val="24"/>
                <w:lang w:val="es-ES"/>
              </w:rPr>
              <w:t>%</w:t>
            </w:r>
            <w:r>
              <w:rPr>
                <w:rFonts w:ascii="Times New Roman" w:eastAsia="Times New Roman" w:hAnsi="Times New Roman" w:cs="Times New Roman"/>
                <w:sz w:val="24"/>
                <w:szCs w:val="24"/>
                <w:lang w:val="es-ES"/>
              </w:rPr>
              <w:t xml:space="preserve"> del total de energía en ciudades</w:t>
            </w:r>
            <w:r w:rsidRPr="004324B8">
              <w:rPr>
                <w:rFonts w:ascii="Times New Roman" w:eastAsia="Times New Roman" w:hAnsi="Times New Roman" w:cs="Times New Roman"/>
                <w:sz w:val="24"/>
                <w:szCs w:val="24"/>
                <w:lang w:val="es-ES"/>
              </w:rPr>
              <w:t xml:space="preserve">. </w:t>
            </w:r>
            <w:r>
              <w:rPr>
                <w:rFonts w:ascii="Times New Roman" w:eastAsia="Times New Roman" w:hAnsi="Times New Roman" w:cs="Times New Roman"/>
                <w:sz w:val="24"/>
                <w:szCs w:val="24"/>
                <w:lang w:val="es-ES"/>
              </w:rPr>
              <w:t>Algunos autores dan cifras, por ejemplo en Oslo Noruega e</w:t>
            </w:r>
            <w:r w:rsidRPr="004324B8">
              <w:rPr>
                <w:rFonts w:ascii="Times New Roman" w:eastAsia="Times New Roman" w:hAnsi="Times New Roman" w:cs="Times New Roman"/>
                <w:sz w:val="24"/>
                <w:szCs w:val="24"/>
                <w:lang w:val="es-ES"/>
              </w:rPr>
              <w:t>l consumo anual per cápita de energía en la fase operativa del sistema</w:t>
            </w:r>
            <w:r>
              <w:rPr>
                <w:rFonts w:ascii="Times New Roman" w:eastAsia="Times New Roman" w:hAnsi="Times New Roman" w:cs="Times New Roman"/>
                <w:sz w:val="24"/>
                <w:szCs w:val="24"/>
                <w:lang w:val="es-ES"/>
              </w:rPr>
              <w:t xml:space="preserve"> de agua</w:t>
            </w:r>
            <w:r w:rsidRPr="004324B8">
              <w:rPr>
                <w:rFonts w:ascii="Times New Roman" w:eastAsia="Times New Roman" w:hAnsi="Times New Roman" w:cs="Times New Roman"/>
                <w:sz w:val="24"/>
                <w:szCs w:val="24"/>
                <w:lang w:val="es-ES"/>
              </w:rPr>
              <w:t xml:space="preserve"> varió entre 220 y 260 kW</w:t>
            </w:r>
            <w:r>
              <w:rPr>
                <w:rFonts w:ascii="Times New Roman" w:eastAsia="Times New Roman" w:hAnsi="Times New Roman" w:cs="Times New Roman"/>
                <w:sz w:val="24"/>
                <w:szCs w:val="24"/>
                <w:lang w:val="es-ES"/>
              </w:rPr>
              <w:t>h y l</w:t>
            </w:r>
            <w:r w:rsidRPr="004324B8">
              <w:rPr>
                <w:rFonts w:ascii="Times New Roman" w:eastAsia="Times New Roman" w:hAnsi="Times New Roman" w:cs="Times New Roman"/>
                <w:sz w:val="24"/>
                <w:szCs w:val="24"/>
                <w:lang w:val="es-ES"/>
              </w:rPr>
              <w:t>as emisiones de gases de efecto invernadero oscilaron entre 70 y 80 g por metro cúbico de agua suministrada</w:t>
            </w:r>
            <w:r>
              <w:rPr>
                <w:rFonts w:ascii="Times New Roman" w:eastAsia="Times New Roman" w:hAnsi="Times New Roman" w:cs="Times New Roman"/>
                <w:sz w:val="24"/>
                <w:szCs w:val="24"/>
                <w:lang w:val="es-ES"/>
              </w:rPr>
              <w:t xml:space="preserve"> </w:t>
            </w:r>
            <w:r>
              <w:rPr>
                <w:rFonts w:ascii="Times New Roman" w:eastAsia="Times New Roman" w:hAnsi="Times New Roman" w:cs="Times New Roman"/>
                <w:sz w:val="24"/>
                <w:szCs w:val="24"/>
                <w:lang w:val="es-ES"/>
              </w:rPr>
              <w:fldChar w:fldCharType="begin"/>
            </w:r>
            <w:r>
              <w:rPr>
                <w:rFonts w:ascii="Times New Roman" w:eastAsia="Times New Roman" w:hAnsi="Times New Roman" w:cs="Times New Roman"/>
                <w:sz w:val="24"/>
                <w:szCs w:val="24"/>
                <w:lang w:val="es-ES"/>
              </w:rPr>
              <w:instrText xml:space="preserve"> ADDIN ZOTERO_ITEM CSL_CITATION {"citationID":"au8aneaeef","properties":{"formattedCitation":"{\\rtf (Venkatesh &amp; Bratteb\\uc0\\u248{}, 2011)}","plainCitation":"(Venkatesh &amp; Brattebø, 2011)"},"citationItems":[{"id":600,"uris":["http://zotero.org/users/306373/items/E58926H7"],"uri":["http://zotero.org/users/306373/items/E58926H7"],"itemData":{"id":600,"type":"article-journal","title":"Energy consumption, costs and environmental impacts for urban water cycle services: Case study of Oslo (Norway)","container-title":"Energy","page":"792-800","volume":"36","issue":"2","source":"ScienceDirect","abstract":"Energy consumption in the operation and maintenance phase of the urban water and wastewater network is directly related to both the quantity and the desired quality of the supplied water/treated wastewater – in other words, to the level of service provided to consumers. The level of service is dependent on not just the quantity and quality of the water but also the state of the infrastructure. Maintaining the infrastructure so as to be able to provide the required high level of service also demands energy. Apart from being a significant operational cost component, energy use also contributes to life-cycle environmental impacts. This paper studies the direct energy consumption in the operation and maintenance phase of the water and wastewater system in Oslo; and presents a break-up among the different components of the network, of quantities, costs and environmental impacts. Owing to the diversity in the periods of time for which comprehensive data for the whole system are available, the study period is restricted to years 2000–2006. The per-capita annual consumption of energy in the operational phase of the system varied between 220 and 260 kWh; and per-capita annual expenses on energy in inflation-adjusted year-2006-Euros ranged between 6.5 and 11 Euros. The energy consumed on the upstream, per unit volume water supplied was around 0.4 kWh on average, while the corresponding value for the downstream was 0.8 kWh per cubic metre wastewater treated. The upstream Greenhouse gas (GHG) emissions ranged between 70 and 80 g per cubic metre of water supplied, about 22% greater on average than the corresponding specific GHG emissions on the downstream.","DOI":"10.1016/j.energy.2010.12.040","ISSN":"0360-5442","shortTitle":"Energy consumption, costs and environmental impacts for urban water cycle services","journalAbbreviation":"Energy","author":[{"family":"Venkatesh","given":"G."},{"family":"Brattebø","given":"Helge"}],"issued":{"date-parts":[["2011",2]]}}}],"schema":"https://github.com/citation-style-language/schema/raw/master/csl-citation.json"} </w:instrText>
            </w:r>
            <w:r>
              <w:rPr>
                <w:rFonts w:ascii="Times New Roman" w:eastAsia="Times New Roman" w:hAnsi="Times New Roman" w:cs="Times New Roman"/>
                <w:sz w:val="24"/>
                <w:szCs w:val="24"/>
                <w:lang w:val="es-ES"/>
              </w:rPr>
              <w:fldChar w:fldCharType="separate"/>
            </w:r>
            <w:r w:rsidRPr="00195B6C">
              <w:rPr>
                <w:rFonts w:ascii="Times New Roman" w:hAnsi="Times New Roman" w:cs="Times New Roman"/>
                <w:sz w:val="24"/>
                <w:szCs w:val="24"/>
                <w:lang w:val="es-ES"/>
              </w:rPr>
              <w:t>(Venkatesh &amp; Brattebø, 2011)</w:t>
            </w:r>
            <w:r>
              <w:rPr>
                <w:rFonts w:ascii="Times New Roman" w:eastAsia="Times New Roman" w:hAnsi="Times New Roman" w:cs="Times New Roman"/>
                <w:sz w:val="24"/>
                <w:szCs w:val="24"/>
                <w:lang w:val="es-ES"/>
              </w:rPr>
              <w:fldChar w:fldCharType="end"/>
            </w:r>
            <w:r w:rsidRPr="004324B8">
              <w:rPr>
                <w:rFonts w:ascii="Times New Roman" w:eastAsia="Times New Roman" w:hAnsi="Times New Roman" w:cs="Times New Roman"/>
                <w:sz w:val="24"/>
                <w:szCs w:val="24"/>
                <w:lang w:val="es-ES"/>
              </w:rPr>
              <w:t>.</w:t>
            </w:r>
            <w:r>
              <w:rPr>
                <w:rFonts w:ascii="Times New Roman" w:eastAsia="Times New Roman" w:hAnsi="Times New Roman" w:cs="Times New Roman"/>
                <w:sz w:val="24"/>
                <w:szCs w:val="24"/>
                <w:lang w:val="es-ES"/>
              </w:rPr>
              <w:t>Este consumo varia en diferentes fases del ciclo urbano del agua, ya que es empleado</w:t>
            </w:r>
            <w:r w:rsidRPr="004324B8">
              <w:rPr>
                <w:rFonts w:ascii="Times New Roman" w:eastAsia="Times New Roman" w:hAnsi="Times New Roman" w:cs="Times New Roman"/>
                <w:sz w:val="24"/>
                <w:szCs w:val="24"/>
                <w:lang w:val="es-ES"/>
              </w:rPr>
              <w:t xml:space="preserve"> </w:t>
            </w:r>
            <w:r>
              <w:rPr>
                <w:rFonts w:ascii="Times New Roman" w:eastAsia="Times New Roman" w:hAnsi="Times New Roman" w:cs="Times New Roman"/>
                <w:sz w:val="24"/>
                <w:szCs w:val="24"/>
                <w:lang w:val="es-ES"/>
              </w:rPr>
              <w:t>en los</w:t>
            </w:r>
            <w:r w:rsidRPr="004324B8">
              <w:rPr>
                <w:rFonts w:ascii="Times New Roman" w:eastAsia="Times New Roman" w:hAnsi="Times New Roman" w:cs="Times New Roman"/>
                <w:sz w:val="24"/>
                <w:szCs w:val="24"/>
                <w:lang w:val="es-ES"/>
              </w:rPr>
              <w:t xml:space="preserve"> servicios de</w:t>
            </w:r>
            <w:r>
              <w:rPr>
                <w:rFonts w:ascii="Times New Roman" w:eastAsia="Times New Roman" w:hAnsi="Times New Roman" w:cs="Times New Roman"/>
                <w:sz w:val="24"/>
                <w:szCs w:val="24"/>
                <w:lang w:val="es-ES"/>
              </w:rPr>
              <w:t xml:space="preserve"> bombeo,</w:t>
            </w:r>
            <w:r w:rsidRPr="004324B8">
              <w:rPr>
                <w:rFonts w:ascii="Times New Roman" w:eastAsia="Times New Roman" w:hAnsi="Times New Roman" w:cs="Times New Roman"/>
                <w:sz w:val="24"/>
                <w:szCs w:val="24"/>
                <w:lang w:val="es-ES"/>
              </w:rPr>
              <w:t xml:space="preserve"> tratamiento </w:t>
            </w:r>
            <w:r>
              <w:rPr>
                <w:rFonts w:ascii="Times New Roman" w:eastAsia="Times New Roman" w:hAnsi="Times New Roman" w:cs="Times New Roman"/>
                <w:sz w:val="24"/>
                <w:szCs w:val="24"/>
                <w:lang w:val="es-ES"/>
              </w:rPr>
              <w:t xml:space="preserve">y distribución </w:t>
            </w:r>
            <w:r>
              <w:rPr>
                <w:rFonts w:ascii="Times New Roman" w:eastAsia="Times New Roman" w:hAnsi="Times New Roman" w:cs="Times New Roman"/>
                <w:sz w:val="24"/>
                <w:szCs w:val="24"/>
                <w:lang w:val="es-ES"/>
              </w:rPr>
              <w:fldChar w:fldCharType="begin"/>
            </w:r>
            <w:r>
              <w:rPr>
                <w:rFonts w:ascii="Times New Roman" w:eastAsia="Times New Roman" w:hAnsi="Times New Roman" w:cs="Times New Roman"/>
                <w:sz w:val="24"/>
                <w:szCs w:val="24"/>
                <w:lang w:val="es-ES"/>
              </w:rPr>
              <w:instrText xml:space="preserve"> ADDIN ZOTERO_ITEM CSL_CITATION {"citationID":"auj3agihnl","properties":{"formattedCitation":"(Plappally &amp; Lienhard V, 2012)","plainCitation":"(Plappally &amp; Lienhard V, 2012)"},"citationItems":[{"id":2063,"uris":["http://zotero.org/users/306373/items/D8D4W59A"],"uri":["http://zotero.org/users/306373/items/D8D4W59A"],"itemData":{"id":2063,"type":"article-journal","title":"Energy requirements for water production, treatment, end use, reclamation, and disposal","container-title":"Renewable and Sustainable Energy Reviews","page":"4818-4848","volume":"16","issue":"7","source":"ScienceDirect","abstract":"Energy is consumed at every stage of the cycle of water supply, treatment, use and disposal. The intensity of energy consumption (kW h/m3) depends upon the specific technologies applied at each stage of the water cycle. For some technologies, the intensity may be relatively low, whereas the intensity of other technologies is substantially greater. This report surveys the available literature on energy intensity for water use in the municipal and agricultural sectors and separates the process into several stages. Water supply, water treatment, residential end use, wastewater treatment, and agriculture end use are considered. Representative values of the energy consumed per unit water are given for a broad range of processes. Water extraction and pumping from ground and surface sources is considered. The energy intensity of treatment required for different types of water source is found to vary widely between the extremes of relatively fresh surface waters, which use energy mainly in pumping, and seawater, which requires desalination. Energy usage for different methods of irrigation including pressurized as well as surface irrigation is studied. The energy intensity of residential end use is very high relative to other parts of the water supply cycle. Processes such as heating water, washing clothes and dishes, and cooking are briefly studied within the water end-use stage. Hot water usage is responsible for making end use the most energy intensive stage of the water cycle. Hot water use in different buildings is briefly reviewed. Wastewater treated with various processes is considered, and the energy intensity is found to be highest when advanced wastewater treatment methods are applied. Energy consumption in the agricultural sector, which is principally related to irrigation pumping, is generally of lower energy intensity than for the municipal treatment or end use.","DOI":"10.1016/j.rser.2012.05.022","ISSN":"1364-0321","journalAbbreviation":"Renewable and Sustainable Energy Reviews","author":[{"family":"Plappally","given":"A. K."},{"family":"Lienhard V","given":"J. H."}],"issued":{"date-parts":[["2012",9]]}}}],"schema":"https://github.com/citation-style-language/schema/raw/master/csl-citation.json"} </w:instrText>
            </w:r>
            <w:r>
              <w:rPr>
                <w:rFonts w:ascii="Times New Roman" w:eastAsia="Times New Roman" w:hAnsi="Times New Roman" w:cs="Times New Roman"/>
                <w:sz w:val="24"/>
                <w:szCs w:val="24"/>
                <w:lang w:val="es-ES"/>
              </w:rPr>
              <w:fldChar w:fldCharType="separate"/>
            </w:r>
            <w:r>
              <w:rPr>
                <w:rFonts w:ascii="Times New Roman" w:eastAsia="Times New Roman" w:hAnsi="Times New Roman" w:cs="Times New Roman"/>
                <w:noProof/>
                <w:sz w:val="24"/>
                <w:szCs w:val="24"/>
                <w:lang w:val="es-ES"/>
              </w:rPr>
              <w:t>(Plappally &amp; Lienhard V, 2012)</w:t>
            </w:r>
            <w:r>
              <w:rPr>
                <w:rFonts w:ascii="Times New Roman" w:eastAsia="Times New Roman" w:hAnsi="Times New Roman" w:cs="Times New Roman"/>
                <w:sz w:val="24"/>
                <w:szCs w:val="24"/>
                <w:lang w:val="es-ES"/>
              </w:rPr>
              <w:fldChar w:fldCharType="end"/>
            </w:r>
            <w:r w:rsidRPr="004324B8">
              <w:rPr>
                <w:rFonts w:ascii="Times New Roman" w:eastAsia="Times New Roman" w:hAnsi="Times New Roman" w:cs="Times New Roman"/>
                <w:sz w:val="24"/>
                <w:szCs w:val="24"/>
                <w:lang w:val="es-ES"/>
              </w:rPr>
              <w:t xml:space="preserve">. </w:t>
            </w:r>
          </w:p>
          <w:p w14:paraId="1563F4C2" w14:textId="77777777" w:rsidR="00294344" w:rsidRDefault="00294344" w:rsidP="00294344">
            <w:pPr>
              <w:jc w:val="both"/>
              <w:rPr>
                <w:rFonts w:ascii="Times New Roman" w:eastAsia="Times New Roman" w:hAnsi="Times New Roman" w:cs="Times New Roman"/>
                <w:sz w:val="24"/>
                <w:szCs w:val="24"/>
                <w:lang w:val="es-ES"/>
              </w:rPr>
            </w:pPr>
          </w:p>
          <w:p w14:paraId="36B17006" w14:textId="77777777" w:rsidR="00294344" w:rsidRPr="00D6619B" w:rsidRDefault="00294344" w:rsidP="00294344">
            <w:pPr>
              <w:jc w:val="both"/>
              <w:rPr>
                <w:rFonts w:ascii="Times New Roman" w:eastAsia="Times New Roman" w:hAnsi="Times New Roman" w:cs="Times New Roman"/>
                <w:sz w:val="24"/>
                <w:szCs w:val="24"/>
                <w:lang w:val="es-ES"/>
              </w:rPr>
            </w:pPr>
            <w:r>
              <w:rPr>
                <w:rFonts w:ascii="Times New Roman" w:eastAsia="Times New Roman" w:hAnsi="Times New Roman" w:cs="Times New Roman"/>
                <w:sz w:val="24"/>
                <w:szCs w:val="24"/>
                <w:lang w:val="es-ES"/>
              </w:rPr>
              <w:t>Sin embargo, le mayor consumo dentro del ciclo se da en el uso, tanto así que de acuerdo a</w:t>
            </w:r>
            <w:r w:rsidRPr="00A30191">
              <w:rPr>
                <w:rFonts w:ascii="Times New Roman" w:eastAsia="Times New Roman" w:hAnsi="Times New Roman" w:cs="Times New Roman"/>
                <w:sz w:val="24"/>
                <w:szCs w:val="24"/>
                <w:lang w:val="es-ES"/>
              </w:rPr>
              <w:t xml:space="preserve"> balance</w:t>
            </w:r>
            <w:r>
              <w:rPr>
                <w:rFonts w:ascii="Times New Roman" w:eastAsia="Times New Roman" w:hAnsi="Times New Roman" w:cs="Times New Roman"/>
                <w:sz w:val="24"/>
                <w:szCs w:val="24"/>
                <w:lang w:val="es-ES"/>
              </w:rPr>
              <w:t>s</w:t>
            </w:r>
            <w:r w:rsidRPr="00A30191">
              <w:rPr>
                <w:rFonts w:ascii="Times New Roman" w:eastAsia="Times New Roman" w:hAnsi="Times New Roman" w:cs="Times New Roman"/>
                <w:sz w:val="24"/>
                <w:szCs w:val="24"/>
                <w:lang w:val="es-ES"/>
              </w:rPr>
              <w:t xml:space="preserve"> el calentamiento de agua</w:t>
            </w:r>
            <w:r>
              <w:rPr>
                <w:rFonts w:ascii="Times New Roman" w:eastAsia="Times New Roman" w:hAnsi="Times New Roman" w:cs="Times New Roman"/>
                <w:sz w:val="24"/>
                <w:szCs w:val="24"/>
                <w:lang w:val="es-ES"/>
              </w:rPr>
              <w:t xml:space="preserve"> es el mayor gasto de energía siendo</w:t>
            </w:r>
            <w:r w:rsidRPr="00A30191">
              <w:rPr>
                <w:rFonts w:ascii="Times New Roman" w:eastAsia="Times New Roman" w:hAnsi="Times New Roman" w:cs="Times New Roman"/>
                <w:sz w:val="24"/>
                <w:szCs w:val="24"/>
                <w:lang w:val="es-ES"/>
              </w:rPr>
              <w:t xml:space="preserve"> aproximadamente el 80% de la demanda total de energía primaria en el sector residencial del ciclo, mientras que el 20% restante de la energía se gasta en obras de bombeo y tratamiento</w:t>
            </w:r>
            <w:r>
              <w:rPr>
                <w:rFonts w:ascii="Times New Roman" w:eastAsia="Times New Roman" w:hAnsi="Times New Roman" w:cs="Times New Roman"/>
                <w:sz w:val="24"/>
                <w:szCs w:val="24"/>
                <w:lang w:val="es-ES"/>
              </w:rPr>
              <w:t xml:space="preserve"> </w:t>
            </w:r>
            <w:r>
              <w:rPr>
                <w:rFonts w:ascii="Times New Roman" w:eastAsia="Times New Roman" w:hAnsi="Times New Roman" w:cs="Times New Roman"/>
                <w:sz w:val="24"/>
                <w:szCs w:val="24"/>
                <w:lang w:val="es-ES"/>
              </w:rPr>
              <w:fldChar w:fldCharType="begin"/>
            </w:r>
            <w:r>
              <w:rPr>
                <w:rFonts w:ascii="Times New Roman" w:eastAsia="Times New Roman" w:hAnsi="Times New Roman" w:cs="Times New Roman"/>
                <w:sz w:val="24"/>
                <w:szCs w:val="24"/>
                <w:lang w:val="es-ES"/>
              </w:rPr>
              <w:instrText xml:space="preserve"> ADDIN ZOTERO_ITEM CSL_CITATION {"citationID":"a25n5tp0u2a","properties":{"formattedCitation":"{\\rtf (El\\uc0\\u237{}as-Maxil, van der Hoek, Hofman, &amp; Rietveld, 2014)}","plainCitation":"(Elías-Maxil, van der Hoek, Hofman, &amp; Rietveld, 2014)"},"citationItems":[{"id":2059,"uris":["http://zotero.org/users/306373/items/X9IVU3VM"],"uri":["http://zotero.org/users/306373/items/X9IVU3VM"],"itemData":{"id":2059,"type":"article-journal","title":"Energy in the urban water cycle: Actions to reduce the total expenditure of fossil fuels with emphasis on heat reclamation from urban water","container-title":"Renewable and Sustainable Energy Reviews","page":"808-820","volume":"30","source":"ScienceDirect","abstract":"In the urban water cycle, water supply, transportation, treatment and disposal are services that consume a considerable amount of energy. This paper reviews and summarizes state of the art measures applied in different parts of the world to reduce the energy consumption related to urban water. Based on a literature review, an overview of the energy balance in the urban water cycle in some regions of the world is presented. The balance shows that water heating is the largest energy expenditure with approximately 80% of the total primary energy demand in the residential sector of the cycle, while the remaining 20% of energy is spent by waterworks on pumping and treatment. Examples of measures to reduce the consumption of energy are presented according to a philosophy of actions in order to achieve energy efficient processes. The emphasis is on technologies and case studies to recover the energy from urban water, as well as some factors that influence the deployment of the technologies.","DOI":"10.1016/j.rser.2013.10.007","ISSN":"1364-0321","shortTitle":"Energy in the urban water cycle","journalAbbreviation":"Renewable and Sustainable Energy Reviews","author":[{"family":"Elías-Maxil","given":"J. A."},{"family":"Hoek","given":"Jan Peter","non-dropping-particle":"van der"},{"family":"Hofman","given":"Jan"},{"family":"Rietveld","given":"Luuk"}],"issued":{"date-parts":[["2014",2]]}}}],"schema":"https://github.com/citation-style-language/schema/raw/master/csl-citation.json"} </w:instrText>
            </w:r>
            <w:r>
              <w:rPr>
                <w:rFonts w:ascii="Times New Roman" w:eastAsia="Times New Roman" w:hAnsi="Times New Roman" w:cs="Times New Roman"/>
                <w:sz w:val="24"/>
                <w:szCs w:val="24"/>
                <w:lang w:val="es-ES"/>
              </w:rPr>
              <w:fldChar w:fldCharType="separate"/>
            </w:r>
            <w:r w:rsidRPr="00195B6C">
              <w:rPr>
                <w:rFonts w:ascii="Times New Roman" w:hAnsi="Times New Roman" w:cs="Times New Roman"/>
                <w:sz w:val="24"/>
                <w:szCs w:val="24"/>
                <w:lang w:val="es-ES"/>
              </w:rPr>
              <w:t>(Elías-Maxil, van der Hoek, Hofman, &amp; Rietveld, 2014)</w:t>
            </w:r>
            <w:r>
              <w:rPr>
                <w:rFonts w:ascii="Times New Roman" w:eastAsia="Times New Roman" w:hAnsi="Times New Roman" w:cs="Times New Roman"/>
                <w:sz w:val="24"/>
                <w:szCs w:val="24"/>
                <w:lang w:val="es-ES"/>
              </w:rPr>
              <w:fldChar w:fldCharType="end"/>
            </w:r>
            <w:r>
              <w:rPr>
                <w:rFonts w:ascii="Times New Roman" w:eastAsia="Times New Roman" w:hAnsi="Times New Roman" w:cs="Times New Roman"/>
                <w:sz w:val="24"/>
                <w:szCs w:val="24"/>
                <w:lang w:val="es-ES"/>
              </w:rPr>
              <w:t>.</w:t>
            </w:r>
            <w:r w:rsidRPr="00A30191">
              <w:rPr>
                <w:rFonts w:ascii="Times New Roman" w:eastAsia="Times New Roman" w:hAnsi="Times New Roman" w:cs="Times New Roman"/>
                <w:sz w:val="24"/>
                <w:szCs w:val="24"/>
                <w:lang w:val="es-ES"/>
              </w:rPr>
              <w:t xml:space="preserve"> </w:t>
            </w:r>
            <w:r w:rsidRPr="004324B8">
              <w:rPr>
                <w:rFonts w:ascii="Times New Roman" w:eastAsia="Times New Roman" w:hAnsi="Times New Roman" w:cs="Times New Roman"/>
                <w:sz w:val="24"/>
                <w:szCs w:val="24"/>
                <w:lang w:val="es-ES"/>
              </w:rPr>
              <w:t>En cuanto al consumo de energía en hogares,</w:t>
            </w:r>
            <w:r>
              <w:rPr>
                <w:rFonts w:ascii="Times New Roman" w:eastAsia="Times New Roman" w:hAnsi="Times New Roman" w:cs="Times New Roman"/>
                <w:sz w:val="24"/>
                <w:szCs w:val="24"/>
                <w:lang w:val="es-ES"/>
              </w:rPr>
              <w:t xml:space="preserve"> al comparase con algunos sectores </w:t>
            </w:r>
            <w:r w:rsidRPr="003762B4">
              <w:rPr>
                <w:rFonts w:ascii="Times New Roman" w:eastAsia="Times New Roman" w:hAnsi="Times New Roman" w:cs="Times New Roman"/>
                <w:sz w:val="24"/>
                <w:szCs w:val="24"/>
                <w:lang w:val="es-ES"/>
              </w:rPr>
              <w:t>industria</w:t>
            </w:r>
            <w:r>
              <w:rPr>
                <w:rFonts w:ascii="Times New Roman" w:eastAsia="Times New Roman" w:hAnsi="Times New Roman" w:cs="Times New Roman"/>
                <w:sz w:val="24"/>
                <w:szCs w:val="24"/>
                <w:lang w:val="es-ES"/>
              </w:rPr>
              <w:t>les y comerciales, las viviendas</w:t>
            </w:r>
            <w:r w:rsidRPr="003762B4">
              <w:rPr>
                <w:rFonts w:ascii="Times New Roman" w:eastAsia="Times New Roman" w:hAnsi="Times New Roman" w:cs="Times New Roman"/>
                <w:sz w:val="24"/>
                <w:szCs w:val="24"/>
                <w:lang w:val="es-ES"/>
              </w:rPr>
              <w:t xml:space="preserve"> generalmente representan más del 80% del uso de energía en el </w:t>
            </w:r>
            <w:r>
              <w:rPr>
                <w:rFonts w:ascii="Times New Roman" w:eastAsia="Times New Roman" w:hAnsi="Times New Roman" w:cs="Times New Roman"/>
                <w:sz w:val="24"/>
                <w:szCs w:val="24"/>
                <w:lang w:val="es-ES"/>
              </w:rPr>
              <w:t xml:space="preserve">CUA </w:t>
            </w:r>
            <w:r>
              <w:rPr>
                <w:rFonts w:ascii="Times New Roman" w:eastAsia="Times New Roman" w:hAnsi="Times New Roman" w:cs="Times New Roman"/>
                <w:sz w:val="24"/>
                <w:szCs w:val="24"/>
                <w:lang w:val="es-ES"/>
              </w:rPr>
              <w:fldChar w:fldCharType="begin"/>
            </w:r>
            <w:r>
              <w:rPr>
                <w:rFonts w:ascii="Times New Roman" w:eastAsia="Times New Roman" w:hAnsi="Times New Roman" w:cs="Times New Roman"/>
                <w:sz w:val="24"/>
                <w:szCs w:val="24"/>
                <w:lang w:val="es-ES"/>
              </w:rPr>
              <w:instrText xml:space="preserve"> ADDIN ZOTERO_ITEM CSL_CITATION {"citationID":"adj9o4i7r7","properties":{"formattedCitation":"(Arpke &amp; Hutzler, 2006; Stokes &amp; Horvath, 2009)","plainCitation":"(Arpke &amp; Hutzler, 2006; Stokes &amp; Horvath, 2009)"},"citationItems":[{"id":3494,"uris":["http://zotero.org/users/306373/items/83NDF4X2"],"uri":["http://zotero.org/users/306373/items/83NDF4X2"],"itemData":{"id":3494,"type":"article-journal","title":"Domestic Water Use in the United States: A Life</w:instrText>
            </w:r>
            <w:r>
              <w:rPr>
                <w:rFonts w:ascii="Palatino Linotype" w:eastAsia="Times New Roman" w:hAnsi="Palatino Linotype" w:cs="Palatino Linotype"/>
                <w:sz w:val="24"/>
                <w:szCs w:val="24"/>
                <w:lang w:val="es-ES"/>
              </w:rPr>
              <w:instrText>‐</w:instrText>
            </w:r>
            <w:r>
              <w:rPr>
                <w:rFonts w:ascii="Times New Roman" w:eastAsia="Times New Roman" w:hAnsi="Times New Roman" w:cs="Times New Roman"/>
                <w:sz w:val="24"/>
                <w:szCs w:val="24"/>
                <w:lang w:val="es-ES"/>
              </w:rPr>
              <w:instrText xml:space="preserve">Cycle Approach","container-title":"Journal of industrial ecology","page":"169-184","volume":"10","issue":"1-2","source":"onlinelibrary.wiley.com","language":"en","author":[{"family":"Arpke","given":"A."},{"family":"Hutzler","given":"N."}],"issued":{"date-parts":[["2006"]]}}},{"id":2069,"uris":["http://zotero.org/users/306373/items/HUZ8RB89"],"uri":["http://zotero.org/users/306373/items/HUZ8RB89"],"itemData":{"id":2069,"type":"article-journal","title":"Energy and air emission effects of water supply","container-title":"Environmental science &amp; technology","page":"2680–2687","volume":"43","issue":"8","source":"Google Scholar","author":[{"family":"Stokes","given":"Jennifer R."},{"family":"Horvath","given":"Arpad"}],"issued":{"date-parts":[["2009"]]}}}],"schema":"https://github.com/citation-style-language/schema/raw/master/csl-citation.json"} </w:instrText>
            </w:r>
            <w:r>
              <w:rPr>
                <w:rFonts w:ascii="Times New Roman" w:eastAsia="Times New Roman" w:hAnsi="Times New Roman" w:cs="Times New Roman"/>
                <w:sz w:val="24"/>
                <w:szCs w:val="24"/>
                <w:lang w:val="es-ES"/>
              </w:rPr>
              <w:fldChar w:fldCharType="separate"/>
            </w:r>
            <w:r>
              <w:rPr>
                <w:rFonts w:ascii="Times New Roman" w:eastAsia="Times New Roman" w:hAnsi="Times New Roman" w:cs="Times New Roman"/>
                <w:noProof/>
                <w:sz w:val="24"/>
                <w:szCs w:val="24"/>
                <w:lang w:val="es-ES"/>
              </w:rPr>
              <w:t>(Arpke &amp; Hutzler, 2006; Stokes &amp; Horvath, 2009)</w:t>
            </w:r>
            <w:r>
              <w:rPr>
                <w:rFonts w:ascii="Times New Roman" w:eastAsia="Times New Roman" w:hAnsi="Times New Roman" w:cs="Times New Roman"/>
                <w:sz w:val="24"/>
                <w:szCs w:val="24"/>
                <w:lang w:val="es-ES"/>
              </w:rPr>
              <w:fldChar w:fldCharType="end"/>
            </w:r>
            <w:r>
              <w:rPr>
                <w:rFonts w:ascii="Times New Roman" w:eastAsia="Times New Roman" w:hAnsi="Times New Roman" w:cs="Times New Roman"/>
                <w:sz w:val="24"/>
                <w:szCs w:val="24"/>
                <w:lang w:val="es-ES"/>
              </w:rPr>
              <w:t>, y nuevamente siendo e</w:t>
            </w:r>
            <w:r w:rsidRPr="00000A18">
              <w:rPr>
                <w:rFonts w:ascii="Times New Roman" w:eastAsia="Times New Roman" w:hAnsi="Times New Roman" w:cs="Times New Roman"/>
                <w:sz w:val="24"/>
                <w:szCs w:val="24"/>
                <w:lang w:val="es-ES"/>
              </w:rPr>
              <w:t>l calentamiento de agua</w:t>
            </w:r>
            <w:r>
              <w:rPr>
                <w:rFonts w:ascii="Times New Roman" w:eastAsia="Times New Roman" w:hAnsi="Times New Roman" w:cs="Times New Roman"/>
                <w:sz w:val="24"/>
                <w:szCs w:val="24"/>
                <w:lang w:val="es-ES"/>
              </w:rPr>
              <w:t xml:space="preserve"> quien</w:t>
            </w:r>
            <w:r w:rsidRPr="00000A18">
              <w:rPr>
                <w:rFonts w:ascii="Times New Roman" w:eastAsia="Times New Roman" w:hAnsi="Times New Roman" w:cs="Times New Roman"/>
                <w:sz w:val="24"/>
                <w:szCs w:val="24"/>
                <w:lang w:val="es-ES"/>
              </w:rPr>
              <w:t xml:space="preserve"> representa</w:t>
            </w:r>
            <w:r>
              <w:rPr>
                <w:rFonts w:ascii="Times New Roman" w:eastAsia="Times New Roman" w:hAnsi="Times New Roman" w:cs="Times New Roman"/>
                <w:sz w:val="24"/>
                <w:szCs w:val="24"/>
                <w:lang w:val="es-ES"/>
              </w:rPr>
              <w:t xml:space="preserve"> el mayor consumo, </w:t>
            </w:r>
            <w:r w:rsidRPr="00000A18">
              <w:rPr>
                <w:rFonts w:ascii="Times New Roman" w:eastAsia="Times New Roman" w:hAnsi="Times New Roman" w:cs="Times New Roman"/>
                <w:sz w:val="24"/>
                <w:szCs w:val="24"/>
                <w:lang w:val="es-ES"/>
              </w:rPr>
              <w:t xml:space="preserve"> alrededor de un tercio del consumo </w:t>
            </w:r>
            <w:r>
              <w:rPr>
                <w:rFonts w:ascii="Times New Roman" w:eastAsia="Times New Roman" w:hAnsi="Times New Roman" w:cs="Times New Roman"/>
                <w:sz w:val="24"/>
                <w:szCs w:val="24"/>
                <w:lang w:val="es-ES"/>
              </w:rPr>
              <w:t>directo de energía en el hogar, lo que ha permitido concluir que e</w:t>
            </w:r>
            <w:r w:rsidRPr="00000A18">
              <w:rPr>
                <w:rFonts w:ascii="Times New Roman" w:eastAsia="Times New Roman" w:hAnsi="Times New Roman" w:cs="Times New Roman"/>
                <w:sz w:val="24"/>
                <w:szCs w:val="24"/>
                <w:lang w:val="es-ES"/>
              </w:rPr>
              <w:t>sta demanda de energía es unas cuatro veces mayor que la iluminación</w:t>
            </w:r>
            <w:r>
              <w:rPr>
                <w:rFonts w:ascii="Times New Roman" w:eastAsia="Times New Roman" w:hAnsi="Times New Roman" w:cs="Times New Roman"/>
                <w:sz w:val="24"/>
                <w:szCs w:val="24"/>
                <w:lang w:val="es-ES"/>
              </w:rPr>
              <w:t xml:space="preserve"> </w:t>
            </w:r>
            <w:r>
              <w:rPr>
                <w:rFonts w:ascii="Times New Roman" w:eastAsia="Times New Roman" w:hAnsi="Times New Roman" w:cs="Times New Roman"/>
                <w:sz w:val="24"/>
                <w:szCs w:val="24"/>
                <w:lang w:val="es-ES"/>
              </w:rPr>
              <w:fldChar w:fldCharType="begin"/>
            </w:r>
            <w:r>
              <w:rPr>
                <w:rFonts w:ascii="Times New Roman" w:eastAsia="Times New Roman" w:hAnsi="Times New Roman" w:cs="Times New Roman"/>
                <w:sz w:val="24"/>
                <w:szCs w:val="24"/>
                <w:lang w:val="es-ES"/>
              </w:rPr>
              <w:instrText xml:space="preserve"> ADDIN ZOTERO_ITEM CSL_CITATION {"citationID":"a2opck2t178","properties":{"formattedCitation":"{\\rtf (Steven J. Kenway et\\uc0\\u160{}al., 2016)}","plainCitation":"(Steven J. Kenway et al., 2016)"},"citationItems":[{"id":3554,"uris":["http://zotero.org/users/306373/items/4X2V7K2M"],"uri":["http://zotero.org/users/306373/items/4X2V7K2M"],"itemData":{"id":3554,"type":"article-journal","title":"Household analysis identifies water-related energy efficiency opportunities","container-title":"Energy and Buildings","page":"21-34","volume":"131","source":"ScienceDirect","abstract":"Water heating accounts for around one third of household direct energy use. This energy demand is some four times greater than lighting. Here we use detailed monitoring and modelling of seven individual households to quantify major factors. Using normalized sensitivity results we demonstrate (i) high variability and (ii) a large and consistent influence of shower duration, flow rate, frequency and temperature along with hot water system efficiency, adult population, and the temperature of cold water. A 10% change in these factors influenced 0.1–0.9kWh/hh-person.d, equivalent to a 2–3% of total household energy use. We draw on 5399 shower events from a further 94 households, and 491 shower temperature measurements to understand the scope for changes to the households. Individual parameters variation guided by these larger datasets demonstrated shower duration and flow rate offer most scope for change. The work helps guide city-scale analysis of household water-related energy demand. It also supports the tailoring of behavioural and technological water-efficiency programs towards those with strongest potential to influence energy. Strong interaction between parameters suggests that programs aiming to influence water-related energy need to be aware of how this interplay either amplifies, or diminishes, the intended energy savings.","DOI":"10.1016/j.enbuild.2016.09.008","ISSN":"0378-7788","journalAbbreviation":"Energy and Buildings","author":[{"family":"Kenway","given":"Steven J."},{"family":"Binks","given":"Amanda"},{"family":"Scheidegger","given":"Ruth"},{"family":"Bader","given":"Hans-Peter"},{"family":"Pamminger","given":"Francis"},{"family":"Lant","given":"Paul"},{"family":"Taimre","given":"Thomas"}],"issued":{"date-parts":[["2016",11,1]]}}}],"schema":"https://github.com/citation-style-language/schema/raw/master/csl-citation.json"} </w:instrText>
            </w:r>
            <w:r>
              <w:rPr>
                <w:rFonts w:ascii="Times New Roman" w:eastAsia="Times New Roman" w:hAnsi="Times New Roman" w:cs="Times New Roman"/>
                <w:sz w:val="24"/>
                <w:szCs w:val="24"/>
                <w:lang w:val="es-ES"/>
              </w:rPr>
              <w:fldChar w:fldCharType="separate"/>
            </w:r>
            <w:r w:rsidRPr="00195B6C">
              <w:rPr>
                <w:rFonts w:ascii="Times New Roman" w:hAnsi="Times New Roman" w:cs="Times New Roman"/>
                <w:sz w:val="24"/>
                <w:szCs w:val="24"/>
                <w:lang w:val="es-ES"/>
              </w:rPr>
              <w:t>(Steven J. Kenway et al., 2016)</w:t>
            </w:r>
            <w:r>
              <w:rPr>
                <w:rFonts w:ascii="Times New Roman" w:eastAsia="Times New Roman" w:hAnsi="Times New Roman" w:cs="Times New Roman"/>
                <w:sz w:val="24"/>
                <w:szCs w:val="24"/>
                <w:lang w:val="es-ES"/>
              </w:rPr>
              <w:fldChar w:fldCharType="end"/>
            </w:r>
            <w:r>
              <w:rPr>
                <w:rFonts w:ascii="Times New Roman" w:eastAsia="Times New Roman" w:hAnsi="Times New Roman" w:cs="Times New Roman"/>
                <w:sz w:val="24"/>
                <w:szCs w:val="24"/>
                <w:lang w:val="es-ES"/>
              </w:rPr>
              <w:t xml:space="preserve">. </w:t>
            </w:r>
          </w:p>
          <w:p w14:paraId="50235CD6" w14:textId="77777777" w:rsidR="00294344" w:rsidRDefault="00294344" w:rsidP="00294344">
            <w:pPr>
              <w:jc w:val="both"/>
              <w:rPr>
                <w:rFonts w:ascii="Times New Roman" w:eastAsia="Times New Roman" w:hAnsi="Times New Roman" w:cs="Times New Roman"/>
                <w:sz w:val="24"/>
                <w:szCs w:val="24"/>
                <w:lang w:val="es-ES"/>
              </w:rPr>
            </w:pPr>
          </w:p>
          <w:p w14:paraId="77AD6298" w14:textId="77777777" w:rsidR="00294344" w:rsidRPr="006765CA" w:rsidRDefault="00294344" w:rsidP="00294344">
            <w:pPr>
              <w:ind w:firstLine="708"/>
              <w:jc w:val="both"/>
              <w:rPr>
                <w:rFonts w:ascii="Times New Roman" w:eastAsia="Times New Roman" w:hAnsi="Times New Roman" w:cs="Times New Roman"/>
                <w:b/>
                <w:i/>
                <w:sz w:val="24"/>
                <w:szCs w:val="24"/>
                <w:lang w:val="es-ES"/>
              </w:rPr>
            </w:pPr>
            <w:r w:rsidRPr="006765CA">
              <w:rPr>
                <w:rFonts w:ascii="Times New Roman" w:eastAsia="Times New Roman" w:hAnsi="Times New Roman" w:cs="Times New Roman"/>
                <w:b/>
                <w:i/>
                <w:sz w:val="24"/>
                <w:szCs w:val="24"/>
                <w:lang w:val="es-ES"/>
              </w:rPr>
              <w:t>Estrategias de ahorro.</w:t>
            </w:r>
          </w:p>
          <w:p w14:paraId="51AC4DCA" w14:textId="77777777" w:rsidR="00294344" w:rsidRDefault="00294344" w:rsidP="00294344">
            <w:pPr>
              <w:jc w:val="both"/>
              <w:rPr>
                <w:rFonts w:ascii="Times New Roman" w:eastAsia="Times New Roman" w:hAnsi="Times New Roman" w:cs="Times New Roman"/>
                <w:sz w:val="24"/>
                <w:szCs w:val="24"/>
                <w:lang w:val="es-ES"/>
              </w:rPr>
            </w:pPr>
            <w:r>
              <w:rPr>
                <w:rFonts w:ascii="Times New Roman" w:eastAsia="Times New Roman" w:hAnsi="Times New Roman" w:cs="Times New Roman"/>
                <w:sz w:val="24"/>
                <w:szCs w:val="24"/>
                <w:lang w:val="es-ES"/>
              </w:rPr>
              <w:t xml:space="preserve"> </w:t>
            </w:r>
          </w:p>
          <w:p w14:paraId="5A311FDD" w14:textId="77777777" w:rsidR="00294344" w:rsidRDefault="00294344" w:rsidP="00294344">
            <w:pPr>
              <w:jc w:val="both"/>
              <w:rPr>
                <w:rFonts w:ascii="Times New Roman" w:eastAsia="Times New Roman" w:hAnsi="Times New Roman" w:cs="Times New Roman"/>
                <w:sz w:val="24"/>
                <w:szCs w:val="24"/>
                <w:lang w:val="es-ES"/>
              </w:rPr>
            </w:pPr>
            <w:r>
              <w:rPr>
                <w:rFonts w:ascii="Times New Roman" w:eastAsia="Times New Roman" w:hAnsi="Times New Roman" w:cs="Times New Roman"/>
                <w:sz w:val="24"/>
                <w:szCs w:val="24"/>
                <w:lang w:val="es-ES"/>
              </w:rPr>
              <w:t>Existen gran variedad de estrategias para el ahorro de agua en sectores residenciales, las cuales van desde el (</w:t>
            </w:r>
            <w:r w:rsidRPr="00D36AA2">
              <w:rPr>
                <w:rFonts w:ascii="Times New Roman" w:eastAsia="Times New Roman" w:hAnsi="Times New Roman" w:cs="Times New Roman"/>
                <w:i/>
                <w:sz w:val="24"/>
                <w:szCs w:val="24"/>
                <w:lang w:val="es-ES"/>
              </w:rPr>
              <w:t>i</w:t>
            </w:r>
            <w:r>
              <w:rPr>
                <w:rFonts w:ascii="Times New Roman" w:eastAsia="Times New Roman" w:hAnsi="Times New Roman" w:cs="Times New Roman"/>
                <w:sz w:val="24"/>
                <w:szCs w:val="24"/>
                <w:lang w:val="es-ES"/>
              </w:rPr>
              <w:t>) costo en donde l</w:t>
            </w:r>
            <w:r w:rsidRPr="00C65F94">
              <w:rPr>
                <w:rFonts w:ascii="Times New Roman" w:eastAsia="Times New Roman" w:hAnsi="Times New Roman" w:cs="Times New Roman"/>
                <w:sz w:val="24"/>
                <w:szCs w:val="24"/>
                <w:lang w:val="es-ES"/>
              </w:rPr>
              <w:t>as empresas de agua tienen la intención de utilizar los precios como un mec</w:t>
            </w:r>
            <w:r>
              <w:rPr>
                <w:rFonts w:ascii="Times New Roman" w:eastAsia="Times New Roman" w:hAnsi="Times New Roman" w:cs="Times New Roman"/>
                <w:sz w:val="24"/>
                <w:szCs w:val="24"/>
                <w:lang w:val="es-ES"/>
              </w:rPr>
              <w:t>anismo de conservación del agua, sin embargo varias investigaciones</w:t>
            </w:r>
            <w:r w:rsidRPr="00C65F94">
              <w:rPr>
                <w:rFonts w:ascii="Times New Roman" w:eastAsia="Times New Roman" w:hAnsi="Times New Roman" w:cs="Times New Roman"/>
                <w:sz w:val="24"/>
                <w:szCs w:val="24"/>
                <w:lang w:val="es-ES"/>
              </w:rPr>
              <w:t xml:space="preserve"> muestra que </w:t>
            </w:r>
            <w:r>
              <w:rPr>
                <w:rFonts w:ascii="Times New Roman" w:eastAsia="Times New Roman" w:hAnsi="Times New Roman" w:cs="Times New Roman"/>
                <w:sz w:val="24"/>
                <w:szCs w:val="24"/>
                <w:lang w:val="es-ES"/>
              </w:rPr>
              <w:t xml:space="preserve">esta estrategia no es suficientemente sostenible y eficaz, ya que </w:t>
            </w:r>
            <w:r w:rsidRPr="00C65F94">
              <w:rPr>
                <w:rFonts w:ascii="Times New Roman" w:eastAsia="Times New Roman" w:hAnsi="Times New Roman" w:cs="Times New Roman"/>
                <w:sz w:val="24"/>
                <w:szCs w:val="24"/>
                <w:lang w:val="es-ES"/>
              </w:rPr>
              <w:t>la demanda de agua es relativamente inelás</w:t>
            </w:r>
            <w:r>
              <w:rPr>
                <w:rFonts w:ascii="Times New Roman" w:eastAsia="Times New Roman" w:hAnsi="Times New Roman" w:cs="Times New Roman"/>
                <w:sz w:val="24"/>
                <w:szCs w:val="24"/>
                <w:lang w:val="es-ES"/>
              </w:rPr>
              <w:t>tica a los precios, además existe</w:t>
            </w:r>
            <w:r w:rsidRPr="00C65F94">
              <w:rPr>
                <w:rFonts w:ascii="Times New Roman" w:eastAsia="Times New Roman" w:hAnsi="Times New Roman" w:cs="Times New Roman"/>
                <w:sz w:val="24"/>
                <w:szCs w:val="24"/>
                <w:lang w:val="es-ES"/>
              </w:rPr>
              <w:t xml:space="preserve"> la falta de persist</w:t>
            </w:r>
            <w:r>
              <w:rPr>
                <w:rFonts w:ascii="Times New Roman" w:eastAsia="Times New Roman" w:hAnsi="Times New Roman" w:cs="Times New Roman"/>
                <w:sz w:val="24"/>
                <w:szCs w:val="24"/>
                <w:lang w:val="es-ES"/>
              </w:rPr>
              <w:t>encia del mecanismo de precios</w:t>
            </w:r>
            <w:r w:rsidRPr="00C65F94">
              <w:rPr>
                <w:rFonts w:ascii="Times New Roman" w:eastAsia="Times New Roman" w:hAnsi="Times New Roman" w:cs="Times New Roman"/>
                <w:sz w:val="24"/>
                <w:szCs w:val="24"/>
                <w:lang w:val="es-ES"/>
              </w:rPr>
              <w:t xml:space="preserve"> y las preocupaciones sobre la equidad y la motivación competitiva para aumentar los precios </w:t>
            </w:r>
            <w:r>
              <w:rPr>
                <w:rFonts w:ascii="Times New Roman" w:eastAsia="Times New Roman" w:hAnsi="Times New Roman" w:cs="Times New Roman"/>
                <w:sz w:val="24"/>
                <w:szCs w:val="24"/>
                <w:lang w:val="es-ES"/>
              </w:rPr>
              <w:fldChar w:fldCharType="begin"/>
            </w:r>
            <w:r>
              <w:rPr>
                <w:rFonts w:ascii="Times New Roman" w:eastAsia="Times New Roman" w:hAnsi="Times New Roman" w:cs="Times New Roman"/>
                <w:sz w:val="24"/>
                <w:szCs w:val="24"/>
                <w:lang w:val="es-ES"/>
              </w:rPr>
              <w:instrText xml:space="preserve"> ADDIN ZOTERO_ITEM CSL_CITATION {"citationID":"a1ktb7h16ti","properties":{"formattedCitation":"(Archibald &amp; Renwick, 1998; Howarth &amp; Butler, 2004; Kanakoudis, 2002)","plainCitation":"(Archibald &amp; Renwick, 1998; Howarth &amp; Butler, 2004; Kanakoudis, 2002)"},"citationItems":[{"id":3522,"uris":["http://zotero.org/users/306373/items/XCQQPA9C"],"uri":["http://zotero.org/users/306373/items/XCQQPA9C"],"itemData":{"id":3522,"type":"chapter","title":"Expected Transaction Costs and Incentives for Water Market Development","container-title":"Markets for Water: Potential and Performance","collection-title":"Natural Resource Management and Policy","publisher":"Springer US","publisher-place":"Boston, MA","page":"95-117","source":"Springer Link","event-place":"Boston, MA","abstract":"California provides the opportunity to analyze both the potential social gains from water transfers and the institutional constraints, including transaction costs, that can limit water market performance. Common law principles, constitutional provisions, State and Federal statutes, court decisions, water agency policy and contracts all govern how water is developed, allocated and used (xcState of California, 1995). This complex institutional setting creates a heterogeneous system of water-use rights resulting in uncertainty regarding the precise legal entitlements conferred with use rights. State and Federal law and policy governing water transfers and liability for any related economic and environmental impacts have been clarified over the past ten years to facilitate water market development. Despite these clarifications, uncertainty regarding use rights, transfer procedures, and transaction costs remains. As a consequence, water markets are yet to develop as anticipated. Drawing on recent experience, this chapter explores both the potential for social gains-from-trade in water-use rights and the institutional barriers constraining such trade, particularly focusing on the impact of heterogeneous water-use rights and transaction costs.","URL":"https://doi.org/10.1007/978-0-585-32088-5_7","ISBN":"978-0-585-32088-5","note":"DOI: 10.1007/978-0-585-32088-5_7","language":"en","author":[{"family":"Archibald","given":"Sandra O."},{"family":"Renwick","given":"Mary E."}],"editor":[{"family":"Easter","given":"K. William"},{"family":"Rosegrant","given":"Mark W."},{"family":"Dinar","given":"Ariel"}],"issued":{"date-parts":[["1998"]]},"accessed":{"date-parts":[["2019",7,29]]}}},{"id":3524,"uris":["http://zotero.org/users/306373/items/QQMJMAU5"],"uri":["http://zotero.org/users/306373/items/QQMJMAU5"],"itemData":{"id":3524,"type":"article-journal","title":"Urban water use conservation measures","container-title":"Journal of Water Supply: Research and Technology-Aqua","page":"153-163","volume":"51","issue":"3","source":"iwaponline.com","DOI":"10.2166/aqua.2002.0013","ISSN":"0003-7214","journalAbbreviation":"Journal of Water Supply: Research and Technology-Aqua","language":"en","author":[{"family":"Kanakoudis","given":"V. K."}],"issued":{"date-parts":[["2002",5,1]]}}},{"id":3527,"uris":["http://zotero.org/users/306373/items/NNA99ZNJ"],"uri":["http://zotero.org/users/306373/items/NNA99ZNJ"],"itemData":{"id":3527,"type":"article-journal","title":"Communicating water conservation: how can the public be engaged?","container-title":"Water Supply","page":"33-44","volume":"4","issue":"3","source":"iwaponline.com","DOI":"10.2166/ws.2004.0041","ISSN":"1606-9749","shortTitle":"Communicating water conservation","journalAbbreviation":"Water Supply","language":"en","author":[{"family":"Howarth","given":"D."},{"family":"Butler","given":"S."}],"issued":{"date-parts":[["2004",6,1]]}}}],"schema":"https://github.com/citation-style-language/schema/raw/master/csl-citation.json"} </w:instrText>
            </w:r>
            <w:r>
              <w:rPr>
                <w:rFonts w:ascii="Times New Roman" w:eastAsia="Times New Roman" w:hAnsi="Times New Roman" w:cs="Times New Roman"/>
                <w:sz w:val="24"/>
                <w:szCs w:val="24"/>
                <w:lang w:val="es-ES"/>
              </w:rPr>
              <w:fldChar w:fldCharType="separate"/>
            </w:r>
            <w:r>
              <w:rPr>
                <w:rFonts w:ascii="Times New Roman" w:hAnsi="Times New Roman" w:cs="Times New Roman"/>
                <w:sz w:val="24"/>
                <w:szCs w:val="24"/>
                <w:lang w:val="es-ES"/>
              </w:rPr>
              <w:t>(Archibald &amp; Renwick, 1998; Howarth &amp; Butler, 2004; Kanakoudis, 2002)</w:t>
            </w:r>
            <w:r>
              <w:rPr>
                <w:rFonts w:ascii="Times New Roman" w:eastAsia="Times New Roman" w:hAnsi="Times New Roman" w:cs="Times New Roman"/>
                <w:sz w:val="24"/>
                <w:szCs w:val="24"/>
                <w:lang w:val="es-ES"/>
              </w:rPr>
              <w:fldChar w:fldCharType="end"/>
            </w:r>
            <w:r w:rsidRPr="00C65F94">
              <w:rPr>
                <w:rFonts w:ascii="Times New Roman" w:eastAsia="Times New Roman" w:hAnsi="Times New Roman" w:cs="Times New Roman"/>
                <w:sz w:val="24"/>
                <w:szCs w:val="24"/>
                <w:lang w:val="es-ES"/>
              </w:rPr>
              <w:t>.</w:t>
            </w:r>
            <w:r>
              <w:rPr>
                <w:rFonts w:ascii="Times New Roman" w:eastAsia="Times New Roman" w:hAnsi="Times New Roman" w:cs="Times New Roman"/>
                <w:sz w:val="24"/>
                <w:szCs w:val="24"/>
                <w:lang w:val="es-ES"/>
              </w:rPr>
              <w:t xml:space="preserve"> </w:t>
            </w:r>
          </w:p>
          <w:p w14:paraId="27ED230F" w14:textId="77777777" w:rsidR="00294344" w:rsidRDefault="00294344" w:rsidP="00294344">
            <w:pPr>
              <w:jc w:val="both"/>
              <w:rPr>
                <w:rFonts w:ascii="Times New Roman" w:eastAsia="Times New Roman" w:hAnsi="Times New Roman" w:cs="Times New Roman"/>
                <w:sz w:val="24"/>
                <w:szCs w:val="24"/>
                <w:lang w:val="es-ES"/>
              </w:rPr>
            </w:pPr>
          </w:p>
          <w:p w14:paraId="29A04730" w14:textId="77777777" w:rsidR="00294344" w:rsidRDefault="00294344" w:rsidP="00294344">
            <w:pPr>
              <w:jc w:val="both"/>
              <w:rPr>
                <w:rFonts w:ascii="Times New Roman" w:eastAsia="Times New Roman" w:hAnsi="Times New Roman" w:cs="Times New Roman"/>
                <w:sz w:val="24"/>
                <w:szCs w:val="24"/>
                <w:lang w:val="es-ES"/>
              </w:rPr>
            </w:pPr>
            <w:r>
              <w:rPr>
                <w:rFonts w:ascii="Times New Roman" w:eastAsia="Times New Roman" w:hAnsi="Times New Roman" w:cs="Times New Roman"/>
                <w:sz w:val="24"/>
                <w:szCs w:val="24"/>
                <w:lang w:val="es-ES"/>
              </w:rPr>
              <w:t>Adicionalmente existen estrategias a signadas a la infraestructura (</w:t>
            </w:r>
            <w:r w:rsidRPr="00D36AA2">
              <w:rPr>
                <w:rFonts w:ascii="Times New Roman" w:eastAsia="Times New Roman" w:hAnsi="Times New Roman" w:cs="Times New Roman"/>
                <w:i/>
                <w:sz w:val="24"/>
                <w:szCs w:val="24"/>
                <w:lang w:val="es-ES"/>
              </w:rPr>
              <w:t>ii</w:t>
            </w:r>
            <w:r>
              <w:rPr>
                <w:rFonts w:ascii="Times New Roman" w:eastAsia="Times New Roman" w:hAnsi="Times New Roman" w:cs="Times New Roman"/>
                <w:sz w:val="24"/>
                <w:szCs w:val="24"/>
                <w:lang w:val="es-ES"/>
              </w:rPr>
              <w:t xml:space="preserve">), en el cual se basa en la inversión de infraestructura e </w:t>
            </w:r>
            <w:r w:rsidRPr="00927E8D">
              <w:rPr>
                <w:rFonts w:ascii="Times New Roman" w:eastAsia="Times New Roman" w:hAnsi="Times New Roman" w:cs="Times New Roman"/>
                <w:sz w:val="24"/>
                <w:szCs w:val="24"/>
                <w:lang w:val="es-ES"/>
              </w:rPr>
              <w:t xml:space="preserve">instalación de electrodomésticos de uso eficiente del agua. </w:t>
            </w:r>
            <w:r>
              <w:rPr>
                <w:rFonts w:ascii="Times New Roman" w:eastAsia="Times New Roman" w:hAnsi="Times New Roman" w:cs="Times New Roman"/>
                <w:sz w:val="24"/>
                <w:szCs w:val="24"/>
                <w:lang w:val="es-ES"/>
              </w:rPr>
              <w:t>L</w:t>
            </w:r>
            <w:r w:rsidRPr="00927E8D">
              <w:rPr>
                <w:rFonts w:ascii="Times New Roman" w:eastAsia="Times New Roman" w:hAnsi="Times New Roman" w:cs="Times New Roman"/>
                <w:sz w:val="24"/>
                <w:szCs w:val="24"/>
                <w:lang w:val="es-ES"/>
              </w:rPr>
              <w:t>os programas</w:t>
            </w:r>
            <w:r>
              <w:rPr>
                <w:rFonts w:ascii="Times New Roman" w:eastAsia="Times New Roman" w:hAnsi="Times New Roman" w:cs="Times New Roman"/>
                <w:sz w:val="24"/>
                <w:szCs w:val="24"/>
                <w:lang w:val="es-ES"/>
              </w:rPr>
              <w:t xml:space="preserve"> involucran</w:t>
            </w:r>
            <w:r w:rsidRPr="00927E8D">
              <w:rPr>
                <w:rFonts w:ascii="Times New Roman" w:eastAsia="Times New Roman" w:hAnsi="Times New Roman" w:cs="Times New Roman"/>
                <w:sz w:val="24"/>
                <w:szCs w:val="24"/>
                <w:lang w:val="es-ES"/>
              </w:rPr>
              <w:t xml:space="preserve"> modificaciones temporales, como </w:t>
            </w:r>
            <w:r>
              <w:rPr>
                <w:rFonts w:ascii="Times New Roman" w:eastAsia="Times New Roman" w:hAnsi="Times New Roman" w:cs="Times New Roman"/>
                <w:sz w:val="24"/>
                <w:szCs w:val="24"/>
                <w:lang w:val="es-ES"/>
              </w:rPr>
              <w:t>en</w:t>
            </w:r>
            <w:r w:rsidRPr="00927E8D">
              <w:rPr>
                <w:rFonts w:ascii="Times New Roman" w:eastAsia="Times New Roman" w:hAnsi="Times New Roman" w:cs="Times New Roman"/>
                <w:sz w:val="24"/>
                <w:szCs w:val="24"/>
                <w:lang w:val="es-ES"/>
              </w:rPr>
              <w:t xml:space="preserve"> inodoros, </w:t>
            </w:r>
            <w:r>
              <w:rPr>
                <w:rFonts w:ascii="Times New Roman" w:eastAsia="Times New Roman" w:hAnsi="Times New Roman" w:cs="Times New Roman"/>
                <w:sz w:val="24"/>
                <w:szCs w:val="24"/>
                <w:lang w:val="es-ES"/>
              </w:rPr>
              <w:t>controladores de flujo en</w:t>
            </w:r>
            <w:r w:rsidRPr="00927E8D">
              <w:rPr>
                <w:rFonts w:ascii="Times New Roman" w:eastAsia="Times New Roman" w:hAnsi="Times New Roman" w:cs="Times New Roman"/>
                <w:sz w:val="24"/>
                <w:szCs w:val="24"/>
                <w:lang w:val="es-ES"/>
              </w:rPr>
              <w:t xml:space="preserve"> grifos</w:t>
            </w:r>
            <w:r>
              <w:rPr>
                <w:rFonts w:ascii="Times New Roman" w:eastAsia="Times New Roman" w:hAnsi="Times New Roman" w:cs="Times New Roman"/>
                <w:sz w:val="24"/>
                <w:szCs w:val="24"/>
                <w:lang w:val="es-ES"/>
              </w:rPr>
              <w:t xml:space="preserve"> etc. y también</w:t>
            </w:r>
            <w:r w:rsidRPr="00927E8D">
              <w:rPr>
                <w:rFonts w:ascii="Times New Roman" w:eastAsia="Times New Roman" w:hAnsi="Times New Roman" w:cs="Times New Roman"/>
                <w:sz w:val="24"/>
                <w:szCs w:val="24"/>
                <w:lang w:val="es-ES"/>
              </w:rPr>
              <w:t xml:space="preserve"> </w:t>
            </w:r>
            <w:r>
              <w:rPr>
                <w:rFonts w:ascii="Times New Roman" w:eastAsia="Times New Roman" w:hAnsi="Times New Roman" w:cs="Times New Roman"/>
                <w:sz w:val="24"/>
                <w:szCs w:val="24"/>
                <w:lang w:val="es-ES"/>
              </w:rPr>
              <w:t>reemplazos</w:t>
            </w:r>
            <w:r w:rsidRPr="00927E8D">
              <w:rPr>
                <w:rFonts w:ascii="Times New Roman" w:eastAsia="Times New Roman" w:hAnsi="Times New Roman" w:cs="Times New Roman"/>
                <w:sz w:val="24"/>
                <w:szCs w:val="24"/>
                <w:lang w:val="es-ES"/>
              </w:rPr>
              <w:t xml:space="preserve"> permanentemente</w:t>
            </w:r>
            <w:r>
              <w:rPr>
                <w:rFonts w:ascii="Times New Roman" w:eastAsia="Times New Roman" w:hAnsi="Times New Roman" w:cs="Times New Roman"/>
                <w:sz w:val="24"/>
                <w:szCs w:val="24"/>
                <w:lang w:val="es-ES"/>
              </w:rPr>
              <w:t xml:space="preserve"> tales como cambios de tuberías, controles en válvulas superiores etc</w:t>
            </w:r>
            <w:r w:rsidRPr="00927E8D">
              <w:rPr>
                <w:rFonts w:ascii="Times New Roman" w:eastAsia="Times New Roman" w:hAnsi="Times New Roman" w:cs="Times New Roman"/>
                <w:sz w:val="24"/>
                <w:szCs w:val="24"/>
                <w:lang w:val="es-ES"/>
              </w:rPr>
              <w:t xml:space="preserve">. </w:t>
            </w:r>
            <w:r>
              <w:rPr>
                <w:rFonts w:ascii="Times New Roman" w:eastAsia="Times New Roman" w:hAnsi="Times New Roman" w:cs="Times New Roman"/>
                <w:sz w:val="24"/>
                <w:szCs w:val="24"/>
                <w:lang w:val="es-ES"/>
              </w:rPr>
              <w:t>Por ultimo tenemos (</w:t>
            </w:r>
            <w:r w:rsidRPr="00927E8D">
              <w:rPr>
                <w:rFonts w:ascii="Times New Roman" w:eastAsia="Times New Roman" w:hAnsi="Times New Roman" w:cs="Times New Roman"/>
                <w:i/>
                <w:sz w:val="24"/>
                <w:szCs w:val="24"/>
                <w:lang w:val="es-ES"/>
              </w:rPr>
              <w:t>iii</w:t>
            </w:r>
            <w:r>
              <w:rPr>
                <w:rFonts w:ascii="Times New Roman" w:eastAsia="Times New Roman" w:hAnsi="Times New Roman" w:cs="Times New Roman"/>
                <w:sz w:val="24"/>
                <w:szCs w:val="24"/>
                <w:lang w:val="es-ES"/>
              </w:rPr>
              <w:t>) la educación, donde se le informa</w:t>
            </w:r>
            <w:r w:rsidRPr="00927E8D">
              <w:rPr>
                <w:rFonts w:ascii="Times New Roman" w:eastAsia="Times New Roman" w:hAnsi="Times New Roman" w:cs="Times New Roman"/>
                <w:sz w:val="24"/>
                <w:szCs w:val="24"/>
                <w:lang w:val="es-ES"/>
              </w:rPr>
              <w:t xml:space="preserve"> al </w:t>
            </w:r>
            <w:r>
              <w:rPr>
                <w:rFonts w:ascii="Times New Roman" w:eastAsia="Times New Roman" w:hAnsi="Times New Roman" w:cs="Times New Roman"/>
                <w:sz w:val="24"/>
                <w:szCs w:val="24"/>
                <w:lang w:val="es-ES"/>
              </w:rPr>
              <w:t>usuario</w:t>
            </w:r>
            <w:r w:rsidRPr="00927E8D">
              <w:rPr>
                <w:rFonts w:ascii="Times New Roman" w:eastAsia="Times New Roman" w:hAnsi="Times New Roman" w:cs="Times New Roman"/>
                <w:sz w:val="24"/>
                <w:szCs w:val="24"/>
                <w:lang w:val="es-ES"/>
              </w:rPr>
              <w:t xml:space="preserve"> sobre temas</w:t>
            </w:r>
            <w:r>
              <w:rPr>
                <w:rFonts w:ascii="Times New Roman" w:eastAsia="Times New Roman" w:hAnsi="Times New Roman" w:cs="Times New Roman"/>
                <w:sz w:val="24"/>
                <w:szCs w:val="24"/>
                <w:lang w:val="es-ES"/>
              </w:rPr>
              <w:t xml:space="preserve"> de conservación del agua, la evidencia muestra que todas las estrategias de control de consumo deben ir acompañadas por la educación, s</w:t>
            </w:r>
            <w:r w:rsidRPr="00927E8D">
              <w:rPr>
                <w:rFonts w:ascii="Times New Roman" w:eastAsia="Times New Roman" w:hAnsi="Times New Roman" w:cs="Times New Roman"/>
                <w:sz w:val="24"/>
                <w:szCs w:val="24"/>
                <w:lang w:val="es-ES"/>
              </w:rPr>
              <w:t xml:space="preserve">in embargo, varios programas han reportado resultados desagregados </w:t>
            </w:r>
            <w:r>
              <w:rPr>
                <w:rFonts w:ascii="Times New Roman" w:eastAsia="Times New Roman" w:hAnsi="Times New Roman" w:cs="Times New Roman"/>
                <w:sz w:val="24"/>
                <w:szCs w:val="24"/>
                <w:lang w:val="es-ES"/>
              </w:rPr>
              <w:t xml:space="preserve">a las demás estrategias </w:t>
            </w:r>
            <w:r>
              <w:rPr>
                <w:rFonts w:ascii="Times New Roman" w:eastAsia="Times New Roman" w:hAnsi="Times New Roman" w:cs="Times New Roman"/>
                <w:sz w:val="24"/>
                <w:szCs w:val="24"/>
                <w:lang w:val="es-ES"/>
              </w:rPr>
              <w:fldChar w:fldCharType="begin"/>
            </w:r>
            <w:r>
              <w:rPr>
                <w:rFonts w:ascii="Times New Roman" w:eastAsia="Times New Roman" w:hAnsi="Times New Roman" w:cs="Times New Roman"/>
                <w:sz w:val="24"/>
                <w:szCs w:val="24"/>
                <w:lang w:val="es-ES"/>
              </w:rPr>
              <w:instrText xml:space="preserve"> ADDIN ZOTERO_ITEM CSL_CITATION {"citationID":"allfp0k0bh","properties":{"formattedCitation":"(Inman &amp; Jeffrey, 2006)","plainCitation":"(Inman &amp; Jeffrey, 2006)"},"citationItems":[{"id":3530,"uris":["http://zotero.org/users/306373/items/CKNJ4RUJ"],"uri":["http://zotero.org/users/306373/items/CKNJ4RUJ"],"itemData":{"id":3530,"type":"article-journal","title":"A review of residential water conservation tool performance and influences on implementation effectiveness","container-title":"Urban Water Journal","page":"127-143","volume":"3","issue":"3","source":"Taylor and Francis+NEJM","abstract":"Water scarcity and household water consumption has received increasing attention on national public agendas in recent years. At the same time a number of important demand-side management (DSM) studies have been reported on by non-academic institutions, and there is a need for a comprehensive, up to date review of the impacts of DSM tools and the factors which influence their effectiveness. This paper aims to address an apparent lack of coverage in the academic literature by presenting a review of residential DSM tools using reports of recent DSM campaigns in the western (developed) world. The central objectives are to understand the potential for residential DSM tools to save water in different types of household under varying conditions and to identify influences on implementation effectiveness. In the discussion, we explore causes of uncertainty in DSM planning including the non-transferability of trends and existing methods of evaluation, and describe some of the resulting problems. The conclusions offer recommendations as to areas that require, and offer the greatest scope, for future research. This review article will be of interest to, among others, water company professionals, policy makers, regulators, researchers, and environmental agencies.","DOI":"10.1080/15730620600961288","ISSN":"1573-062X","author":[{"family":"Inman","given":"David"},{"family":"Jeffrey","given":"Paul"}],"issued":{"date-parts":[["2006",9,1]]}}}],"schema":"https://github.com/citation-style-language/schema/raw/master/csl-citation.json"} </w:instrText>
            </w:r>
            <w:r>
              <w:rPr>
                <w:rFonts w:ascii="Times New Roman" w:eastAsia="Times New Roman" w:hAnsi="Times New Roman" w:cs="Times New Roman"/>
                <w:sz w:val="24"/>
                <w:szCs w:val="24"/>
                <w:lang w:val="es-ES"/>
              </w:rPr>
              <w:fldChar w:fldCharType="separate"/>
            </w:r>
            <w:r>
              <w:rPr>
                <w:rFonts w:ascii="Times New Roman" w:eastAsia="Times New Roman" w:hAnsi="Times New Roman" w:cs="Times New Roman"/>
                <w:noProof/>
                <w:sz w:val="24"/>
                <w:szCs w:val="24"/>
                <w:lang w:val="es-ES"/>
              </w:rPr>
              <w:t>(Inman &amp; Jeffrey, 2006)</w:t>
            </w:r>
            <w:r>
              <w:rPr>
                <w:rFonts w:ascii="Times New Roman" w:eastAsia="Times New Roman" w:hAnsi="Times New Roman" w:cs="Times New Roman"/>
                <w:sz w:val="24"/>
                <w:szCs w:val="24"/>
                <w:lang w:val="es-ES"/>
              </w:rPr>
              <w:fldChar w:fldCharType="end"/>
            </w:r>
            <w:r w:rsidRPr="00927E8D">
              <w:rPr>
                <w:rFonts w:ascii="Times New Roman" w:eastAsia="Times New Roman" w:hAnsi="Times New Roman" w:cs="Times New Roman"/>
                <w:sz w:val="24"/>
                <w:szCs w:val="24"/>
                <w:lang w:val="es-ES"/>
              </w:rPr>
              <w:t>.</w:t>
            </w:r>
          </w:p>
          <w:p w14:paraId="4F66B5B0" w14:textId="77777777" w:rsidR="00294344" w:rsidRDefault="00294344" w:rsidP="00294344">
            <w:pPr>
              <w:jc w:val="both"/>
              <w:rPr>
                <w:rFonts w:ascii="Times New Roman" w:eastAsia="Times New Roman" w:hAnsi="Times New Roman" w:cs="Times New Roman"/>
                <w:sz w:val="24"/>
                <w:szCs w:val="24"/>
                <w:lang w:val="es-ES"/>
              </w:rPr>
            </w:pPr>
          </w:p>
          <w:p w14:paraId="04D7D77B" w14:textId="77777777" w:rsidR="00294344" w:rsidRDefault="00294344" w:rsidP="00294344">
            <w:pPr>
              <w:jc w:val="both"/>
              <w:rPr>
                <w:rFonts w:ascii="Times New Roman" w:eastAsia="Times New Roman" w:hAnsi="Times New Roman" w:cs="Times New Roman"/>
                <w:b/>
                <w:i/>
                <w:sz w:val="24"/>
                <w:szCs w:val="24"/>
                <w:lang w:val="es-ES"/>
              </w:rPr>
            </w:pPr>
            <w:r>
              <w:rPr>
                <w:rFonts w:ascii="Times New Roman" w:eastAsia="Times New Roman" w:hAnsi="Times New Roman" w:cs="Times New Roman"/>
                <w:sz w:val="24"/>
                <w:szCs w:val="24"/>
                <w:lang w:val="es-ES"/>
              </w:rPr>
              <w:tab/>
            </w:r>
            <w:r>
              <w:rPr>
                <w:rFonts w:ascii="Times New Roman" w:eastAsia="Times New Roman" w:hAnsi="Times New Roman" w:cs="Times New Roman"/>
                <w:b/>
                <w:i/>
                <w:sz w:val="24"/>
                <w:szCs w:val="24"/>
                <w:lang w:val="es-ES"/>
              </w:rPr>
              <w:t>Metabolismo urbano</w:t>
            </w:r>
          </w:p>
          <w:p w14:paraId="32550677" w14:textId="77777777" w:rsidR="00294344" w:rsidRDefault="00294344" w:rsidP="00294344">
            <w:pPr>
              <w:jc w:val="both"/>
              <w:rPr>
                <w:rFonts w:ascii="Times New Roman" w:eastAsia="Times New Roman" w:hAnsi="Times New Roman" w:cs="Times New Roman"/>
                <w:b/>
                <w:i/>
                <w:sz w:val="24"/>
                <w:szCs w:val="24"/>
                <w:lang w:val="es-ES"/>
              </w:rPr>
            </w:pPr>
          </w:p>
          <w:p w14:paraId="67723165" w14:textId="77777777" w:rsidR="00294344" w:rsidRDefault="00294344" w:rsidP="00294344">
            <w:pPr>
              <w:jc w:val="both"/>
              <w:rPr>
                <w:rFonts w:ascii="Times New Roman" w:eastAsia="Times New Roman" w:hAnsi="Times New Roman" w:cs="Times New Roman"/>
                <w:sz w:val="24"/>
                <w:szCs w:val="24"/>
                <w:lang w:val="es-ES"/>
              </w:rPr>
            </w:pPr>
            <w:r w:rsidRPr="004401EB">
              <w:rPr>
                <w:rFonts w:ascii="Times New Roman" w:eastAsia="Times New Roman" w:hAnsi="Times New Roman" w:cs="Times New Roman"/>
                <w:sz w:val="24"/>
                <w:szCs w:val="24"/>
                <w:lang w:val="es-ES"/>
              </w:rPr>
              <w:t>El metabolismo urbano</w:t>
            </w:r>
            <w:r>
              <w:rPr>
                <w:rFonts w:ascii="Times New Roman" w:eastAsia="Times New Roman" w:hAnsi="Times New Roman" w:cs="Times New Roman"/>
                <w:sz w:val="24"/>
                <w:szCs w:val="24"/>
                <w:lang w:val="es-ES"/>
              </w:rPr>
              <w:t xml:space="preserve"> se conoce como </w:t>
            </w:r>
            <w:r w:rsidRPr="004401EB">
              <w:rPr>
                <w:rFonts w:ascii="Times New Roman" w:eastAsia="Times New Roman" w:hAnsi="Times New Roman" w:cs="Times New Roman"/>
                <w:sz w:val="24"/>
                <w:szCs w:val="24"/>
                <w:lang w:val="es-ES"/>
              </w:rPr>
              <w:t xml:space="preserve">un modelo conceptual que se </w:t>
            </w:r>
            <w:r>
              <w:rPr>
                <w:rFonts w:ascii="Times New Roman" w:eastAsia="Times New Roman" w:hAnsi="Times New Roman" w:cs="Times New Roman"/>
                <w:sz w:val="24"/>
                <w:szCs w:val="24"/>
                <w:lang w:val="es-ES"/>
              </w:rPr>
              <w:t>utiliza</w:t>
            </w:r>
            <w:r w:rsidRPr="004401EB">
              <w:rPr>
                <w:rFonts w:ascii="Times New Roman" w:eastAsia="Times New Roman" w:hAnsi="Times New Roman" w:cs="Times New Roman"/>
                <w:sz w:val="24"/>
                <w:szCs w:val="24"/>
                <w:lang w:val="es-ES"/>
              </w:rPr>
              <w:t xml:space="preserve"> para analizar los flujos urbanos de agua, energía y materiales </w:t>
            </w:r>
            <w:r>
              <w:rPr>
                <w:rFonts w:ascii="Times New Roman" w:eastAsia="Times New Roman" w:hAnsi="Times New Roman" w:cs="Times New Roman"/>
                <w:sz w:val="24"/>
                <w:szCs w:val="24"/>
                <w:lang w:val="es-ES"/>
              </w:rPr>
              <w:t xml:space="preserve"> </w:t>
            </w:r>
            <w:r>
              <w:rPr>
                <w:rFonts w:ascii="Times New Roman" w:eastAsia="Times New Roman" w:hAnsi="Times New Roman" w:cs="Times New Roman"/>
                <w:sz w:val="24"/>
                <w:szCs w:val="24"/>
                <w:lang w:val="es-ES"/>
              </w:rPr>
              <w:fldChar w:fldCharType="begin"/>
            </w:r>
            <w:r>
              <w:rPr>
                <w:rFonts w:ascii="Times New Roman" w:eastAsia="Times New Roman" w:hAnsi="Times New Roman" w:cs="Times New Roman"/>
                <w:sz w:val="24"/>
                <w:szCs w:val="24"/>
                <w:lang w:val="es-ES"/>
              </w:rPr>
              <w:instrText xml:space="preserve"> ADDIN ZOTERO_ITEM CSL_CITATION {"citationID":"a26ajbog3fi","properties":{"formattedCitation":"(Newman, 1999)","plainCitation":"(Newman, 1999)"},"citationItems":[{"id":3541,"uris":["http://zotero.org/users/306373/items/EFUDMIB9"],"uri":["http://zotero.org/users/306373/items/EFUDMIB9"],"itemData":{"id":3541,"type":"article-journal","title":"Sustainability and cities: extending the metabolism model","container-title":"Landscape and Urban Planning","page":"219-226","volume":"44","issue":"4","source":"ScienceDirect","abstract":"The use of the metabolism concept, expanded to include aspects of livability, is applied to cities to demonstrate the practical meaning of sustainability. Its application in industrial ecology, urban ecology, urban demonstration projects, business plans and city comparisons are used to illustrate its potential.","DOI":"10.1016/S0169-2046(99)00009-2","ISSN":"0169-2046","shortTitle":"Sustainability and cities","journalAbbreviation":"Landscape and Urban Planning","author":[{"family":"Newman","given":"Peter W. G"}],"issued":{"date-parts":[["1999",9,1]]}}}],"schema":"https://github.com/citation-style-language/schema/raw/master/csl-citation.json"} </w:instrText>
            </w:r>
            <w:r>
              <w:rPr>
                <w:rFonts w:ascii="Times New Roman" w:eastAsia="Times New Roman" w:hAnsi="Times New Roman" w:cs="Times New Roman"/>
                <w:sz w:val="24"/>
                <w:szCs w:val="24"/>
                <w:lang w:val="es-ES"/>
              </w:rPr>
              <w:fldChar w:fldCharType="separate"/>
            </w:r>
            <w:r>
              <w:rPr>
                <w:rFonts w:ascii="Times New Roman" w:eastAsia="Times New Roman" w:hAnsi="Times New Roman" w:cs="Times New Roman"/>
                <w:noProof/>
                <w:sz w:val="24"/>
                <w:szCs w:val="24"/>
                <w:lang w:val="es-ES"/>
              </w:rPr>
              <w:t>(Newman, 1999)</w:t>
            </w:r>
            <w:r>
              <w:rPr>
                <w:rFonts w:ascii="Times New Roman" w:eastAsia="Times New Roman" w:hAnsi="Times New Roman" w:cs="Times New Roman"/>
                <w:sz w:val="24"/>
                <w:szCs w:val="24"/>
                <w:lang w:val="es-ES"/>
              </w:rPr>
              <w:fldChar w:fldCharType="end"/>
            </w:r>
            <w:r w:rsidRPr="004401EB">
              <w:rPr>
                <w:rFonts w:ascii="Times New Roman" w:eastAsia="Times New Roman" w:hAnsi="Times New Roman" w:cs="Times New Roman"/>
                <w:sz w:val="24"/>
                <w:szCs w:val="24"/>
                <w:lang w:val="es-ES"/>
              </w:rPr>
              <w:t xml:space="preserve">. </w:t>
            </w:r>
            <w:r>
              <w:rPr>
                <w:rFonts w:ascii="Times New Roman" w:eastAsia="Times New Roman" w:hAnsi="Times New Roman" w:cs="Times New Roman"/>
                <w:sz w:val="24"/>
                <w:szCs w:val="24"/>
                <w:lang w:val="es-ES"/>
              </w:rPr>
              <w:t xml:space="preserve">Generalmente se </w:t>
            </w:r>
            <w:r w:rsidRPr="004401EB">
              <w:rPr>
                <w:rFonts w:ascii="Times New Roman" w:eastAsia="Times New Roman" w:hAnsi="Times New Roman" w:cs="Times New Roman"/>
                <w:sz w:val="24"/>
                <w:szCs w:val="24"/>
                <w:lang w:val="es-ES"/>
              </w:rPr>
              <w:t>considera los balances d</w:t>
            </w:r>
            <w:r>
              <w:rPr>
                <w:rFonts w:ascii="Times New Roman" w:eastAsia="Times New Roman" w:hAnsi="Times New Roman" w:cs="Times New Roman"/>
                <w:sz w:val="24"/>
                <w:szCs w:val="24"/>
                <w:lang w:val="es-ES"/>
              </w:rPr>
              <w:t xml:space="preserve">e masa de todos los materiales </w:t>
            </w:r>
            <w:r>
              <w:rPr>
                <w:rFonts w:ascii="Times New Roman" w:eastAsia="Times New Roman" w:hAnsi="Times New Roman" w:cs="Times New Roman"/>
                <w:sz w:val="24"/>
                <w:szCs w:val="24"/>
                <w:lang w:val="es-ES"/>
              </w:rPr>
              <w:fldChar w:fldCharType="begin"/>
            </w:r>
            <w:r>
              <w:rPr>
                <w:rFonts w:ascii="Times New Roman" w:eastAsia="Times New Roman" w:hAnsi="Times New Roman" w:cs="Times New Roman"/>
                <w:sz w:val="24"/>
                <w:szCs w:val="24"/>
                <w:lang w:val="es-ES"/>
              </w:rPr>
              <w:instrText xml:space="preserve"> ADDIN ZOTERO_ITEM CSL_CITATION {"citationID":"a1hn6bd9l3","properties":{"formattedCitation":"(Sahely, Dudding, &amp; Kennedy, 2003)","plainCitation":"(Sahely, Dudding, &amp; Kennedy, 2003)"},"citationItems":[{"id":1887,"uris":["http://zotero.org/users/306373/items/WBVFNFXS"],"uri":["http://zotero.org/users/306373/items/WBVFNFXS"],"itemData":{"id":1887,"type":"article-journal","title":"Estimating the urban metabolism of Canadian cities: Greater Toronto Area case study","container-title":"Canadian Journal of Civil Engineering","page":"468-483","volume":"30","issue":"2","source":"NRC Research Press","abstract":"An urban metabolism analysis is a means of quantifying the overall fluxes of energy, water, material, and wastes into and out of an urban region. Analysis of urban metabolism can provide important information about energy efficiency, material cycling, waste management, and infrastructure in urban systems. This paper presents the first urban metabolism of a Canadian urban region, and possibly the first for a North American city. It also makes a first attempt at comparing the urban metabolisms of a few cities worldwide. The most noticeable feature of the Greater Toronto Area metabolism is that inputs have generally increased at higher rates than outputs over the study years (1987 and 1999). The inputs of water and electricity have increased marginally less than the rate of population growth (25.6%), and estimated inputs for food and gasoline have increased by marginally greater percentages than the population. With the exception of CO2 emissions, the measured output parameters are growing slower than the po..., L'analyse du métabolisme urbain est un moyen de quantifier les flux globaux d'énergie, d'eau, de matériau et de déchets, entrant ou sortant d'une région urbaine. L'analyse du métabolisme urbain peut fournir d'importantes informations concernant l'efficacité énergétique, le cycle des matériaux, la gestion des déchets et l'infrastructure des systèmes urbains. Cet article présente pour la première fois le métabolisme urbain d'une région urbaine canadienne, peut-être le premier de toute l'Amérique du Nord. Il tente également de comparer pour la première fois les métabolismes urbains de quelques villes réparties dans le monde. La caractéristique la plus remarquable du métabolisme de la région du Grand Toronto est que les flux entrant ont généralement augmenté plus rapidement que les flux sortant sur la période étudiée (entre 1987 et 1999). Les entrées d'eau et d'électricité ont augmenté légèrement moins que ne l'a fait la population (taux d'accroissement de 25,6 %), alors que les entrées estimées en nourriture...","DOI":"10.1139/l02-105","ISSN":"0315-1468","shortTitle":"Estimating the urban metabolism of Canadian cities","journalAbbreviation":"Can. J. Civ. Eng.","author":[{"family":"Sahely","given":"Halla R"},{"family":"Dudding","given":"Shauna"},{"family":"Kennedy","given":"Christopher A"}],"issued":{"date-parts":[["2003"]],"season":"Abril"}}}],"schema":"https://github.com/citation-style-language/schema/raw/master/csl-citation.json"} </w:instrText>
            </w:r>
            <w:r>
              <w:rPr>
                <w:rFonts w:ascii="Times New Roman" w:eastAsia="Times New Roman" w:hAnsi="Times New Roman" w:cs="Times New Roman"/>
                <w:sz w:val="24"/>
                <w:szCs w:val="24"/>
                <w:lang w:val="es-ES"/>
              </w:rPr>
              <w:fldChar w:fldCharType="separate"/>
            </w:r>
            <w:r>
              <w:rPr>
                <w:rFonts w:ascii="Times New Roman" w:eastAsia="Times New Roman" w:hAnsi="Times New Roman" w:cs="Times New Roman"/>
                <w:noProof/>
                <w:sz w:val="24"/>
                <w:szCs w:val="24"/>
                <w:lang w:val="es-ES"/>
              </w:rPr>
              <w:t>(Sahely, Dudding, &amp; Kennedy, 2003)</w:t>
            </w:r>
            <w:r>
              <w:rPr>
                <w:rFonts w:ascii="Times New Roman" w:eastAsia="Times New Roman" w:hAnsi="Times New Roman" w:cs="Times New Roman"/>
                <w:sz w:val="24"/>
                <w:szCs w:val="24"/>
                <w:lang w:val="es-ES"/>
              </w:rPr>
              <w:fldChar w:fldCharType="end"/>
            </w:r>
            <w:r w:rsidRPr="004401EB">
              <w:rPr>
                <w:rFonts w:ascii="Times New Roman" w:eastAsia="Times New Roman" w:hAnsi="Times New Roman" w:cs="Times New Roman"/>
                <w:sz w:val="24"/>
                <w:szCs w:val="24"/>
                <w:lang w:val="es-ES"/>
              </w:rPr>
              <w:t xml:space="preserve">. La idea </w:t>
            </w:r>
            <w:r>
              <w:rPr>
                <w:rFonts w:ascii="Times New Roman" w:eastAsia="Times New Roman" w:hAnsi="Times New Roman" w:cs="Times New Roman"/>
                <w:sz w:val="24"/>
                <w:szCs w:val="24"/>
                <w:lang w:val="es-ES"/>
              </w:rPr>
              <w:t>fue propuesta</w:t>
            </w:r>
            <w:r w:rsidRPr="004401EB">
              <w:rPr>
                <w:rFonts w:ascii="Times New Roman" w:eastAsia="Times New Roman" w:hAnsi="Times New Roman" w:cs="Times New Roman"/>
                <w:sz w:val="24"/>
                <w:szCs w:val="24"/>
                <w:lang w:val="es-ES"/>
              </w:rPr>
              <w:t xml:space="preserve"> por primera vez con el objetivo de abordar los problemas de recursos urbanos contemporáneos por A</w:t>
            </w:r>
            <w:r>
              <w:rPr>
                <w:rFonts w:ascii="Times New Roman" w:eastAsia="Times New Roman" w:hAnsi="Times New Roman" w:cs="Times New Roman"/>
                <w:sz w:val="24"/>
                <w:szCs w:val="24"/>
                <w:lang w:val="es-ES"/>
              </w:rPr>
              <w:t xml:space="preserve">bel Wolman en 1965 </w:t>
            </w:r>
            <w:r>
              <w:rPr>
                <w:rFonts w:ascii="Times New Roman" w:eastAsia="Times New Roman" w:hAnsi="Times New Roman" w:cs="Times New Roman"/>
                <w:sz w:val="24"/>
                <w:szCs w:val="24"/>
                <w:lang w:val="es-ES"/>
              </w:rPr>
              <w:fldChar w:fldCharType="begin"/>
            </w:r>
            <w:r>
              <w:rPr>
                <w:rFonts w:ascii="Times New Roman" w:eastAsia="Times New Roman" w:hAnsi="Times New Roman" w:cs="Times New Roman"/>
                <w:sz w:val="24"/>
                <w:szCs w:val="24"/>
                <w:lang w:val="es-ES"/>
              </w:rPr>
              <w:instrText xml:space="preserve"> ADDIN ZOTERO_ITEM CSL_CITATION {"citationID":"aludji3tjs","properties":{"formattedCitation":"(Wolman, 1965)","plainCitation":"(Wolman, 1965)"},"citationItems":[{"id":3546,"uris":["http://zotero.org/users/306373/items/V47SR3UE"],"uri":["http://zotero.org/users/306373/items/V47SR3UE"],"itemData":{"id":3546,"type":"article-journal","title":"The Metabolism of Cities","container-title":"Scientific American","page":"178-193","volume":"213","issue":"3","source":"JSTOR","archive":"JSTOR","ISSN":"0036-8733","author":[{"family":"Wolman","given":"Abel"}],"issued":{"date-parts":[["1965"]]}}}],"schema":"https://github.com/citation-style-language/schema/raw/master/csl-citation.json"} </w:instrText>
            </w:r>
            <w:r>
              <w:rPr>
                <w:rFonts w:ascii="Times New Roman" w:eastAsia="Times New Roman" w:hAnsi="Times New Roman" w:cs="Times New Roman"/>
                <w:sz w:val="24"/>
                <w:szCs w:val="24"/>
                <w:lang w:val="es-ES"/>
              </w:rPr>
              <w:fldChar w:fldCharType="separate"/>
            </w:r>
            <w:r>
              <w:rPr>
                <w:rFonts w:ascii="Times New Roman" w:eastAsia="Times New Roman" w:hAnsi="Times New Roman" w:cs="Times New Roman"/>
                <w:noProof/>
                <w:sz w:val="24"/>
                <w:szCs w:val="24"/>
                <w:lang w:val="es-ES"/>
              </w:rPr>
              <w:t>(Wolman, 1965)</w:t>
            </w:r>
            <w:r>
              <w:rPr>
                <w:rFonts w:ascii="Times New Roman" w:eastAsia="Times New Roman" w:hAnsi="Times New Roman" w:cs="Times New Roman"/>
                <w:sz w:val="24"/>
                <w:szCs w:val="24"/>
                <w:lang w:val="es-ES"/>
              </w:rPr>
              <w:fldChar w:fldCharType="end"/>
            </w:r>
            <w:r w:rsidRPr="004401EB">
              <w:rPr>
                <w:rFonts w:ascii="Times New Roman" w:eastAsia="Times New Roman" w:hAnsi="Times New Roman" w:cs="Times New Roman"/>
                <w:sz w:val="24"/>
                <w:szCs w:val="24"/>
                <w:lang w:val="es-ES"/>
              </w:rPr>
              <w:t xml:space="preserve">. </w:t>
            </w:r>
          </w:p>
          <w:p w14:paraId="02E5E1CB" w14:textId="77777777" w:rsidR="00294344" w:rsidRDefault="00294344" w:rsidP="00294344">
            <w:pPr>
              <w:jc w:val="both"/>
              <w:rPr>
                <w:rFonts w:ascii="Times New Roman" w:eastAsia="Times New Roman" w:hAnsi="Times New Roman" w:cs="Times New Roman"/>
                <w:sz w:val="24"/>
                <w:szCs w:val="24"/>
                <w:lang w:val="es-ES"/>
              </w:rPr>
            </w:pPr>
          </w:p>
          <w:p w14:paraId="22DDD3DF" w14:textId="77777777" w:rsidR="00294344" w:rsidRPr="00270C4E" w:rsidRDefault="00294344" w:rsidP="00294344">
            <w:pPr>
              <w:pStyle w:val="Prrafodelista"/>
              <w:numPr>
                <w:ilvl w:val="0"/>
                <w:numId w:val="5"/>
              </w:numPr>
              <w:spacing w:line="240" w:lineRule="auto"/>
              <w:jc w:val="both"/>
              <w:rPr>
                <w:rFonts w:ascii="Times New Roman" w:eastAsia="Times New Roman" w:hAnsi="Times New Roman" w:cs="Times New Roman"/>
                <w:b/>
                <w:sz w:val="24"/>
                <w:szCs w:val="24"/>
                <w:lang w:val="es-ES"/>
              </w:rPr>
            </w:pPr>
            <w:r w:rsidRPr="00270C4E">
              <w:rPr>
                <w:rFonts w:ascii="Times New Roman" w:eastAsia="Times New Roman" w:hAnsi="Times New Roman" w:cs="Times New Roman"/>
                <w:b/>
                <w:sz w:val="24"/>
                <w:szCs w:val="24"/>
                <w:lang w:val="es-ES"/>
              </w:rPr>
              <w:t>Estado del arte</w:t>
            </w:r>
          </w:p>
          <w:p w14:paraId="3315E63B" w14:textId="77777777" w:rsidR="00294344" w:rsidRDefault="00294344" w:rsidP="00294344">
            <w:pPr>
              <w:jc w:val="both"/>
              <w:rPr>
                <w:rFonts w:ascii="Times New Roman" w:eastAsia="Times New Roman" w:hAnsi="Times New Roman" w:cs="Times New Roman"/>
                <w:sz w:val="24"/>
                <w:szCs w:val="24"/>
                <w:lang w:val="es-ES"/>
              </w:rPr>
            </w:pPr>
            <w:r>
              <w:rPr>
                <w:rFonts w:ascii="Times New Roman" w:eastAsia="Times New Roman" w:hAnsi="Times New Roman" w:cs="Times New Roman"/>
                <w:sz w:val="24"/>
                <w:szCs w:val="24"/>
                <w:lang w:val="es-ES"/>
              </w:rPr>
              <w:t>La identificación y cuantificación de la relación consumo de agua y su efecto en el consumo de energía se han estudiando en principalmente países Europeos, Australia y del Norte de América, a continuación se enuncian algunos de estos estudios.</w:t>
            </w:r>
          </w:p>
          <w:p w14:paraId="4813E510" w14:textId="77777777" w:rsidR="00294344" w:rsidRDefault="00294344" w:rsidP="00294344">
            <w:pPr>
              <w:jc w:val="both"/>
              <w:rPr>
                <w:rFonts w:ascii="Times New Roman" w:eastAsia="Times New Roman" w:hAnsi="Times New Roman" w:cs="Times New Roman"/>
                <w:sz w:val="24"/>
                <w:szCs w:val="24"/>
                <w:lang w:val="es-ES"/>
              </w:rPr>
            </w:pPr>
          </w:p>
          <w:p w14:paraId="6A2E4590" w14:textId="77777777" w:rsidR="00294344" w:rsidRDefault="00294344" w:rsidP="00294344">
            <w:pPr>
              <w:jc w:val="both"/>
              <w:rPr>
                <w:rFonts w:ascii="Times New Roman" w:eastAsia="Times New Roman" w:hAnsi="Times New Roman" w:cs="Times New Roman"/>
                <w:sz w:val="24"/>
                <w:szCs w:val="24"/>
                <w:lang w:val="es-ES"/>
              </w:rPr>
            </w:pPr>
            <w:r>
              <w:rPr>
                <w:rFonts w:ascii="Times New Roman" w:eastAsia="Times New Roman" w:hAnsi="Times New Roman" w:cs="Times New Roman"/>
                <w:sz w:val="24"/>
                <w:szCs w:val="24"/>
                <w:lang w:val="es-ES"/>
              </w:rPr>
              <w:lastRenderedPageBreak/>
              <w:t xml:space="preserve">Cheng (2002) determinó </w:t>
            </w:r>
            <w:r w:rsidRPr="004324B8">
              <w:rPr>
                <w:rFonts w:ascii="Times New Roman" w:eastAsia="Times New Roman" w:hAnsi="Times New Roman" w:cs="Times New Roman"/>
                <w:sz w:val="24"/>
                <w:szCs w:val="24"/>
                <w:lang w:val="es-ES"/>
              </w:rPr>
              <w:t xml:space="preserve">que el 84% de la energía relacionada con el agua (incluida la energía para el tratamiento y el transporte de agua y aguas residuales) se utiliza para calentar el agua, y la mayor parte proviene </w:t>
            </w:r>
            <w:r>
              <w:rPr>
                <w:rFonts w:ascii="Times New Roman" w:eastAsia="Times New Roman" w:hAnsi="Times New Roman" w:cs="Times New Roman"/>
                <w:sz w:val="24"/>
                <w:szCs w:val="24"/>
                <w:lang w:val="es-ES"/>
              </w:rPr>
              <w:t>del calentamiento de</w:t>
            </w:r>
            <w:r w:rsidRPr="004324B8">
              <w:rPr>
                <w:rFonts w:ascii="Times New Roman" w:eastAsia="Times New Roman" w:hAnsi="Times New Roman" w:cs="Times New Roman"/>
                <w:sz w:val="24"/>
                <w:szCs w:val="24"/>
                <w:lang w:val="es-ES"/>
              </w:rPr>
              <w:t xml:space="preserve"> duchas. También sugirió que la pérdida de energía (enfriamiento de agua en tuberías, calderas) podría ser significativa. </w:t>
            </w:r>
          </w:p>
          <w:p w14:paraId="3E47791F" w14:textId="77777777" w:rsidR="00294344" w:rsidRDefault="00294344" w:rsidP="00294344">
            <w:pPr>
              <w:jc w:val="both"/>
              <w:rPr>
                <w:rFonts w:ascii="Times New Roman" w:eastAsia="Times New Roman" w:hAnsi="Times New Roman" w:cs="Times New Roman"/>
                <w:sz w:val="24"/>
                <w:szCs w:val="24"/>
                <w:lang w:val="es-ES"/>
              </w:rPr>
            </w:pPr>
          </w:p>
          <w:p w14:paraId="0C2FA73E" w14:textId="77777777" w:rsidR="00294344" w:rsidRDefault="00294344" w:rsidP="00294344">
            <w:pPr>
              <w:jc w:val="both"/>
              <w:rPr>
                <w:rFonts w:ascii="Times New Roman" w:eastAsia="Times New Roman" w:hAnsi="Times New Roman" w:cs="Times New Roman"/>
                <w:sz w:val="24"/>
                <w:szCs w:val="24"/>
                <w:lang w:val="es-ES"/>
              </w:rPr>
            </w:pPr>
            <w:r>
              <w:rPr>
                <w:rFonts w:ascii="Times New Roman" w:eastAsia="Times New Roman" w:hAnsi="Times New Roman" w:cs="Times New Roman"/>
                <w:sz w:val="24"/>
                <w:szCs w:val="24"/>
                <w:lang w:val="es-ES"/>
              </w:rPr>
              <w:t>Kenway et al., (2013) planteó un modelo matemático para el análisis de flujos para cuantificar los flujos de agua y energía y gases de efecto de invernadero en viviendas de Australia, esto con el fin de desarrollar estrategias para el ahorro de energía y agua para reducción de gases de efecto de invernadero. E</w:t>
            </w:r>
            <w:r w:rsidRPr="007C470B">
              <w:rPr>
                <w:rFonts w:ascii="Times New Roman" w:eastAsia="Times New Roman" w:hAnsi="Times New Roman" w:cs="Times New Roman"/>
                <w:sz w:val="24"/>
                <w:szCs w:val="24"/>
                <w:lang w:val="es-ES"/>
              </w:rPr>
              <w:t xml:space="preserve">l estudio mostró que </w:t>
            </w:r>
            <w:r>
              <w:rPr>
                <w:rFonts w:ascii="Times New Roman" w:eastAsia="Times New Roman" w:hAnsi="Times New Roman" w:cs="Times New Roman"/>
                <w:sz w:val="24"/>
                <w:szCs w:val="24"/>
                <w:lang w:val="es-ES"/>
              </w:rPr>
              <w:t>medidas</w:t>
            </w:r>
            <w:r w:rsidRPr="007C470B">
              <w:rPr>
                <w:rFonts w:ascii="Times New Roman" w:eastAsia="Times New Roman" w:hAnsi="Times New Roman" w:cs="Times New Roman"/>
                <w:sz w:val="24"/>
                <w:szCs w:val="24"/>
                <w:lang w:val="es-ES"/>
              </w:rPr>
              <w:t xml:space="preserve"> técnicas sin cambiar a </w:t>
            </w:r>
            <w:r>
              <w:rPr>
                <w:rFonts w:ascii="Times New Roman" w:eastAsia="Times New Roman" w:hAnsi="Times New Roman" w:cs="Times New Roman"/>
                <w:sz w:val="24"/>
                <w:szCs w:val="24"/>
                <w:lang w:val="es-ES"/>
              </w:rPr>
              <w:t>sistemas de agua</w:t>
            </w:r>
            <w:r w:rsidRPr="007C470B">
              <w:rPr>
                <w:rFonts w:ascii="Times New Roman" w:eastAsia="Times New Roman" w:hAnsi="Times New Roman" w:cs="Times New Roman"/>
                <w:sz w:val="24"/>
                <w:szCs w:val="24"/>
                <w:lang w:val="es-ES"/>
              </w:rPr>
              <w:t xml:space="preserve"> dan como resultado una reducción de menos del 15% en las emisiones de energía y CO</w:t>
            </w:r>
            <w:r w:rsidRPr="007C470B">
              <w:rPr>
                <w:rFonts w:ascii="Times New Roman" w:eastAsia="Times New Roman" w:hAnsi="Times New Roman" w:cs="Times New Roman"/>
                <w:sz w:val="24"/>
                <w:szCs w:val="24"/>
                <w:vertAlign w:val="subscript"/>
                <w:lang w:val="es-ES"/>
              </w:rPr>
              <w:t>2</w:t>
            </w:r>
            <w:r w:rsidRPr="007C470B">
              <w:rPr>
                <w:rFonts w:ascii="Times New Roman" w:eastAsia="Times New Roman" w:hAnsi="Times New Roman" w:cs="Times New Roman"/>
                <w:sz w:val="24"/>
                <w:szCs w:val="24"/>
                <w:lang w:val="es-ES"/>
              </w:rPr>
              <w:t xml:space="preserve">. </w:t>
            </w:r>
            <w:r>
              <w:rPr>
                <w:rFonts w:ascii="Times New Roman" w:eastAsia="Times New Roman" w:hAnsi="Times New Roman" w:cs="Times New Roman"/>
                <w:sz w:val="24"/>
                <w:szCs w:val="24"/>
                <w:lang w:val="es-ES"/>
              </w:rPr>
              <w:t>Adicionalmente, l</w:t>
            </w:r>
            <w:r w:rsidRPr="007C470B">
              <w:rPr>
                <w:rFonts w:ascii="Times New Roman" w:eastAsia="Times New Roman" w:hAnsi="Times New Roman" w:cs="Times New Roman"/>
                <w:sz w:val="24"/>
                <w:szCs w:val="24"/>
                <w:lang w:val="es-ES"/>
              </w:rPr>
              <w:t xml:space="preserve">os cambios de comportamiento </w:t>
            </w:r>
            <w:r>
              <w:rPr>
                <w:rFonts w:ascii="Times New Roman" w:eastAsia="Times New Roman" w:hAnsi="Times New Roman" w:cs="Times New Roman"/>
                <w:sz w:val="24"/>
                <w:szCs w:val="24"/>
                <w:lang w:val="es-ES"/>
              </w:rPr>
              <w:t xml:space="preserve">en consumo </w:t>
            </w:r>
            <w:r w:rsidRPr="007C470B">
              <w:rPr>
                <w:rFonts w:ascii="Times New Roman" w:eastAsia="Times New Roman" w:hAnsi="Times New Roman" w:cs="Times New Roman"/>
                <w:sz w:val="24"/>
                <w:szCs w:val="24"/>
                <w:lang w:val="es-ES"/>
              </w:rPr>
              <w:t>tienen el potencial de ser muy efectivos en términos de ahorro de agua y reducción de la energía relacionada con el agua y las emisiones de CO</w:t>
            </w:r>
            <w:r w:rsidRPr="00294344">
              <w:rPr>
                <w:rFonts w:ascii="Times New Roman" w:eastAsia="Times New Roman" w:hAnsi="Times New Roman" w:cs="Times New Roman"/>
                <w:sz w:val="24"/>
                <w:szCs w:val="24"/>
                <w:vertAlign w:val="subscript"/>
                <w:lang w:val="es-ES"/>
              </w:rPr>
              <w:t>2</w:t>
            </w:r>
            <w:r w:rsidRPr="007C470B">
              <w:rPr>
                <w:rFonts w:ascii="Times New Roman" w:eastAsia="Times New Roman" w:hAnsi="Times New Roman" w:cs="Times New Roman"/>
                <w:sz w:val="24"/>
                <w:szCs w:val="24"/>
                <w:lang w:val="es-ES"/>
              </w:rPr>
              <w:t>, aproximadamente un 50% o incluso más. Las principales ventajas de los cambios de comportamiento son: (a) no implican costos adicionales, (b) no se necesitan cambios en las instalaciones o la infraestructura, (c) se pueden aplicar de inmediato y (d) cada individuo puede aplicarlos de forma independiente.</w:t>
            </w:r>
          </w:p>
          <w:p w14:paraId="56FE70BA" w14:textId="77777777" w:rsidR="00294344" w:rsidRPr="007C470B" w:rsidRDefault="00294344" w:rsidP="00294344">
            <w:pPr>
              <w:jc w:val="both"/>
              <w:rPr>
                <w:rFonts w:ascii="Times New Roman" w:eastAsia="Times New Roman" w:hAnsi="Times New Roman" w:cs="Times New Roman"/>
                <w:sz w:val="24"/>
                <w:szCs w:val="24"/>
                <w:lang w:val="es-ES"/>
              </w:rPr>
            </w:pPr>
          </w:p>
          <w:p w14:paraId="1B2FA7A7" w14:textId="77777777" w:rsidR="00294344" w:rsidRDefault="00294344" w:rsidP="00294344">
            <w:pPr>
              <w:jc w:val="both"/>
              <w:rPr>
                <w:rFonts w:ascii="Times New Roman" w:eastAsia="Times New Roman" w:hAnsi="Times New Roman" w:cs="Times New Roman"/>
                <w:sz w:val="24"/>
                <w:szCs w:val="24"/>
                <w:lang w:val="es-ES"/>
              </w:rPr>
            </w:pPr>
            <w:r>
              <w:rPr>
                <w:rFonts w:ascii="Times New Roman" w:eastAsia="Times New Roman" w:hAnsi="Times New Roman" w:cs="Times New Roman"/>
                <w:sz w:val="24"/>
                <w:szCs w:val="24"/>
                <w:lang w:val="es-ES"/>
              </w:rPr>
              <w:t xml:space="preserve">Abdallah y Rosenberg (2012), </w:t>
            </w:r>
            <w:r w:rsidRPr="00C14589">
              <w:rPr>
                <w:rFonts w:ascii="Times New Roman" w:eastAsia="Times New Roman" w:hAnsi="Times New Roman" w:cs="Times New Roman"/>
                <w:sz w:val="24"/>
                <w:szCs w:val="24"/>
                <w:lang w:val="es-ES"/>
              </w:rPr>
              <w:t>desarrolla</w:t>
            </w:r>
            <w:r>
              <w:rPr>
                <w:rFonts w:ascii="Times New Roman" w:eastAsia="Times New Roman" w:hAnsi="Times New Roman" w:cs="Times New Roman"/>
                <w:sz w:val="24"/>
                <w:szCs w:val="24"/>
                <w:lang w:val="es-ES"/>
              </w:rPr>
              <w:t>ron</w:t>
            </w:r>
            <w:r w:rsidRPr="00C14589">
              <w:rPr>
                <w:rFonts w:ascii="Times New Roman" w:eastAsia="Times New Roman" w:hAnsi="Times New Roman" w:cs="Times New Roman"/>
                <w:sz w:val="24"/>
                <w:szCs w:val="24"/>
                <w:lang w:val="es-ES"/>
              </w:rPr>
              <w:t xml:space="preserve"> un enfoque integrado para modelar el uso heterogéneo de agua y energía en el hogar y sus </w:t>
            </w:r>
            <w:r>
              <w:rPr>
                <w:rFonts w:ascii="Times New Roman" w:eastAsia="Times New Roman" w:hAnsi="Times New Roman" w:cs="Times New Roman"/>
                <w:sz w:val="24"/>
                <w:szCs w:val="24"/>
                <w:lang w:val="es-ES"/>
              </w:rPr>
              <w:t>interconexiones</w:t>
            </w:r>
            <w:r w:rsidRPr="00C14589">
              <w:rPr>
                <w:rFonts w:ascii="Times New Roman" w:eastAsia="Times New Roman" w:hAnsi="Times New Roman" w:cs="Times New Roman"/>
                <w:sz w:val="24"/>
                <w:szCs w:val="24"/>
                <w:lang w:val="es-ES"/>
              </w:rPr>
              <w:t xml:space="preserve">. El enfoque considera las variaciones en el comportamiento y los factores tecnológicos del uso del agua y la energía que afectan el uso residencial de agua y energía residencial en los EE. UU. Para inodoros, duchas, grifos, lavadoras y lavavajillas. </w:t>
            </w:r>
            <w:r>
              <w:rPr>
                <w:rFonts w:ascii="Times New Roman" w:eastAsia="Times New Roman" w:hAnsi="Times New Roman" w:cs="Times New Roman"/>
                <w:sz w:val="24"/>
                <w:szCs w:val="24"/>
                <w:lang w:val="es-ES"/>
              </w:rPr>
              <w:t>Los resultados muestraron</w:t>
            </w:r>
            <w:r w:rsidRPr="00C14589">
              <w:rPr>
                <w:rFonts w:ascii="Times New Roman" w:eastAsia="Times New Roman" w:hAnsi="Times New Roman" w:cs="Times New Roman"/>
                <w:sz w:val="24"/>
                <w:szCs w:val="24"/>
                <w:lang w:val="es-ES"/>
              </w:rPr>
              <w:t xml:space="preserve"> que las distribuciones de agua y energía entre los hogares son asimétricas, con el 12% de los usuarios más grandes consumiendo el 21% y el 24% de agua y energía, respectivamente. La temperatura de consigna del calentador de agua seguida de la temperatura de admisión, la eficiencia del calentador, el porcentaje de agua caliente de la ducha, el tamaño del hogar, el caudal de la ducha y el caudal del grifo tienen el efecto relativo más alto en el uso de energía del hogar y deben enfocarse para reducir el uso de energía del hogar. El enfoque mejora los modelos anteriores de agua y energía homogéneos y deterministas y puede ayudar a las empresas de servicios públicos a seleccionar y dimensionar acciones de conservación de agua y energía rentables y colaborativas.</w:t>
            </w:r>
            <w:r>
              <w:rPr>
                <w:rFonts w:ascii="Times New Roman" w:eastAsia="Times New Roman" w:hAnsi="Times New Roman" w:cs="Times New Roman"/>
                <w:sz w:val="24"/>
                <w:szCs w:val="24"/>
                <w:lang w:val="es-ES"/>
              </w:rPr>
              <w:t xml:space="preserve"> </w:t>
            </w:r>
          </w:p>
          <w:p w14:paraId="7A3780EF" w14:textId="77777777" w:rsidR="00294344" w:rsidRDefault="00294344" w:rsidP="00294344">
            <w:pPr>
              <w:jc w:val="both"/>
              <w:rPr>
                <w:rFonts w:ascii="Times New Roman" w:eastAsia="Times New Roman" w:hAnsi="Times New Roman" w:cs="Times New Roman"/>
                <w:sz w:val="24"/>
                <w:szCs w:val="24"/>
                <w:lang w:val="es-ES"/>
              </w:rPr>
            </w:pPr>
          </w:p>
          <w:p w14:paraId="0E3F7901" w14:textId="77777777" w:rsidR="00294344" w:rsidRDefault="00294344" w:rsidP="00294344">
            <w:pPr>
              <w:jc w:val="both"/>
              <w:rPr>
                <w:rFonts w:ascii="Times New Roman" w:eastAsia="Times New Roman" w:hAnsi="Times New Roman" w:cs="Times New Roman"/>
                <w:sz w:val="24"/>
                <w:szCs w:val="24"/>
                <w:lang w:val="es-ES"/>
              </w:rPr>
            </w:pPr>
            <w:r>
              <w:rPr>
                <w:rFonts w:ascii="Times New Roman" w:eastAsia="Times New Roman" w:hAnsi="Times New Roman" w:cs="Times New Roman"/>
                <w:sz w:val="24"/>
                <w:szCs w:val="24"/>
                <w:lang w:val="es-ES"/>
              </w:rPr>
              <w:t>Hussien et al., (2017) Evaluaron las relaciones entre</w:t>
            </w:r>
            <w:r w:rsidRPr="00EB1BBB">
              <w:rPr>
                <w:rFonts w:ascii="Times New Roman" w:eastAsia="Times New Roman" w:hAnsi="Times New Roman" w:cs="Times New Roman"/>
                <w:sz w:val="24"/>
                <w:szCs w:val="24"/>
                <w:lang w:val="es-ES"/>
              </w:rPr>
              <w:t xml:space="preserve"> la deman</w:t>
            </w:r>
            <w:r>
              <w:rPr>
                <w:rFonts w:ascii="Times New Roman" w:eastAsia="Times New Roman" w:hAnsi="Times New Roman" w:cs="Times New Roman"/>
                <w:sz w:val="24"/>
                <w:szCs w:val="24"/>
                <w:lang w:val="es-ES"/>
              </w:rPr>
              <w:t>da de agua, energía y alimentos, en e</w:t>
            </w:r>
            <w:r w:rsidRPr="00EB1BBB">
              <w:rPr>
                <w:rFonts w:ascii="Times New Roman" w:eastAsia="Times New Roman" w:hAnsi="Times New Roman" w:cs="Times New Roman"/>
                <w:sz w:val="24"/>
                <w:szCs w:val="24"/>
                <w:lang w:val="es-ES"/>
              </w:rPr>
              <w:t xml:space="preserve">ste </w:t>
            </w:r>
            <w:r>
              <w:rPr>
                <w:rFonts w:ascii="Times New Roman" w:eastAsia="Times New Roman" w:hAnsi="Times New Roman" w:cs="Times New Roman"/>
                <w:sz w:val="24"/>
                <w:szCs w:val="24"/>
                <w:lang w:val="es-ES"/>
              </w:rPr>
              <w:t>artículo se</w:t>
            </w:r>
            <w:r w:rsidRPr="00EB1BBB">
              <w:rPr>
                <w:rFonts w:ascii="Times New Roman" w:eastAsia="Times New Roman" w:hAnsi="Times New Roman" w:cs="Times New Roman"/>
                <w:sz w:val="24"/>
                <w:szCs w:val="24"/>
                <w:lang w:val="es-ES"/>
              </w:rPr>
              <w:t xml:space="preserve"> desarrolló un modelo integrado, capturando las interacciones entre WEF a nivel de uso final a escala de hogares. El modelo se basa </w:t>
            </w:r>
            <w:r>
              <w:rPr>
                <w:rFonts w:ascii="Times New Roman" w:eastAsia="Times New Roman" w:hAnsi="Times New Roman" w:cs="Times New Roman"/>
                <w:sz w:val="24"/>
                <w:szCs w:val="24"/>
                <w:lang w:val="es-ES"/>
              </w:rPr>
              <w:t>en una encuesta de 419 hogares en la</w:t>
            </w:r>
            <w:r w:rsidRPr="00EB1BBB">
              <w:rPr>
                <w:rFonts w:ascii="Times New Roman" w:eastAsia="Times New Roman" w:hAnsi="Times New Roman" w:cs="Times New Roman"/>
                <w:sz w:val="24"/>
                <w:szCs w:val="24"/>
                <w:lang w:val="es-ES"/>
              </w:rPr>
              <w:t xml:space="preserve"> ciudad de Duhok, Iraq. El modelo estima la demanda </w:t>
            </w:r>
            <w:r>
              <w:rPr>
                <w:rFonts w:ascii="Times New Roman" w:eastAsia="Times New Roman" w:hAnsi="Times New Roman" w:cs="Times New Roman"/>
                <w:sz w:val="24"/>
                <w:szCs w:val="24"/>
                <w:lang w:val="es-ES"/>
              </w:rPr>
              <w:t>de agua, energía y alimentos</w:t>
            </w:r>
            <w:r w:rsidRPr="00EB1BBB">
              <w:rPr>
                <w:rFonts w:ascii="Times New Roman" w:eastAsia="Times New Roman" w:hAnsi="Times New Roman" w:cs="Times New Roman"/>
                <w:sz w:val="24"/>
                <w:szCs w:val="24"/>
                <w:lang w:val="es-ES"/>
              </w:rPr>
              <w:t xml:space="preserve"> y los residuos orgánicos generados y las cantidades de aguas residuales. También investiga el impacto del cambio en el comportamiento del usuario, la dieta, los ingresos, el tamaño de la familia y el clima.</w:t>
            </w:r>
            <w:r>
              <w:rPr>
                <w:rFonts w:ascii="Times New Roman" w:eastAsia="Times New Roman" w:hAnsi="Times New Roman" w:cs="Times New Roman"/>
                <w:sz w:val="24"/>
                <w:szCs w:val="24"/>
                <w:lang w:val="es-ES"/>
              </w:rPr>
              <w:t xml:space="preserve"> </w:t>
            </w:r>
            <w:r w:rsidRPr="00EB1BBB">
              <w:rPr>
                <w:rFonts w:ascii="Times New Roman" w:eastAsia="Times New Roman" w:hAnsi="Times New Roman" w:cs="Times New Roman"/>
                <w:sz w:val="24"/>
                <w:szCs w:val="24"/>
                <w:lang w:val="es-ES"/>
              </w:rPr>
              <w:t>El modelo se aplicó para investigar el impacto de cuatro escenarios posibles: fuerza de mercado, fortaleza mundial, gran transición y reforma de políticas. Los resultados sugieren que el escenario mundial de la fortaleza tiene el mayor impacto negativo en el consumo doméstico de agua, energía y alimentos.</w:t>
            </w:r>
          </w:p>
          <w:p w14:paraId="3E5A4A35" w14:textId="77777777" w:rsidR="00294344" w:rsidRDefault="00294344" w:rsidP="00294344">
            <w:pPr>
              <w:jc w:val="both"/>
              <w:rPr>
                <w:rFonts w:ascii="Times New Roman" w:eastAsia="Times New Roman" w:hAnsi="Times New Roman" w:cs="Times New Roman"/>
                <w:sz w:val="24"/>
                <w:szCs w:val="24"/>
                <w:lang w:val="es-ES"/>
              </w:rPr>
            </w:pPr>
          </w:p>
          <w:p w14:paraId="3411CBD8" w14:textId="77777777" w:rsidR="00294344" w:rsidRDefault="00294344" w:rsidP="00294344">
            <w:pPr>
              <w:jc w:val="both"/>
              <w:rPr>
                <w:rFonts w:ascii="Times New Roman" w:eastAsia="Times New Roman" w:hAnsi="Times New Roman" w:cs="Times New Roman"/>
                <w:sz w:val="24"/>
                <w:szCs w:val="24"/>
                <w:lang w:val="es-ES"/>
              </w:rPr>
            </w:pPr>
            <w:r>
              <w:rPr>
                <w:rFonts w:ascii="Times New Roman" w:eastAsia="Times New Roman" w:hAnsi="Times New Roman" w:cs="Times New Roman"/>
                <w:sz w:val="24"/>
                <w:szCs w:val="24"/>
                <w:lang w:val="es-ES"/>
              </w:rPr>
              <w:t xml:space="preserve">Chini et al, (2016) desarrollaron un </w:t>
            </w:r>
            <w:r w:rsidRPr="00EB1BBB">
              <w:rPr>
                <w:rFonts w:ascii="Times New Roman" w:eastAsia="Times New Roman" w:hAnsi="Times New Roman" w:cs="Times New Roman"/>
                <w:sz w:val="24"/>
                <w:szCs w:val="24"/>
                <w:lang w:val="es-ES"/>
              </w:rPr>
              <w:t xml:space="preserve">estudio </w:t>
            </w:r>
            <w:r>
              <w:rPr>
                <w:rFonts w:ascii="Times New Roman" w:eastAsia="Times New Roman" w:hAnsi="Times New Roman" w:cs="Times New Roman"/>
                <w:sz w:val="24"/>
                <w:szCs w:val="24"/>
                <w:lang w:val="es-ES"/>
              </w:rPr>
              <w:t xml:space="preserve">en el cual se </w:t>
            </w:r>
            <w:r w:rsidRPr="00EB1BBB">
              <w:rPr>
                <w:rFonts w:ascii="Times New Roman" w:eastAsia="Times New Roman" w:hAnsi="Times New Roman" w:cs="Times New Roman"/>
                <w:sz w:val="24"/>
                <w:szCs w:val="24"/>
                <w:lang w:val="es-ES"/>
              </w:rPr>
              <w:t>presenta una herr</w:t>
            </w:r>
            <w:r>
              <w:rPr>
                <w:rFonts w:ascii="Times New Roman" w:eastAsia="Times New Roman" w:hAnsi="Times New Roman" w:cs="Times New Roman"/>
                <w:sz w:val="24"/>
                <w:szCs w:val="24"/>
                <w:lang w:val="es-ES"/>
              </w:rPr>
              <w:t>amienta de toma de decisiones para la</w:t>
            </w:r>
            <w:r w:rsidRPr="00EB1BBB">
              <w:rPr>
                <w:rFonts w:ascii="Times New Roman" w:eastAsia="Times New Roman" w:hAnsi="Times New Roman" w:cs="Times New Roman"/>
                <w:sz w:val="24"/>
                <w:szCs w:val="24"/>
                <w:lang w:val="es-ES"/>
              </w:rPr>
              <w:t xml:space="preserve"> gestión de la demanda para evaluar las oportunidades de eficiencia de energía y agua a nivel residencial, incluido el consumo directo e indirecto. </w:t>
            </w:r>
            <w:r>
              <w:rPr>
                <w:rFonts w:ascii="Times New Roman" w:eastAsia="Times New Roman" w:hAnsi="Times New Roman" w:cs="Times New Roman"/>
                <w:sz w:val="24"/>
                <w:szCs w:val="24"/>
                <w:lang w:val="es-ES"/>
              </w:rPr>
              <w:t>Se examinó</w:t>
            </w:r>
            <w:r w:rsidRPr="00EB1BBB">
              <w:rPr>
                <w:rFonts w:ascii="Times New Roman" w:eastAsia="Times New Roman" w:hAnsi="Times New Roman" w:cs="Times New Roman"/>
                <w:sz w:val="24"/>
                <w:szCs w:val="24"/>
                <w:lang w:val="es-ES"/>
              </w:rPr>
              <w:t xml:space="preserve"> la relación entre el agua y la energía en los electrodomésticos y accesorios comunes del hogar, comparando los electrodomésticos de línea de base con los electrodomésticos ENERGY STAR o WaterSense, utilizando un análisis de reducción de costos para el hogar promedio de EE. UU., Produciendo un ahorro anual potencial por hog</w:t>
            </w:r>
            <w:r>
              <w:rPr>
                <w:rFonts w:ascii="Times New Roman" w:eastAsia="Times New Roman" w:hAnsi="Times New Roman" w:cs="Times New Roman"/>
                <w:sz w:val="24"/>
                <w:szCs w:val="24"/>
                <w:lang w:val="es-ES"/>
              </w:rPr>
              <w:t>ar de 7600 kWh y 39600 galones</w:t>
            </w:r>
            <w:r w:rsidRPr="00EB1BBB">
              <w:rPr>
                <w:rFonts w:ascii="Times New Roman" w:eastAsia="Times New Roman" w:hAnsi="Times New Roman" w:cs="Times New Roman"/>
                <w:sz w:val="24"/>
                <w:szCs w:val="24"/>
                <w:lang w:val="es-ES"/>
              </w:rPr>
              <w:t xml:space="preserve">. </w:t>
            </w:r>
          </w:p>
          <w:p w14:paraId="28DDB6FC" w14:textId="77777777" w:rsidR="00294344" w:rsidRDefault="00294344" w:rsidP="00294344">
            <w:pPr>
              <w:jc w:val="both"/>
              <w:rPr>
                <w:rFonts w:ascii="Times New Roman" w:eastAsia="Times New Roman" w:hAnsi="Times New Roman" w:cs="Times New Roman"/>
                <w:sz w:val="24"/>
                <w:szCs w:val="24"/>
                <w:lang w:val="es-ES"/>
              </w:rPr>
            </w:pPr>
          </w:p>
          <w:p w14:paraId="29C5E4F4" w14:textId="77777777" w:rsidR="00294344" w:rsidRPr="00EB1BBB" w:rsidRDefault="00294344" w:rsidP="00294344">
            <w:pPr>
              <w:jc w:val="both"/>
              <w:rPr>
                <w:rFonts w:ascii="Times New Roman" w:eastAsia="Times New Roman" w:hAnsi="Times New Roman" w:cs="Times New Roman"/>
                <w:sz w:val="24"/>
                <w:szCs w:val="24"/>
                <w:lang w:val="es-ES"/>
              </w:rPr>
            </w:pPr>
            <w:r>
              <w:rPr>
                <w:rFonts w:ascii="Times New Roman" w:eastAsia="Times New Roman" w:hAnsi="Times New Roman" w:cs="Times New Roman"/>
                <w:sz w:val="24"/>
                <w:szCs w:val="24"/>
                <w:lang w:val="es-ES"/>
              </w:rPr>
              <w:lastRenderedPageBreak/>
              <w:t xml:space="preserve">Kenway et al (2016) emplearon </w:t>
            </w:r>
            <w:r w:rsidRPr="00000A18">
              <w:rPr>
                <w:rFonts w:ascii="Times New Roman" w:eastAsia="Times New Roman" w:hAnsi="Times New Roman" w:cs="Times New Roman"/>
                <w:sz w:val="24"/>
                <w:szCs w:val="24"/>
                <w:lang w:val="es-ES"/>
              </w:rPr>
              <w:t xml:space="preserve">el monitoreo detallado y el modelado de siete hogares individuales para cuantificar los principales factores. Usando resultados de sensibilidad normalizados, </w:t>
            </w:r>
            <w:r>
              <w:rPr>
                <w:rFonts w:ascii="Times New Roman" w:eastAsia="Times New Roman" w:hAnsi="Times New Roman" w:cs="Times New Roman"/>
                <w:sz w:val="24"/>
                <w:szCs w:val="24"/>
                <w:lang w:val="es-ES"/>
              </w:rPr>
              <w:t>se demostó primero una gran variabilidad y segundo</w:t>
            </w:r>
            <w:r w:rsidRPr="00000A18">
              <w:rPr>
                <w:rFonts w:ascii="Times New Roman" w:eastAsia="Times New Roman" w:hAnsi="Times New Roman" w:cs="Times New Roman"/>
                <w:sz w:val="24"/>
                <w:szCs w:val="24"/>
                <w:lang w:val="es-ES"/>
              </w:rPr>
              <w:t xml:space="preserve"> una influencia grande y constante de la duración de la ducha, el caudal, la frecuencia y la temperatura junto con la eficiencia del sistema de agua caliente, la población adulta y la temperatura del agua fría. Un cambio del 10% en estos factores influyó 0.1-0.9 kWh / hh-persona.d, equivalente a un 2-3% del uso tota</w:t>
            </w:r>
            <w:r>
              <w:rPr>
                <w:rFonts w:ascii="Times New Roman" w:eastAsia="Times New Roman" w:hAnsi="Times New Roman" w:cs="Times New Roman"/>
                <w:sz w:val="24"/>
                <w:szCs w:val="24"/>
                <w:lang w:val="es-ES"/>
              </w:rPr>
              <w:t>l de energía del hogar.</w:t>
            </w:r>
          </w:p>
          <w:p w14:paraId="5DADF741" w14:textId="05946BFD" w:rsidR="005A3412" w:rsidRDefault="005A3412">
            <w:pPr>
              <w:pStyle w:val="normal0"/>
              <w:spacing w:line="276" w:lineRule="auto"/>
              <w:jc w:val="both"/>
              <w:rPr>
                <w:rFonts w:ascii="Times New Roman" w:eastAsia="Times New Roman" w:hAnsi="Times New Roman" w:cs="Times New Roman"/>
                <w:color w:val="222222"/>
                <w:sz w:val="24"/>
                <w:szCs w:val="24"/>
              </w:rPr>
            </w:pPr>
          </w:p>
        </w:tc>
      </w:tr>
    </w:tbl>
    <w:p w14:paraId="1338F79C" w14:textId="77777777" w:rsidR="005A3412" w:rsidRDefault="005A3412">
      <w:pPr>
        <w:pStyle w:val="normal0"/>
        <w:spacing w:after="0" w:line="276" w:lineRule="auto"/>
        <w:rPr>
          <w:rFonts w:ascii="Times New Roman" w:eastAsia="Times New Roman" w:hAnsi="Times New Roman" w:cs="Times New Roman"/>
          <w:sz w:val="24"/>
          <w:szCs w:val="24"/>
        </w:rPr>
      </w:pPr>
    </w:p>
    <w:tbl>
      <w:tblPr>
        <w:tblStyle w:val="a7"/>
        <w:tblW w:w="14983" w:type="dxa"/>
        <w:tblInd w:w="0" w:type="dxa"/>
        <w:tblLayout w:type="fixed"/>
        <w:tblLook w:val="0400" w:firstRow="0" w:lastRow="0" w:firstColumn="0" w:lastColumn="0" w:noHBand="0" w:noVBand="1"/>
      </w:tblPr>
      <w:tblGrid>
        <w:gridCol w:w="14983"/>
      </w:tblGrid>
      <w:tr w:rsidR="005A3412" w14:paraId="40494157" w14:textId="77777777">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0B7FC8DB" w14:textId="77777777" w:rsidR="005A3412" w:rsidRDefault="00110E44">
            <w:pPr>
              <w:pStyle w:val="normal0"/>
              <w:spacing w:line="276" w:lineRule="auto"/>
              <w:jc w:val="center"/>
              <w:rPr>
                <w:rFonts w:ascii="Times New Roman" w:eastAsia="Times New Roman" w:hAnsi="Times New Roman" w:cs="Times New Roman"/>
                <w:b/>
                <w:color w:val="222222"/>
                <w:sz w:val="24"/>
                <w:szCs w:val="24"/>
              </w:rPr>
            </w:pPr>
            <w:r>
              <w:rPr>
                <w:rFonts w:ascii="Times New Roman" w:eastAsia="Times New Roman" w:hAnsi="Times New Roman" w:cs="Times New Roman"/>
                <w:b/>
                <w:color w:val="222222"/>
                <w:sz w:val="24"/>
                <w:szCs w:val="24"/>
              </w:rPr>
              <w:t>Metodología</w:t>
            </w:r>
          </w:p>
        </w:tc>
      </w:tr>
      <w:tr w:rsidR="005A3412" w14:paraId="1FEEB44F" w14:textId="77777777">
        <w:tc>
          <w:tcPr>
            <w:tcW w:w="14983" w:type="dxa"/>
            <w:tcBorders>
              <w:top w:val="single" w:sz="6" w:space="0" w:color="DDDDDD"/>
              <w:left w:val="single" w:sz="6" w:space="0" w:color="DDDDDD"/>
              <w:bottom w:val="single" w:sz="6" w:space="0" w:color="DDDDDD"/>
              <w:right w:val="single" w:sz="6" w:space="0" w:color="DDDDDD"/>
            </w:tcBorders>
            <w:tcMar>
              <w:top w:w="15" w:type="dxa"/>
              <w:left w:w="15" w:type="dxa"/>
              <w:bottom w:w="15" w:type="dxa"/>
              <w:right w:w="15" w:type="dxa"/>
            </w:tcMar>
            <w:vAlign w:val="center"/>
          </w:tcPr>
          <w:p w14:paraId="555C80E5" w14:textId="70D51B72" w:rsidR="005A3412" w:rsidRDefault="00DD07E2">
            <w:pPr>
              <w:pStyle w:val="normal0"/>
              <w:spacing w:line="276" w:lineRule="auto"/>
              <w:jc w:val="both"/>
              <w:rPr>
                <w:rFonts w:ascii="Times New Roman" w:eastAsia="Times New Roman" w:hAnsi="Times New Roman" w:cs="Times New Roman"/>
                <w:color w:val="222222"/>
                <w:sz w:val="24"/>
                <w:szCs w:val="24"/>
              </w:rPr>
            </w:pPr>
            <w:r>
              <w:rPr>
                <w:rFonts w:ascii="Times New Roman" w:eastAsia="Times New Roman" w:hAnsi="Times New Roman" w:cs="Times New Roman"/>
                <w:color w:val="222222"/>
                <w:sz w:val="24"/>
                <w:szCs w:val="24"/>
              </w:rPr>
              <w:t xml:space="preserve">Para el desarrollo del proyecto se plantean los siguientes </w:t>
            </w:r>
            <w:r w:rsidR="00964D7A">
              <w:rPr>
                <w:rFonts w:ascii="Times New Roman" w:eastAsia="Times New Roman" w:hAnsi="Times New Roman" w:cs="Times New Roman"/>
                <w:color w:val="222222"/>
                <w:sz w:val="24"/>
                <w:szCs w:val="24"/>
              </w:rPr>
              <w:t>aspectos metodológicos:</w:t>
            </w:r>
          </w:p>
          <w:p w14:paraId="4A4783FA" w14:textId="349EF23A" w:rsidR="00DD07E2" w:rsidRDefault="00DD07E2">
            <w:pPr>
              <w:pStyle w:val="normal0"/>
              <w:spacing w:line="276" w:lineRule="auto"/>
              <w:jc w:val="both"/>
              <w:rPr>
                <w:rFonts w:ascii="Times New Roman" w:eastAsia="Times New Roman" w:hAnsi="Times New Roman" w:cs="Times New Roman"/>
                <w:color w:val="222222"/>
                <w:sz w:val="24"/>
                <w:szCs w:val="24"/>
              </w:rPr>
            </w:pPr>
          </w:p>
          <w:p w14:paraId="14C48B42" w14:textId="1144C3EF" w:rsidR="00964D7A" w:rsidRDefault="00964D7A" w:rsidP="00A875B7">
            <w:pPr>
              <w:pStyle w:val="Prrafodelista"/>
              <w:widowControl w:val="0"/>
              <w:numPr>
                <w:ilvl w:val="0"/>
                <w:numId w:val="5"/>
              </w:numPr>
              <w:tabs>
                <w:tab w:val="left" w:pos="220"/>
                <w:tab w:val="left" w:pos="720"/>
              </w:tabs>
              <w:autoSpaceDE w:val="0"/>
              <w:autoSpaceDN w:val="0"/>
              <w:adjustRightInd w:val="0"/>
              <w:spacing w:after="293" w:line="340" w:lineRule="atLeast"/>
              <w:jc w:val="both"/>
              <w:rPr>
                <w:rFonts w:ascii="Times New Roman" w:eastAsia="Times New Roman" w:hAnsi="Times New Roman" w:cs="Times New Roman"/>
                <w:b/>
                <w:sz w:val="24"/>
                <w:szCs w:val="24"/>
                <w:lang w:val="es-ES"/>
              </w:rPr>
            </w:pPr>
            <w:r w:rsidRPr="00964D7A">
              <w:rPr>
                <w:rFonts w:ascii="Times New Roman" w:eastAsia="Times New Roman" w:hAnsi="Times New Roman" w:cs="Times New Roman"/>
                <w:b/>
                <w:sz w:val="24"/>
                <w:szCs w:val="24"/>
                <w:lang w:val="es-ES"/>
              </w:rPr>
              <w:t>Identificar los factores principales asociados al consumo de agua potable en sectores residenciales de la ciudades de Bogotá para estratos 2, 3 y 4.</w:t>
            </w:r>
          </w:p>
          <w:p w14:paraId="1115CBD8" w14:textId="77777777" w:rsidR="00964D7A" w:rsidRDefault="00964D7A" w:rsidP="00964D7A">
            <w:pPr>
              <w:widowControl w:val="0"/>
              <w:tabs>
                <w:tab w:val="left" w:pos="220"/>
                <w:tab w:val="left" w:pos="720"/>
              </w:tabs>
              <w:autoSpaceDE w:val="0"/>
              <w:autoSpaceDN w:val="0"/>
              <w:adjustRightInd w:val="0"/>
              <w:spacing w:after="293" w:line="340" w:lineRule="atLeast"/>
              <w:jc w:val="both"/>
              <w:rPr>
                <w:rFonts w:ascii="Times New Roman" w:eastAsia="Times New Roman" w:hAnsi="Times New Roman" w:cs="Times New Roman"/>
                <w:sz w:val="24"/>
                <w:szCs w:val="24"/>
                <w:lang w:val="es-ES"/>
              </w:rPr>
            </w:pPr>
            <w:r>
              <w:rPr>
                <w:rFonts w:ascii="Times New Roman" w:eastAsia="Times New Roman" w:hAnsi="Times New Roman" w:cs="Times New Roman"/>
                <w:sz w:val="24"/>
                <w:szCs w:val="24"/>
                <w:lang w:val="es-ES"/>
              </w:rPr>
              <w:t>Para el desarrollo del primero objetivo se plantean las siguientes actividades:</w:t>
            </w:r>
          </w:p>
          <w:p w14:paraId="0520D9DC" w14:textId="29195E8C" w:rsidR="00964D7A" w:rsidRPr="00964D7A" w:rsidRDefault="00964D7A" w:rsidP="00A875B7">
            <w:pPr>
              <w:pStyle w:val="Prrafodelista"/>
              <w:widowControl w:val="0"/>
              <w:numPr>
                <w:ilvl w:val="0"/>
                <w:numId w:val="5"/>
              </w:numPr>
              <w:tabs>
                <w:tab w:val="left" w:pos="220"/>
                <w:tab w:val="left" w:pos="720"/>
              </w:tabs>
              <w:autoSpaceDE w:val="0"/>
              <w:autoSpaceDN w:val="0"/>
              <w:adjustRightInd w:val="0"/>
              <w:spacing w:after="293" w:line="340" w:lineRule="atLeast"/>
              <w:jc w:val="both"/>
              <w:rPr>
                <w:rFonts w:ascii="Times New Roman" w:eastAsia="Times New Roman" w:hAnsi="Times New Roman" w:cs="Times New Roman"/>
                <w:sz w:val="24"/>
                <w:szCs w:val="24"/>
                <w:lang w:val="es-ES"/>
              </w:rPr>
            </w:pPr>
            <w:r>
              <w:rPr>
                <w:rFonts w:ascii="Times New Roman" w:eastAsia="Times New Roman" w:hAnsi="Times New Roman" w:cs="Times New Roman"/>
                <w:sz w:val="24"/>
                <w:szCs w:val="24"/>
                <w:lang w:val="es-ES"/>
              </w:rPr>
              <w:t>Determinación de zonas pilotos: Para esto se realizará un identificación de conjuntos residenciales por estrato en la ciudad de Bogotá, las cuales se encuentren separadas geográficamente para evitar el sesgo o interferencia entre los participantes, los conjuntos residenciales</w:t>
            </w:r>
            <w:r w:rsidRPr="00964D7A">
              <w:rPr>
                <w:rFonts w:ascii="Times New Roman" w:eastAsia="Times New Roman" w:hAnsi="Times New Roman" w:cs="Times New Roman"/>
                <w:sz w:val="24"/>
                <w:szCs w:val="24"/>
                <w:lang w:val="es-ES"/>
              </w:rPr>
              <w:t xml:space="preserve"> </w:t>
            </w:r>
            <w:r>
              <w:rPr>
                <w:rFonts w:ascii="Times New Roman" w:eastAsia="Times New Roman" w:hAnsi="Times New Roman" w:cs="Times New Roman"/>
                <w:sz w:val="24"/>
                <w:szCs w:val="24"/>
                <w:lang w:val="es-ES"/>
              </w:rPr>
              <w:t>deberán tener como mínimo</w:t>
            </w:r>
            <w:r w:rsidRPr="00964D7A">
              <w:rPr>
                <w:rFonts w:ascii="Times New Roman" w:eastAsia="Times New Roman" w:hAnsi="Times New Roman" w:cs="Times New Roman"/>
                <w:sz w:val="24"/>
                <w:szCs w:val="24"/>
                <w:lang w:val="es-ES"/>
              </w:rPr>
              <w:t xml:space="preserve"> menos cuatro torres</w:t>
            </w:r>
            <w:r>
              <w:rPr>
                <w:rFonts w:ascii="Times New Roman" w:eastAsia="Times New Roman" w:hAnsi="Times New Roman" w:cs="Times New Roman"/>
                <w:sz w:val="24"/>
                <w:szCs w:val="24"/>
                <w:lang w:val="es-ES"/>
              </w:rPr>
              <w:t xml:space="preserve"> y un mínimo de 50 apartamentos por conjunto. La selección incluirá la participación de las administraciones y contaran con los premisos necesarios para el desarrollo de las actividades.</w:t>
            </w:r>
          </w:p>
          <w:p w14:paraId="7B82E963" w14:textId="301CA8BD" w:rsidR="00A875B7" w:rsidRDefault="00964D7A" w:rsidP="00C57D96">
            <w:pPr>
              <w:pStyle w:val="Prrafodelista"/>
              <w:widowControl w:val="0"/>
              <w:numPr>
                <w:ilvl w:val="0"/>
                <w:numId w:val="5"/>
              </w:numPr>
              <w:tabs>
                <w:tab w:val="left" w:pos="220"/>
                <w:tab w:val="left" w:pos="720"/>
              </w:tabs>
              <w:autoSpaceDE w:val="0"/>
              <w:autoSpaceDN w:val="0"/>
              <w:adjustRightInd w:val="0"/>
              <w:spacing w:after="293" w:line="340" w:lineRule="atLeast"/>
              <w:jc w:val="both"/>
              <w:rPr>
                <w:rFonts w:ascii="Times New Roman" w:eastAsia="Times New Roman" w:hAnsi="Times New Roman" w:cs="Times New Roman"/>
                <w:sz w:val="24"/>
                <w:szCs w:val="24"/>
                <w:lang w:val="es-ES"/>
              </w:rPr>
            </w:pPr>
            <w:r>
              <w:rPr>
                <w:rFonts w:ascii="Times New Roman" w:eastAsia="Times New Roman" w:hAnsi="Times New Roman" w:cs="Times New Roman"/>
                <w:sz w:val="24"/>
                <w:szCs w:val="24"/>
                <w:lang w:val="es-ES"/>
              </w:rPr>
              <w:t xml:space="preserve"> </w:t>
            </w:r>
            <w:r w:rsidR="000A08CB">
              <w:rPr>
                <w:rFonts w:ascii="Times New Roman" w:eastAsia="Times New Roman" w:hAnsi="Times New Roman" w:cs="Times New Roman"/>
                <w:sz w:val="24"/>
                <w:szCs w:val="24"/>
                <w:lang w:val="es-ES"/>
              </w:rPr>
              <w:t>Para la identificación de factores de consumo de agua y energía se llevará a cabo un total de 750 encuestas (por encuesta un total de 250 encuestas) en las viviendas seleccionadas, para esto se evaluaran aspectos sociales, hábitos, culturales, económicos y de infraestructuras. Estas encuestas serán tabuladas y por medio de regresiones logísticas, múltiples y por un modelo de Análisis Factorial Confirmatorio (ACF) se pretende encontrar estos factores de importancia. Estos modelos de regresiones serán evaluados mediante significancia del 5%, coeficiente de determinación R</w:t>
            </w:r>
            <w:r w:rsidR="000A08CB">
              <w:rPr>
                <w:rFonts w:ascii="Times New Roman" w:eastAsia="Times New Roman" w:hAnsi="Times New Roman" w:cs="Times New Roman"/>
                <w:sz w:val="24"/>
                <w:szCs w:val="24"/>
                <w:vertAlign w:val="superscript"/>
                <w:lang w:val="es-ES"/>
              </w:rPr>
              <w:t>2</w:t>
            </w:r>
            <w:r w:rsidR="000A08CB">
              <w:rPr>
                <w:rFonts w:ascii="Times New Roman" w:eastAsia="Times New Roman" w:hAnsi="Times New Roman" w:cs="Times New Roman"/>
                <w:sz w:val="24"/>
                <w:szCs w:val="24"/>
                <w:lang w:val="es-ES"/>
              </w:rPr>
              <w:t>, alfa de Cronbach y Chi cuadrado. Esto se desarrollará por estrato. Las encuestas tendrán la siguiente información:</w:t>
            </w:r>
          </w:p>
          <w:p w14:paraId="56821D1F" w14:textId="77777777" w:rsidR="000A08CB" w:rsidRPr="000A08CB" w:rsidRDefault="000A08CB" w:rsidP="000A08CB">
            <w:pPr>
              <w:widowControl w:val="0"/>
              <w:tabs>
                <w:tab w:val="left" w:pos="220"/>
                <w:tab w:val="left" w:pos="720"/>
              </w:tabs>
              <w:autoSpaceDE w:val="0"/>
              <w:autoSpaceDN w:val="0"/>
              <w:adjustRightInd w:val="0"/>
              <w:spacing w:after="293" w:line="340" w:lineRule="atLeast"/>
              <w:ind w:left="360"/>
              <w:jc w:val="both"/>
              <w:rPr>
                <w:rFonts w:ascii="Times New Roman" w:eastAsia="Times New Roman" w:hAnsi="Times New Roman" w:cs="Times New Roman"/>
                <w:sz w:val="24"/>
                <w:szCs w:val="24"/>
                <w:lang w:val="es-ES"/>
              </w:rPr>
            </w:pPr>
            <w:r w:rsidRPr="000A08CB">
              <w:rPr>
                <w:rFonts w:ascii="Times New Roman" w:eastAsia="Times New Roman" w:hAnsi="Times New Roman" w:cs="Times New Roman"/>
                <w:sz w:val="24"/>
                <w:szCs w:val="24"/>
                <w:lang w:val="es-ES"/>
              </w:rPr>
              <w:t>Información sociodemográficas</w:t>
            </w:r>
          </w:p>
          <w:p w14:paraId="58A40C85" w14:textId="77777777" w:rsidR="000A08CB" w:rsidRPr="000A08CB" w:rsidRDefault="000A08CB" w:rsidP="000A08CB">
            <w:pPr>
              <w:pStyle w:val="Prrafodelista"/>
              <w:widowControl w:val="0"/>
              <w:numPr>
                <w:ilvl w:val="0"/>
                <w:numId w:val="5"/>
              </w:numPr>
              <w:tabs>
                <w:tab w:val="left" w:pos="220"/>
                <w:tab w:val="left" w:pos="720"/>
              </w:tabs>
              <w:autoSpaceDE w:val="0"/>
              <w:autoSpaceDN w:val="0"/>
              <w:adjustRightInd w:val="0"/>
              <w:spacing w:after="293" w:line="340" w:lineRule="atLeast"/>
              <w:jc w:val="both"/>
              <w:rPr>
                <w:rFonts w:ascii="Times New Roman" w:eastAsia="Times New Roman" w:hAnsi="Times New Roman" w:cs="Times New Roman"/>
                <w:sz w:val="24"/>
                <w:szCs w:val="24"/>
                <w:lang w:val="es-ES"/>
              </w:rPr>
            </w:pPr>
            <w:r w:rsidRPr="000A08CB">
              <w:rPr>
                <w:rFonts w:ascii="Times New Roman" w:eastAsia="Times New Roman" w:hAnsi="Times New Roman" w:cs="Times New Roman"/>
                <w:sz w:val="24"/>
                <w:szCs w:val="24"/>
                <w:lang w:val="es-ES"/>
              </w:rPr>
              <w:t>Edad.</w:t>
            </w:r>
          </w:p>
          <w:p w14:paraId="2881377D" w14:textId="77777777" w:rsidR="000A08CB" w:rsidRPr="000A08CB" w:rsidRDefault="000A08CB" w:rsidP="000A08CB">
            <w:pPr>
              <w:pStyle w:val="Prrafodelista"/>
              <w:widowControl w:val="0"/>
              <w:numPr>
                <w:ilvl w:val="0"/>
                <w:numId w:val="5"/>
              </w:numPr>
              <w:tabs>
                <w:tab w:val="left" w:pos="220"/>
                <w:tab w:val="left" w:pos="720"/>
              </w:tabs>
              <w:autoSpaceDE w:val="0"/>
              <w:autoSpaceDN w:val="0"/>
              <w:adjustRightInd w:val="0"/>
              <w:spacing w:after="293" w:line="340" w:lineRule="atLeast"/>
              <w:jc w:val="both"/>
              <w:rPr>
                <w:rFonts w:ascii="Times New Roman" w:eastAsia="Times New Roman" w:hAnsi="Times New Roman" w:cs="Times New Roman"/>
                <w:sz w:val="24"/>
                <w:szCs w:val="24"/>
                <w:lang w:val="es-ES"/>
              </w:rPr>
            </w:pPr>
            <w:r w:rsidRPr="000A08CB">
              <w:rPr>
                <w:rFonts w:ascii="Times New Roman" w:eastAsia="Times New Roman" w:hAnsi="Times New Roman" w:cs="Times New Roman"/>
                <w:sz w:val="24"/>
                <w:szCs w:val="24"/>
                <w:lang w:val="es-ES"/>
              </w:rPr>
              <w:t>Conformación familiar.</w:t>
            </w:r>
          </w:p>
          <w:p w14:paraId="003A82D7" w14:textId="77777777" w:rsidR="000A08CB" w:rsidRPr="000A08CB" w:rsidRDefault="000A08CB" w:rsidP="000A08CB">
            <w:pPr>
              <w:pStyle w:val="Prrafodelista"/>
              <w:widowControl w:val="0"/>
              <w:numPr>
                <w:ilvl w:val="0"/>
                <w:numId w:val="5"/>
              </w:numPr>
              <w:tabs>
                <w:tab w:val="left" w:pos="220"/>
                <w:tab w:val="left" w:pos="720"/>
              </w:tabs>
              <w:autoSpaceDE w:val="0"/>
              <w:autoSpaceDN w:val="0"/>
              <w:adjustRightInd w:val="0"/>
              <w:spacing w:after="293" w:line="340" w:lineRule="atLeast"/>
              <w:jc w:val="both"/>
              <w:rPr>
                <w:rFonts w:ascii="Times New Roman" w:eastAsia="Times New Roman" w:hAnsi="Times New Roman" w:cs="Times New Roman"/>
                <w:sz w:val="24"/>
                <w:szCs w:val="24"/>
                <w:lang w:val="es-ES"/>
              </w:rPr>
            </w:pPr>
            <w:r w:rsidRPr="000A08CB">
              <w:rPr>
                <w:rFonts w:ascii="Times New Roman" w:eastAsia="Times New Roman" w:hAnsi="Times New Roman" w:cs="Times New Roman"/>
                <w:sz w:val="24"/>
                <w:szCs w:val="24"/>
                <w:lang w:val="es-ES"/>
              </w:rPr>
              <w:t>Número de integrantes en la vivienda.</w:t>
            </w:r>
          </w:p>
          <w:p w14:paraId="5FBA3012" w14:textId="77777777" w:rsidR="000A08CB" w:rsidRPr="000A08CB" w:rsidRDefault="000A08CB" w:rsidP="000A08CB">
            <w:pPr>
              <w:pStyle w:val="Prrafodelista"/>
              <w:widowControl w:val="0"/>
              <w:numPr>
                <w:ilvl w:val="0"/>
                <w:numId w:val="5"/>
              </w:numPr>
              <w:tabs>
                <w:tab w:val="left" w:pos="220"/>
                <w:tab w:val="left" w:pos="720"/>
              </w:tabs>
              <w:autoSpaceDE w:val="0"/>
              <w:autoSpaceDN w:val="0"/>
              <w:adjustRightInd w:val="0"/>
              <w:spacing w:after="293" w:line="340" w:lineRule="atLeast"/>
              <w:jc w:val="both"/>
              <w:rPr>
                <w:rFonts w:ascii="Times New Roman" w:eastAsia="Times New Roman" w:hAnsi="Times New Roman" w:cs="Times New Roman"/>
                <w:sz w:val="24"/>
                <w:szCs w:val="24"/>
                <w:lang w:val="es-ES"/>
              </w:rPr>
            </w:pPr>
            <w:r w:rsidRPr="000A08CB">
              <w:rPr>
                <w:rFonts w:ascii="Times New Roman" w:eastAsia="Times New Roman" w:hAnsi="Times New Roman" w:cs="Times New Roman"/>
                <w:sz w:val="24"/>
                <w:szCs w:val="24"/>
                <w:lang w:val="es-ES"/>
              </w:rPr>
              <w:lastRenderedPageBreak/>
              <w:t>Ingresos promedios.</w:t>
            </w:r>
          </w:p>
          <w:p w14:paraId="04D304B3" w14:textId="77777777" w:rsidR="000A08CB" w:rsidRPr="000A08CB" w:rsidRDefault="000A08CB" w:rsidP="000A08CB">
            <w:pPr>
              <w:pStyle w:val="Prrafodelista"/>
              <w:widowControl w:val="0"/>
              <w:numPr>
                <w:ilvl w:val="0"/>
                <w:numId w:val="5"/>
              </w:numPr>
              <w:tabs>
                <w:tab w:val="left" w:pos="220"/>
                <w:tab w:val="left" w:pos="720"/>
              </w:tabs>
              <w:autoSpaceDE w:val="0"/>
              <w:autoSpaceDN w:val="0"/>
              <w:adjustRightInd w:val="0"/>
              <w:spacing w:after="293" w:line="340" w:lineRule="atLeast"/>
              <w:jc w:val="both"/>
              <w:rPr>
                <w:rFonts w:ascii="Times New Roman" w:eastAsia="Times New Roman" w:hAnsi="Times New Roman" w:cs="Times New Roman"/>
                <w:sz w:val="24"/>
                <w:szCs w:val="24"/>
                <w:lang w:val="es-ES"/>
              </w:rPr>
            </w:pPr>
            <w:r w:rsidRPr="000A08CB">
              <w:rPr>
                <w:rFonts w:ascii="Times New Roman" w:eastAsia="Times New Roman" w:hAnsi="Times New Roman" w:cs="Times New Roman"/>
                <w:sz w:val="24"/>
                <w:szCs w:val="24"/>
                <w:lang w:val="es-ES"/>
              </w:rPr>
              <w:t>Niveles educativos.</w:t>
            </w:r>
          </w:p>
          <w:p w14:paraId="2E6806F1" w14:textId="77777777" w:rsidR="000A08CB" w:rsidRPr="000A08CB" w:rsidRDefault="000A08CB" w:rsidP="000A08CB">
            <w:pPr>
              <w:pStyle w:val="Prrafodelista"/>
              <w:widowControl w:val="0"/>
              <w:numPr>
                <w:ilvl w:val="0"/>
                <w:numId w:val="5"/>
              </w:numPr>
              <w:tabs>
                <w:tab w:val="left" w:pos="220"/>
                <w:tab w:val="left" w:pos="720"/>
              </w:tabs>
              <w:autoSpaceDE w:val="0"/>
              <w:autoSpaceDN w:val="0"/>
              <w:adjustRightInd w:val="0"/>
              <w:spacing w:after="293" w:line="340" w:lineRule="atLeast"/>
              <w:jc w:val="both"/>
              <w:rPr>
                <w:rFonts w:ascii="Times New Roman" w:eastAsia="Times New Roman" w:hAnsi="Times New Roman" w:cs="Times New Roman"/>
                <w:sz w:val="24"/>
                <w:szCs w:val="24"/>
                <w:lang w:val="es-ES"/>
              </w:rPr>
            </w:pPr>
            <w:r w:rsidRPr="000A08CB">
              <w:rPr>
                <w:rFonts w:ascii="Times New Roman" w:eastAsia="Times New Roman" w:hAnsi="Times New Roman" w:cs="Times New Roman"/>
                <w:sz w:val="24"/>
                <w:szCs w:val="24"/>
                <w:lang w:val="es-ES"/>
              </w:rPr>
              <w:t>Tipo de vivienda propia o renta.</w:t>
            </w:r>
          </w:p>
          <w:p w14:paraId="67DF2311" w14:textId="77777777" w:rsidR="000A08CB" w:rsidRPr="000A08CB" w:rsidRDefault="000A08CB" w:rsidP="000A08CB">
            <w:pPr>
              <w:pStyle w:val="Prrafodelista"/>
              <w:widowControl w:val="0"/>
              <w:numPr>
                <w:ilvl w:val="0"/>
                <w:numId w:val="5"/>
              </w:numPr>
              <w:tabs>
                <w:tab w:val="left" w:pos="220"/>
                <w:tab w:val="left" w:pos="720"/>
              </w:tabs>
              <w:autoSpaceDE w:val="0"/>
              <w:autoSpaceDN w:val="0"/>
              <w:adjustRightInd w:val="0"/>
              <w:spacing w:after="293" w:line="340" w:lineRule="atLeast"/>
              <w:jc w:val="both"/>
              <w:rPr>
                <w:rFonts w:ascii="Times New Roman" w:eastAsia="Times New Roman" w:hAnsi="Times New Roman" w:cs="Times New Roman"/>
                <w:sz w:val="24"/>
                <w:szCs w:val="24"/>
                <w:lang w:val="es-ES"/>
              </w:rPr>
            </w:pPr>
            <w:r w:rsidRPr="000A08CB">
              <w:rPr>
                <w:rFonts w:ascii="Times New Roman" w:eastAsia="Times New Roman" w:hAnsi="Times New Roman" w:cs="Times New Roman"/>
                <w:sz w:val="24"/>
                <w:szCs w:val="24"/>
                <w:lang w:val="es-ES"/>
              </w:rPr>
              <w:t xml:space="preserve">Año donde inicia a vivir en la vivienda. </w:t>
            </w:r>
          </w:p>
          <w:p w14:paraId="76512302" w14:textId="77777777" w:rsidR="000A08CB" w:rsidRPr="000A08CB" w:rsidRDefault="000A08CB" w:rsidP="000A08CB">
            <w:pPr>
              <w:pStyle w:val="Prrafodelista"/>
              <w:widowControl w:val="0"/>
              <w:tabs>
                <w:tab w:val="left" w:pos="220"/>
                <w:tab w:val="left" w:pos="720"/>
              </w:tabs>
              <w:autoSpaceDE w:val="0"/>
              <w:autoSpaceDN w:val="0"/>
              <w:adjustRightInd w:val="0"/>
              <w:spacing w:after="293" w:line="340" w:lineRule="atLeast"/>
              <w:jc w:val="both"/>
              <w:rPr>
                <w:rFonts w:ascii="Times New Roman" w:eastAsia="Times New Roman" w:hAnsi="Times New Roman" w:cs="Times New Roman"/>
                <w:sz w:val="24"/>
                <w:szCs w:val="24"/>
                <w:lang w:val="es-ES"/>
              </w:rPr>
            </w:pPr>
          </w:p>
          <w:p w14:paraId="21B8E9C8" w14:textId="77777777" w:rsidR="000A08CB" w:rsidRPr="000A08CB" w:rsidRDefault="000A08CB" w:rsidP="000A08CB">
            <w:pPr>
              <w:widowControl w:val="0"/>
              <w:tabs>
                <w:tab w:val="left" w:pos="220"/>
                <w:tab w:val="left" w:pos="720"/>
              </w:tabs>
              <w:autoSpaceDE w:val="0"/>
              <w:autoSpaceDN w:val="0"/>
              <w:adjustRightInd w:val="0"/>
              <w:spacing w:after="293" w:line="340" w:lineRule="atLeast"/>
              <w:jc w:val="both"/>
              <w:rPr>
                <w:rFonts w:ascii="Times New Roman" w:eastAsia="Times New Roman" w:hAnsi="Times New Roman" w:cs="Times New Roman"/>
                <w:sz w:val="24"/>
                <w:szCs w:val="24"/>
                <w:lang w:val="es-ES"/>
              </w:rPr>
            </w:pPr>
            <w:r w:rsidRPr="000A08CB">
              <w:rPr>
                <w:rFonts w:ascii="Times New Roman" w:eastAsia="Times New Roman" w:hAnsi="Times New Roman" w:cs="Times New Roman"/>
                <w:sz w:val="24"/>
                <w:szCs w:val="24"/>
                <w:lang w:val="es-ES"/>
              </w:rPr>
              <w:t>Información de características de la vivienda.</w:t>
            </w:r>
          </w:p>
          <w:p w14:paraId="4DED606B" w14:textId="77777777" w:rsidR="000A08CB" w:rsidRPr="000A08CB" w:rsidRDefault="000A08CB" w:rsidP="000A08CB">
            <w:pPr>
              <w:pStyle w:val="Prrafodelista"/>
              <w:widowControl w:val="0"/>
              <w:numPr>
                <w:ilvl w:val="0"/>
                <w:numId w:val="5"/>
              </w:numPr>
              <w:tabs>
                <w:tab w:val="left" w:pos="220"/>
                <w:tab w:val="left" w:pos="720"/>
              </w:tabs>
              <w:autoSpaceDE w:val="0"/>
              <w:autoSpaceDN w:val="0"/>
              <w:adjustRightInd w:val="0"/>
              <w:spacing w:after="293" w:line="340" w:lineRule="atLeast"/>
              <w:jc w:val="both"/>
              <w:rPr>
                <w:rFonts w:ascii="Times New Roman" w:eastAsia="Times New Roman" w:hAnsi="Times New Roman" w:cs="Times New Roman"/>
                <w:sz w:val="24"/>
                <w:szCs w:val="24"/>
                <w:lang w:val="es-ES"/>
              </w:rPr>
            </w:pPr>
            <w:r w:rsidRPr="000A08CB">
              <w:rPr>
                <w:rFonts w:ascii="Times New Roman" w:eastAsia="Times New Roman" w:hAnsi="Times New Roman" w:cs="Times New Roman"/>
                <w:sz w:val="24"/>
                <w:szCs w:val="24"/>
                <w:lang w:val="es-ES"/>
              </w:rPr>
              <w:t>Dimensiones aproximadas de área construida de la vivienda.</w:t>
            </w:r>
          </w:p>
          <w:p w14:paraId="4C89BC44" w14:textId="5524966B" w:rsidR="000A08CB" w:rsidRPr="000A08CB" w:rsidRDefault="000A08CB" w:rsidP="000A08CB">
            <w:pPr>
              <w:pStyle w:val="Prrafodelista"/>
              <w:widowControl w:val="0"/>
              <w:numPr>
                <w:ilvl w:val="0"/>
                <w:numId w:val="5"/>
              </w:numPr>
              <w:tabs>
                <w:tab w:val="left" w:pos="220"/>
                <w:tab w:val="left" w:pos="720"/>
              </w:tabs>
              <w:autoSpaceDE w:val="0"/>
              <w:autoSpaceDN w:val="0"/>
              <w:adjustRightInd w:val="0"/>
              <w:spacing w:after="293" w:line="340" w:lineRule="atLeast"/>
              <w:jc w:val="both"/>
              <w:rPr>
                <w:rFonts w:ascii="Times New Roman" w:eastAsia="Times New Roman" w:hAnsi="Times New Roman" w:cs="Times New Roman"/>
                <w:sz w:val="24"/>
                <w:szCs w:val="24"/>
                <w:lang w:val="es-ES"/>
              </w:rPr>
            </w:pPr>
            <w:r w:rsidRPr="000A08CB">
              <w:rPr>
                <w:rFonts w:ascii="Times New Roman" w:eastAsia="Times New Roman" w:hAnsi="Times New Roman" w:cs="Times New Roman"/>
                <w:sz w:val="24"/>
                <w:szCs w:val="24"/>
                <w:lang w:val="es-ES"/>
              </w:rPr>
              <w:t>Número de baños en su vivienda.</w:t>
            </w:r>
          </w:p>
          <w:p w14:paraId="5B084AA1" w14:textId="77777777" w:rsidR="000A08CB" w:rsidRPr="000A08CB" w:rsidRDefault="000A08CB" w:rsidP="000A08CB">
            <w:pPr>
              <w:pStyle w:val="Prrafodelista"/>
              <w:widowControl w:val="0"/>
              <w:numPr>
                <w:ilvl w:val="0"/>
                <w:numId w:val="5"/>
              </w:numPr>
              <w:tabs>
                <w:tab w:val="left" w:pos="220"/>
                <w:tab w:val="left" w:pos="720"/>
              </w:tabs>
              <w:autoSpaceDE w:val="0"/>
              <w:autoSpaceDN w:val="0"/>
              <w:adjustRightInd w:val="0"/>
              <w:spacing w:after="293" w:line="340" w:lineRule="atLeast"/>
              <w:jc w:val="both"/>
              <w:rPr>
                <w:rFonts w:ascii="Times New Roman" w:eastAsia="Times New Roman" w:hAnsi="Times New Roman" w:cs="Times New Roman"/>
                <w:sz w:val="24"/>
                <w:szCs w:val="24"/>
                <w:lang w:val="es-ES"/>
              </w:rPr>
            </w:pPr>
            <w:r w:rsidRPr="000A08CB">
              <w:rPr>
                <w:rFonts w:ascii="Times New Roman" w:eastAsia="Times New Roman" w:hAnsi="Times New Roman" w:cs="Times New Roman"/>
                <w:sz w:val="24"/>
                <w:szCs w:val="24"/>
                <w:lang w:val="es-ES"/>
              </w:rPr>
              <w:t>Año de construcción.</w:t>
            </w:r>
          </w:p>
          <w:p w14:paraId="423E5A65" w14:textId="77AB6CD8" w:rsidR="000A08CB" w:rsidRPr="000A08CB" w:rsidRDefault="000A08CB" w:rsidP="000A08CB">
            <w:pPr>
              <w:pStyle w:val="Prrafodelista"/>
              <w:widowControl w:val="0"/>
              <w:numPr>
                <w:ilvl w:val="0"/>
                <w:numId w:val="5"/>
              </w:numPr>
              <w:tabs>
                <w:tab w:val="left" w:pos="220"/>
                <w:tab w:val="left" w:pos="720"/>
              </w:tabs>
              <w:autoSpaceDE w:val="0"/>
              <w:autoSpaceDN w:val="0"/>
              <w:adjustRightInd w:val="0"/>
              <w:spacing w:after="293" w:line="340" w:lineRule="atLeast"/>
              <w:jc w:val="both"/>
              <w:rPr>
                <w:rFonts w:ascii="Times New Roman" w:eastAsia="Times New Roman" w:hAnsi="Times New Roman" w:cs="Times New Roman"/>
                <w:sz w:val="24"/>
                <w:szCs w:val="24"/>
                <w:lang w:val="es-ES"/>
              </w:rPr>
            </w:pPr>
            <w:r w:rsidRPr="000A08CB">
              <w:rPr>
                <w:rFonts w:ascii="Times New Roman" w:eastAsia="Times New Roman" w:hAnsi="Times New Roman" w:cs="Times New Roman"/>
                <w:sz w:val="24"/>
                <w:szCs w:val="24"/>
                <w:lang w:val="es-ES"/>
              </w:rPr>
              <w:t xml:space="preserve">Tipos de electrodomésticos </w:t>
            </w:r>
            <w:r>
              <w:rPr>
                <w:rFonts w:ascii="Times New Roman" w:eastAsia="Times New Roman" w:hAnsi="Times New Roman" w:cs="Times New Roman"/>
                <w:sz w:val="24"/>
                <w:szCs w:val="24"/>
                <w:lang w:val="es-ES"/>
              </w:rPr>
              <w:t xml:space="preserve"> que consumen agua </w:t>
            </w:r>
            <w:r w:rsidRPr="000A08CB">
              <w:rPr>
                <w:rFonts w:ascii="Times New Roman" w:eastAsia="Times New Roman" w:hAnsi="Times New Roman" w:cs="Times New Roman"/>
                <w:sz w:val="24"/>
                <w:szCs w:val="24"/>
                <w:lang w:val="es-ES"/>
              </w:rPr>
              <w:t>y posibles características.</w:t>
            </w:r>
          </w:p>
          <w:p w14:paraId="6D1EB413" w14:textId="64611000" w:rsidR="000A08CB" w:rsidRPr="000A08CB" w:rsidRDefault="000A08CB" w:rsidP="000A08CB">
            <w:pPr>
              <w:pStyle w:val="Prrafodelista"/>
              <w:widowControl w:val="0"/>
              <w:numPr>
                <w:ilvl w:val="0"/>
                <w:numId w:val="5"/>
              </w:numPr>
              <w:tabs>
                <w:tab w:val="left" w:pos="220"/>
                <w:tab w:val="left" w:pos="720"/>
              </w:tabs>
              <w:autoSpaceDE w:val="0"/>
              <w:autoSpaceDN w:val="0"/>
              <w:adjustRightInd w:val="0"/>
              <w:spacing w:after="293" w:line="340" w:lineRule="atLeast"/>
              <w:jc w:val="both"/>
              <w:rPr>
                <w:rFonts w:ascii="Times New Roman" w:eastAsia="Times New Roman" w:hAnsi="Times New Roman" w:cs="Times New Roman"/>
                <w:sz w:val="24"/>
                <w:szCs w:val="24"/>
                <w:lang w:val="es-ES"/>
              </w:rPr>
            </w:pPr>
            <w:r w:rsidRPr="000A08CB">
              <w:rPr>
                <w:rFonts w:ascii="Times New Roman" w:eastAsia="Times New Roman" w:hAnsi="Times New Roman" w:cs="Times New Roman"/>
                <w:sz w:val="24"/>
                <w:szCs w:val="24"/>
                <w:lang w:val="es-ES"/>
              </w:rPr>
              <w:t>Número de electrodomésticos</w:t>
            </w:r>
            <w:r>
              <w:rPr>
                <w:rFonts w:ascii="Times New Roman" w:eastAsia="Times New Roman" w:hAnsi="Times New Roman" w:cs="Times New Roman"/>
                <w:sz w:val="24"/>
                <w:szCs w:val="24"/>
                <w:lang w:val="es-ES"/>
              </w:rPr>
              <w:t xml:space="preserve"> que consumen agua</w:t>
            </w:r>
            <w:r w:rsidRPr="000A08CB">
              <w:rPr>
                <w:rFonts w:ascii="Times New Roman" w:eastAsia="Times New Roman" w:hAnsi="Times New Roman" w:cs="Times New Roman"/>
                <w:sz w:val="24"/>
                <w:szCs w:val="24"/>
                <w:lang w:val="es-ES"/>
              </w:rPr>
              <w:t>.</w:t>
            </w:r>
          </w:p>
          <w:p w14:paraId="4DEF1F82" w14:textId="77777777" w:rsidR="000A08CB" w:rsidRPr="000A08CB" w:rsidRDefault="000A08CB" w:rsidP="000A08CB">
            <w:pPr>
              <w:pStyle w:val="Prrafodelista"/>
              <w:widowControl w:val="0"/>
              <w:numPr>
                <w:ilvl w:val="0"/>
                <w:numId w:val="5"/>
              </w:numPr>
              <w:tabs>
                <w:tab w:val="left" w:pos="220"/>
                <w:tab w:val="left" w:pos="720"/>
              </w:tabs>
              <w:autoSpaceDE w:val="0"/>
              <w:autoSpaceDN w:val="0"/>
              <w:adjustRightInd w:val="0"/>
              <w:spacing w:after="293" w:line="340" w:lineRule="atLeast"/>
              <w:jc w:val="both"/>
              <w:rPr>
                <w:rFonts w:ascii="Times New Roman" w:eastAsia="Times New Roman" w:hAnsi="Times New Roman" w:cs="Times New Roman"/>
                <w:sz w:val="24"/>
                <w:szCs w:val="24"/>
                <w:lang w:val="es-ES"/>
              </w:rPr>
            </w:pPr>
            <w:r w:rsidRPr="000A08CB">
              <w:rPr>
                <w:rFonts w:ascii="Times New Roman" w:eastAsia="Times New Roman" w:hAnsi="Times New Roman" w:cs="Times New Roman"/>
                <w:sz w:val="24"/>
                <w:szCs w:val="24"/>
                <w:lang w:val="es-ES"/>
              </w:rPr>
              <w:t>Año aproximadamente de compra.</w:t>
            </w:r>
          </w:p>
          <w:p w14:paraId="1E481343" w14:textId="44747C57" w:rsidR="000A08CB" w:rsidRPr="000A08CB" w:rsidRDefault="000A08CB" w:rsidP="000A08CB">
            <w:pPr>
              <w:pStyle w:val="Prrafodelista"/>
              <w:widowControl w:val="0"/>
              <w:numPr>
                <w:ilvl w:val="0"/>
                <w:numId w:val="5"/>
              </w:numPr>
              <w:tabs>
                <w:tab w:val="left" w:pos="220"/>
                <w:tab w:val="left" w:pos="720"/>
              </w:tabs>
              <w:autoSpaceDE w:val="0"/>
              <w:autoSpaceDN w:val="0"/>
              <w:adjustRightInd w:val="0"/>
              <w:spacing w:after="293" w:line="340" w:lineRule="atLeast"/>
              <w:jc w:val="both"/>
              <w:rPr>
                <w:rFonts w:ascii="Times New Roman" w:eastAsia="Times New Roman" w:hAnsi="Times New Roman" w:cs="Times New Roman"/>
                <w:sz w:val="24"/>
                <w:szCs w:val="24"/>
                <w:lang w:val="es-ES"/>
              </w:rPr>
            </w:pPr>
            <w:r w:rsidRPr="000A08CB">
              <w:rPr>
                <w:rFonts w:ascii="Times New Roman" w:eastAsia="Times New Roman" w:hAnsi="Times New Roman" w:cs="Times New Roman"/>
                <w:sz w:val="24"/>
                <w:szCs w:val="24"/>
                <w:lang w:val="es-ES"/>
              </w:rPr>
              <w:t xml:space="preserve">Tipos de </w:t>
            </w:r>
            <w:r>
              <w:rPr>
                <w:rFonts w:ascii="Times New Roman" w:eastAsia="Times New Roman" w:hAnsi="Times New Roman" w:cs="Times New Roman"/>
                <w:sz w:val="24"/>
                <w:szCs w:val="24"/>
                <w:lang w:val="es-ES"/>
              </w:rPr>
              <w:t>agua</w:t>
            </w:r>
            <w:r w:rsidRPr="000A08CB">
              <w:rPr>
                <w:rFonts w:ascii="Times New Roman" w:eastAsia="Times New Roman" w:hAnsi="Times New Roman" w:cs="Times New Roman"/>
                <w:sz w:val="24"/>
                <w:szCs w:val="24"/>
                <w:lang w:val="es-ES"/>
              </w:rPr>
              <w:t xml:space="preserve"> disponibles en la vivienda.</w:t>
            </w:r>
          </w:p>
          <w:p w14:paraId="4E17C509" w14:textId="0EC2B3E2" w:rsidR="000A08CB" w:rsidRPr="000A08CB" w:rsidRDefault="000A08CB" w:rsidP="000A08CB">
            <w:pPr>
              <w:pStyle w:val="Prrafodelista"/>
              <w:widowControl w:val="0"/>
              <w:numPr>
                <w:ilvl w:val="0"/>
                <w:numId w:val="5"/>
              </w:numPr>
              <w:tabs>
                <w:tab w:val="left" w:pos="220"/>
                <w:tab w:val="left" w:pos="720"/>
              </w:tabs>
              <w:autoSpaceDE w:val="0"/>
              <w:autoSpaceDN w:val="0"/>
              <w:adjustRightInd w:val="0"/>
              <w:spacing w:after="293" w:line="340" w:lineRule="atLeast"/>
              <w:jc w:val="both"/>
              <w:rPr>
                <w:rFonts w:ascii="Times New Roman" w:eastAsia="Times New Roman" w:hAnsi="Times New Roman" w:cs="Times New Roman"/>
                <w:sz w:val="24"/>
                <w:szCs w:val="24"/>
                <w:lang w:val="es-ES"/>
              </w:rPr>
            </w:pPr>
            <w:r w:rsidRPr="000A08CB">
              <w:rPr>
                <w:rFonts w:ascii="Times New Roman" w:eastAsia="Times New Roman" w:hAnsi="Times New Roman" w:cs="Times New Roman"/>
                <w:sz w:val="24"/>
                <w:szCs w:val="24"/>
                <w:lang w:val="es-ES"/>
              </w:rPr>
              <w:t xml:space="preserve">Existencia y tipos de modificaciones </w:t>
            </w:r>
            <w:r>
              <w:rPr>
                <w:rFonts w:ascii="Times New Roman" w:eastAsia="Times New Roman" w:hAnsi="Times New Roman" w:cs="Times New Roman"/>
                <w:sz w:val="24"/>
                <w:szCs w:val="24"/>
                <w:lang w:val="es-ES"/>
              </w:rPr>
              <w:t>de agua</w:t>
            </w:r>
            <w:r w:rsidRPr="000A08CB">
              <w:rPr>
                <w:rFonts w:ascii="Times New Roman" w:eastAsia="Times New Roman" w:hAnsi="Times New Roman" w:cs="Times New Roman"/>
                <w:sz w:val="24"/>
                <w:szCs w:val="24"/>
                <w:lang w:val="es-ES"/>
              </w:rPr>
              <w:t xml:space="preserve"> a su vivienda.</w:t>
            </w:r>
          </w:p>
          <w:p w14:paraId="00EEBFFE" w14:textId="77777777" w:rsidR="000A08CB" w:rsidRPr="000A08CB" w:rsidRDefault="000A08CB" w:rsidP="000A08CB">
            <w:pPr>
              <w:pStyle w:val="Prrafodelista"/>
              <w:widowControl w:val="0"/>
              <w:tabs>
                <w:tab w:val="left" w:pos="220"/>
                <w:tab w:val="left" w:pos="720"/>
              </w:tabs>
              <w:autoSpaceDE w:val="0"/>
              <w:autoSpaceDN w:val="0"/>
              <w:adjustRightInd w:val="0"/>
              <w:spacing w:after="293" w:line="340" w:lineRule="atLeast"/>
              <w:jc w:val="both"/>
              <w:rPr>
                <w:rFonts w:ascii="Times New Roman" w:eastAsia="Times New Roman" w:hAnsi="Times New Roman" w:cs="Times New Roman"/>
                <w:sz w:val="24"/>
                <w:szCs w:val="24"/>
                <w:lang w:val="es-ES"/>
              </w:rPr>
            </w:pPr>
          </w:p>
          <w:p w14:paraId="62481EF4" w14:textId="77777777" w:rsidR="000A08CB" w:rsidRPr="000A08CB" w:rsidRDefault="000A08CB" w:rsidP="000A08CB">
            <w:pPr>
              <w:widowControl w:val="0"/>
              <w:tabs>
                <w:tab w:val="left" w:pos="220"/>
                <w:tab w:val="left" w:pos="720"/>
              </w:tabs>
              <w:autoSpaceDE w:val="0"/>
              <w:autoSpaceDN w:val="0"/>
              <w:adjustRightInd w:val="0"/>
              <w:spacing w:after="293" w:line="340" w:lineRule="atLeast"/>
              <w:jc w:val="both"/>
              <w:rPr>
                <w:rFonts w:ascii="Times New Roman" w:eastAsia="Times New Roman" w:hAnsi="Times New Roman" w:cs="Times New Roman"/>
                <w:sz w:val="24"/>
                <w:szCs w:val="24"/>
                <w:lang w:val="es-ES"/>
              </w:rPr>
            </w:pPr>
            <w:r w:rsidRPr="000A08CB">
              <w:rPr>
                <w:rFonts w:ascii="Times New Roman" w:eastAsia="Times New Roman" w:hAnsi="Times New Roman" w:cs="Times New Roman"/>
                <w:sz w:val="24"/>
                <w:szCs w:val="24"/>
                <w:lang w:val="es-ES"/>
              </w:rPr>
              <w:t>Hábitos y comportamientos.</w:t>
            </w:r>
          </w:p>
          <w:p w14:paraId="03D872E0" w14:textId="77777777" w:rsidR="000A08CB" w:rsidRPr="000A08CB" w:rsidRDefault="000A08CB" w:rsidP="000A08CB">
            <w:pPr>
              <w:pStyle w:val="Prrafodelista"/>
              <w:widowControl w:val="0"/>
              <w:numPr>
                <w:ilvl w:val="0"/>
                <w:numId w:val="5"/>
              </w:numPr>
              <w:tabs>
                <w:tab w:val="left" w:pos="220"/>
                <w:tab w:val="left" w:pos="720"/>
              </w:tabs>
              <w:autoSpaceDE w:val="0"/>
              <w:autoSpaceDN w:val="0"/>
              <w:adjustRightInd w:val="0"/>
              <w:spacing w:after="293" w:line="340" w:lineRule="atLeast"/>
              <w:jc w:val="both"/>
              <w:rPr>
                <w:rFonts w:ascii="Times New Roman" w:eastAsia="Times New Roman" w:hAnsi="Times New Roman" w:cs="Times New Roman"/>
                <w:sz w:val="24"/>
                <w:szCs w:val="24"/>
                <w:lang w:val="es-ES"/>
              </w:rPr>
            </w:pPr>
            <w:r w:rsidRPr="000A08CB">
              <w:rPr>
                <w:rFonts w:ascii="Times New Roman" w:eastAsia="Times New Roman" w:hAnsi="Times New Roman" w:cs="Times New Roman"/>
                <w:sz w:val="24"/>
                <w:szCs w:val="24"/>
                <w:lang w:val="es-ES"/>
              </w:rPr>
              <w:t>Tiempo de consumo de agua caliente.</w:t>
            </w:r>
          </w:p>
          <w:p w14:paraId="21BBC076" w14:textId="77777777" w:rsidR="000A08CB" w:rsidRPr="000A08CB" w:rsidRDefault="000A08CB" w:rsidP="000A08CB">
            <w:pPr>
              <w:pStyle w:val="Prrafodelista"/>
              <w:widowControl w:val="0"/>
              <w:numPr>
                <w:ilvl w:val="0"/>
                <w:numId w:val="5"/>
              </w:numPr>
              <w:tabs>
                <w:tab w:val="left" w:pos="220"/>
                <w:tab w:val="left" w:pos="720"/>
              </w:tabs>
              <w:autoSpaceDE w:val="0"/>
              <w:autoSpaceDN w:val="0"/>
              <w:adjustRightInd w:val="0"/>
              <w:spacing w:after="293" w:line="340" w:lineRule="atLeast"/>
              <w:jc w:val="both"/>
              <w:rPr>
                <w:rFonts w:ascii="Times New Roman" w:eastAsia="Times New Roman" w:hAnsi="Times New Roman" w:cs="Times New Roman"/>
                <w:sz w:val="24"/>
                <w:szCs w:val="24"/>
                <w:lang w:val="es-ES"/>
              </w:rPr>
            </w:pPr>
            <w:r w:rsidRPr="000A08CB">
              <w:rPr>
                <w:rFonts w:ascii="Times New Roman" w:eastAsia="Times New Roman" w:hAnsi="Times New Roman" w:cs="Times New Roman"/>
                <w:sz w:val="24"/>
                <w:szCs w:val="24"/>
                <w:lang w:val="es-ES"/>
              </w:rPr>
              <w:t>Tiempo de cocción en estufas y/u hornos eléctricos.</w:t>
            </w:r>
          </w:p>
          <w:p w14:paraId="7C2D9581" w14:textId="77777777" w:rsidR="000A08CB" w:rsidRPr="000A08CB" w:rsidRDefault="000A08CB" w:rsidP="000A08CB">
            <w:pPr>
              <w:pStyle w:val="Prrafodelista"/>
              <w:widowControl w:val="0"/>
              <w:numPr>
                <w:ilvl w:val="0"/>
                <w:numId w:val="5"/>
              </w:numPr>
              <w:tabs>
                <w:tab w:val="left" w:pos="220"/>
                <w:tab w:val="left" w:pos="720"/>
              </w:tabs>
              <w:autoSpaceDE w:val="0"/>
              <w:autoSpaceDN w:val="0"/>
              <w:adjustRightInd w:val="0"/>
              <w:spacing w:after="293" w:line="340" w:lineRule="atLeast"/>
              <w:jc w:val="both"/>
              <w:rPr>
                <w:rFonts w:ascii="Times New Roman" w:eastAsia="Times New Roman" w:hAnsi="Times New Roman" w:cs="Times New Roman"/>
                <w:sz w:val="24"/>
                <w:szCs w:val="24"/>
                <w:lang w:val="es-ES"/>
              </w:rPr>
            </w:pPr>
            <w:r w:rsidRPr="000A08CB">
              <w:rPr>
                <w:rFonts w:ascii="Times New Roman" w:eastAsia="Times New Roman" w:hAnsi="Times New Roman" w:cs="Times New Roman"/>
                <w:sz w:val="24"/>
                <w:szCs w:val="24"/>
                <w:lang w:val="es-ES"/>
              </w:rPr>
              <w:t>Tiempo de usos de radios y equipos de sonidos.</w:t>
            </w:r>
          </w:p>
          <w:p w14:paraId="243E3BDF" w14:textId="2FC59A09" w:rsidR="000A08CB" w:rsidRPr="000A08CB" w:rsidRDefault="000A08CB" w:rsidP="000A08CB">
            <w:pPr>
              <w:pStyle w:val="Prrafodelista"/>
              <w:widowControl w:val="0"/>
              <w:numPr>
                <w:ilvl w:val="0"/>
                <w:numId w:val="5"/>
              </w:numPr>
              <w:tabs>
                <w:tab w:val="left" w:pos="220"/>
                <w:tab w:val="left" w:pos="720"/>
              </w:tabs>
              <w:autoSpaceDE w:val="0"/>
              <w:autoSpaceDN w:val="0"/>
              <w:adjustRightInd w:val="0"/>
              <w:spacing w:after="293" w:line="340" w:lineRule="atLeast"/>
              <w:jc w:val="both"/>
              <w:rPr>
                <w:rFonts w:ascii="Times New Roman" w:eastAsia="Times New Roman" w:hAnsi="Times New Roman" w:cs="Times New Roman"/>
                <w:sz w:val="24"/>
                <w:szCs w:val="24"/>
                <w:lang w:val="es-ES"/>
              </w:rPr>
            </w:pPr>
            <w:r w:rsidRPr="000A08CB">
              <w:rPr>
                <w:rFonts w:ascii="Times New Roman" w:eastAsia="Times New Roman" w:hAnsi="Times New Roman" w:cs="Times New Roman"/>
                <w:sz w:val="24"/>
                <w:szCs w:val="24"/>
                <w:lang w:val="es-ES"/>
              </w:rPr>
              <w:t>Número de veces de lavado, secado y planchado de ropa.</w:t>
            </w:r>
          </w:p>
          <w:p w14:paraId="028BA851" w14:textId="77777777" w:rsidR="000A08CB" w:rsidRPr="000A08CB" w:rsidRDefault="000A08CB" w:rsidP="000A08CB">
            <w:pPr>
              <w:widowControl w:val="0"/>
              <w:tabs>
                <w:tab w:val="left" w:pos="220"/>
                <w:tab w:val="left" w:pos="720"/>
              </w:tabs>
              <w:autoSpaceDE w:val="0"/>
              <w:autoSpaceDN w:val="0"/>
              <w:adjustRightInd w:val="0"/>
              <w:spacing w:after="293" w:line="340" w:lineRule="atLeast"/>
              <w:jc w:val="both"/>
              <w:rPr>
                <w:rFonts w:ascii="Times New Roman" w:eastAsia="Times New Roman" w:hAnsi="Times New Roman" w:cs="Times New Roman"/>
                <w:sz w:val="24"/>
                <w:szCs w:val="24"/>
                <w:lang w:val="es-ES"/>
              </w:rPr>
            </w:pPr>
            <w:r w:rsidRPr="000A08CB">
              <w:rPr>
                <w:rFonts w:ascii="Times New Roman" w:eastAsia="Times New Roman" w:hAnsi="Times New Roman" w:cs="Times New Roman"/>
                <w:sz w:val="24"/>
                <w:szCs w:val="24"/>
                <w:lang w:val="es-ES"/>
              </w:rPr>
              <w:t>Ahorro de energía.</w:t>
            </w:r>
          </w:p>
          <w:p w14:paraId="42C4E349" w14:textId="77777777" w:rsidR="000A08CB" w:rsidRPr="000A08CB" w:rsidRDefault="000A08CB" w:rsidP="000A08CB">
            <w:pPr>
              <w:pStyle w:val="Prrafodelista"/>
              <w:widowControl w:val="0"/>
              <w:numPr>
                <w:ilvl w:val="0"/>
                <w:numId w:val="5"/>
              </w:numPr>
              <w:tabs>
                <w:tab w:val="left" w:pos="220"/>
                <w:tab w:val="left" w:pos="720"/>
              </w:tabs>
              <w:autoSpaceDE w:val="0"/>
              <w:autoSpaceDN w:val="0"/>
              <w:adjustRightInd w:val="0"/>
              <w:spacing w:after="293" w:line="340" w:lineRule="atLeast"/>
              <w:jc w:val="both"/>
              <w:rPr>
                <w:rFonts w:ascii="Times New Roman" w:eastAsia="Times New Roman" w:hAnsi="Times New Roman" w:cs="Times New Roman"/>
                <w:sz w:val="24"/>
                <w:szCs w:val="24"/>
                <w:lang w:val="es-ES"/>
              </w:rPr>
            </w:pPr>
            <w:r w:rsidRPr="000A08CB">
              <w:rPr>
                <w:rFonts w:ascii="Times New Roman" w:eastAsia="Times New Roman" w:hAnsi="Times New Roman" w:cs="Times New Roman"/>
                <w:sz w:val="24"/>
                <w:szCs w:val="24"/>
                <w:lang w:val="es-ES"/>
              </w:rPr>
              <w:t>Existencia de hábitos de ahorro.</w:t>
            </w:r>
          </w:p>
          <w:p w14:paraId="16503E08" w14:textId="77777777" w:rsidR="000A08CB" w:rsidRPr="000A08CB" w:rsidRDefault="000A08CB" w:rsidP="000A08CB">
            <w:pPr>
              <w:pStyle w:val="Prrafodelista"/>
              <w:widowControl w:val="0"/>
              <w:numPr>
                <w:ilvl w:val="0"/>
                <w:numId w:val="5"/>
              </w:numPr>
              <w:tabs>
                <w:tab w:val="left" w:pos="220"/>
                <w:tab w:val="left" w:pos="720"/>
              </w:tabs>
              <w:autoSpaceDE w:val="0"/>
              <w:autoSpaceDN w:val="0"/>
              <w:adjustRightInd w:val="0"/>
              <w:spacing w:after="293" w:line="340" w:lineRule="atLeast"/>
              <w:jc w:val="both"/>
              <w:rPr>
                <w:rFonts w:ascii="Times New Roman" w:eastAsia="Times New Roman" w:hAnsi="Times New Roman" w:cs="Times New Roman"/>
                <w:sz w:val="24"/>
                <w:szCs w:val="24"/>
                <w:lang w:val="es-ES"/>
              </w:rPr>
            </w:pPr>
            <w:r w:rsidRPr="000A08CB">
              <w:rPr>
                <w:rFonts w:ascii="Times New Roman" w:eastAsia="Times New Roman" w:hAnsi="Times New Roman" w:cs="Times New Roman"/>
                <w:sz w:val="24"/>
                <w:szCs w:val="24"/>
                <w:lang w:val="es-ES"/>
              </w:rPr>
              <w:lastRenderedPageBreak/>
              <w:t>Reacción a políticas de ahorro gubernamental.</w:t>
            </w:r>
          </w:p>
          <w:p w14:paraId="1F6864D1" w14:textId="77777777" w:rsidR="000A08CB" w:rsidRPr="000A08CB" w:rsidRDefault="000A08CB" w:rsidP="000A08CB">
            <w:pPr>
              <w:pStyle w:val="Prrafodelista"/>
              <w:widowControl w:val="0"/>
              <w:numPr>
                <w:ilvl w:val="0"/>
                <w:numId w:val="5"/>
              </w:numPr>
              <w:tabs>
                <w:tab w:val="left" w:pos="220"/>
                <w:tab w:val="left" w:pos="720"/>
              </w:tabs>
              <w:autoSpaceDE w:val="0"/>
              <w:autoSpaceDN w:val="0"/>
              <w:adjustRightInd w:val="0"/>
              <w:spacing w:after="293" w:line="340" w:lineRule="atLeast"/>
              <w:jc w:val="both"/>
              <w:rPr>
                <w:rFonts w:ascii="Times New Roman" w:eastAsia="Times New Roman" w:hAnsi="Times New Roman" w:cs="Times New Roman"/>
                <w:sz w:val="24"/>
                <w:szCs w:val="24"/>
                <w:lang w:val="es-ES"/>
              </w:rPr>
            </w:pPr>
            <w:r w:rsidRPr="000A08CB">
              <w:rPr>
                <w:rFonts w:ascii="Times New Roman" w:eastAsia="Times New Roman" w:hAnsi="Times New Roman" w:cs="Times New Roman"/>
                <w:sz w:val="24"/>
                <w:szCs w:val="24"/>
                <w:lang w:val="es-ES"/>
              </w:rPr>
              <w:t>Identificación de acciones efectivas para el ahorro en la vivienda.</w:t>
            </w:r>
          </w:p>
          <w:p w14:paraId="0B6128A4" w14:textId="6CA776FF" w:rsidR="000A08CB" w:rsidRPr="000A08CB" w:rsidRDefault="000A08CB" w:rsidP="000A08CB">
            <w:pPr>
              <w:pStyle w:val="Prrafodelista"/>
              <w:widowControl w:val="0"/>
              <w:numPr>
                <w:ilvl w:val="0"/>
                <w:numId w:val="5"/>
              </w:numPr>
              <w:tabs>
                <w:tab w:val="left" w:pos="220"/>
                <w:tab w:val="left" w:pos="720"/>
              </w:tabs>
              <w:autoSpaceDE w:val="0"/>
              <w:autoSpaceDN w:val="0"/>
              <w:adjustRightInd w:val="0"/>
              <w:spacing w:after="293" w:line="340" w:lineRule="atLeast"/>
              <w:jc w:val="both"/>
              <w:rPr>
                <w:rFonts w:ascii="Arial" w:eastAsia="Arial" w:hAnsi="Arial" w:cs="Arial"/>
              </w:rPr>
            </w:pPr>
            <w:r w:rsidRPr="000A08CB">
              <w:rPr>
                <w:rFonts w:ascii="Times New Roman" w:eastAsia="Times New Roman" w:hAnsi="Times New Roman" w:cs="Times New Roman"/>
                <w:sz w:val="24"/>
                <w:szCs w:val="24"/>
                <w:lang w:val="es-ES"/>
              </w:rPr>
              <w:t>Identificación de acciones efectivas para el ahorro en viviendas en la ciudad de Bogotá para su estrato.</w:t>
            </w:r>
          </w:p>
          <w:p w14:paraId="6BDB5257" w14:textId="77777777" w:rsidR="004027CB" w:rsidRDefault="004027CB" w:rsidP="00A875B7">
            <w:pPr>
              <w:pStyle w:val="Prrafodelista"/>
              <w:widowControl w:val="0"/>
              <w:tabs>
                <w:tab w:val="left" w:pos="220"/>
                <w:tab w:val="left" w:pos="720"/>
              </w:tabs>
              <w:autoSpaceDE w:val="0"/>
              <w:autoSpaceDN w:val="0"/>
              <w:adjustRightInd w:val="0"/>
              <w:spacing w:after="293" w:line="340" w:lineRule="atLeast"/>
              <w:jc w:val="both"/>
              <w:rPr>
                <w:rFonts w:ascii="Times New Roman" w:eastAsia="Times New Roman" w:hAnsi="Times New Roman" w:cs="Times New Roman"/>
                <w:sz w:val="24"/>
                <w:szCs w:val="24"/>
                <w:lang w:val="es-ES"/>
              </w:rPr>
            </w:pPr>
          </w:p>
          <w:p w14:paraId="20FB46A3" w14:textId="324720D1" w:rsidR="004027CB" w:rsidRDefault="00A875B7" w:rsidP="004027CB">
            <w:pPr>
              <w:pStyle w:val="Prrafodelista"/>
              <w:widowControl w:val="0"/>
              <w:numPr>
                <w:ilvl w:val="0"/>
                <w:numId w:val="5"/>
              </w:numPr>
              <w:tabs>
                <w:tab w:val="left" w:pos="220"/>
                <w:tab w:val="left" w:pos="720"/>
              </w:tabs>
              <w:autoSpaceDE w:val="0"/>
              <w:autoSpaceDN w:val="0"/>
              <w:adjustRightInd w:val="0"/>
              <w:spacing w:after="293" w:line="340" w:lineRule="atLeast"/>
              <w:jc w:val="both"/>
              <w:rPr>
                <w:rFonts w:ascii="Times New Roman" w:eastAsia="Times New Roman" w:hAnsi="Times New Roman" w:cs="Times New Roman"/>
                <w:b/>
                <w:sz w:val="24"/>
                <w:szCs w:val="24"/>
                <w:lang w:val="es-ES"/>
              </w:rPr>
            </w:pPr>
            <w:r w:rsidRPr="00A875B7">
              <w:rPr>
                <w:rFonts w:ascii="Times New Roman" w:eastAsia="Times New Roman" w:hAnsi="Times New Roman" w:cs="Times New Roman"/>
                <w:b/>
                <w:sz w:val="24"/>
                <w:szCs w:val="24"/>
                <w:lang w:val="es-ES"/>
              </w:rPr>
              <w:t>Proponer y cuantificar alternativas mediante educación ambiental para la disminución de consumos de agua potable que generaría disminución de consumo energético.</w:t>
            </w:r>
          </w:p>
          <w:p w14:paraId="6DC2B12A" w14:textId="77777777" w:rsidR="006A4E9B" w:rsidRPr="006A4E9B" w:rsidRDefault="006A4E9B" w:rsidP="006A4E9B">
            <w:pPr>
              <w:pStyle w:val="Prrafodelista"/>
              <w:widowControl w:val="0"/>
              <w:tabs>
                <w:tab w:val="left" w:pos="220"/>
                <w:tab w:val="left" w:pos="720"/>
              </w:tabs>
              <w:autoSpaceDE w:val="0"/>
              <w:autoSpaceDN w:val="0"/>
              <w:adjustRightInd w:val="0"/>
              <w:spacing w:after="293" w:line="340" w:lineRule="atLeast"/>
              <w:jc w:val="both"/>
              <w:rPr>
                <w:rFonts w:ascii="Times New Roman" w:eastAsia="Times New Roman" w:hAnsi="Times New Roman" w:cs="Times New Roman"/>
                <w:b/>
                <w:sz w:val="24"/>
                <w:szCs w:val="24"/>
                <w:lang w:val="es-ES"/>
              </w:rPr>
            </w:pPr>
          </w:p>
          <w:p w14:paraId="471C638C" w14:textId="60EAE1B7" w:rsidR="00EF0DB9" w:rsidRPr="00EF0DB9" w:rsidRDefault="00B54FB1" w:rsidP="00EF0DB9">
            <w:pPr>
              <w:pStyle w:val="Prrafodelista"/>
              <w:widowControl w:val="0"/>
              <w:numPr>
                <w:ilvl w:val="0"/>
                <w:numId w:val="5"/>
              </w:numPr>
              <w:autoSpaceDE w:val="0"/>
              <w:autoSpaceDN w:val="0"/>
              <w:adjustRightInd w:val="0"/>
              <w:spacing w:after="240" w:line="300" w:lineRule="atLeast"/>
              <w:jc w:val="both"/>
              <w:rPr>
                <w:rFonts w:ascii="Times New Roman" w:eastAsia="Times New Roman" w:hAnsi="Times New Roman" w:cs="Times New Roman"/>
                <w:b/>
                <w:sz w:val="24"/>
                <w:szCs w:val="24"/>
                <w:lang w:val="es-ES"/>
              </w:rPr>
            </w:pPr>
            <w:r w:rsidRPr="004027CB">
              <w:rPr>
                <w:rFonts w:ascii="Times New Roman" w:eastAsia="Times New Roman" w:hAnsi="Times New Roman" w:cs="Times New Roman"/>
                <w:sz w:val="24"/>
                <w:szCs w:val="24"/>
                <w:lang w:val="es-ES"/>
              </w:rPr>
              <w:t xml:space="preserve">Se plantearán tres medidas de educación ambiental, en la primera </w:t>
            </w:r>
            <w:r w:rsidR="00447063" w:rsidRPr="004027CB">
              <w:rPr>
                <w:rFonts w:ascii="Times New Roman" w:eastAsia="Times New Roman" w:hAnsi="Times New Roman" w:cs="Times New Roman"/>
                <w:sz w:val="24"/>
                <w:szCs w:val="24"/>
                <w:lang w:val="es-ES"/>
              </w:rPr>
              <w:t xml:space="preserve">se evaluará </w:t>
            </w:r>
            <w:r w:rsidR="004027CB" w:rsidRPr="004027CB">
              <w:rPr>
                <w:rFonts w:ascii="Times New Roman" w:eastAsia="Times New Roman" w:hAnsi="Times New Roman" w:cs="Times New Roman"/>
                <w:sz w:val="24"/>
                <w:szCs w:val="24"/>
                <w:lang w:val="es-ES"/>
              </w:rPr>
              <w:t xml:space="preserve"> la teoría de la acción razonada (TRA </w:t>
            </w:r>
            <w:r w:rsidR="004027CB" w:rsidRPr="004027CB">
              <w:rPr>
                <w:rFonts w:ascii="Times Roman" w:hAnsi="Times Roman" w:cs="Times Roman"/>
                <w:color w:val="000000"/>
                <w:sz w:val="26"/>
                <w:szCs w:val="26"/>
                <w:lang w:val="es-ES"/>
              </w:rPr>
              <w:t xml:space="preserve">theory of reasoned action </w:t>
            </w:r>
            <w:r w:rsidR="004027CB" w:rsidRPr="004027CB">
              <w:rPr>
                <w:rFonts w:ascii="Times New Roman" w:eastAsia="Times New Roman" w:hAnsi="Times New Roman" w:cs="Times New Roman"/>
                <w:sz w:val="24"/>
                <w:szCs w:val="24"/>
                <w:lang w:val="es-ES"/>
              </w:rPr>
              <w:t xml:space="preserve">) de Fishbein y Ajzen (1975). Según el TRA, las intenciones de comportamiento de las personas están determinadas por dos variables: su actitud hacia los comportamientos; y sus normas subjetivas, que se refieren a la presión normativa percibida para (o no) realizar comportamientos específicos. El TRA ha recibido mucho apoyo empírico. De hecho, fue tan popular que el Programa de las Naciones Unidas para el Medio Ambiente (PNUMA, 2003) en su sitio web para el Día del Agua 2003 recomendó el TRA como modelo teórico para diseñar campañas para la conservación del agua </w:t>
            </w:r>
            <w:r w:rsidR="004027CB" w:rsidRPr="004027CB">
              <w:rPr>
                <w:rFonts w:ascii="Times New Roman" w:eastAsia="Times New Roman" w:hAnsi="Times New Roman" w:cs="Times New Roman"/>
                <w:sz w:val="24"/>
                <w:szCs w:val="24"/>
                <w:lang w:val="es-ES"/>
              </w:rPr>
              <w:fldChar w:fldCharType="begin"/>
            </w:r>
            <w:r w:rsidR="004027CB" w:rsidRPr="004027CB">
              <w:rPr>
                <w:rFonts w:ascii="Times New Roman" w:eastAsia="Times New Roman" w:hAnsi="Times New Roman" w:cs="Times New Roman"/>
                <w:sz w:val="24"/>
                <w:szCs w:val="24"/>
                <w:lang w:val="es-ES"/>
              </w:rPr>
              <w:instrText xml:space="preserve"> ADDIN ZOTERO_ITEM CSL_CITATION {"citationID":"a2j79ftdvh9","properties":{"formattedCitation":"(Lam, 2006)","plainCitation":"(Lam, 2006)"},"citationItems":[{"id":3566,"uris":["http://zotero.org/users/306373/items/I624VZ3X"],"uri":["http://zotero.org/users/306373/items/I624VZ3X"],"itemData":{"id":3566,"type":"article-journal","title":"Predicting Intention to Save Water: Theory of Planned Behavior, Response Efficacy, Vulnerability, and Perceived Efficiency of Alternative Solutions1","container-title":"Journal of Applied Social Psychology","page":"2803-2824","volume":"36","issue":"11","source":"Wiley Online Library","abstract":"These 2 studies attempted to predict people's intention to save water. Study 1 used a model based on Ajzen's (1991) theory of planned behavior (TPB) and other variables: vulnerability, 2 collective efficacy variables, and subjective effectiveness of alternative solutions (SEAS) to ease drought impact. Study 2 tested a model similar to that of Study 1, but with 2 personal efficacy variables added. Respondents in both studies were residents of Taiwan (Ns= 166 and 210). Analysis indicated that the modified models (R2&gt;.32) were better than the TPB model (R2&lt;.19), and SEAS and response efficacy had crucial effects on people's intentions to retrofit. The studies also found some significant but inconsistent effects of income, dwelling, and education.","DOI":"10.1111/j.0021-9029.2006.00129.x","ISSN":"1559-1816","shortTitle":"Predicting Intention to Save Water","language":"en","author":[{"family":"Lam","given":"San-Pui"}],"issued":{"date-parts":[["2006"]]}}}],"schema":"https://github.com/citation-style-language/schema/raw/master/csl-citation.json"} </w:instrText>
            </w:r>
            <w:r w:rsidR="004027CB" w:rsidRPr="004027CB">
              <w:rPr>
                <w:rFonts w:ascii="Times New Roman" w:eastAsia="Times New Roman" w:hAnsi="Times New Roman" w:cs="Times New Roman"/>
                <w:sz w:val="24"/>
                <w:szCs w:val="24"/>
                <w:lang w:val="es-ES"/>
              </w:rPr>
              <w:fldChar w:fldCharType="separate"/>
            </w:r>
            <w:r w:rsidR="004027CB" w:rsidRPr="004027CB">
              <w:rPr>
                <w:rFonts w:ascii="Times New Roman" w:eastAsia="Times New Roman" w:hAnsi="Times New Roman" w:cs="Times New Roman"/>
                <w:noProof/>
                <w:sz w:val="24"/>
                <w:szCs w:val="24"/>
                <w:lang w:val="es-ES"/>
              </w:rPr>
              <w:t>(Lam, 2006)</w:t>
            </w:r>
            <w:r w:rsidR="004027CB" w:rsidRPr="004027CB">
              <w:rPr>
                <w:rFonts w:ascii="Times New Roman" w:eastAsia="Times New Roman" w:hAnsi="Times New Roman" w:cs="Times New Roman"/>
                <w:sz w:val="24"/>
                <w:szCs w:val="24"/>
                <w:lang w:val="es-ES"/>
              </w:rPr>
              <w:fldChar w:fldCharType="end"/>
            </w:r>
            <w:r w:rsidR="004027CB" w:rsidRPr="004027CB">
              <w:rPr>
                <w:rFonts w:ascii="Times New Roman" w:eastAsia="Times New Roman" w:hAnsi="Times New Roman" w:cs="Times New Roman"/>
                <w:sz w:val="24"/>
                <w:szCs w:val="24"/>
                <w:lang w:val="es-ES"/>
              </w:rPr>
              <w:t>.</w:t>
            </w:r>
            <w:r w:rsidR="00EF0DB9">
              <w:rPr>
                <w:rFonts w:ascii="Times New Roman" w:eastAsia="Times New Roman" w:hAnsi="Times New Roman" w:cs="Times New Roman"/>
                <w:sz w:val="24"/>
                <w:szCs w:val="24"/>
                <w:lang w:val="es-ES"/>
              </w:rPr>
              <w:t xml:space="preserve"> Se </w:t>
            </w:r>
            <w:r w:rsidR="00EF0DB9" w:rsidRPr="00EF0DB9">
              <w:rPr>
                <w:rFonts w:ascii="Times New Roman" w:eastAsia="Times New Roman" w:hAnsi="Times New Roman" w:cs="Times New Roman"/>
                <w:sz w:val="24"/>
                <w:szCs w:val="24"/>
                <w:lang w:val="es-ES"/>
              </w:rPr>
              <w:t>plantea</w:t>
            </w:r>
            <w:r w:rsidR="00EF0DB9">
              <w:rPr>
                <w:rFonts w:ascii="Times New Roman" w:eastAsia="Times New Roman" w:hAnsi="Times New Roman" w:cs="Times New Roman"/>
                <w:sz w:val="24"/>
                <w:szCs w:val="24"/>
                <w:lang w:val="es-ES"/>
              </w:rPr>
              <w:t>rán</w:t>
            </w:r>
            <w:r w:rsidR="00EF0DB9" w:rsidRPr="00EF0DB9">
              <w:rPr>
                <w:rFonts w:ascii="Times New Roman" w:eastAsia="Times New Roman" w:hAnsi="Times New Roman" w:cs="Times New Roman"/>
                <w:sz w:val="24"/>
                <w:szCs w:val="24"/>
                <w:lang w:val="es-ES"/>
              </w:rPr>
              <w:t xml:space="preserve"> un conjunto de preguntas que buscan analizar las actitudes y los comportamientos hacia el consumo y el ahorro de </w:t>
            </w:r>
            <w:r w:rsidR="00EF0DB9">
              <w:rPr>
                <w:rFonts w:ascii="Times New Roman" w:eastAsia="Times New Roman" w:hAnsi="Times New Roman" w:cs="Times New Roman"/>
                <w:sz w:val="24"/>
                <w:szCs w:val="24"/>
                <w:lang w:val="es-ES"/>
              </w:rPr>
              <w:t>agua</w:t>
            </w:r>
            <w:r w:rsidR="00EF0DB9" w:rsidRPr="00EF0DB9">
              <w:rPr>
                <w:rFonts w:ascii="Times New Roman" w:eastAsia="Times New Roman" w:hAnsi="Times New Roman" w:cs="Times New Roman"/>
                <w:sz w:val="24"/>
                <w:szCs w:val="24"/>
                <w:lang w:val="es-ES"/>
              </w:rPr>
              <w:t>, así como evaluar el nivel general de conocimiento ambiental que prevalece entre los usuarios</w:t>
            </w:r>
            <w:r w:rsidR="00EF0DB9">
              <w:rPr>
                <w:rFonts w:ascii="Times New Roman" w:eastAsia="Times New Roman" w:hAnsi="Times New Roman" w:cs="Times New Roman"/>
                <w:sz w:val="24"/>
                <w:szCs w:val="24"/>
                <w:lang w:val="es-ES"/>
              </w:rPr>
              <w:t>, esto</w:t>
            </w:r>
            <w:r w:rsidR="00A64D29">
              <w:rPr>
                <w:rFonts w:ascii="Times New Roman" w:eastAsia="Times New Roman" w:hAnsi="Times New Roman" w:cs="Times New Roman"/>
                <w:sz w:val="24"/>
                <w:szCs w:val="24"/>
                <w:lang w:val="es-ES"/>
              </w:rPr>
              <w:t xml:space="preserve"> </w:t>
            </w:r>
            <w:r w:rsidR="00EF0DB9">
              <w:rPr>
                <w:rFonts w:ascii="Times New Roman" w:eastAsia="Times New Roman" w:hAnsi="Times New Roman" w:cs="Times New Roman"/>
                <w:sz w:val="24"/>
                <w:szCs w:val="24"/>
                <w:lang w:val="es-ES"/>
              </w:rPr>
              <w:t xml:space="preserve">saldrá como </w:t>
            </w:r>
            <w:r w:rsidR="00A64D29">
              <w:rPr>
                <w:rFonts w:ascii="Times New Roman" w:eastAsia="Times New Roman" w:hAnsi="Times New Roman" w:cs="Times New Roman"/>
                <w:sz w:val="24"/>
                <w:szCs w:val="24"/>
                <w:lang w:val="es-ES"/>
              </w:rPr>
              <w:t>resultado</w:t>
            </w:r>
            <w:bookmarkStart w:id="0" w:name="_GoBack"/>
            <w:bookmarkEnd w:id="0"/>
            <w:r w:rsidR="00EF0DB9">
              <w:rPr>
                <w:rFonts w:ascii="Times New Roman" w:eastAsia="Times New Roman" w:hAnsi="Times New Roman" w:cs="Times New Roman"/>
                <w:sz w:val="24"/>
                <w:szCs w:val="24"/>
                <w:lang w:val="es-ES"/>
              </w:rPr>
              <w:t xml:space="preserve"> del análisis de encuestas dadas en el objetivo 1. </w:t>
            </w:r>
          </w:p>
          <w:p w14:paraId="382787DC" w14:textId="01CE414B" w:rsidR="00EF0DB9" w:rsidRDefault="004027CB" w:rsidP="00EF0DB9">
            <w:pPr>
              <w:pStyle w:val="Prrafodelista"/>
              <w:widowControl w:val="0"/>
              <w:autoSpaceDE w:val="0"/>
              <w:autoSpaceDN w:val="0"/>
              <w:adjustRightInd w:val="0"/>
              <w:spacing w:after="240" w:line="300" w:lineRule="atLeast"/>
              <w:jc w:val="both"/>
              <w:rPr>
                <w:rFonts w:ascii="Times New Roman" w:eastAsia="Times New Roman" w:hAnsi="Times New Roman" w:cs="Times New Roman"/>
                <w:sz w:val="24"/>
                <w:szCs w:val="24"/>
                <w:lang w:val="es-ES"/>
              </w:rPr>
            </w:pPr>
            <w:r w:rsidRPr="004027CB">
              <w:rPr>
                <w:rFonts w:ascii="Times New Roman" w:eastAsia="Times New Roman" w:hAnsi="Times New Roman" w:cs="Times New Roman"/>
                <w:sz w:val="24"/>
                <w:szCs w:val="24"/>
                <w:lang w:val="es-ES"/>
              </w:rPr>
              <w:t xml:space="preserve">En segundo lugar tenemos </w:t>
            </w:r>
            <w:r w:rsidR="00B54FB1" w:rsidRPr="004027CB">
              <w:rPr>
                <w:rFonts w:ascii="Times New Roman" w:eastAsia="Times New Roman" w:hAnsi="Times New Roman" w:cs="Times New Roman"/>
                <w:sz w:val="24"/>
                <w:szCs w:val="24"/>
                <w:lang w:val="es-ES"/>
              </w:rPr>
              <w:t>el modelo de la activación del norma</w:t>
            </w:r>
            <w:r w:rsidRPr="004027CB">
              <w:rPr>
                <w:rFonts w:ascii="Times New Roman" w:eastAsia="Times New Roman" w:hAnsi="Times New Roman" w:cs="Times New Roman"/>
                <w:sz w:val="24"/>
                <w:szCs w:val="24"/>
                <w:lang w:val="es-ES"/>
              </w:rPr>
              <w:t xml:space="preserve"> (NAM Norm Activation Model</w:t>
            </w:r>
            <w:r>
              <w:rPr>
                <w:rFonts w:ascii="Times New Roman" w:eastAsia="Times New Roman" w:hAnsi="Times New Roman" w:cs="Times New Roman"/>
                <w:sz w:val="24"/>
                <w:szCs w:val="24"/>
                <w:lang w:val="es-ES"/>
              </w:rPr>
              <w:t>)</w:t>
            </w:r>
            <w:r w:rsidRPr="004027CB">
              <w:rPr>
                <w:rFonts w:ascii="Times Roman" w:hAnsi="Times Roman" w:cs="Times Roman"/>
                <w:i/>
                <w:iCs/>
                <w:color w:val="0D016A"/>
                <w:sz w:val="26"/>
                <w:szCs w:val="26"/>
                <w:lang w:val="es-ES"/>
              </w:rPr>
              <w:t xml:space="preserve"> </w:t>
            </w:r>
            <w:r w:rsidR="00B54FB1" w:rsidRPr="004027CB">
              <w:rPr>
                <w:rFonts w:ascii="Times New Roman" w:eastAsia="Times New Roman" w:hAnsi="Times New Roman" w:cs="Times New Roman"/>
                <w:sz w:val="24"/>
                <w:szCs w:val="24"/>
                <w:lang w:val="es-ES"/>
              </w:rPr>
              <w:t xml:space="preserve">que emplea conceptos de sostenibilidad y conservación  ambiental a la hora de consumir cualquier recurso. </w:t>
            </w:r>
            <w:r w:rsidRPr="004027CB">
              <w:rPr>
                <w:rFonts w:ascii="Times New Roman" w:eastAsia="Times New Roman" w:hAnsi="Times New Roman" w:cs="Times New Roman"/>
                <w:sz w:val="24"/>
                <w:szCs w:val="24"/>
                <w:lang w:val="es-ES"/>
              </w:rPr>
              <w:t>Según el NAM, una norma personal se activará cuando un individuo sea consciente de que existe una amenaza para un objeto que valora y por el cual acepta alguna responsabilidad. Estas dos ideas se conocen como una conciencia de consecuencia y una atribución de responsabilidad, respectivamente</w:t>
            </w:r>
            <w:r w:rsidR="00531C87">
              <w:rPr>
                <w:rFonts w:ascii="Times New Roman" w:eastAsia="Times New Roman" w:hAnsi="Times New Roman" w:cs="Times New Roman"/>
                <w:sz w:val="24"/>
                <w:szCs w:val="24"/>
                <w:lang w:val="es-ES"/>
              </w:rPr>
              <w:t xml:space="preserve"> </w:t>
            </w:r>
            <w:r w:rsidR="00531C87">
              <w:rPr>
                <w:rFonts w:ascii="Times New Roman" w:eastAsia="Times New Roman" w:hAnsi="Times New Roman" w:cs="Times New Roman"/>
                <w:sz w:val="24"/>
                <w:szCs w:val="24"/>
                <w:lang w:val="es-ES"/>
              </w:rPr>
              <w:fldChar w:fldCharType="begin"/>
            </w:r>
            <w:r w:rsidR="00531C87">
              <w:rPr>
                <w:rFonts w:ascii="Times New Roman" w:eastAsia="Times New Roman" w:hAnsi="Times New Roman" w:cs="Times New Roman"/>
                <w:sz w:val="24"/>
                <w:szCs w:val="24"/>
                <w:lang w:val="es-ES"/>
              </w:rPr>
              <w:instrText xml:space="preserve"> ADDIN ZOTERO_ITEM CSL_CITATION {"citationID":"am3a9vt8pb","properties":{"formattedCitation":"(Landon, Kyle, &amp; Kaiser, 2017)","plainCitation":"(Landon, Kyle, &amp; Kaiser, 2017)"},"citationItems":[{"id":3569,"uris":["http://zotero.org/users/306373/items/SI8F3WPT"],"uri":["http://zotero.org/users/306373/items/SI8F3WPT"],"itemData":{"id":3569,"type":"article-journal","title":"An Augmented Norm Activation Model: The Case of Residential Outdoor Water Use","container-title":"Society &amp; Natural Resources","page":"903-918","volume":"30","issue":"8","source":"Taylor and Francis+NEJM","abstract":"Understanding the factors that influence voluntary conservation is critical for developing effective residential water conservation policy. Previous work drawing on Schwartz’s Norm Activation Model (NAM) has been useful to understand some of these factors. However, one’s relationship with the broader community impacted by consumptive decisions has often been overlooked. Similarly, scholars have emphasized the importance of contextual factors not captured in the NAM. In this study we hypothesize and test an augmented NAM that incorporates community attachment, along with contextual variables (sociodemographic and household infrastructure), to understand the factors that lead to the development of moral obligations to conserve water and their relationship with residential outdoor water use. Results indicate personal norms, defined as a moral obligation to conserve water, are negatively related to outdoor water use, and that community attachment is a predictor of personal norms. Contextual factors are found to have an influence on outdoor water use.","DOI":"10.1080/08941920.2016.1239294","ISSN":"0894-1920","shortTitle":"An Augmented Norm Activation Model","author":[{"family":"Landon","given":"Adam C."},{"family":"Kyle","given":"Gerard T."},{"family":"Kaiser","given":"Ronald A."}],"issued":{"date-parts":[["2017",8,3]]}}}],"schema":"https://github.com/citation-style-language/schema/raw/master/csl-citation.json"} </w:instrText>
            </w:r>
            <w:r w:rsidR="00531C87">
              <w:rPr>
                <w:rFonts w:ascii="Times New Roman" w:eastAsia="Times New Roman" w:hAnsi="Times New Roman" w:cs="Times New Roman"/>
                <w:sz w:val="24"/>
                <w:szCs w:val="24"/>
                <w:lang w:val="es-ES"/>
              </w:rPr>
              <w:fldChar w:fldCharType="separate"/>
            </w:r>
            <w:r w:rsidR="00531C87">
              <w:rPr>
                <w:rFonts w:ascii="Times New Roman" w:eastAsia="Times New Roman" w:hAnsi="Times New Roman" w:cs="Times New Roman"/>
                <w:noProof/>
                <w:sz w:val="24"/>
                <w:szCs w:val="24"/>
                <w:lang w:val="es-ES"/>
              </w:rPr>
              <w:t>(Landon, Kyle, &amp; Kaiser, 2017)</w:t>
            </w:r>
            <w:r w:rsidR="00531C87">
              <w:rPr>
                <w:rFonts w:ascii="Times New Roman" w:eastAsia="Times New Roman" w:hAnsi="Times New Roman" w:cs="Times New Roman"/>
                <w:sz w:val="24"/>
                <w:szCs w:val="24"/>
                <w:lang w:val="es-ES"/>
              </w:rPr>
              <w:fldChar w:fldCharType="end"/>
            </w:r>
            <w:r w:rsidR="00C57D96">
              <w:rPr>
                <w:rFonts w:ascii="Times New Roman" w:eastAsia="Times New Roman" w:hAnsi="Times New Roman" w:cs="Times New Roman"/>
                <w:sz w:val="24"/>
                <w:szCs w:val="24"/>
                <w:lang w:val="es-ES"/>
              </w:rPr>
              <w:t>. Y como estrategia final se planteará la mezcla del TRA y del NAM como una sola estra</w:t>
            </w:r>
            <w:r w:rsidR="00EF0DB9">
              <w:rPr>
                <w:rFonts w:ascii="Times New Roman" w:eastAsia="Times New Roman" w:hAnsi="Times New Roman" w:cs="Times New Roman"/>
                <w:sz w:val="24"/>
                <w:szCs w:val="24"/>
                <w:lang w:val="es-ES"/>
              </w:rPr>
              <w:t>tegia de educación ambiental. P</w:t>
            </w:r>
            <w:r w:rsidR="00C57D96">
              <w:rPr>
                <w:rFonts w:ascii="Times New Roman" w:eastAsia="Times New Roman" w:hAnsi="Times New Roman" w:cs="Times New Roman"/>
                <w:sz w:val="24"/>
                <w:szCs w:val="24"/>
                <w:lang w:val="es-ES"/>
              </w:rPr>
              <w:t xml:space="preserve">ara el desarrollo de esta actividad los grupos serán aleatorizados y el estudio será doble ciego, con el fin evitar sesgo e interferencia. </w:t>
            </w:r>
          </w:p>
          <w:p w14:paraId="445E2F79" w14:textId="77777777" w:rsidR="00EF0DB9" w:rsidRDefault="00EF0DB9" w:rsidP="00EF0DB9">
            <w:pPr>
              <w:pStyle w:val="Prrafodelista"/>
              <w:widowControl w:val="0"/>
              <w:autoSpaceDE w:val="0"/>
              <w:autoSpaceDN w:val="0"/>
              <w:adjustRightInd w:val="0"/>
              <w:spacing w:after="240" w:line="300" w:lineRule="atLeast"/>
              <w:jc w:val="both"/>
              <w:rPr>
                <w:rFonts w:ascii="Times New Roman" w:eastAsia="Times New Roman" w:hAnsi="Times New Roman" w:cs="Times New Roman"/>
                <w:sz w:val="24"/>
                <w:szCs w:val="24"/>
                <w:lang w:val="es-ES"/>
              </w:rPr>
            </w:pPr>
          </w:p>
          <w:p w14:paraId="0847846D" w14:textId="76C04AA7" w:rsidR="00B54FB1" w:rsidRPr="00EF0DB9" w:rsidRDefault="00EF0DB9" w:rsidP="00EF0DB9">
            <w:pPr>
              <w:pStyle w:val="Prrafodelista"/>
              <w:widowControl w:val="0"/>
              <w:autoSpaceDE w:val="0"/>
              <w:autoSpaceDN w:val="0"/>
              <w:adjustRightInd w:val="0"/>
              <w:spacing w:after="240" w:line="300" w:lineRule="atLeast"/>
              <w:jc w:val="both"/>
              <w:rPr>
                <w:rFonts w:ascii="Times New Roman" w:eastAsia="Times New Roman" w:hAnsi="Times New Roman" w:cs="Times New Roman"/>
                <w:b/>
                <w:sz w:val="24"/>
                <w:szCs w:val="24"/>
                <w:lang w:val="es-ES"/>
              </w:rPr>
            </w:pPr>
            <w:r w:rsidRPr="00EF0DB9">
              <w:rPr>
                <w:rFonts w:ascii="Times New Roman" w:eastAsia="Times New Roman" w:hAnsi="Times New Roman" w:cs="Times New Roman"/>
                <w:sz w:val="24"/>
                <w:szCs w:val="24"/>
                <w:lang w:val="es-ES"/>
              </w:rPr>
              <w:t xml:space="preserve">Para esto se </w:t>
            </w:r>
            <w:r>
              <w:rPr>
                <w:rFonts w:ascii="Times New Roman" w:eastAsia="Times New Roman" w:hAnsi="Times New Roman" w:cs="Times New Roman"/>
                <w:sz w:val="24"/>
                <w:szCs w:val="24"/>
                <w:lang w:val="es-ES"/>
              </w:rPr>
              <w:t>plantea en primera instancia que los</w:t>
            </w:r>
            <w:r w:rsidRPr="00EF0DB9">
              <w:rPr>
                <w:rFonts w:ascii="Times New Roman" w:eastAsia="Times New Roman" w:hAnsi="Times New Roman" w:cs="Times New Roman"/>
                <w:sz w:val="24"/>
                <w:szCs w:val="24"/>
                <w:lang w:val="es-ES"/>
              </w:rPr>
              <w:t xml:space="preserve"> cuestionario</w:t>
            </w:r>
            <w:r>
              <w:rPr>
                <w:rFonts w:ascii="Times New Roman" w:eastAsia="Times New Roman" w:hAnsi="Times New Roman" w:cs="Times New Roman"/>
                <w:sz w:val="24"/>
                <w:szCs w:val="24"/>
                <w:lang w:val="es-ES"/>
              </w:rPr>
              <w:t>s elaborados</w:t>
            </w:r>
            <w:r w:rsidRPr="00EF0DB9">
              <w:rPr>
                <w:rFonts w:ascii="Times New Roman" w:eastAsia="Times New Roman" w:hAnsi="Times New Roman" w:cs="Times New Roman"/>
                <w:sz w:val="24"/>
                <w:szCs w:val="24"/>
                <w:lang w:val="es-ES"/>
              </w:rPr>
              <w:t xml:space="preserve"> </w:t>
            </w:r>
            <w:r>
              <w:rPr>
                <w:rFonts w:ascii="Times New Roman" w:eastAsia="Times New Roman" w:hAnsi="Times New Roman" w:cs="Times New Roman"/>
                <w:sz w:val="24"/>
                <w:szCs w:val="24"/>
                <w:lang w:val="es-ES"/>
              </w:rPr>
              <w:t>del TRA y NAM</w:t>
            </w:r>
            <w:r w:rsidRPr="00EF0DB9">
              <w:rPr>
                <w:rFonts w:ascii="Times New Roman" w:eastAsia="Times New Roman" w:hAnsi="Times New Roman" w:cs="Times New Roman"/>
                <w:sz w:val="24"/>
                <w:szCs w:val="24"/>
                <w:lang w:val="es-ES"/>
              </w:rPr>
              <w:t xml:space="preserve"> </w:t>
            </w:r>
            <w:r>
              <w:rPr>
                <w:rFonts w:ascii="Times New Roman" w:eastAsia="Times New Roman" w:hAnsi="Times New Roman" w:cs="Times New Roman"/>
                <w:sz w:val="24"/>
                <w:szCs w:val="24"/>
                <w:lang w:val="es-ES"/>
              </w:rPr>
              <w:t>sean primero</w:t>
            </w:r>
            <w:r w:rsidRPr="00EF0DB9">
              <w:rPr>
                <w:rFonts w:ascii="Times New Roman" w:eastAsia="Times New Roman" w:hAnsi="Times New Roman" w:cs="Times New Roman"/>
                <w:sz w:val="24"/>
                <w:szCs w:val="24"/>
                <w:lang w:val="es-ES"/>
              </w:rPr>
              <w:t xml:space="preserve"> validado</w:t>
            </w:r>
            <w:r>
              <w:rPr>
                <w:rFonts w:ascii="Times New Roman" w:eastAsia="Times New Roman" w:hAnsi="Times New Roman" w:cs="Times New Roman"/>
                <w:sz w:val="24"/>
                <w:szCs w:val="24"/>
                <w:lang w:val="es-ES"/>
              </w:rPr>
              <w:t>s</w:t>
            </w:r>
            <w:r w:rsidRPr="00EF0DB9">
              <w:rPr>
                <w:rFonts w:ascii="Times New Roman" w:eastAsia="Times New Roman" w:hAnsi="Times New Roman" w:cs="Times New Roman"/>
                <w:sz w:val="24"/>
                <w:szCs w:val="24"/>
                <w:lang w:val="es-ES"/>
              </w:rPr>
              <w:t xml:space="preserve"> con </w:t>
            </w:r>
            <w:r>
              <w:rPr>
                <w:rFonts w:ascii="Times New Roman" w:eastAsia="Times New Roman" w:hAnsi="Times New Roman" w:cs="Times New Roman"/>
                <w:sz w:val="24"/>
                <w:szCs w:val="24"/>
                <w:lang w:val="es-ES"/>
              </w:rPr>
              <w:t>3</w:t>
            </w:r>
            <w:r w:rsidRPr="00EF0DB9">
              <w:rPr>
                <w:rFonts w:ascii="Times New Roman" w:eastAsia="Times New Roman" w:hAnsi="Times New Roman" w:cs="Times New Roman"/>
                <w:sz w:val="24"/>
                <w:szCs w:val="24"/>
                <w:lang w:val="es-ES"/>
              </w:rPr>
              <w:t xml:space="preserve"> docentes de la Universidad Santo Tomás, con el fin,  verificar la claridad, presentación y estructura del cuestionario. Una vez finalizado este paso y mejorado el cuestionario, en caso de ser necesario se analizarán las respuestas y se plantearán basadas en estas, las estrategias para cambiar los patrones </w:t>
            </w:r>
            <w:r>
              <w:rPr>
                <w:rFonts w:ascii="Times New Roman" w:eastAsia="Times New Roman" w:hAnsi="Times New Roman" w:cs="Times New Roman"/>
                <w:sz w:val="24"/>
                <w:szCs w:val="24"/>
                <w:lang w:val="es-ES"/>
              </w:rPr>
              <w:t>de consumo de energía eléctrica, e</w:t>
            </w:r>
            <w:r w:rsidR="00C57D96" w:rsidRPr="00EF0DB9">
              <w:rPr>
                <w:rFonts w:ascii="Times New Roman" w:eastAsia="Times New Roman" w:hAnsi="Times New Roman" w:cs="Times New Roman"/>
                <w:sz w:val="24"/>
                <w:szCs w:val="24"/>
                <w:lang w:val="es-ES"/>
              </w:rPr>
              <w:t>l periodo de ejecución</w:t>
            </w:r>
            <w:r>
              <w:rPr>
                <w:rFonts w:ascii="Times New Roman" w:eastAsia="Times New Roman" w:hAnsi="Times New Roman" w:cs="Times New Roman"/>
                <w:sz w:val="24"/>
                <w:szCs w:val="24"/>
                <w:lang w:val="es-ES"/>
              </w:rPr>
              <w:t xml:space="preserve"> de las estrategias de educación</w:t>
            </w:r>
            <w:r w:rsidR="00C57D96" w:rsidRPr="00EF0DB9">
              <w:rPr>
                <w:rFonts w:ascii="Times New Roman" w:eastAsia="Times New Roman" w:hAnsi="Times New Roman" w:cs="Times New Roman"/>
                <w:sz w:val="24"/>
                <w:szCs w:val="24"/>
                <w:lang w:val="es-ES"/>
              </w:rPr>
              <w:t xml:space="preserve"> será de 6 meses.</w:t>
            </w:r>
          </w:p>
          <w:p w14:paraId="247A1681" w14:textId="77777777" w:rsidR="00C57D96" w:rsidRDefault="00C57D96" w:rsidP="00C57D96">
            <w:pPr>
              <w:pStyle w:val="Prrafodelista"/>
              <w:widowControl w:val="0"/>
              <w:autoSpaceDE w:val="0"/>
              <w:autoSpaceDN w:val="0"/>
              <w:adjustRightInd w:val="0"/>
              <w:spacing w:after="240" w:line="300" w:lineRule="atLeast"/>
              <w:jc w:val="both"/>
              <w:rPr>
                <w:rFonts w:ascii="Times New Roman" w:eastAsia="Times New Roman" w:hAnsi="Times New Roman" w:cs="Times New Roman"/>
                <w:sz w:val="24"/>
                <w:szCs w:val="24"/>
                <w:lang w:val="es-ES"/>
              </w:rPr>
            </w:pPr>
          </w:p>
          <w:p w14:paraId="6C21EE6F" w14:textId="77777777" w:rsidR="00C57D96" w:rsidRPr="00C57D96" w:rsidRDefault="00C57D96" w:rsidP="00C57D96">
            <w:pPr>
              <w:pStyle w:val="Prrafodelista"/>
              <w:widowControl w:val="0"/>
              <w:numPr>
                <w:ilvl w:val="0"/>
                <w:numId w:val="5"/>
              </w:numPr>
              <w:tabs>
                <w:tab w:val="left" w:pos="220"/>
                <w:tab w:val="left" w:pos="720"/>
              </w:tabs>
              <w:autoSpaceDE w:val="0"/>
              <w:autoSpaceDN w:val="0"/>
              <w:adjustRightInd w:val="0"/>
              <w:spacing w:after="293" w:line="340" w:lineRule="atLeast"/>
              <w:jc w:val="both"/>
              <w:rPr>
                <w:rFonts w:ascii="Times New Roman" w:eastAsia="Times New Roman" w:hAnsi="Times New Roman" w:cs="Times New Roman"/>
                <w:b/>
                <w:sz w:val="24"/>
                <w:szCs w:val="24"/>
                <w:lang w:val="es-ES"/>
              </w:rPr>
            </w:pPr>
            <w:r w:rsidRPr="00C57D96">
              <w:rPr>
                <w:rFonts w:ascii="Times New Roman" w:eastAsia="Times New Roman" w:hAnsi="Times New Roman" w:cs="Times New Roman"/>
                <w:b/>
                <w:sz w:val="24"/>
                <w:szCs w:val="24"/>
                <w:lang w:val="es-ES"/>
              </w:rPr>
              <w:t>Cuantificar el ahorro de consumo energético asociado a la implementación de estrategias de educación ambiental para el ahorro de agua en sectores residenciales de la ciudades de Bogotá para estratos 2, 3 y 4.</w:t>
            </w:r>
          </w:p>
          <w:p w14:paraId="7ABE286E" w14:textId="77777777" w:rsidR="00C57D96" w:rsidRPr="00C57D96" w:rsidRDefault="00C57D96" w:rsidP="00C57D96">
            <w:pPr>
              <w:pStyle w:val="Prrafodelista"/>
              <w:widowControl w:val="0"/>
              <w:autoSpaceDE w:val="0"/>
              <w:autoSpaceDN w:val="0"/>
              <w:adjustRightInd w:val="0"/>
              <w:spacing w:after="240" w:line="300" w:lineRule="atLeast"/>
              <w:jc w:val="both"/>
              <w:rPr>
                <w:rFonts w:ascii="Times New Roman" w:eastAsia="Times New Roman" w:hAnsi="Times New Roman" w:cs="Times New Roman"/>
                <w:b/>
                <w:sz w:val="24"/>
                <w:szCs w:val="24"/>
                <w:lang w:val="es-ES"/>
              </w:rPr>
            </w:pPr>
          </w:p>
          <w:p w14:paraId="3E94A05C" w14:textId="77777777" w:rsidR="00C57D96" w:rsidRPr="00C57D96" w:rsidRDefault="00C57D96" w:rsidP="00C57D96">
            <w:pPr>
              <w:pStyle w:val="Prrafodelista"/>
              <w:widowControl w:val="0"/>
              <w:numPr>
                <w:ilvl w:val="0"/>
                <w:numId w:val="5"/>
              </w:numPr>
              <w:tabs>
                <w:tab w:val="left" w:pos="220"/>
                <w:tab w:val="left" w:pos="720"/>
              </w:tabs>
              <w:autoSpaceDE w:val="0"/>
              <w:autoSpaceDN w:val="0"/>
              <w:adjustRightInd w:val="0"/>
              <w:spacing w:after="293" w:line="340" w:lineRule="atLeast"/>
              <w:jc w:val="both"/>
              <w:rPr>
                <w:rFonts w:ascii="Times New Roman" w:eastAsia="Times New Roman" w:hAnsi="Times New Roman" w:cs="Times New Roman"/>
                <w:b/>
                <w:sz w:val="24"/>
                <w:szCs w:val="24"/>
                <w:lang w:val="es-ES"/>
              </w:rPr>
            </w:pPr>
            <w:r>
              <w:rPr>
                <w:rFonts w:ascii="Times New Roman" w:eastAsia="Times New Roman" w:hAnsi="Times New Roman" w:cs="Times New Roman"/>
                <w:sz w:val="24"/>
                <w:szCs w:val="24"/>
                <w:lang w:val="es-ES"/>
              </w:rPr>
              <w:lastRenderedPageBreak/>
              <w:t xml:space="preserve">Identificación y cuantificación: Para el desarrollo de este punto se llevará a cabo la metodología basada en la demanda o “demand-driven”, el cual permite determinar las demandas </w:t>
            </w:r>
            <w:r w:rsidRPr="00BC5BFB">
              <w:rPr>
                <w:rFonts w:ascii="Times New Roman" w:eastAsia="Times New Roman" w:hAnsi="Times New Roman" w:cs="Times New Roman"/>
                <w:sz w:val="24"/>
                <w:szCs w:val="24"/>
                <w:lang w:val="es-ES"/>
              </w:rPr>
              <w:t xml:space="preserve">específicas de agua fría y </w:t>
            </w:r>
            <w:r>
              <w:rPr>
                <w:rFonts w:ascii="Times New Roman" w:eastAsia="Times New Roman" w:hAnsi="Times New Roman" w:cs="Times New Roman"/>
                <w:sz w:val="24"/>
                <w:szCs w:val="24"/>
                <w:lang w:val="es-ES"/>
              </w:rPr>
              <w:t xml:space="preserve">de agua </w:t>
            </w:r>
            <w:r w:rsidRPr="00BC5BFB">
              <w:rPr>
                <w:rFonts w:ascii="Times New Roman" w:eastAsia="Times New Roman" w:hAnsi="Times New Roman" w:cs="Times New Roman"/>
                <w:sz w:val="24"/>
                <w:szCs w:val="24"/>
                <w:lang w:val="es-ES"/>
              </w:rPr>
              <w:t>caliente de los difer</w:t>
            </w:r>
            <w:r>
              <w:rPr>
                <w:rFonts w:ascii="Times New Roman" w:eastAsia="Times New Roman" w:hAnsi="Times New Roman" w:cs="Times New Roman"/>
                <w:sz w:val="24"/>
                <w:szCs w:val="24"/>
                <w:lang w:val="es-ES"/>
              </w:rPr>
              <w:t>entes subsistemas que brindan este</w:t>
            </w:r>
            <w:r w:rsidRPr="00BC5BFB">
              <w:rPr>
                <w:rFonts w:ascii="Times New Roman" w:eastAsia="Times New Roman" w:hAnsi="Times New Roman" w:cs="Times New Roman"/>
                <w:sz w:val="24"/>
                <w:szCs w:val="24"/>
                <w:lang w:val="es-ES"/>
              </w:rPr>
              <w:t xml:space="preserve"> servicio </w:t>
            </w:r>
            <w:r>
              <w:rPr>
                <w:rFonts w:ascii="Times New Roman" w:eastAsia="Times New Roman" w:hAnsi="Times New Roman" w:cs="Times New Roman"/>
                <w:sz w:val="24"/>
                <w:szCs w:val="24"/>
                <w:lang w:val="es-ES"/>
              </w:rPr>
              <w:t>en los</w:t>
            </w:r>
            <w:r w:rsidRPr="00BC5BFB">
              <w:rPr>
                <w:rFonts w:ascii="Times New Roman" w:eastAsia="Times New Roman" w:hAnsi="Times New Roman" w:cs="Times New Roman"/>
                <w:sz w:val="24"/>
                <w:szCs w:val="24"/>
                <w:lang w:val="es-ES"/>
              </w:rPr>
              <w:t xml:space="preserve"> hogares. </w:t>
            </w:r>
            <w:r>
              <w:rPr>
                <w:rFonts w:ascii="Times New Roman" w:eastAsia="Times New Roman" w:hAnsi="Times New Roman" w:cs="Times New Roman"/>
                <w:sz w:val="24"/>
                <w:szCs w:val="24"/>
                <w:lang w:val="es-ES"/>
              </w:rPr>
              <w:t>Para esto se evaluará el numero de habitantes, hábitos de consumo de agua,</w:t>
            </w:r>
            <w:r w:rsidRPr="00BC5BFB">
              <w:rPr>
                <w:rFonts w:ascii="Times New Roman" w:eastAsia="Times New Roman" w:hAnsi="Times New Roman" w:cs="Times New Roman"/>
                <w:sz w:val="24"/>
                <w:szCs w:val="24"/>
                <w:lang w:val="es-ES"/>
              </w:rPr>
              <w:t xml:space="preserve"> duración</w:t>
            </w:r>
            <w:r>
              <w:rPr>
                <w:rFonts w:ascii="Times New Roman" w:eastAsia="Times New Roman" w:hAnsi="Times New Roman" w:cs="Times New Roman"/>
                <w:sz w:val="24"/>
                <w:szCs w:val="24"/>
                <w:lang w:val="es-ES"/>
              </w:rPr>
              <w:t xml:space="preserve"> del uso de agua</w:t>
            </w:r>
            <w:r w:rsidRPr="00BC5BFB">
              <w:rPr>
                <w:rFonts w:ascii="Times New Roman" w:eastAsia="Times New Roman" w:hAnsi="Times New Roman" w:cs="Times New Roman"/>
                <w:sz w:val="24"/>
                <w:szCs w:val="24"/>
                <w:lang w:val="es-ES"/>
              </w:rPr>
              <w:t>, la temperatura del agua, el caudal y la frecuencia por día.</w:t>
            </w:r>
            <w:r>
              <w:rPr>
                <w:rFonts w:ascii="Times New Roman" w:eastAsia="Times New Roman" w:hAnsi="Times New Roman" w:cs="Times New Roman"/>
                <w:sz w:val="24"/>
                <w:szCs w:val="24"/>
                <w:lang w:val="es-ES"/>
              </w:rPr>
              <w:t xml:space="preserve"> La metodología a sido evaluada por Kenway et al., en sectores residenciales presentando muy buenos resultados a la hora de cuantificar estos flujos </w:t>
            </w:r>
            <w:r>
              <w:rPr>
                <w:rFonts w:ascii="Times New Roman" w:eastAsia="Times New Roman" w:hAnsi="Times New Roman" w:cs="Times New Roman"/>
                <w:sz w:val="24"/>
                <w:szCs w:val="24"/>
                <w:lang w:val="es-ES"/>
              </w:rPr>
              <w:fldChar w:fldCharType="begin"/>
            </w:r>
            <w:r>
              <w:rPr>
                <w:rFonts w:ascii="Times New Roman" w:eastAsia="Times New Roman" w:hAnsi="Times New Roman" w:cs="Times New Roman"/>
                <w:sz w:val="24"/>
                <w:szCs w:val="24"/>
                <w:lang w:val="es-ES"/>
              </w:rPr>
              <w:instrText xml:space="preserve"> ADDIN ZOTERO_ITEM CSL_CITATION {"citationID":"a8bf2emj34","properties":{"formattedCitation":"{\\rtf (Binks, Kenway, Lant, &amp; Head, 2016; Steven J. Kenway et\\uc0\\u160{}al., 2013)}","plainCitation":"(Binks, Kenway, Lant, &amp; Head, 2016; Steven J. Kenway et al., 2013)"},"citationItems":[{"id":3564,"uris":["http://zotero.org/users/306373/items/6HINXZJF"],"uri":["http://zotero.org/users/306373/items/6HINXZJF"],"itemData":{"id":3564,"type":"article-journal","title":"Understanding Australian household water-related energy use and identifying physical and human characteristics of major end uses","container-title":"Journal of Cleaner Production","page":"892-906","volume":"135","source":"ScienceDirect","abstract":"Residential resource use efficiency and management is a subject of interest to a number of fields spanning the physical and social sciences. Energy use for residential water heating in Australia is some five to eleven times more than the energy required to deliver urban water services. However, little is known about which activities within households contribute most significantly to water-related energy use (WRE). This work quantifies WRE use in individual households, and identifies household characteristics which contribute significantly to variation. Empirical data were collected through in-home audits, interviews and high-resolution end-use water flow meters for five households in Melbourne, and two in Brisbane, Australia. This was used to characterise 139 parameters describing household occupancy characteristics, behaviours, technologies, and structural and environmental aspects of influence. Mathematical material flow analysis (MMFA) modelling was conducted for individual water and energy use subsystems within each household. WRE use ranged from 7 to 21 kWh hh−1 d−1 (13–24% of total household energy use in Melbourne and 76–79% in Brisbane). Detailed end use analysis of the five Melbourne households showed that shower use (11–61% WRE), hot water system efficiency losses (8–31% WRE) and clothes washer usage (4–17% WRE) contributed most to differences in WRE between households. Findings highlighted shower use as a consistent influence on WRE across households, and suggest further investigation of shower programs as a potentially effective demand management measure for both water and energy in households. The work highlights the importance of consistent messaging for both water and energy efficiency, and suggests that a focus on both human and technical characteristics of households is needed for effective management of combined water and energy use.","DOI":"10.1016/j.jclepro.2016.06.091","ISSN":"0959-6526","journalAbbreviation":"Journal of Cleaner Production","author":[{"family":"Binks","given":"Amanda N."},{"family":"Kenway","given":"Steven J."},{"family":"Lant","given":"Paul A."},{"family":"Head","given":"Brian W."}],"issued":{"date-parts":[["2016",11,1]]}}},{"id":3446,"uris":["http://zotero.org/users/306373/items/IXMI796R"],"uri":["http://zotero.org/users/306373/items/IXMI796R"],"itemData":{"id":3446,"type":"article-journal","title":"Water-related energy in households: A model designed to understand the current state and simulate possible measures","container-title":"Energy and Buildings","page":"378-389","volume":"58","source":"ScienceDirect","abstract":"Energy use in households, including private transport, accounts for about 30% of primary energy use in industrialised countries. Therefore, households are important key drivers of energy use and related greenhouse gas emissions. In order to understand energy use related to water in households a detailed mathematical flow analysis of materials, energy, CO2 emissions and costs (MMFA) for household water use was set up and tested for a specific family household in Brisbane, Australia. The simulation results for the current state of this household were well within 20% of the monitored data. After calibration, a detailed scenario investigation determined the impact of (i) potential and (ii) realistic reduction values for all relevant (a) behavioural and (b) technical parameters, including a shift from gas to a solar hot-water system. The reduction potentials for water use, greenhouse gas emissions, water-related energy consumption, water costs and water-related energy costs were 4–77%, 14–85%, 15–93%, 1–31% and 13–90% respectively. The study showed that for this household, technical improvements alone, without changing to a solar hot-water system, result in less than a 15% change in terms of energy and greenhouse gas emissions. In contrast, combined behavioural and technical changes have a much higher reduction potential.","DOI":"10.1016/j.enbuild.2012.08.035","ISSN":"0378-7788","shortTitle":"Water-related energy in households","journalAbbreviation":"Energy and Buildings","author":[{"family":"Kenway","given":"Steven J."},{"family":"Scheidegger","given":"Ruth"},{"family":"Larsen","given":"Tove A."},{"family":"Lant","given":"Paul"},{"family":"Bader","given":"Hans-Peter"}],"issued":{"date-parts":[["2013",3,1]]}}}],"schema":"https://github.com/citation-style-language/schema/raw/master/csl-citation.json"} </w:instrText>
            </w:r>
            <w:r>
              <w:rPr>
                <w:rFonts w:ascii="Times New Roman" w:eastAsia="Times New Roman" w:hAnsi="Times New Roman" w:cs="Times New Roman"/>
                <w:sz w:val="24"/>
                <w:szCs w:val="24"/>
                <w:lang w:val="es-ES"/>
              </w:rPr>
              <w:fldChar w:fldCharType="separate"/>
            </w:r>
            <w:r w:rsidRPr="00D4309D">
              <w:rPr>
                <w:rFonts w:ascii="Times New Roman" w:hAnsi="Times New Roman" w:cs="Times New Roman"/>
                <w:sz w:val="24"/>
                <w:szCs w:val="24"/>
                <w:lang w:val="es-ES"/>
              </w:rPr>
              <w:t>(Binks, Kenway, Lant, &amp; Head, 2016; Steven J. Kenway et al., 2013)</w:t>
            </w:r>
            <w:r>
              <w:rPr>
                <w:rFonts w:ascii="Times New Roman" w:eastAsia="Times New Roman" w:hAnsi="Times New Roman" w:cs="Times New Roman"/>
                <w:sz w:val="24"/>
                <w:szCs w:val="24"/>
                <w:lang w:val="es-ES"/>
              </w:rPr>
              <w:fldChar w:fldCharType="end"/>
            </w:r>
            <w:r>
              <w:rPr>
                <w:rFonts w:ascii="Times New Roman" w:eastAsia="Times New Roman" w:hAnsi="Times New Roman" w:cs="Times New Roman"/>
                <w:sz w:val="24"/>
                <w:szCs w:val="24"/>
                <w:lang w:val="es-ES"/>
              </w:rPr>
              <w:t>. Finalmente este modelo será desarrollado y programado en Rstudio para la generación de un software educativo.</w:t>
            </w:r>
          </w:p>
          <w:p w14:paraId="69747B7A" w14:textId="486C2C11" w:rsidR="00C57D96" w:rsidRPr="00A875B7" w:rsidRDefault="00C57D96" w:rsidP="00C57D96">
            <w:pPr>
              <w:pStyle w:val="Prrafodelista"/>
              <w:widowControl w:val="0"/>
              <w:numPr>
                <w:ilvl w:val="0"/>
                <w:numId w:val="5"/>
              </w:numPr>
              <w:tabs>
                <w:tab w:val="left" w:pos="220"/>
                <w:tab w:val="left" w:pos="720"/>
              </w:tabs>
              <w:autoSpaceDE w:val="0"/>
              <w:autoSpaceDN w:val="0"/>
              <w:adjustRightInd w:val="0"/>
              <w:spacing w:after="293" w:line="340" w:lineRule="atLeast"/>
              <w:jc w:val="both"/>
              <w:rPr>
                <w:rFonts w:ascii="Times New Roman" w:eastAsia="Times New Roman" w:hAnsi="Times New Roman" w:cs="Times New Roman"/>
                <w:b/>
                <w:sz w:val="24"/>
                <w:szCs w:val="24"/>
                <w:lang w:val="es-ES"/>
              </w:rPr>
            </w:pPr>
            <w:r>
              <w:rPr>
                <w:rFonts w:ascii="Times New Roman" w:eastAsia="Times New Roman" w:hAnsi="Times New Roman" w:cs="Times New Roman"/>
                <w:sz w:val="24"/>
                <w:szCs w:val="24"/>
                <w:lang w:val="es-ES"/>
              </w:rPr>
              <w:t>Se realizarán un análisis estadísticos a los grupos de intervención, principalmente se evaluaran los flujos agua y energía eléctrica en las etapas pre-inetrvención y post-intervención, para esto se llevará a cabo un t-student y ANOVA o Wilcoxon test y Kruskal-Wallis test, dependiendo si existe normalidad, la cual se evaluará mediante un test de Kolmogorov-Smirnos, para todos los tests se tendrá como significancia el 95%.</w:t>
            </w:r>
          </w:p>
          <w:p w14:paraId="23B7DCB1" w14:textId="77777777" w:rsidR="00C57D96" w:rsidRPr="00C57D96" w:rsidRDefault="00C57D96" w:rsidP="00C57D96">
            <w:pPr>
              <w:widowControl w:val="0"/>
              <w:autoSpaceDE w:val="0"/>
              <w:autoSpaceDN w:val="0"/>
              <w:adjustRightInd w:val="0"/>
              <w:spacing w:after="240" w:line="300" w:lineRule="atLeast"/>
              <w:jc w:val="both"/>
              <w:rPr>
                <w:rFonts w:ascii="Times New Roman" w:eastAsia="Times New Roman" w:hAnsi="Times New Roman" w:cs="Times New Roman"/>
                <w:b/>
                <w:sz w:val="24"/>
                <w:szCs w:val="24"/>
                <w:lang w:val="es-ES"/>
              </w:rPr>
            </w:pPr>
          </w:p>
          <w:p w14:paraId="443427FB" w14:textId="6E7B8815" w:rsidR="005A3412" w:rsidRDefault="005A3412" w:rsidP="00A875B7">
            <w:pPr>
              <w:pStyle w:val="normal0"/>
              <w:spacing w:line="276" w:lineRule="auto"/>
              <w:ind w:left="720"/>
              <w:jc w:val="both"/>
              <w:rPr>
                <w:rFonts w:ascii="Times New Roman" w:eastAsia="Times New Roman" w:hAnsi="Times New Roman" w:cs="Times New Roman"/>
                <w:b/>
                <w:color w:val="222222"/>
                <w:sz w:val="24"/>
                <w:szCs w:val="24"/>
              </w:rPr>
            </w:pPr>
          </w:p>
        </w:tc>
      </w:tr>
      <w:tr w:rsidR="005A3412" w14:paraId="31671EE8" w14:textId="77777777">
        <w:tc>
          <w:tcPr>
            <w:tcW w:w="14983"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2387F24C" w14:textId="77777777" w:rsidR="005A3412" w:rsidRDefault="00110E44">
            <w:pPr>
              <w:pStyle w:val="normal0"/>
              <w:spacing w:line="276" w:lineRule="auto"/>
              <w:jc w:val="center"/>
              <w:rPr>
                <w:rFonts w:ascii="Times New Roman" w:eastAsia="Times New Roman" w:hAnsi="Times New Roman" w:cs="Times New Roman"/>
                <w:b/>
                <w:color w:val="222222"/>
                <w:sz w:val="24"/>
                <w:szCs w:val="24"/>
              </w:rPr>
            </w:pPr>
            <w:r>
              <w:rPr>
                <w:rFonts w:ascii="Times New Roman" w:eastAsia="Times New Roman" w:hAnsi="Times New Roman" w:cs="Times New Roman"/>
                <w:b/>
                <w:color w:val="222222"/>
                <w:sz w:val="24"/>
                <w:szCs w:val="24"/>
              </w:rPr>
              <w:lastRenderedPageBreak/>
              <w:t>Resultados esperados</w:t>
            </w:r>
          </w:p>
        </w:tc>
      </w:tr>
      <w:tr w:rsidR="005A3412" w14:paraId="4CE8037A" w14:textId="77777777">
        <w:tc>
          <w:tcPr>
            <w:tcW w:w="14983" w:type="dxa"/>
            <w:tcBorders>
              <w:top w:val="single" w:sz="6" w:space="0" w:color="DDDDDD"/>
              <w:left w:val="single" w:sz="6" w:space="0" w:color="DDDDDD"/>
              <w:bottom w:val="single" w:sz="6" w:space="0" w:color="DDDDDD"/>
              <w:right w:val="single" w:sz="6" w:space="0" w:color="DDDDDD"/>
            </w:tcBorders>
            <w:tcMar>
              <w:top w:w="15" w:type="dxa"/>
              <w:left w:w="15" w:type="dxa"/>
              <w:bottom w:w="15" w:type="dxa"/>
              <w:right w:w="15" w:type="dxa"/>
            </w:tcMar>
            <w:vAlign w:val="center"/>
          </w:tcPr>
          <w:p w14:paraId="5C198731" w14:textId="0B34DAFE" w:rsidR="005A3412" w:rsidRDefault="00110E44">
            <w:pPr>
              <w:pStyle w:val="normal0"/>
              <w:spacing w:line="276" w:lineRule="auto"/>
              <w:jc w:val="both"/>
              <w:rPr>
                <w:rFonts w:ascii="Times New Roman" w:eastAsia="Times New Roman" w:hAnsi="Times New Roman" w:cs="Times New Roman"/>
                <w:color w:val="222222"/>
                <w:sz w:val="24"/>
                <w:szCs w:val="24"/>
              </w:rPr>
            </w:pPr>
            <w:r>
              <w:rPr>
                <w:rFonts w:ascii="Times New Roman" w:eastAsia="Times New Roman" w:hAnsi="Times New Roman" w:cs="Times New Roman"/>
                <w:color w:val="222222"/>
                <w:sz w:val="24"/>
                <w:szCs w:val="24"/>
              </w:rPr>
              <w:t>Con el desarrollo de este proyecto se espera alcanzar los siguientes resultados:</w:t>
            </w:r>
          </w:p>
          <w:p w14:paraId="5A6445A1" w14:textId="4E86D2AB" w:rsidR="005A3412" w:rsidRPr="00E71414" w:rsidRDefault="00110E44">
            <w:pPr>
              <w:pStyle w:val="normal0"/>
              <w:numPr>
                <w:ilvl w:val="0"/>
                <w:numId w:val="2"/>
              </w:numPr>
              <w:pBdr>
                <w:top w:val="nil"/>
                <w:left w:val="nil"/>
                <w:bottom w:val="nil"/>
                <w:right w:val="nil"/>
                <w:between w:val="nil"/>
              </w:pBdr>
              <w:spacing w:line="276" w:lineRule="auto"/>
              <w:ind w:left="425" w:hanging="283"/>
              <w:jc w:val="both"/>
              <w:rPr>
                <w:rFonts w:ascii="Times New Roman" w:eastAsia="Times New Roman" w:hAnsi="Times New Roman" w:cs="Times New Roman"/>
                <w:sz w:val="24"/>
                <w:szCs w:val="24"/>
              </w:rPr>
            </w:pPr>
            <w:r>
              <w:rPr>
                <w:rFonts w:ascii="Times New Roman" w:eastAsia="Times New Roman" w:hAnsi="Times New Roman" w:cs="Times New Roman"/>
                <w:color w:val="222222"/>
                <w:sz w:val="24"/>
                <w:szCs w:val="24"/>
              </w:rPr>
              <w:t xml:space="preserve">Identificación </w:t>
            </w:r>
            <w:r w:rsidR="00E71414">
              <w:rPr>
                <w:rFonts w:ascii="Times New Roman" w:eastAsia="Times New Roman" w:hAnsi="Times New Roman" w:cs="Times New Roman"/>
                <w:color w:val="222222"/>
                <w:sz w:val="24"/>
                <w:szCs w:val="24"/>
              </w:rPr>
              <w:t>de factores de consumo de agua y energía en sectores residenciales en la ciudad de Bogotá.</w:t>
            </w:r>
          </w:p>
          <w:p w14:paraId="254CB7D3" w14:textId="6AA38CBC" w:rsidR="00E71414" w:rsidRDefault="00E71414">
            <w:pPr>
              <w:pStyle w:val="normal0"/>
              <w:numPr>
                <w:ilvl w:val="0"/>
                <w:numId w:val="2"/>
              </w:numPr>
              <w:pBdr>
                <w:top w:val="nil"/>
                <w:left w:val="nil"/>
                <w:bottom w:val="nil"/>
                <w:right w:val="nil"/>
                <w:between w:val="nil"/>
              </w:pBdr>
              <w:spacing w:line="276" w:lineRule="auto"/>
              <w:ind w:left="425" w:hanging="283"/>
              <w:jc w:val="both"/>
              <w:rPr>
                <w:rFonts w:ascii="Times New Roman" w:eastAsia="Times New Roman" w:hAnsi="Times New Roman" w:cs="Times New Roman"/>
                <w:sz w:val="24"/>
                <w:szCs w:val="24"/>
              </w:rPr>
            </w:pPr>
            <w:r>
              <w:rPr>
                <w:rFonts w:ascii="Times New Roman" w:eastAsia="Times New Roman" w:hAnsi="Times New Roman" w:cs="Times New Roman"/>
                <w:color w:val="222222"/>
                <w:sz w:val="24"/>
                <w:szCs w:val="24"/>
              </w:rPr>
              <w:t>Determinaciín y cinatificación de la flujos agua-energía en viviendas.</w:t>
            </w:r>
          </w:p>
          <w:p w14:paraId="53D021BB" w14:textId="38B02B7D" w:rsidR="005A3412" w:rsidRPr="00E71414" w:rsidRDefault="00E71414">
            <w:pPr>
              <w:pStyle w:val="normal0"/>
              <w:numPr>
                <w:ilvl w:val="0"/>
                <w:numId w:val="2"/>
              </w:numPr>
              <w:spacing w:line="276" w:lineRule="auto"/>
              <w:ind w:left="425" w:hanging="283"/>
              <w:jc w:val="both"/>
              <w:rPr>
                <w:rFonts w:ascii="Times New Roman" w:eastAsia="Times New Roman" w:hAnsi="Times New Roman" w:cs="Times New Roman"/>
                <w:sz w:val="24"/>
                <w:szCs w:val="24"/>
              </w:rPr>
            </w:pPr>
            <w:r>
              <w:rPr>
                <w:rFonts w:ascii="Times New Roman" w:eastAsia="Times New Roman" w:hAnsi="Times New Roman" w:cs="Times New Roman"/>
                <w:color w:val="222222"/>
                <w:sz w:val="24"/>
                <w:szCs w:val="24"/>
              </w:rPr>
              <w:t>Determinación de estrategias de educaicñon para la generación de políticas públicas ambienatales y sociales.</w:t>
            </w:r>
          </w:p>
          <w:p w14:paraId="492F15EB" w14:textId="21AB06FA" w:rsidR="00E71414" w:rsidRPr="00E71414" w:rsidRDefault="00E71414">
            <w:pPr>
              <w:pStyle w:val="normal0"/>
              <w:numPr>
                <w:ilvl w:val="0"/>
                <w:numId w:val="2"/>
              </w:numPr>
              <w:spacing w:line="276" w:lineRule="auto"/>
              <w:ind w:left="425" w:hanging="283"/>
              <w:jc w:val="both"/>
              <w:rPr>
                <w:rFonts w:ascii="Times New Roman" w:eastAsia="Times New Roman" w:hAnsi="Times New Roman" w:cs="Times New Roman"/>
                <w:sz w:val="24"/>
                <w:szCs w:val="24"/>
              </w:rPr>
            </w:pPr>
            <w:r>
              <w:rPr>
                <w:rFonts w:ascii="Times New Roman" w:eastAsia="Times New Roman" w:hAnsi="Times New Roman" w:cs="Times New Roman"/>
                <w:color w:val="222222"/>
                <w:sz w:val="24"/>
                <w:szCs w:val="24"/>
              </w:rPr>
              <w:t>Disminución de consumo de recursos naturales.</w:t>
            </w:r>
          </w:p>
          <w:p w14:paraId="59811C7F" w14:textId="77777777" w:rsidR="00E71414" w:rsidRDefault="00E71414" w:rsidP="00E71414">
            <w:pPr>
              <w:pStyle w:val="normal0"/>
              <w:spacing w:line="276" w:lineRule="auto"/>
              <w:ind w:left="425"/>
              <w:jc w:val="both"/>
              <w:rPr>
                <w:rFonts w:ascii="Times New Roman" w:eastAsia="Times New Roman" w:hAnsi="Times New Roman" w:cs="Times New Roman"/>
                <w:sz w:val="24"/>
                <w:szCs w:val="24"/>
              </w:rPr>
            </w:pPr>
          </w:p>
          <w:p w14:paraId="72AAE084" w14:textId="77777777" w:rsidR="005A3412" w:rsidRDefault="00110E44">
            <w:pPr>
              <w:pStyle w:val="normal0"/>
              <w:spacing w:line="276" w:lineRule="auto"/>
              <w:jc w:val="both"/>
              <w:rPr>
                <w:rFonts w:ascii="Times New Roman" w:eastAsia="Times New Roman" w:hAnsi="Times New Roman" w:cs="Times New Roman"/>
                <w:color w:val="222222"/>
                <w:sz w:val="24"/>
                <w:szCs w:val="24"/>
              </w:rPr>
            </w:pPr>
            <w:r>
              <w:rPr>
                <w:rFonts w:ascii="Times New Roman" w:eastAsia="Times New Roman" w:hAnsi="Times New Roman" w:cs="Times New Roman"/>
                <w:color w:val="222222"/>
                <w:sz w:val="24"/>
                <w:szCs w:val="24"/>
              </w:rPr>
              <w:t>Estos resultados serán materializados a través de los siguientes productos:</w:t>
            </w:r>
          </w:p>
          <w:tbl>
            <w:tblPr>
              <w:tblStyle w:val="a8"/>
              <w:tblW w:w="14933"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009"/>
              <w:gridCol w:w="3763"/>
              <w:gridCol w:w="6161"/>
            </w:tblGrid>
            <w:tr w:rsidR="005A3412" w14:paraId="53D046CC" w14:textId="77777777">
              <w:tc>
                <w:tcPr>
                  <w:tcW w:w="5009" w:type="dxa"/>
                  <w:shd w:val="clear" w:color="auto" w:fill="auto"/>
                  <w:tcMar>
                    <w:top w:w="100" w:type="dxa"/>
                    <w:left w:w="100" w:type="dxa"/>
                    <w:bottom w:w="100" w:type="dxa"/>
                    <w:right w:w="100" w:type="dxa"/>
                  </w:tcMar>
                </w:tcPr>
                <w:p w14:paraId="20742323" w14:textId="77777777" w:rsidR="005A3412" w:rsidRDefault="00110E44">
                  <w:pPr>
                    <w:pStyle w:val="normal0"/>
                    <w:widowControl w:val="0"/>
                    <w:pBdr>
                      <w:top w:val="nil"/>
                      <w:left w:val="nil"/>
                      <w:bottom w:val="nil"/>
                      <w:right w:val="nil"/>
                      <w:between w:val="nil"/>
                    </w:pBdr>
                    <w:jc w:val="center"/>
                    <w:rPr>
                      <w:rFonts w:ascii="Times New Roman" w:eastAsia="Times New Roman" w:hAnsi="Times New Roman" w:cs="Times New Roman"/>
                      <w:color w:val="222222"/>
                      <w:sz w:val="20"/>
                      <w:szCs w:val="20"/>
                    </w:rPr>
                  </w:pPr>
                  <w:r>
                    <w:rPr>
                      <w:rFonts w:ascii="Times New Roman" w:eastAsia="Times New Roman" w:hAnsi="Times New Roman" w:cs="Times New Roman"/>
                      <w:b/>
                      <w:color w:val="222222"/>
                      <w:sz w:val="20"/>
                      <w:szCs w:val="20"/>
                    </w:rPr>
                    <w:t>CARACTERÍSTICAS DEL MODELO NACIONAL DE COLCIENCIAS</w:t>
                  </w:r>
                </w:p>
              </w:tc>
              <w:tc>
                <w:tcPr>
                  <w:tcW w:w="3763" w:type="dxa"/>
                  <w:shd w:val="clear" w:color="auto" w:fill="auto"/>
                  <w:tcMar>
                    <w:top w:w="100" w:type="dxa"/>
                    <w:left w:w="100" w:type="dxa"/>
                    <w:bottom w:w="100" w:type="dxa"/>
                    <w:right w:w="100" w:type="dxa"/>
                  </w:tcMar>
                </w:tcPr>
                <w:p w14:paraId="2274C0DF" w14:textId="77777777" w:rsidR="005A3412" w:rsidRDefault="00110E44">
                  <w:pPr>
                    <w:pStyle w:val="normal0"/>
                    <w:widowControl w:val="0"/>
                    <w:pBdr>
                      <w:top w:val="nil"/>
                      <w:left w:val="nil"/>
                      <w:bottom w:val="nil"/>
                      <w:right w:val="nil"/>
                      <w:between w:val="nil"/>
                    </w:pBdr>
                    <w:jc w:val="center"/>
                    <w:rPr>
                      <w:rFonts w:ascii="Times New Roman" w:eastAsia="Times New Roman" w:hAnsi="Times New Roman" w:cs="Times New Roman"/>
                      <w:color w:val="222222"/>
                      <w:sz w:val="20"/>
                      <w:szCs w:val="20"/>
                    </w:rPr>
                  </w:pPr>
                  <w:r>
                    <w:rPr>
                      <w:rFonts w:ascii="Times New Roman" w:eastAsia="Times New Roman" w:hAnsi="Times New Roman" w:cs="Times New Roman"/>
                      <w:b/>
                      <w:color w:val="222222"/>
                      <w:sz w:val="20"/>
                      <w:szCs w:val="20"/>
                    </w:rPr>
                    <w:t>PRODUCTO</w:t>
                  </w:r>
                </w:p>
              </w:tc>
              <w:tc>
                <w:tcPr>
                  <w:tcW w:w="6161" w:type="dxa"/>
                  <w:shd w:val="clear" w:color="auto" w:fill="auto"/>
                  <w:tcMar>
                    <w:top w:w="100" w:type="dxa"/>
                    <w:left w:w="100" w:type="dxa"/>
                    <w:bottom w:w="100" w:type="dxa"/>
                    <w:right w:w="100" w:type="dxa"/>
                  </w:tcMar>
                </w:tcPr>
                <w:p w14:paraId="7417E59A" w14:textId="77777777" w:rsidR="005A3412" w:rsidRDefault="00110E44">
                  <w:pPr>
                    <w:pStyle w:val="normal0"/>
                    <w:widowControl w:val="0"/>
                    <w:pBdr>
                      <w:top w:val="nil"/>
                      <w:left w:val="nil"/>
                      <w:bottom w:val="nil"/>
                      <w:right w:val="nil"/>
                      <w:between w:val="nil"/>
                    </w:pBdr>
                    <w:jc w:val="center"/>
                    <w:rPr>
                      <w:rFonts w:ascii="Times New Roman" w:eastAsia="Times New Roman" w:hAnsi="Times New Roman" w:cs="Times New Roman"/>
                      <w:color w:val="222222"/>
                      <w:sz w:val="20"/>
                      <w:szCs w:val="20"/>
                    </w:rPr>
                  </w:pPr>
                  <w:r>
                    <w:rPr>
                      <w:rFonts w:ascii="Times New Roman" w:eastAsia="Times New Roman" w:hAnsi="Times New Roman" w:cs="Times New Roman"/>
                      <w:color w:val="222222"/>
                      <w:sz w:val="20"/>
                      <w:szCs w:val="20"/>
                    </w:rPr>
                    <w:t xml:space="preserve"> </w:t>
                  </w:r>
                  <w:r>
                    <w:rPr>
                      <w:rFonts w:ascii="Times New Roman" w:eastAsia="Times New Roman" w:hAnsi="Times New Roman" w:cs="Times New Roman"/>
                      <w:b/>
                      <w:color w:val="222222"/>
                      <w:sz w:val="20"/>
                      <w:szCs w:val="20"/>
                    </w:rPr>
                    <w:t>POSIBLE REVISTA/EVENTO</w:t>
                  </w:r>
                </w:p>
              </w:tc>
            </w:tr>
            <w:tr w:rsidR="005A3412" w14:paraId="360DDF0B" w14:textId="77777777">
              <w:tc>
                <w:tcPr>
                  <w:tcW w:w="5009" w:type="dxa"/>
                  <w:shd w:val="clear" w:color="auto" w:fill="auto"/>
                  <w:tcMar>
                    <w:top w:w="100" w:type="dxa"/>
                    <w:left w:w="100" w:type="dxa"/>
                    <w:bottom w:w="100" w:type="dxa"/>
                    <w:right w:w="100" w:type="dxa"/>
                  </w:tcMar>
                </w:tcPr>
                <w:p w14:paraId="7838D1B4" w14:textId="77777777" w:rsidR="005A3412" w:rsidRDefault="00110E44">
                  <w:pPr>
                    <w:pStyle w:val="normal0"/>
                    <w:widowControl w:val="0"/>
                    <w:pBdr>
                      <w:top w:val="nil"/>
                      <w:left w:val="nil"/>
                      <w:bottom w:val="nil"/>
                      <w:right w:val="nil"/>
                      <w:between w:val="nil"/>
                    </w:pBdr>
                    <w:rPr>
                      <w:rFonts w:ascii="Times New Roman" w:eastAsia="Times New Roman" w:hAnsi="Times New Roman" w:cs="Times New Roman"/>
                      <w:color w:val="222222"/>
                      <w:sz w:val="20"/>
                      <w:szCs w:val="20"/>
                    </w:rPr>
                  </w:pPr>
                  <w:r>
                    <w:rPr>
                      <w:rFonts w:ascii="Times New Roman" w:eastAsia="Times New Roman" w:hAnsi="Times New Roman" w:cs="Times New Roman"/>
                      <w:color w:val="222222"/>
                      <w:sz w:val="20"/>
                      <w:szCs w:val="20"/>
                    </w:rPr>
                    <w:t xml:space="preserve">Productos resultado de actividades de generación de nuevo conocimiento </w:t>
                  </w:r>
                </w:p>
              </w:tc>
              <w:tc>
                <w:tcPr>
                  <w:tcW w:w="3763" w:type="dxa"/>
                  <w:shd w:val="clear" w:color="auto" w:fill="auto"/>
                  <w:tcMar>
                    <w:top w:w="100" w:type="dxa"/>
                    <w:left w:w="100" w:type="dxa"/>
                    <w:bottom w:w="100" w:type="dxa"/>
                    <w:right w:w="100" w:type="dxa"/>
                  </w:tcMar>
                </w:tcPr>
                <w:p w14:paraId="36D1DF2D" w14:textId="2073488A" w:rsidR="005A3412" w:rsidRDefault="00E71414">
                  <w:pPr>
                    <w:pStyle w:val="normal0"/>
                    <w:widowControl w:val="0"/>
                    <w:pBdr>
                      <w:top w:val="nil"/>
                      <w:left w:val="nil"/>
                      <w:bottom w:val="nil"/>
                      <w:right w:val="nil"/>
                      <w:between w:val="nil"/>
                    </w:pBdr>
                    <w:rPr>
                      <w:rFonts w:ascii="Times New Roman" w:eastAsia="Times New Roman" w:hAnsi="Times New Roman" w:cs="Times New Roman"/>
                      <w:color w:val="222222"/>
                      <w:sz w:val="20"/>
                      <w:szCs w:val="20"/>
                    </w:rPr>
                  </w:pPr>
                  <w:r>
                    <w:rPr>
                      <w:rFonts w:ascii="Times New Roman" w:eastAsia="Times New Roman" w:hAnsi="Times New Roman" w:cs="Times New Roman"/>
                      <w:color w:val="222222"/>
                      <w:sz w:val="20"/>
                      <w:szCs w:val="20"/>
                    </w:rPr>
                    <w:t>Artículo de Investigación (Q2</w:t>
                  </w:r>
                  <w:r w:rsidR="00110E44">
                    <w:rPr>
                      <w:rFonts w:ascii="Times New Roman" w:eastAsia="Times New Roman" w:hAnsi="Times New Roman" w:cs="Times New Roman"/>
                      <w:color w:val="222222"/>
                      <w:sz w:val="20"/>
                      <w:szCs w:val="20"/>
                    </w:rPr>
                    <w:t>) en revista indexada</w:t>
                  </w:r>
                </w:p>
              </w:tc>
              <w:tc>
                <w:tcPr>
                  <w:tcW w:w="6161" w:type="dxa"/>
                  <w:shd w:val="clear" w:color="auto" w:fill="auto"/>
                  <w:tcMar>
                    <w:top w:w="100" w:type="dxa"/>
                    <w:left w:w="100" w:type="dxa"/>
                    <w:bottom w:w="100" w:type="dxa"/>
                    <w:right w:w="100" w:type="dxa"/>
                  </w:tcMar>
                </w:tcPr>
                <w:p w14:paraId="5552D379" w14:textId="4BB3A6F5" w:rsidR="00E71414" w:rsidRDefault="00E71414" w:rsidP="00E71414">
                  <w:pPr>
                    <w:widowControl w:val="0"/>
                    <w:autoSpaceDE w:val="0"/>
                    <w:autoSpaceDN w:val="0"/>
                    <w:adjustRightInd w:val="0"/>
                    <w:spacing w:after="240" w:line="440" w:lineRule="atLeast"/>
                    <w:rPr>
                      <w:rFonts w:ascii="Times Roman" w:hAnsi="Times Roman" w:cs="Times Roman"/>
                      <w:color w:val="000000"/>
                      <w:sz w:val="24"/>
                      <w:szCs w:val="24"/>
                      <w:lang w:val="es-ES"/>
                    </w:rPr>
                  </w:pPr>
                  <w:r w:rsidRPr="00E71414">
                    <w:rPr>
                      <w:rFonts w:ascii="Times New Roman" w:eastAsia="Times New Roman" w:hAnsi="Times New Roman" w:cs="Times New Roman"/>
                      <w:i/>
                      <w:color w:val="222222"/>
                      <w:sz w:val="20"/>
                      <w:szCs w:val="20"/>
                    </w:rPr>
                    <w:t>Energy and Buildings</w:t>
                  </w:r>
                  <w:r>
                    <w:rPr>
                      <w:rFonts w:ascii="Times New Roman" w:eastAsia="Times New Roman" w:hAnsi="Times New Roman" w:cs="Times New Roman"/>
                      <w:i/>
                      <w:color w:val="222222"/>
                      <w:sz w:val="20"/>
                      <w:szCs w:val="20"/>
                    </w:rPr>
                    <w:t xml:space="preserve"> </w:t>
                  </w:r>
                  <w:r w:rsidRPr="00E71414">
                    <w:rPr>
                      <w:rFonts w:ascii="Times New Roman" w:eastAsia="Times New Roman" w:hAnsi="Times New Roman" w:cs="Times New Roman"/>
                      <w:i/>
                      <w:color w:val="222222"/>
                      <w:sz w:val="20"/>
                      <w:szCs w:val="20"/>
                    </w:rPr>
                    <w:t>/ Cleaner production</w:t>
                  </w:r>
                </w:p>
                <w:p w14:paraId="2C6B93B2" w14:textId="01B28E55" w:rsidR="005A3412" w:rsidRDefault="005A3412">
                  <w:pPr>
                    <w:pStyle w:val="normal0"/>
                    <w:widowControl w:val="0"/>
                    <w:pBdr>
                      <w:top w:val="nil"/>
                      <w:left w:val="nil"/>
                      <w:bottom w:val="nil"/>
                      <w:right w:val="nil"/>
                      <w:between w:val="nil"/>
                    </w:pBdr>
                    <w:rPr>
                      <w:rFonts w:ascii="Times New Roman" w:eastAsia="Times New Roman" w:hAnsi="Times New Roman" w:cs="Times New Roman"/>
                      <w:color w:val="222222"/>
                      <w:sz w:val="20"/>
                      <w:szCs w:val="20"/>
                    </w:rPr>
                  </w:pPr>
                </w:p>
              </w:tc>
            </w:tr>
            <w:tr w:rsidR="005A3412" w14:paraId="659FBDCC" w14:textId="77777777">
              <w:tc>
                <w:tcPr>
                  <w:tcW w:w="5009" w:type="dxa"/>
                  <w:shd w:val="clear" w:color="auto" w:fill="auto"/>
                  <w:tcMar>
                    <w:top w:w="100" w:type="dxa"/>
                    <w:left w:w="100" w:type="dxa"/>
                    <w:bottom w:w="100" w:type="dxa"/>
                    <w:right w:w="100" w:type="dxa"/>
                  </w:tcMar>
                </w:tcPr>
                <w:p w14:paraId="4D32787F" w14:textId="77777777" w:rsidR="005A3412" w:rsidRDefault="00110E44">
                  <w:pPr>
                    <w:pStyle w:val="normal0"/>
                    <w:widowControl w:val="0"/>
                    <w:pBdr>
                      <w:top w:val="nil"/>
                      <w:left w:val="nil"/>
                      <w:bottom w:val="nil"/>
                      <w:right w:val="nil"/>
                      <w:between w:val="nil"/>
                    </w:pBdr>
                    <w:rPr>
                      <w:rFonts w:ascii="Times New Roman" w:eastAsia="Times New Roman" w:hAnsi="Times New Roman" w:cs="Times New Roman"/>
                      <w:color w:val="222222"/>
                      <w:sz w:val="20"/>
                      <w:szCs w:val="20"/>
                    </w:rPr>
                  </w:pPr>
                  <w:r>
                    <w:rPr>
                      <w:rFonts w:ascii="Times New Roman" w:eastAsia="Times New Roman" w:hAnsi="Times New Roman" w:cs="Times New Roman"/>
                      <w:color w:val="222222"/>
                      <w:sz w:val="20"/>
                      <w:szCs w:val="20"/>
                    </w:rPr>
                    <w:t>Productos resultado de actividades de desarrollo tecnológico e innovación</w:t>
                  </w:r>
                </w:p>
              </w:tc>
              <w:tc>
                <w:tcPr>
                  <w:tcW w:w="3763" w:type="dxa"/>
                  <w:shd w:val="clear" w:color="auto" w:fill="auto"/>
                  <w:tcMar>
                    <w:top w:w="100" w:type="dxa"/>
                    <w:left w:w="100" w:type="dxa"/>
                    <w:bottom w:w="100" w:type="dxa"/>
                    <w:right w:w="100" w:type="dxa"/>
                  </w:tcMar>
                </w:tcPr>
                <w:p w14:paraId="24456F43" w14:textId="77777777" w:rsidR="005A3412" w:rsidRDefault="00110E44">
                  <w:pPr>
                    <w:pStyle w:val="normal0"/>
                    <w:widowControl w:val="0"/>
                    <w:pBdr>
                      <w:top w:val="nil"/>
                      <w:left w:val="nil"/>
                      <w:bottom w:val="nil"/>
                      <w:right w:val="nil"/>
                      <w:between w:val="nil"/>
                    </w:pBdr>
                    <w:rPr>
                      <w:rFonts w:ascii="Times New Roman" w:eastAsia="Times New Roman" w:hAnsi="Times New Roman" w:cs="Times New Roman"/>
                      <w:color w:val="222222"/>
                      <w:sz w:val="20"/>
                      <w:szCs w:val="20"/>
                    </w:rPr>
                  </w:pPr>
                  <w:r>
                    <w:rPr>
                      <w:rFonts w:ascii="Times New Roman" w:eastAsia="Times New Roman" w:hAnsi="Times New Roman" w:cs="Times New Roman"/>
                      <w:color w:val="222222"/>
                      <w:sz w:val="20"/>
                      <w:szCs w:val="20"/>
                    </w:rPr>
                    <w:t>Informe técnico</w:t>
                  </w:r>
                </w:p>
              </w:tc>
              <w:tc>
                <w:tcPr>
                  <w:tcW w:w="6161" w:type="dxa"/>
                  <w:shd w:val="clear" w:color="auto" w:fill="auto"/>
                  <w:tcMar>
                    <w:top w:w="100" w:type="dxa"/>
                    <w:left w:w="100" w:type="dxa"/>
                    <w:bottom w:w="100" w:type="dxa"/>
                    <w:right w:w="100" w:type="dxa"/>
                  </w:tcMar>
                </w:tcPr>
                <w:p w14:paraId="16CA2FFD" w14:textId="77777777" w:rsidR="005A3412" w:rsidRDefault="00110E44" w:rsidP="000B625C">
                  <w:pPr>
                    <w:pStyle w:val="normal0"/>
                    <w:widowControl w:val="0"/>
                    <w:pBdr>
                      <w:top w:val="nil"/>
                      <w:left w:val="nil"/>
                      <w:bottom w:val="nil"/>
                      <w:right w:val="nil"/>
                      <w:between w:val="nil"/>
                    </w:pBdr>
                    <w:jc w:val="both"/>
                    <w:rPr>
                      <w:rFonts w:ascii="Times New Roman" w:eastAsia="Times New Roman" w:hAnsi="Times New Roman" w:cs="Times New Roman"/>
                      <w:color w:val="222222"/>
                      <w:sz w:val="20"/>
                      <w:szCs w:val="20"/>
                    </w:rPr>
                  </w:pPr>
                  <w:r>
                    <w:rPr>
                      <w:rFonts w:ascii="Times New Roman" w:eastAsia="Times New Roman" w:hAnsi="Times New Roman" w:cs="Times New Roman"/>
                      <w:color w:val="222222"/>
                      <w:sz w:val="20"/>
                      <w:szCs w:val="20"/>
                    </w:rPr>
                    <w:t xml:space="preserve">Se elaborará un informe técnico con la información relacionada a las actividades desarrolladas y elementos resultados del proyecto de </w:t>
                  </w:r>
                  <w:r>
                    <w:rPr>
                      <w:rFonts w:ascii="Times New Roman" w:eastAsia="Times New Roman" w:hAnsi="Times New Roman" w:cs="Times New Roman"/>
                      <w:color w:val="222222"/>
                      <w:sz w:val="20"/>
                      <w:szCs w:val="20"/>
                    </w:rPr>
                    <w:lastRenderedPageBreak/>
                    <w:t>investigación</w:t>
                  </w:r>
                </w:p>
              </w:tc>
            </w:tr>
            <w:tr w:rsidR="005A3412" w14:paraId="5D85BCE9" w14:textId="77777777">
              <w:tc>
                <w:tcPr>
                  <w:tcW w:w="5009" w:type="dxa"/>
                  <w:shd w:val="clear" w:color="auto" w:fill="auto"/>
                  <w:tcMar>
                    <w:top w:w="100" w:type="dxa"/>
                    <w:left w:w="100" w:type="dxa"/>
                    <w:bottom w:w="100" w:type="dxa"/>
                    <w:right w:w="100" w:type="dxa"/>
                  </w:tcMar>
                </w:tcPr>
                <w:p w14:paraId="3C41207D" w14:textId="77777777" w:rsidR="005A3412" w:rsidRDefault="00110E44">
                  <w:pPr>
                    <w:pStyle w:val="normal0"/>
                    <w:widowControl w:val="0"/>
                    <w:pBdr>
                      <w:top w:val="nil"/>
                      <w:left w:val="nil"/>
                      <w:bottom w:val="nil"/>
                      <w:right w:val="nil"/>
                      <w:between w:val="nil"/>
                    </w:pBdr>
                    <w:rPr>
                      <w:rFonts w:ascii="Times New Roman" w:eastAsia="Times New Roman" w:hAnsi="Times New Roman" w:cs="Times New Roman"/>
                      <w:color w:val="222222"/>
                      <w:sz w:val="20"/>
                      <w:szCs w:val="20"/>
                    </w:rPr>
                  </w:pPr>
                  <w:r>
                    <w:rPr>
                      <w:rFonts w:ascii="Times New Roman" w:eastAsia="Times New Roman" w:hAnsi="Times New Roman" w:cs="Times New Roman"/>
                      <w:color w:val="222222"/>
                      <w:sz w:val="20"/>
                      <w:szCs w:val="20"/>
                    </w:rPr>
                    <w:lastRenderedPageBreak/>
                    <w:t>Productos resultado de actividades de apropiación social del conocimiento</w:t>
                  </w:r>
                </w:p>
              </w:tc>
              <w:tc>
                <w:tcPr>
                  <w:tcW w:w="3763" w:type="dxa"/>
                  <w:shd w:val="clear" w:color="auto" w:fill="auto"/>
                  <w:tcMar>
                    <w:top w:w="100" w:type="dxa"/>
                    <w:left w:w="100" w:type="dxa"/>
                    <w:bottom w:w="100" w:type="dxa"/>
                    <w:right w:w="100" w:type="dxa"/>
                  </w:tcMar>
                </w:tcPr>
                <w:p w14:paraId="29882C09" w14:textId="0C146570" w:rsidR="005A3412" w:rsidRDefault="00110E44" w:rsidP="000B625C">
                  <w:pPr>
                    <w:pStyle w:val="normal0"/>
                    <w:widowControl w:val="0"/>
                    <w:pBdr>
                      <w:top w:val="nil"/>
                      <w:left w:val="nil"/>
                      <w:bottom w:val="nil"/>
                      <w:right w:val="nil"/>
                      <w:between w:val="nil"/>
                    </w:pBdr>
                    <w:rPr>
                      <w:rFonts w:ascii="Times New Roman" w:eastAsia="Times New Roman" w:hAnsi="Times New Roman" w:cs="Times New Roman"/>
                      <w:color w:val="222222"/>
                      <w:sz w:val="20"/>
                      <w:szCs w:val="20"/>
                    </w:rPr>
                  </w:pPr>
                  <w:r>
                    <w:rPr>
                      <w:rFonts w:ascii="Times New Roman" w:eastAsia="Times New Roman" w:hAnsi="Times New Roman" w:cs="Times New Roman"/>
                      <w:color w:val="222222"/>
                      <w:sz w:val="20"/>
                      <w:szCs w:val="20"/>
                    </w:rPr>
                    <w:t>Participación en evento científico</w:t>
                  </w:r>
                  <w:r w:rsidR="000B625C">
                    <w:rPr>
                      <w:rFonts w:ascii="Times New Roman" w:eastAsia="Times New Roman" w:hAnsi="Times New Roman" w:cs="Times New Roman"/>
                      <w:color w:val="222222"/>
                      <w:sz w:val="20"/>
                      <w:szCs w:val="20"/>
                    </w:rPr>
                    <w:t xml:space="preserve"> </w:t>
                  </w:r>
                  <w:r>
                    <w:rPr>
                      <w:rFonts w:ascii="Times New Roman" w:eastAsia="Times New Roman" w:hAnsi="Times New Roman" w:cs="Times New Roman"/>
                      <w:color w:val="222222"/>
                      <w:sz w:val="20"/>
                      <w:szCs w:val="20"/>
                    </w:rPr>
                    <w:t>e internacional</w:t>
                  </w:r>
                  <w:r w:rsidR="000B625C">
                    <w:rPr>
                      <w:rFonts w:ascii="Times New Roman" w:eastAsia="Times New Roman" w:hAnsi="Times New Roman" w:cs="Times New Roman"/>
                      <w:color w:val="222222"/>
                      <w:sz w:val="20"/>
                      <w:szCs w:val="20"/>
                    </w:rPr>
                    <w:t xml:space="preserve"> </w:t>
                  </w:r>
                  <w:r>
                    <w:rPr>
                      <w:rFonts w:ascii="Times New Roman" w:eastAsia="Times New Roman" w:hAnsi="Times New Roman" w:cs="Times New Roman"/>
                      <w:color w:val="222222"/>
                      <w:sz w:val="20"/>
                      <w:szCs w:val="20"/>
                    </w:rPr>
                    <w:t>(1)</w:t>
                  </w:r>
                </w:p>
              </w:tc>
              <w:tc>
                <w:tcPr>
                  <w:tcW w:w="6161" w:type="dxa"/>
                  <w:shd w:val="clear" w:color="auto" w:fill="auto"/>
                  <w:tcMar>
                    <w:top w:w="100" w:type="dxa"/>
                    <w:left w:w="100" w:type="dxa"/>
                    <w:bottom w:w="100" w:type="dxa"/>
                    <w:right w:w="100" w:type="dxa"/>
                  </w:tcMar>
                </w:tcPr>
                <w:p w14:paraId="680E19D4" w14:textId="5E2FA54A" w:rsidR="005A3412" w:rsidRDefault="00110E44">
                  <w:pPr>
                    <w:pStyle w:val="normal0"/>
                    <w:widowControl w:val="0"/>
                    <w:pBdr>
                      <w:top w:val="nil"/>
                      <w:left w:val="nil"/>
                      <w:bottom w:val="nil"/>
                      <w:right w:val="nil"/>
                      <w:between w:val="nil"/>
                    </w:pBdr>
                    <w:rPr>
                      <w:rFonts w:ascii="Times New Roman" w:eastAsia="Times New Roman" w:hAnsi="Times New Roman" w:cs="Times New Roman"/>
                      <w:color w:val="222222"/>
                      <w:sz w:val="20"/>
                      <w:szCs w:val="20"/>
                    </w:rPr>
                  </w:pPr>
                  <w:r>
                    <w:rPr>
                      <w:rFonts w:ascii="Times New Roman" w:eastAsia="Times New Roman" w:hAnsi="Times New Roman" w:cs="Times New Roman"/>
                      <w:color w:val="222222"/>
                      <w:sz w:val="20"/>
                      <w:szCs w:val="20"/>
                    </w:rPr>
                    <w:t>1. Congreso internacional</w:t>
                  </w:r>
                  <w:r w:rsidR="000B625C">
                    <w:rPr>
                      <w:rFonts w:ascii="Times New Roman" w:eastAsia="Times New Roman" w:hAnsi="Times New Roman" w:cs="Times New Roman"/>
                      <w:color w:val="222222"/>
                      <w:sz w:val="20"/>
                      <w:szCs w:val="20"/>
                    </w:rPr>
                    <w:t xml:space="preserve"> en energía y medio ambiente.</w:t>
                  </w:r>
                </w:p>
                <w:p w14:paraId="0001BB94" w14:textId="64E4F713" w:rsidR="005A3412" w:rsidRDefault="005A3412">
                  <w:pPr>
                    <w:pStyle w:val="normal0"/>
                    <w:widowControl w:val="0"/>
                    <w:pBdr>
                      <w:top w:val="nil"/>
                      <w:left w:val="nil"/>
                      <w:bottom w:val="nil"/>
                      <w:right w:val="nil"/>
                      <w:between w:val="nil"/>
                    </w:pBdr>
                    <w:rPr>
                      <w:rFonts w:ascii="Times New Roman" w:eastAsia="Times New Roman" w:hAnsi="Times New Roman" w:cs="Times New Roman"/>
                      <w:color w:val="222222"/>
                      <w:sz w:val="20"/>
                      <w:szCs w:val="20"/>
                    </w:rPr>
                  </w:pPr>
                </w:p>
              </w:tc>
            </w:tr>
            <w:tr w:rsidR="005A3412" w14:paraId="4AE5BBF6" w14:textId="77777777">
              <w:tc>
                <w:tcPr>
                  <w:tcW w:w="5009" w:type="dxa"/>
                  <w:shd w:val="clear" w:color="auto" w:fill="auto"/>
                  <w:tcMar>
                    <w:top w:w="100" w:type="dxa"/>
                    <w:left w:w="100" w:type="dxa"/>
                    <w:bottom w:w="100" w:type="dxa"/>
                    <w:right w:w="100" w:type="dxa"/>
                  </w:tcMar>
                </w:tcPr>
                <w:p w14:paraId="6EAD0D8F" w14:textId="77777777" w:rsidR="005A3412" w:rsidRDefault="00110E44">
                  <w:pPr>
                    <w:pStyle w:val="normal0"/>
                    <w:widowControl w:val="0"/>
                    <w:pBdr>
                      <w:top w:val="nil"/>
                      <w:left w:val="nil"/>
                      <w:bottom w:val="nil"/>
                      <w:right w:val="nil"/>
                      <w:between w:val="nil"/>
                    </w:pBdr>
                    <w:rPr>
                      <w:rFonts w:ascii="Times New Roman" w:eastAsia="Times New Roman" w:hAnsi="Times New Roman" w:cs="Times New Roman"/>
                      <w:color w:val="222222"/>
                      <w:sz w:val="20"/>
                      <w:szCs w:val="20"/>
                    </w:rPr>
                  </w:pPr>
                  <w:r>
                    <w:rPr>
                      <w:rFonts w:ascii="Times New Roman" w:eastAsia="Times New Roman" w:hAnsi="Times New Roman" w:cs="Times New Roman"/>
                      <w:color w:val="222222"/>
                      <w:sz w:val="20"/>
                      <w:szCs w:val="20"/>
                    </w:rPr>
                    <w:t>Productos de actividades relacionadas con la formación de recurso humano para la CTEI</w:t>
                  </w:r>
                </w:p>
              </w:tc>
              <w:tc>
                <w:tcPr>
                  <w:tcW w:w="3763" w:type="dxa"/>
                  <w:shd w:val="clear" w:color="auto" w:fill="auto"/>
                  <w:tcMar>
                    <w:top w:w="100" w:type="dxa"/>
                    <w:left w:w="100" w:type="dxa"/>
                    <w:bottom w:w="100" w:type="dxa"/>
                    <w:right w:w="100" w:type="dxa"/>
                  </w:tcMar>
                </w:tcPr>
                <w:p w14:paraId="7FEE299F" w14:textId="77777777" w:rsidR="005A3412" w:rsidRDefault="00110E44">
                  <w:pPr>
                    <w:pStyle w:val="normal0"/>
                    <w:widowControl w:val="0"/>
                    <w:pBdr>
                      <w:top w:val="nil"/>
                      <w:left w:val="nil"/>
                      <w:bottom w:val="nil"/>
                      <w:right w:val="nil"/>
                      <w:between w:val="nil"/>
                    </w:pBdr>
                    <w:rPr>
                      <w:rFonts w:ascii="Times New Roman" w:eastAsia="Times New Roman" w:hAnsi="Times New Roman" w:cs="Times New Roman"/>
                      <w:color w:val="222222"/>
                      <w:sz w:val="20"/>
                      <w:szCs w:val="20"/>
                    </w:rPr>
                  </w:pPr>
                  <w:r>
                    <w:rPr>
                      <w:rFonts w:ascii="Times New Roman" w:eastAsia="Times New Roman" w:hAnsi="Times New Roman" w:cs="Times New Roman"/>
                      <w:color w:val="222222"/>
                      <w:sz w:val="20"/>
                      <w:szCs w:val="20"/>
                    </w:rPr>
                    <w:t>Dirección de dos tesis de pregrado</w:t>
                  </w:r>
                </w:p>
              </w:tc>
              <w:tc>
                <w:tcPr>
                  <w:tcW w:w="6161" w:type="dxa"/>
                  <w:shd w:val="clear" w:color="auto" w:fill="auto"/>
                  <w:tcMar>
                    <w:top w:w="100" w:type="dxa"/>
                    <w:left w:w="100" w:type="dxa"/>
                    <w:bottom w:w="100" w:type="dxa"/>
                    <w:right w:w="100" w:type="dxa"/>
                  </w:tcMar>
                </w:tcPr>
                <w:p w14:paraId="6EBFB092" w14:textId="77777777" w:rsidR="005A3412" w:rsidRDefault="00110E44">
                  <w:pPr>
                    <w:pStyle w:val="normal0"/>
                    <w:widowControl w:val="0"/>
                    <w:pBdr>
                      <w:top w:val="nil"/>
                      <w:left w:val="nil"/>
                      <w:bottom w:val="nil"/>
                      <w:right w:val="nil"/>
                      <w:between w:val="nil"/>
                    </w:pBdr>
                    <w:rPr>
                      <w:rFonts w:ascii="Times New Roman" w:eastAsia="Times New Roman" w:hAnsi="Times New Roman" w:cs="Times New Roman"/>
                      <w:color w:val="222222"/>
                      <w:sz w:val="20"/>
                      <w:szCs w:val="20"/>
                    </w:rPr>
                  </w:pPr>
                  <w:r>
                    <w:rPr>
                      <w:rFonts w:ascii="Times New Roman" w:eastAsia="Times New Roman" w:hAnsi="Times New Roman" w:cs="Times New Roman"/>
                      <w:color w:val="222222"/>
                      <w:sz w:val="20"/>
                      <w:szCs w:val="20"/>
                    </w:rPr>
                    <w:t>Los trabajos de pregrado serán definidos con los estudiantes una vez sea aprobado éste proyecto de investigación</w:t>
                  </w:r>
                </w:p>
              </w:tc>
            </w:tr>
          </w:tbl>
          <w:p w14:paraId="6A68ADFF" w14:textId="77777777" w:rsidR="005A3412" w:rsidRDefault="005A3412">
            <w:pPr>
              <w:pStyle w:val="normal0"/>
              <w:spacing w:line="276" w:lineRule="auto"/>
              <w:jc w:val="both"/>
              <w:rPr>
                <w:rFonts w:ascii="Times New Roman" w:eastAsia="Times New Roman" w:hAnsi="Times New Roman" w:cs="Times New Roman"/>
                <w:color w:val="222222"/>
                <w:sz w:val="24"/>
                <w:szCs w:val="24"/>
              </w:rPr>
            </w:pPr>
          </w:p>
        </w:tc>
      </w:tr>
    </w:tbl>
    <w:p w14:paraId="7BDA321D" w14:textId="77777777" w:rsidR="005A3412" w:rsidRDefault="005A3412">
      <w:pPr>
        <w:pStyle w:val="normal0"/>
        <w:spacing w:after="0" w:line="276" w:lineRule="auto"/>
        <w:rPr>
          <w:rFonts w:ascii="Times New Roman" w:eastAsia="Times New Roman" w:hAnsi="Times New Roman" w:cs="Times New Roman"/>
          <w:sz w:val="24"/>
          <w:szCs w:val="24"/>
        </w:rPr>
      </w:pPr>
    </w:p>
    <w:p w14:paraId="7CC177B8" w14:textId="77777777" w:rsidR="005A3412" w:rsidRDefault="00110E44">
      <w:pPr>
        <w:pStyle w:val="normal0"/>
        <w:spacing w:line="276"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Cronograma</w:t>
      </w:r>
    </w:p>
    <w:tbl>
      <w:tblPr>
        <w:tblW w:w="8868" w:type="dxa"/>
        <w:tblInd w:w="55" w:type="dxa"/>
        <w:tblCellMar>
          <w:left w:w="70" w:type="dxa"/>
          <w:right w:w="70" w:type="dxa"/>
        </w:tblCellMar>
        <w:tblLook w:val="04A0" w:firstRow="1" w:lastRow="0" w:firstColumn="1" w:lastColumn="0" w:noHBand="0" w:noVBand="1"/>
      </w:tblPr>
      <w:tblGrid>
        <w:gridCol w:w="1075"/>
        <w:gridCol w:w="1119"/>
        <w:gridCol w:w="682"/>
        <w:gridCol w:w="649"/>
        <w:gridCol w:w="174"/>
        <w:gridCol w:w="215"/>
        <w:gridCol w:w="215"/>
        <w:gridCol w:w="215"/>
        <w:gridCol w:w="215"/>
        <w:gridCol w:w="208"/>
        <w:gridCol w:w="208"/>
        <w:gridCol w:w="208"/>
        <w:gridCol w:w="207"/>
        <w:gridCol w:w="173"/>
        <w:gridCol w:w="173"/>
        <w:gridCol w:w="273"/>
        <w:gridCol w:w="273"/>
        <w:gridCol w:w="273"/>
        <w:gridCol w:w="273"/>
        <w:gridCol w:w="273"/>
        <w:gridCol w:w="273"/>
        <w:gridCol w:w="273"/>
        <w:gridCol w:w="273"/>
        <w:gridCol w:w="273"/>
        <w:gridCol w:w="273"/>
        <w:gridCol w:w="273"/>
        <w:gridCol w:w="173"/>
        <w:gridCol w:w="173"/>
        <w:gridCol w:w="173"/>
        <w:gridCol w:w="273"/>
        <w:gridCol w:w="273"/>
        <w:gridCol w:w="273"/>
        <w:gridCol w:w="173"/>
        <w:gridCol w:w="173"/>
        <w:gridCol w:w="273"/>
        <w:gridCol w:w="273"/>
        <w:gridCol w:w="273"/>
        <w:gridCol w:w="273"/>
        <w:gridCol w:w="273"/>
        <w:gridCol w:w="273"/>
        <w:gridCol w:w="273"/>
        <w:gridCol w:w="273"/>
        <w:gridCol w:w="273"/>
        <w:gridCol w:w="273"/>
        <w:gridCol w:w="273"/>
        <w:gridCol w:w="273"/>
        <w:gridCol w:w="273"/>
        <w:gridCol w:w="273"/>
        <w:gridCol w:w="273"/>
        <w:gridCol w:w="273"/>
      </w:tblGrid>
      <w:tr w:rsidR="00BB79E7" w:rsidRPr="00BB79E7" w14:paraId="21724289" w14:textId="77777777" w:rsidTr="00BB79E7">
        <w:trPr>
          <w:trHeight w:val="320"/>
        </w:trPr>
        <w:tc>
          <w:tcPr>
            <w:tcW w:w="805" w:type="dxa"/>
            <w:vMerge w:val="restart"/>
            <w:tcBorders>
              <w:top w:val="single" w:sz="8" w:space="0" w:color="000000"/>
              <w:left w:val="single" w:sz="8" w:space="0" w:color="000000"/>
              <w:bottom w:val="single" w:sz="8" w:space="0" w:color="000000"/>
              <w:right w:val="single" w:sz="8" w:space="0" w:color="000000"/>
            </w:tcBorders>
            <w:shd w:val="clear" w:color="000000" w:fill="FFCC99"/>
            <w:vAlign w:val="center"/>
            <w:hideMark/>
          </w:tcPr>
          <w:p w14:paraId="2B15F9CB" w14:textId="77777777" w:rsidR="00BB79E7" w:rsidRPr="00BB79E7" w:rsidRDefault="00BB79E7" w:rsidP="00BB79E7">
            <w:pPr>
              <w:spacing w:after="0" w:line="240" w:lineRule="auto"/>
              <w:jc w:val="center"/>
              <w:rPr>
                <w:rFonts w:ascii="Times New Roman" w:eastAsia="Times New Roman" w:hAnsi="Times New Roman" w:cs="Times New Roman"/>
                <w:b/>
                <w:bCs/>
                <w:color w:val="000000"/>
                <w:sz w:val="16"/>
                <w:szCs w:val="16"/>
              </w:rPr>
            </w:pPr>
            <w:r w:rsidRPr="00BB79E7">
              <w:rPr>
                <w:rFonts w:ascii="Times New Roman" w:eastAsia="Times New Roman" w:hAnsi="Times New Roman" w:cs="Times New Roman"/>
                <w:b/>
                <w:bCs/>
                <w:color w:val="000000"/>
                <w:sz w:val="16"/>
                <w:szCs w:val="16"/>
              </w:rPr>
              <w:t xml:space="preserve">  ACTIVIDADES</w:t>
            </w:r>
          </w:p>
        </w:tc>
        <w:tc>
          <w:tcPr>
            <w:tcW w:w="842" w:type="dxa"/>
            <w:vMerge w:val="restart"/>
            <w:tcBorders>
              <w:top w:val="single" w:sz="8" w:space="0" w:color="000000"/>
              <w:left w:val="single" w:sz="8" w:space="0" w:color="000000"/>
              <w:bottom w:val="single" w:sz="8" w:space="0" w:color="000000"/>
              <w:right w:val="single" w:sz="8" w:space="0" w:color="000000"/>
            </w:tcBorders>
            <w:shd w:val="clear" w:color="000000" w:fill="FFCC99"/>
            <w:vAlign w:val="center"/>
            <w:hideMark/>
          </w:tcPr>
          <w:p w14:paraId="051CBC16" w14:textId="77777777" w:rsidR="00BB79E7" w:rsidRPr="00BB79E7" w:rsidRDefault="00BB79E7" w:rsidP="00BB79E7">
            <w:pPr>
              <w:spacing w:after="0" w:line="240" w:lineRule="auto"/>
              <w:jc w:val="center"/>
              <w:rPr>
                <w:rFonts w:ascii="Times New Roman" w:eastAsia="Times New Roman" w:hAnsi="Times New Roman" w:cs="Times New Roman"/>
                <w:b/>
                <w:bCs/>
                <w:color w:val="000000"/>
                <w:sz w:val="16"/>
                <w:szCs w:val="16"/>
              </w:rPr>
            </w:pPr>
            <w:r w:rsidRPr="00BB79E7">
              <w:rPr>
                <w:rFonts w:ascii="Times New Roman" w:eastAsia="Times New Roman" w:hAnsi="Times New Roman" w:cs="Times New Roman"/>
                <w:b/>
                <w:bCs/>
                <w:color w:val="000000"/>
                <w:sz w:val="16"/>
                <w:szCs w:val="16"/>
              </w:rPr>
              <w:t xml:space="preserve">RESPONSABLE </w:t>
            </w:r>
          </w:p>
        </w:tc>
        <w:tc>
          <w:tcPr>
            <w:tcW w:w="931" w:type="dxa"/>
            <w:gridSpan w:val="2"/>
            <w:tcBorders>
              <w:top w:val="single" w:sz="8" w:space="0" w:color="000000"/>
              <w:left w:val="nil"/>
              <w:bottom w:val="single" w:sz="8" w:space="0" w:color="000000"/>
              <w:right w:val="single" w:sz="8" w:space="0" w:color="000000"/>
            </w:tcBorders>
            <w:shd w:val="clear" w:color="000000" w:fill="FFCC99"/>
            <w:vAlign w:val="center"/>
            <w:hideMark/>
          </w:tcPr>
          <w:p w14:paraId="3A685B94" w14:textId="77777777" w:rsidR="00BB79E7" w:rsidRPr="00BB79E7" w:rsidRDefault="00BB79E7" w:rsidP="00BB79E7">
            <w:pPr>
              <w:spacing w:after="0" w:line="240" w:lineRule="auto"/>
              <w:jc w:val="center"/>
              <w:rPr>
                <w:rFonts w:ascii="Times New Roman" w:eastAsia="Times New Roman" w:hAnsi="Times New Roman" w:cs="Times New Roman"/>
                <w:b/>
                <w:bCs/>
                <w:color w:val="000000"/>
                <w:sz w:val="16"/>
                <w:szCs w:val="16"/>
              </w:rPr>
            </w:pPr>
            <w:r w:rsidRPr="00BB79E7">
              <w:rPr>
                <w:rFonts w:ascii="Times New Roman" w:eastAsia="Times New Roman" w:hAnsi="Times New Roman" w:cs="Times New Roman"/>
                <w:b/>
                <w:bCs/>
                <w:color w:val="000000"/>
                <w:sz w:val="16"/>
                <w:szCs w:val="16"/>
              </w:rPr>
              <w:t>FECHA</w:t>
            </w:r>
          </w:p>
        </w:tc>
        <w:tc>
          <w:tcPr>
            <w:tcW w:w="59" w:type="dxa"/>
            <w:tcBorders>
              <w:top w:val="single" w:sz="8" w:space="0" w:color="000000"/>
              <w:left w:val="nil"/>
              <w:bottom w:val="nil"/>
              <w:right w:val="single" w:sz="8" w:space="0" w:color="000000"/>
            </w:tcBorders>
            <w:shd w:val="clear" w:color="000000" w:fill="000000"/>
            <w:vAlign w:val="center"/>
            <w:hideMark/>
          </w:tcPr>
          <w:p w14:paraId="508E1076"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605" w:type="dxa"/>
            <w:gridSpan w:val="4"/>
            <w:tcBorders>
              <w:top w:val="single" w:sz="8" w:space="0" w:color="000000"/>
              <w:left w:val="nil"/>
              <w:bottom w:val="single" w:sz="8" w:space="0" w:color="000000"/>
              <w:right w:val="single" w:sz="8" w:space="0" w:color="000000"/>
            </w:tcBorders>
            <w:shd w:val="clear" w:color="000000" w:fill="FFCC99"/>
            <w:vAlign w:val="center"/>
            <w:hideMark/>
          </w:tcPr>
          <w:p w14:paraId="751A5495" w14:textId="77777777" w:rsidR="00BB79E7" w:rsidRPr="00BB79E7" w:rsidRDefault="00BB79E7" w:rsidP="00BB79E7">
            <w:pPr>
              <w:spacing w:after="0" w:line="240" w:lineRule="auto"/>
              <w:jc w:val="center"/>
              <w:rPr>
                <w:rFonts w:ascii="Times New Roman" w:eastAsia="Times New Roman" w:hAnsi="Times New Roman" w:cs="Times New Roman"/>
                <w:b/>
                <w:bCs/>
                <w:color w:val="000000"/>
                <w:sz w:val="16"/>
                <w:szCs w:val="16"/>
              </w:rPr>
            </w:pPr>
            <w:r w:rsidRPr="00BB79E7">
              <w:rPr>
                <w:rFonts w:ascii="Times New Roman" w:eastAsia="Times New Roman" w:hAnsi="Times New Roman" w:cs="Times New Roman"/>
                <w:b/>
                <w:bCs/>
                <w:color w:val="000000"/>
                <w:sz w:val="16"/>
                <w:szCs w:val="16"/>
              </w:rPr>
              <w:t>FEBRERO</w:t>
            </w:r>
          </w:p>
        </w:tc>
        <w:tc>
          <w:tcPr>
            <w:tcW w:w="493" w:type="dxa"/>
            <w:gridSpan w:val="4"/>
            <w:tcBorders>
              <w:top w:val="single" w:sz="8" w:space="0" w:color="000000"/>
              <w:left w:val="nil"/>
              <w:bottom w:val="nil"/>
              <w:right w:val="single" w:sz="8" w:space="0" w:color="000000"/>
            </w:tcBorders>
            <w:shd w:val="clear" w:color="000000" w:fill="FFCC99"/>
            <w:vAlign w:val="center"/>
            <w:hideMark/>
          </w:tcPr>
          <w:p w14:paraId="0E2BD08B" w14:textId="77777777" w:rsidR="00BB79E7" w:rsidRPr="00BB79E7" w:rsidRDefault="00BB79E7" w:rsidP="00BB79E7">
            <w:pPr>
              <w:spacing w:after="0" w:line="240" w:lineRule="auto"/>
              <w:jc w:val="center"/>
              <w:rPr>
                <w:rFonts w:ascii="Times New Roman" w:eastAsia="Times New Roman" w:hAnsi="Times New Roman" w:cs="Times New Roman"/>
                <w:b/>
                <w:bCs/>
                <w:color w:val="000000"/>
                <w:sz w:val="16"/>
                <w:szCs w:val="16"/>
              </w:rPr>
            </w:pPr>
            <w:r w:rsidRPr="00BB79E7">
              <w:rPr>
                <w:rFonts w:ascii="Times New Roman" w:eastAsia="Times New Roman" w:hAnsi="Times New Roman" w:cs="Times New Roman"/>
                <w:b/>
                <w:bCs/>
                <w:color w:val="000000"/>
                <w:sz w:val="16"/>
                <w:szCs w:val="16"/>
              </w:rPr>
              <w:t>MARZO</w:t>
            </w:r>
          </w:p>
        </w:tc>
        <w:tc>
          <w:tcPr>
            <w:tcW w:w="536" w:type="dxa"/>
            <w:gridSpan w:val="5"/>
            <w:tcBorders>
              <w:top w:val="single" w:sz="8" w:space="0" w:color="000000"/>
              <w:left w:val="nil"/>
              <w:bottom w:val="single" w:sz="8" w:space="0" w:color="000000"/>
              <w:right w:val="single" w:sz="8" w:space="0" w:color="000000"/>
            </w:tcBorders>
            <w:shd w:val="clear" w:color="000000" w:fill="FFCC99"/>
            <w:vAlign w:val="center"/>
            <w:hideMark/>
          </w:tcPr>
          <w:p w14:paraId="41EC1413" w14:textId="77777777" w:rsidR="00BB79E7" w:rsidRPr="00BB79E7" w:rsidRDefault="00BB79E7" w:rsidP="00BB79E7">
            <w:pPr>
              <w:spacing w:after="0" w:line="240" w:lineRule="auto"/>
              <w:jc w:val="center"/>
              <w:rPr>
                <w:rFonts w:ascii="Times New Roman" w:eastAsia="Times New Roman" w:hAnsi="Times New Roman" w:cs="Times New Roman"/>
                <w:b/>
                <w:bCs/>
                <w:color w:val="000000"/>
                <w:sz w:val="16"/>
                <w:szCs w:val="16"/>
              </w:rPr>
            </w:pPr>
            <w:r w:rsidRPr="00BB79E7">
              <w:rPr>
                <w:rFonts w:ascii="Times New Roman" w:eastAsia="Times New Roman" w:hAnsi="Times New Roman" w:cs="Times New Roman"/>
                <w:b/>
                <w:bCs/>
                <w:color w:val="000000"/>
                <w:sz w:val="16"/>
                <w:szCs w:val="16"/>
              </w:rPr>
              <w:t>ABRIL</w:t>
            </w:r>
          </w:p>
        </w:tc>
        <w:tc>
          <w:tcPr>
            <w:tcW w:w="560" w:type="dxa"/>
            <w:gridSpan w:val="4"/>
            <w:tcBorders>
              <w:top w:val="single" w:sz="8" w:space="0" w:color="000000"/>
              <w:left w:val="nil"/>
              <w:bottom w:val="single" w:sz="8" w:space="0" w:color="000000"/>
              <w:right w:val="single" w:sz="8" w:space="0" w:color="000000"/>
            </w:tcBorders>
            <w:shd w:val="clear" w:color="000000" w:fill="FFCC99"/>
            <w:vAlign w:val="center"/>
            <w:hideMark/>
          </w:tcPr>
          <w:p w14:paraId="18CB03DB" w14:textId="77777777" w:rsidR="00BB79E7" w:rsidRPr="00BB79E7" w:rsidRDefault="00BB79E7" w:rsidP="00BB79E7">
            <w:pPr>
              <w:spacing w:after="0" w:line="240" w:lineRule="auto"/>
              <w:jc w:val="center"/>
              <w:rPr>
                <w:rFonts w:ascii="Times New Roman" w:eastAsia="Times New Roman" w:hAnsi="Times New Roman" w:cs="Times New Roman"/>
                <w:b/>
                <w:bCs/>
                <w:color w:val="000000"/>
                <w:sz w:val="16"/>
                <w:szCs w:val="16"/>
              </w:rPr>
            </w:pPr>
            <w:r w:rsidRPr="00BB79E7">
              <w:rPr>
                <w:rFonts w:ascii="Times New Roman" w:eastAsia="Times New Roman" w:hAnsi="Times New Roman" w:cs="Times New Roman"/>
                <w:b/>
                <w:bCs/>
                <w:color w:val="000000"/>
                <w:sz w:val="16"/>
                <w:szCs w:val="16"/>
              </w:rPr>
              <w:t>MAYO</w:t>
            </w:r>
          </w:p>
        </w:tc>
        <w:tc>
          <w:tcPr>
            <w:tcW w:w="618" w:type="dxa"/>
            <w:gridSpan w:val="5"/>
            <w:tcBorders>
              <w:top w:val="single" w:sz="8" w:space="0" w:color="000000"/>
              <w:left w:val="nil"/>
              <w:bottom w:val="single" w:sz="8" w:space="0" w:color="000000"/>
              <w:right w:val="single" w:sz="8" w:space="0" w:color="000000"/>
            </w:tcBorders>
            <w:shd w:val="clear" w:color="000000" w:fill="FFCC99"/>
            <w:vAlign w:val="center"/>
            <w:hideMark/>
          </w:tcPr>
          <w:p w14:paraId="3F5FB210" w14:textId="77777777" w:rsidR="00BB79E7" w:rsidRPr="00BB79E7" w:rsidRDefault="00BB79E7" w:rsidP="00BB79E7">
            <w:pPr>
              <w:spacing w:after="0" w:line="240" w:lineRule="auto"/>
              <w:jc w:val="center"/>
              <w:rPr>
                <w:rFonts w:ascii="Times New Roman" w:eastAsia="Times New Roman" w:hAnsi="Times New Roman" w:cs="Times New Roman"/>
                <w:b/>
                <w:bCs/>
                <w:color w:val="000000"/>
                <w:sz w:val="16"/>
                <w:szCs w:val="16"/>
              </w:rPr>
            </w:pPr>
            <w:r w:rsidRPr="00BB79E7">
              <w:rPr>
                <w:rFonts w:ascii="Times New Roman" w:eastAsia="Times New Roman" w:hAnsi="Times New Roman" w:cs="Times New Roman"/>
                <w:b/>
                <w:bCs/>
                <w:color w:val="000000"/>
                <w:sz w:val="16"/>
                <w:szCs w:val="16"/>
              </w:rPr>
              <w:t>JUNIO</w:t>
            </w:r>
          </w:p>
        </w:tc>
        <w:tc>
          <w:tcPr>
            <w:tcW w:w="605" w:type="dxa"/>
            <w:gridSpan w:val="6"/>
            <w:tcBorders>
              <w:top w:val="single" w:sz="8" w:space="0" w:color="000000"/>
              <w:left w:val="nil"/>
              <w:bottom w:val="single" w:sz="8" w:space="0" w:color="000000"/>
              <w:right w:val="single" w:sz="8" w:space="0" w:color="000000"/>
            </w:tcBorders>
            <w:shd w:val="clear" w:color="000000" w:fill="FFCC99"/>
            <w:vAlign w:val="center"/>
            <w:hideMark/>
          </w:tcPr>
          <w:p w14:paraId="553EF0EB" w14:textId="77777777" w:rsidR="00BB79E7" w:rsidRPr="00BB79E7" w:rsidRDefault="00BB79E7" w:rsidP="00BB79E7">
            <w:pPr>
              <w:spacing w:after="0" w:line="240" w:lineRule="auto"/>
              <w:jc w:val="center"/>
              <w:rPr>
                <w:rFonts w:ascii="Times New Roman" w:eastAsia="Times New Roman" w:hAnsi="Times New Roman" w:cs="Times New Roman"/>
                <w:b/>
                <w:bCs/>
                <w:color w:val="000000"/>
                <w:sz w:val="16"/>
                <w:szCs w:val="16"/>
              </w:rPr>
            </w:pPr>
            <w:r w:rsidRPr="00BB79E7">
              <w:rPr>
                <w:rFonts w:ascii="Times New Roman" w:eastAsia="Times New Roman" w:hAnsi="Times New Roman" w:cs="Times New Roman"/>
                <w:b/>
                <w:bCs/>
                <w:color w:val="000000"/>
                <w:sz w:val="16"/>
                <w:szCs w:val="16"/>
              </w:rPr>
              <w:t>JULIO</w:t>
            </w:r>
          </w:p>
        </w:tc>
        <w:tc>
          <w:tcPr>
            <w:tcW w:w="552" w:type="dxa"/>
            <w:gridSpan w:val="4"/>
            <w:tcBorders>
              <w:top w:val="single" w:sz="8" w:space="0" w:color="000000"/>
              <w:left w:val="nil"/>
              <w:bottom w:val="single" w:sz="8" w:space="0" w:color="000000"/>
              <w:right w:val="single" w:sz="8" w:space="0" w:color="000000"/>
            </w:tcBorders>
            <w:shd w:val="clear" w:color="000000" w:fill="FFCC99"/>
            <w:vAlign w:val="center"/>
            <w:hideMark/>
          </w:tcPr>
          <w:p w14:paraId="6AAD50CB" w14:textId="77777777" w:rsidR="00BB79E7" w:rsidRPr="00BB79E7" w:rsidRDefault="00BB79E7" w:rsidP="00BB79E7">
            <w:pPr>
              <w:spacing w:after="0" w:line="240" w:lineRule="auto"/>
              <w:jc w:val="center"/>
              <w:rPr>
                <w:rFonts w:ascii="Times New Roman" w:eastAsia="Times New Roman" w:hAnsi="Times New Roman" w:cs="Times New Roman"/>
                <w:b/>
                <w:bCs/>
                <w:color w:val="000000"/>
                <w:sz w:val="16"/>
                <w:szCs w:val="16"/>
              </w:rPr>
            </w:pPr>
            <w:r w:rsidRPr="00BB79E7">
              <w:rPr>
                <w:rFonts w:ascii="Times New Roman" w:eastAsia="Times New Roman" w:hAnsi="Times New Roman" w:cs="Times New Roman"/>
                <w:b/>
                <w:bCs/>
                <w:color w:val="000000"/>
                <w:sz w:val="16"/>
                <w:szCs w:val="16"/>
              </w:rPr>
              <w:t>AGOSTO</w:t>
            </w:r>
          </w:p>
        </w:tc>
        <w:tc>
          <w:tcPr>
            <w:tcW w:w="796" w:type="dxa"/>
            <w:gridSpan w:val="4"/>
            <w:tcBorders>
              <w:top w:val="single" w:sz="8" w:space="0" w:color="000000"/>
              <w:left w:val="nil"/>
              <w:bottom w:val="single" w:sz="8" w:space="0" w:color="000000"/>
              <w:right w:val="single" w:sz="8" w:space="0" w:color="000000"/>
            </w:tcBorders>
            <w:shd w:val="clear" w:color="000000" w:fill="FFCC99"/>
            <w:vAlign w:val="center"/>
            <w:hideMark/>
          </w:tcPr>
          <w:p w14:paraId="16016B64" w14:textId="77777777" w:rsidR="00BB79E7" w:rsidRPr="00BB79E7" w:rsidRDefault="00BB79E7" w:rsidP="00BB79E7">
            <w:pPr>
              <w:spacing w:after="0" w:line="240" w:lineRule="auto"/>
              <w:jc w:val="center"/>
              <w:rPr>
                <w:rFonts w:ascii="Times New Roman" w:eastAsia="Times New Roman" w:hAnsi="Times New Roman" w:cs="Times New Roman"/>
                <w:b/>
                <w:bCs/>
                <w:color w:val="000000"/>
                <w:sz w:val="16"/>
                <w:szCs w:val="16"/>
              </w:rPr>
            </w:pPr>
            <w:r w:rsidRPr="00BB79E7">
              <w:rPr>
                <w:rFonts w:ascii="Times New Roman" w:eastAsia="Times New Roman" w:hAnsi="Times New Roman" w:cs="Times New Roman"/>
                <w:b/>
                <w:bCs/>
                <w:color w:val="000000"/>
                <w:sz w:val="16"/>
                <w:szCs w:val="16"/>
              </w:rPr>
              <w:t>SEPTIEMBRE</w:t>
            </w:r>
          </w:p>
        </w:tc>
        <w:tc>
          <w:tcPr>
            <w:tcW w:w="700" w:type="dxa"/>
            <w:gridSpan w:val="5"/>
            <w:tcBorders>
              <w:top w:val="single" w:sz="8" w:space="0" w:color="000000"/>
              <w:left w:val="nil"/>
              <w:bottom w:val="single" w:sz="8" w:space="0" w:color="000000"/>
              <w:right w:val="single" w:sz="8" w:space="0" w:color="000000"/>
            </w:tcBorders>
            <w:shd w:val="clear" w:color="000000" w:fill="FFCC99"/>
            <w:vAlign w:val="center"/>
            <w:hideMark/>
          </w:tcPr>
          <w:p w14:paraId="4F81A788" w14:textId="77777777" w:rsidR="00BB79E7" w:rsidRPr="00BB79E7" w:rsidRDefault="00BB79E7" w:rsidP="00BB79E7">
            <w:pPr>
              <w:spacing w:after="0" w:line="240" w:lineRule="auto"/>
              <w:jc w:val="center"/>
              <w:rPr>
                <w:rFonts w:ascii="Times New Roman" w:eastAsia="Times New Roman" w:hAnsi="Times New Roman" w:cs="Times New Roman"/>
                <w:b/>
                <w:bCs/>
                <w:color w:val="000000"/>
                <w:sz w:val="16"/>
                <w:szCs w:val="16"/>
              </w:rPr>
            </w:pPr>
            <w:r w:rsidRPr="00BB79E7">
              <w:rPr>
                <w:rFonts w:ascii="Times New Roman" w:eastAsia="Times New Roman" w:hAnsi="Times New Roman" w:cs="Times New Roman"/>
                <w:b/>
                <w:bCs/>
                <w:color w:val="000000"/>
                <w:sz w:val="16"/>
                <w:szCs w:val="16"/>
              </w:rPr>
              <w:t>OCTUBRE</w:t>
            </w:r>
          </w:p>
        </w:tc>
        <w:tc>
          <w:tcPr>
            <w:tcW w:w="766" w:type="dxa"/>
            <w:gridSpan w:val="4"/>
            <w:tcBorders>
              <w:top w:val="single" w:sz="8" w:space="0" w:color="000000"/>
              <w:left w:val="nil"/>
              <w:bottom w:val="single" w:sz="8" w:space="0" w:color="000000"/>
              <w:right w:val="nil"/>
            </w:tcBorders>
            <w:shd w:val="clear" w:color="000000" w:fill="FFCC99"/>
            <w:vAlign w:val="center"/>
            <w:hideMark/>
          </w:tcPr>
          <w:p w14:paraId="3C04DBD5" w14:textId="77777777" w:rsidR="00BB79E7" w:rsidRPr="00BB79E7" w:rsidRDefault="00BB79E7" w:rsidP="00BB79E7">
            <w:pPr>
              <w:spacing w:after="0" w:line="240" w:lineRule="auto"/>
              <w:jc w:val="center"/>
              <w:rPr>
                <w:rFonts w:ascii="Times New Roman" w:eastAsia="Times New Roman" w:hAnsi="Times New Roman" w:cs="Times New Roman"/>
                <w:b/>
                <w:bCs/>
                <w:color w:val="000000"/>
                <w:sz w:val="16"/>
                <w:szCs w:val="16"/>
              </w:rPr>
            </w:pPr>
            <w:r w:rsidRPr="00BB79E7">
              <w:rPr>
                <w:rFonts w:ascii="Times New Roman" w:eastAsia="Times New Roman" w:hAnsi="Times New Roman" w:cs="Times New Roman"/>
                <w:b/>
                <w:bCs/>
                <w:color w:val="000000"/>
                <w:sz w:val="16"/>
                <w:szCs w:val="16"/>
              </w:rPr>
              <w:t>NOVIEMBRE</w:t>
            </w:r>
          </w:p>
        </w:tc>
      </w:tr>
      <w:tr w:rsidR="000A08CB" w:rsidRPr="00BB79E7" w14:paraId="4210D142" w14:textId="77777777" w:rsidTr="00BB79E7">
        <w:trPr>
          <w:trHeight w:val="320"/>
        </w:trPr>
        <w:tc>
          <w:tcPr>
            <w:tcW w:w="805" w:type="dxa"/>
            <w:vMerge/>
            <w:tcBorders>
              <w:top w:val="single" w:sz="8" w:space="0" w:color="000000"/>
              <w:left w:val="single" w:sz="8" w:space="0" w:color="000000"/>
              <w:bottom w:val="single" w:sz="8" w:space="0" w:color="000000"/>
              <w:right w:val="single" w:sz="8" w:space="0" w:color="000000"/>
            </w:tcBorders>
            <w:vAlign w:val="center"/>
            <w:hideMark/>
          </w:tcPr>
          <w:p w14:paraId="376F588A" w14:textId="77777777" w:rsidR="00BB79E7" w:rsidRPr="00BB79E7" w:rsidRDefault="00BB79E7" w:rsidP="00BB79E7">
            <w:pPr>
              <w:spacing w:after="0" w:line="240" w:lineRule="auto"/>
              <w:rPr>
                <w:rFonts w:ascii="Times New Roman" w:eastAsia="Times New Roman" w:hAnsi="Times New Roman" w:cs="Times New Roman"/>
                <w:b/>
                <w:bCs/>
                <w:color w:val="000000"/>
                <w:sz w:val="16"/>
                <w:szCs w:val="16"/>
              </w:rPr>
            </w:pPr>
          </w:p>
        </w:tc>
        <w:tc>
          <w:tcPr>
            <w:tcW w:w="842" w:type="dxa"/>
            <w:vMerge/>
            <w:tcBorders>
              <w:top w:val="single" w:sz="8" w:space="0" w:color="000000"/>
              <w:left w:val="single" w:sz="8" w:space="0" w:color="000000"/>
              <w:bottom w:val="single" w:sz="8" w:space="0" w:color="000000"/>
              <w:right w:val="single" w:sz="8" w:space="0" w:color="000000"/>
            </w:tcBorders>
            <w:vAlign w:val="center"/>
            <w:hideMark/>
          </w:tcPr>
          <w:p w14:paraId="45A466A5" w14:textId="77777777" w:rsidR="00BB79E7" w:rsidRPr="00BB79E7" w:rsidRDefault="00BB79E7" w:rsidP="00BB79E7">
            <w:pPr>
              <w:spacing w:after="0" w:line="240" w:lineRule="auto"/>
              <w:rPr>
                <w:rFonts w:ascii="Times New Roman" w:eastAsia="Times New Roman" w:hAnsi="Times New Roman" w:cs="Times New Roman"/>
                <w:b/>
                <w:bCs/>
                <w:color w:val="000000"/>
                <w:sz w:val="16"/>
                <w:szCs w:val="16"/>
              </w:rPr>
            </w:pPr>
          </w:p>
        </w:tc>
        <w:tc>
          <w:tcPr>
            <w:tcW w:w="479" w:type="dxa"/>
            <w:tcBorders>
              <w:top w:val="nil"/>
              <w:left w:val="nil"/>
              <w:bottom w:val="single" w:sz="8" w:space="0" w:color="000000"/>
              <w:right w:val="single" w:sz="8" w:space="0" w:color="000000"/>
            </w:tcBorders>
            <w:shd w:val="clear" w:color="000000" w:fill="FFCC00"/>
            <w:vAlign w:val="center"/>
            <w:hideMark/>
          </w:tcPr>
          <w:p w14:paraId="4F02B0D7" w14:textId="77777777" w:rsidR="00BB79E7" w:rsidRPr="00BB79E7" w:rsidRDefault="00BB79E7" w:rsidP="00BB79E7">
            <w:pPr>
              <w:spacing w:after="0" w:line="240" w:lineRule="auto"/>
              <w:jc w:val="center"/>
              <w:rPr>
                <w:rFonts w:ascii="Times New Roman" w:eastAsia="Times New Roman" w:hAnsi="Times New Roman" w:cs="Times New Roman"/>
                <w:b/>
                <w:bCs/>
                <w:color w:val="000000"/>
                <w:sz w:val="16"/>
                <w:szCs w:val="16"/>
              </w:rPr>
            </w:pPr>
            <w:r w:rsidRPr="00BB79E7">
              <w:rPr>
                <w:rFonts w:ascii="Times New Roman" w:eastAsia="Times New Roman" w:hAnsi="Times New Roman" w:cs="Times New Roman"/>
                <w:b/>
                <w:bCs/>
                <w:color w:val="000000"/>
                <w:sz w:val="16"/>
                <w:szCs w:val="16"/>
              </w:rPr>
              <w:t>Inicio</w:t>
            </w:r>
          </w:p>
        </w:tc>
        <w:tc>
          <w:tcPr>
            <w:tcW w:w="452" w:type="dxa"/>
            <w:tcBorders>
              <w:top w:val="nil"/>
              <w:left w:val="nil"/>
              <w:bottom w:val="single" w:sz="8" w:space="0" w:color="000000"/>
              <w:right w:val="nil"/>
            </w:tcBorders>
            <w:shd w:val="clear" w:color="000000" w:fill="FFCC00"/>
            <w:vAlign w:val="center"/>
            <w:hideMark/>
          </w:tcPr>
          <w:p w14:paraId="35470D56" w14:textId="77777777" w:rsidR="00BB79E7" w:rsidRPr="00BB79E7" w:rsidRDefault="00BB79E7" w:rsidP="00BB79E7">
            <w:pPr>
              <w:spacing w:after="0" w:line="240" w:lineRule="auto"/>
              <w:jc w:val="center"/>
              <w:rPr>
                <w:rFonts w:ascii="Times New Roman" w:eastAsia="Times New Roman" w:hAnsi="Times New Roman" w:cs="Times New Roman"/>
                <w:b/>
                <w:bCs/>
                <w:color w:val="000000"/>
                <w:sz w:val="16"/>
                <w:szCs w:val="16"/>
              </w:rPr>
            </w:pPr>
            <w:r w:rsidRPr="00BB79E7">
              <w:rPr>
                <w:rFonts w:ascii="Times New Roman" w:eastAsia="Times New Roman" w:hAnsi="Times New Roman" w:cs="Times New Roman"/>
                <w:b/>
                <w:bCs/>
                <w:color w:val="000000"/>
                <w:sz w:val="16"/>
                <w:szCs w:val="16"/>
              </w:rPr>
              <w:t>Fin.</w:t>
            </w:r>
          </w:p>
        </w:tc>
        <w:tc>
          <w:tcPr>
            <w:tcW w:w="59" w:type="dxa"/>
            <w:tcBorders>
              <w:top w:val="nil"/>
              <w:left w:val="single" w:sz="8" w:space="0" w:color="000000"/>
              <w:bottom w:val="single" w:sz="8" w:space="0" w:color="000000"/>
              <w:right w:val="single" w:sz="8" w:space="0" w:color="000000"/>
            </w:tcBorders>
            <w:shd w:val="clear" w:color="000000" w:fill="000000"/>
            <w:vAlign w:val="center"/>
            <w:hideMark/>
          </w:tcPr>
          <w:p w14:paraId="01D75EEF"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73" w:type="dxa"/>
            <w:tcBorders>
              <w:top w:val="nil"/>
              <w:left w:val="nil"/>
              <w:bottom w:val="nil"/>
              <w:right w:val="single" w:sz="8" w:space="0" w:color="000000"/>
            </w:tcBorders>
            <w:shd w:val="clear" w:color="000000" w:fill="FFCC00"/>
            <w:vAlign w:val="center"/>
            <w:hideMark/>
          </w:tcPr>
          <w:p w14:paraId="3E619D43"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1</w:t>
            </w:r>
          </w:p>
        </w:tc>
        <w:tc>
          <w:tcPr>
            <w:tcW w:w="155" w:type="dxa"/>
            <w:tcBorders>
              <w:top w:val="nil"/>
              <w:left w:val="nil"/>
              <w:bottom w:val="nil"/>
              <w:right w:val="single" w:sz="8" w:space="0" w:color="000000"/>
            </w:tcBorders>
            <w:shd w:val="clear" w:color="000000" w:fill="FFCC00"/>
            <w:vAlign w:val="center"/>
            <w:hideMark/>
          </w:tcPr>
          <w:p w14:paraId="41DAF426"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2</w:t>
            </w:r>
          </w:p>
        </w:tc>
        <w:tc>
          <w:tcPr>
            <w:tcW w:w="143" w:type="dxa"/>
            <w:tcBorders>
              <w:top w:val="nil"/>
              <w:left w:val="nil"/>
              <w:bottom w:val="nil"/>
              <w:right w:val="single" w:sz="8" w:space="0" w:color="000000"/>
            </w:tcBorders>
            <w:shd w:val="clear" w:color="000000" w:fill="FFCC00"/>
            <w:vAlign w:val="center"/>
            <w:hideMark/>
          </w:tcPr>
          <w:p w14:paraId="07D53A5D"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3</w:t>
            </w:r>
          </w:p>
        </w:tc>
        <w:tc>
          <w:tcPr>
            <w:tcW w:w="134" w:type="dxa"/>
            <w:tcBorders>
              <w:top w:val="nil"/>
              <w:left w:val="nil"/>
              <w:bottom w:val="nil"/>
              <w:right w:val="single" w:sz="8" w:space="0" w:color="000000"/>
            </w:tcBorders>
            <w:shd w:val="clear" w:color="000000" w:fill="FFCC00"/>
            <w:vAlign w:val="center"/>
            <w:hideMark/>
          </w:tcPr>
          <w:p w14:paraId="1A2CAC1F"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4</w:t>
            </w:r>
          </w:p>
        </w:tc>
        <w:tc>
          <w:tcPr>
            <w:tcW w:w="135" w:type="dxa"/>
            <w:tcBorders>
              <w:top w:val="single" w:sz="8" w:space="0" w:color="000000"/>
              <w:left w:val="nil"/>
              <w:bottom w:val="nil"/>
              <w:right w:val="nil"/>
            </w:tcBorders>
            <w:shd w:val="clear" w:color="000000" w:fill="FFCC00"/>
            <w:vAlign w:val="center"/>
            <w:hideMark/>
          </w:tcPr>
          <w:p w14:paraId="3ED3ECCA"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5</w:t>
            </w:r>
          </w:p>
        </w:tc>
        <w:tc>
          <w:tcPr>
            <w:tcW w:w="126" w:type="dxa"/>
            <w:tcBorders>
              <w:top w:val="nil"/>
              <w:left w:val="single" w:sz="8" w:space="0" w:color="000000"/>
              <w:bottom w:val="nil"/>
              <w:right w:val="single" w:sz="8" w:space="0" w:color="000000"/>
            </w:tcBorders>
            <w:shd w:val="clear" w:color="000000" w:fill="FFCC00"/>
            <w:vAlign w:val="center"/>
            <w:hideMark/>
          </w:tcPr>
          <w:p w14:paraId="632FDED1"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6</w:t>
            </w:r>
          </w:p>
        </w:tc>
        <w:tc>
          <w:tcPr>
            <w:tcW w:w="119" w:type="dxa"/>
            <w:tcBorders>
              <w:top w:val="nil"/>
              <w:left w:val="nil"/>
              <w:bottom w:val="nil"/>
              <w:right w:val="single" w:sz="8" w:space="0" w:color="000000"/>
            </w:tcBorders>
            <w:shd w:val="clear" w:color="000000" w:fill="FFCC00"/>
            <w:vAlign w:val="center"/>
            <w:hideMark/>
          </w:tcPr>
          <w:p w14:paraId="3E83E52C"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7</w:t>
            </w:r>
          </w:p>
        </w:tc>
        <w:tc>
          <w:tcPr>
            <w:tcW w:w="113" w:type="dxa"/>
            <w:tcBorders>
              <w:top w:val="nil"/>
              <w:left w:val="nil"/>
              <w:bottom w:val="nil"/>
              <w:right w:val="single" w:sz="8" w:space="0" w:color="000000"/>
            </w:tcBorders>
            <w:shd w:val="clear" w:color="000000" w:fill="FFCC00"/>
            <w:vAlign w:val="center"/>
            <w:hideMark/>
          </w:tcPr>
          <w:p w14:paraId="64FB9C61"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8</w:t>
            </w:r>
          </w:p>
        </w:tc>
        <w:tc>
          <w:tcPr>
            <w:tcW w:w="116" w:type="dxa"/>
            <w:gridSpan w:val="2"/>
            <w:tcBorders>
              <w:top w:val="single" w:sz="8" w:space="0" w:color="000000"/>
              <w:left w:val="nil"/>
              <w:bottom w:val="nil"/>
              <w:right w:val="single" w:sz="8" w:space="0" w:color="000000"/>
            </w:tcBorders>
            <w:shd w:val="clear" w:color="000000" w:fill="FFCC00"/>
            <w:vAlign w:val="center"/>
            <w:hideMark/>
          </w:tcPr>
          <w:p w14:paraId="23AB1573"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9</w:t>
            </w:r>
          </w:p>
        </w:tc>
        <w:tc>
          <w:tcPr>
            <w:tcW w:w="140" w:type="dxa"/>
            <w:tcBorders>
              <w:top w:val="nil"/>
              <w:left w:val="nil"/>
              <w:bottom w:val="nil"/>
              <w:right w:val="single" w:sz="8" w:space="0" w:color="000000"/>
            </w:tcBorders>
            <w:shd w:val="clear" w:color="000000" w:fill="FFCC00"/>
            <w:vAlign w:val="center"/>
            <w:hideMark/>
          </w:tcPr>
          <w:p w14:paraId="756298F1"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10</w:t>
            </w:r>
          </w:p>
        </w:tc>
        <w:tc>
          <w:tcPr>
            <w:tcW w:w="140" w:type="dxa"/>
            <w:tcBorders>
              <w:top w:val="nil"/>
              <w:left w:val="nil"/>
              <w:bottom w:val="nil"/>
              <w:right w:val="single" w:sz="8" w:space="0" w:color="000000"/>
            </w:tcBorders>
            <w:shd w:val="clear" w:color="000000" w:fill="FFCC00"/>
            <w:vAlign w:val="center"/>
            <w:hideMark/>
          </w:tcPr>
          <w:p w14:paraId="62925048"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11</w:t>
            </w:r>
          </w:p>
        </w:tc>
        <w:tc>
          <w:tcPr>
            <w:tcW w:w="140" w:type="dxa"/>
            <w:tcBorders>
              <w:top w:val="nil"/>
              <w:left w:val="nil"/>
              <w:bottom w:val="nil"/>
              <w:right w:val="single" w:sz="8" w:space="0" w:color="000000"/>
            </w:tcBorders>
            <w:shd w:val="clear" w:color="000000" w:fill="FFCC00"/>
            <w:vAlign w:val="center"/>
            <w:hideMark/>
          </w:tcPr>
          <w:p w14:paraId="221EC861"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12</w:t>
            </w:r>
          </w:p>
        </w:tc>
        <w:tc>
          <w:tcPr>
            <w:tcW w:w="140" w:type="dxa"/>
            <w:tcBorders>
              <w:top w:val="nil"/>
              <w:left w:val="nil"/>
              <w:bottom w:val="nil"/>
              <w:right w:val="single" w:sz="8" w:space="0" w:color="000000"/>
            </w:tcBorders>
            <w:shd w:val="clear" w:color="000000" w:fill="FFCC00"/>
            <w:vAlign w:val="center"/>
            <w:hideMark/>
          </w:tcPr>
          <w:p w14:paraId="11F9EC23"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13</w:t>
            </w:r>
          </w:p>
        </w:tc>
        <w:tc>
          <w:tcPr>
            <w:tcW w:w="140" w:type="dxa"/>
            <w:tcBorders>
              <w:top w:val="nil"/>
              <w:left w:val="nil"/>
              <w:bottom w:val="nil"/>
              <w:right w:val="single" w:sz="8" w:space="0" w:color="000000"/>
            </w:tcBorders>
            <w:shd w:val="clear" w:color="000000" w:fill="FFCC00"/>
            <w:vAlign w:val="center"/>
            <w:hideMark/>
          </w:tcPr>
          <w:p w14:paraId="3BE4A55A"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14</w:t>
            </w:r>
          </w:p>
        </w:tc>
        <w:tc>
          <w:tcPr>
            <w:tcW w:w="140" w:type="dxa"/>
            <w:tcBorders>
              <w:top w:val="nil"/>
              <w:left w:val="nil"/>
              <w:bottom w:val="nil"/>
              <w:right w:val="single" w:sz="8" w:space="0" w:color="000000"/>
            </w:tcBorders>
            <w:shd w:val="clear" w:color="000000" w:fill="FFCC00"/>
            <w:vAlign w:val="center"/>
            <w:hideMark/>
          </w:tcPr>
          <w:p w14:paraId="4DA82EBC"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15</w:t>
            </w:r>
          </w:p>
        </w:tc>
        <w:tc>
          <w:tcPr>
            <w:tcW w:w="140" w:type="dxa"/>
            <w:tcBorders>
              <w:top w:val="nil"/>
              <w:left w:val="nil"/>
              <w:bottom w:val="nil"/>
              <w:right w:val="single" w:sz="8" w:space="0" w:color="000000"/>
            </w:tcBorders>
            <w:shd w:val="clear" w:color="000000" w:fill="FFCC00"/>
            <w:vAlign w:val="center"/>
            <w:hideMark/>
          </w:tcPr>
          <w:p w14:paraId="4815AF40"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16</w:t>
            </w:r>
          </w:p>
        </w:tc>
        <w:tc>
          <w:tcPr>
            <w:tcW w:w="140" w:type="dxa"/>
            <w:tcBorders>
              <w:top w:val="nil"/>
              <w:left w:val="nil"/>
              <w:bottom w:val="nil"/>
              <w:right w:val="nil"/>
            </w:tcBorders>
            <w:shd w:val="clear" w:color="000000" w:fill="FFCC00"/>
            <w:vAlign w:val="center"/>
            <w:hideMark/>
          </w:tcPr>
          <w:p w14:paraId="02F0F2A3"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17</w:t>
            </w:r>
          </w:p>
        </w:tc>
        <w:tc>
          <w:tcPr>
            <w:tcW w:w="140" w:type="dxa"/>
            <w:tcBorders>
              <w:top w:val="nil"/>
              <w:left w:val="single" w:sz="8" w:space="0" w:color="000000"/>
              <w:bottom w:val="nil"/>
              <w:right w:val="single" w:sz="8" w:space="0" w:color="000000"/>
            </w:tcBorders>
            <w:shd w:val="clear" w:color="000000" w:fill="FFCC00"/>
            <w:vAlign w:val="center"/>
            <w:hideMark/>
          </w:tcPr>
          <w:p w14:paraId="7098F628"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18</w:t>
            </w:r>
          </w:p>
        </w:tc>
        <w:tc>
          <w:tcPr>
            <w:tcW w:w="140" w:type="dxa"/>
            <w:tcBorders>
              <w:top w:val="nil"/>
              <w:left w:val="nil"/>
              <w:bottom w:val="nil"/>
              <w:right w:val="single" w:sz="8" w:space="0" w:color="000000"/>
            </w:tcBorders>
            <w:shd w:val="clear" w:color="000000" w:fill="FFCC00"/>
            <w:vAlign w:val="center"/>
            <w:hideMark/>
          </w:tcPr>
          <w:p w14:paraId="37285D69"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19</w:t>
            </w:r>
          </w:p>
        </w:tc>
        <w:tc>
          <w:tcPr>
            <w:tcW w:w="140" w:type="dxa"/>
            <w:tcBorders>
              <w:top w:val="nil"/>
              <w:left w:val="nil"/>
              <w:bottom w:val="nil"/>
              <w:right w:val="single" w:sz="8" w:space="0" w:color="000000"/>
            </w:tcBorders>
            <w:shd w:val="clear" w:color="000000" w:fill="FFCC00"/>
            <w:vAlign w:val="center"/>
            <w:hideMark/>
          </w:tcPr>
          <w:p w14:paraId="22945FE3"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20</w:t>
            </w:r>
          </w:p>
        </w:tc>
        <w:tc>
          <w:tcPr>
            <w:tcW w:w="174" w:type="dxa"/>
            <w:gridSpan w:val="3"/>
            <w:tcBorders>
              <w:top w:val="single" w:sz="8" w:space="0" w:color="000000"/>
              <w:left w:val="nil"/>
              <w:bottom w:val="nil"/>
              <w:right w:val="single" w:sz="8" w:space="0" w:color="000000"/>
            </w:tcBorders>
            <w:shd w:val="clear" w:color="000000" w:fill="FFCC00"/>
            <w:vAlign w:val="center"/>
            <w:hideMark/>
          </w:tcPr>
          <w:p w14:paraId="312F39AB"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21</w:t>
            </w:r>
          </w:p>
        </w:tc>
        <w:tc>
          <w:tcPr>
            <w:tcW w:w="140" w:type="dxa"/>
            <w:tcBorders>
              <w:top w:val="nil"/>
              <w:left w:val="nil"/>
              <w:bottom w:val="nil"/>
              <w:right w:val="single" w:sz="8" w:space="0" w:color="000000"/>
            </w:tcBorders>
            <w:shd w:val="clear" w:color="000000" w:fill="FFCC00"/>
            <w:vAlign w:val="center"/>
            <w:hideMark/>
          </w:tcPr>
          <w:p w14:paraId="7BC4236B"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22</w:t>
            </w:r>
          </w:p>
        </w:tc>
        <w:tc>
          <w:tcPr>
            <w:tcW w:w="140" w:type="dxa"/>
            <w:tcBorders>
              <w:top w:val="nil"/>
              <w:left w:val="nil"/>
              <w:bottom w:val="nil"/>
              <w:right w:val="single" w:sz="8" w:space="0" w:color="000000"/>
            </w:tcBorders>
            <w:shd w:val="clear" w:color="000000" w:fill="FFCC00"/>
            <w:vAlign w:val="center"/>
            <w:hideMark/>
          </w:tcPr>
          <w:p w14:paraId="2E8FB8F5"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23</w:t>
            </w:r>
          </w:p>
        </w:tc>
        <w:tc>
          <w:tcPr>
            <w:tcW w:w="140" w:type="dxa"/>
            <w:tcBorders>
              <w:top w:val="nil"/>
              <w:left w:val="nil"/>
              <w:bottom w:val="nil"/>
              <w:right w:val="single" w:sz="8" w:space="0" w:color="000000"/>
            </w:tcBorders>
            <w:shd w:val="clear" w:color="000000" w:fill="FFCC00"/>
            <w:vAlign w:val="center"/>
            <w:hideMark/>
          </w:tcPr>
          <w:p w14:paraId="5AB756DC"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24</w:t>
            </w:r>
          </w:p>
        </w:tc>
        <w:tc>
          <w:tcPr>
            <w:tcW w:w="154" w:type="dxa"/>
            <w:gridSpan w:val="2"/>
            <w:tcBorders>
              <w:top w:val="single" w:sz="8" w:space="0" w:color="000000"/>
              <w:left w:val="nil"/>
              <w:bottom w:val="nil"/>
              <w:right w:val="single" w:sz="8" w:space="0" w:color="000000"/>
            </w:tcBorders>
            <w:shd w:val="clear" w:color="000000" w:fill="FFCC00"/>
            <w:vAlign w:val="center"/>
            <w:hideMark/>
          </w:tcPr>
          <w:p w14:paraId="468C172E"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25</w:t>
            </w:r>
          </w:p>
        </w:tc>
        <w:tc>
          <w:tcPr>
            <w:tcW w:w="159" w:type="dxa"/>
            <w:tcBorders>
              <w:top w:val="nil"/>
              <w:left w:val="nil"/>
              <w:bottom w:val="nil"/>
              <w:right w:val="single" w:sz="8" w:space="0" w:color="000000"/>
            </w:tcBorders>
            <w:shd w:val="clear" w:color="000000" w:fill="FFCC00"/>
            <w:vAlign w:val="center"/>
            <w:hideMark/>
          </w:tcPr>
          <w:p w14:paraId="076210B6"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26</w:t>
            </w:r>
          </w:p>
        </w:tc>
        <w:tc>
          <w:tcPr>
            <w:tcW w:w="155" w:type="dxa"/>
            <w:tcBorders>
              <w:top w:val="nil"/>
              <w:left w:val="nil"/>
              <w:bottom w:val="nil"/>
              <w:right w:val="single" w:sz="8" w:space="0" w:color="000000"/>
            </w:tcBorders>
            <w:shd w:val="clear" w:color="000000" w:fill="FFCC00"/>
            <w:vAlign w:val="center"/>
            <w:hideMark/>
          </w:tcPr>
          <w:p w14:paraId="5827D727"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28</w:t>
            </w:r>
          </w:p>
        </w:tc>
        <w:tc>
          <w:tcPr>
            <w:tcW w:w="153" w:type="dxa"/>
            <w:tcBorders>
              <w:top w:val="nil"/>
              <w:left w:val="nil"/>
              <w:bottom w:val="nil"/>
              <w:right w:val="single" w:sz="8" w:space="0" w:color="000000"/>
            </w:tcBorders>
            <w:shd w:val="clear" w:color="000000" w:fill="FFCC00"/>
            <w:vAlign w:val="center"/>
            <w:hideMark/>
          </w:tcPr>
          <w:p w14:paraId="0B75E67C"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29</w:t>
            </w:r>
          </w:p>
        </w:tc>
        <w:tc>
          <w:tcPr>
            <w:tcW w:w="217" w:type="dxa"/>
            <w:tcBorders>
              <w:top w:val="nil"/>
              <w:left w:val="nil"/>
              <w:bottom w:val="nil"/>
              <w:right w:val="single" w:sz="8" w:space="0" w:color="000000"/>
            </w:tcBorders>
            <w:shd w:val="clear" w:color="000000" w:fill="FFCC00"/>
            <w:vAlign w:val="center"/>
            <w:hideMark/>
          </w:tcPr>
          <w:p w14:paraId="4517EB6D"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30</w:t>
            </w:r>
          </w:p>
        </w:tc>
        <w:tc>
          <w:tcPr>
            <w:tcW w:w="203" w:type="dxa"/>
            <w:tcBorders>
              <w:top w:val="nil"/>
              <w:left w:val="nil"/>
              <w:bottom w:val="nil"/>
              <w:right w:val="nil"/>
            </w:tcBorders>
            <w:shd w:val="clear" w:color="000000" w:fill="FFCC00"/>
            <w:vAlign w:val="center"/>
            <w:hideMark/>
          </w:tcPr>
          <w:p w14:paraId="41AFA045"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31</w:t>
            </w:r>
          </w:p>
        </w:tc>
        <w:tc>
          <w:tcPr>
            <w:tcW w:w="192" w:type="dxa"/>
            <w:tcBorders>
              <w:top w:val="nil"/>
              <w:left w:val="single" w:sz="8" w:space="0" w:color="000000"/>
              <w:bottom w:val="nil"/>
              <w:right w:val="single" w:sz="8" w:space="0" w:color="000000"/>
            </w:tcBorders>
            <w:shd w:val="clear" w:color="000000" w:fill="FFCC00"/>
            <w:vAlign w:val="center"/>
            <w:hideMark/>
          </w:tcPr>
          <w:p w14:paraId="09A45195"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32</w:t>
            </w:r>
          </w:p>
        </w:tc>
        <w:tc>
          <w:tcPr>
            <w:tcW w:w="184" w:type="dxa"/>
            <w:tcBorders>
              <w:top w:val="nil"/>
              <w:left w:val="nil"/>
              <w:bottom w:val="nil"/>
              <w:right w:val="single" w:sz="8" w:space="0" w:color="000000"/>
            </w:tcBorders>
            <w:shd w:val="clear" w:color="000000" w:fill="FFCC00"/>
            <w:vAlign w:val="center"/>
            <w:hideMark/>
          </w:tcPr>
          <w:p w14:paraId="7FDA84C9"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33</w:t>
            </w:r>
          </w:p>
        </w:tc>
        <w:tc>
          <w:tcPr>
            <w:tcW w:w="140" w:type="dxa"/>
            <w:tcBorders>
              <w:top w:val="nil"/>
              <w:left w:val="nil"/>
              <w:bottom w:val="nil"/>
              <w:right w:val="single" w:sz="8" w:space="0" w:color="000000"/>
            </w:tcBorders>
            <w:shd w:val="clear" w:color="000000" w:fill="FFCC00"/>
            <w:vAlign w:val="center"/>
            <w:hideMark/>
          </w:tcPr>
          <w:p w14:paraId="7D25140B"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34</w:t>
            </w:r>
          </w:p>
        </w:tc>
        <w:tc>
          <w:tcPr>
            <w:tcW w:w="140" w:type="dxa"/>
            <w:tcBorders>
              <w:top w:val="nil"/>
              <w:left w:val="nil"/>
              <w:bottom w:val="nil"/>
              <w:right w:val="nil"/>
            </w:tcBorders>
            <w:shd w:val="clear" w:color="000000" w:fill="FFCC00"/>
            <w:vAlign w:val="center"/>
            <w:hideMark/>
          </w:tcPr>
          <w:p w14:paraId="127EE21C"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35</w:t>
            </w:r>
          </w:p>
        </w:tc>
        <w:tc>
          <w:tcPr>
            <w:tcW w:w="140" w:type="dxa"/>
            <w:tcBorders>
              <w:top w:val="nil"/>
              <w:left w:val="single" w:sz="8" w:space="0" w:color="000000"/>
              <w:bottom w:val="nil"/>
              <w:right w:val="nil"/>
            </w:tcBorders>
            <w:shd w:val="clear" w:color="000000" w:fill="FFCC00"/>
            <w:vAlign w:val="center"/>
            <w:hideMark/>
          </w:tcPr>
          <w:p w14:paraId="28B5063E"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36</w:t>
            </w:r>
          </w:p>
        </w:tc>
        <w:tc>
          <w:tcPr>
            <w:tcW w:w="140" w:type="dxa"/>
            <w:tcBorders>
              <w:top w:val="nil"/>
              <w:left w:val="single" w:sz="8" w:space="0" w:color="000000"/>
              <w:bottom w:val="nil"/>
              <w:right w:val="single" w:sz="8" w:space="0" w:color="000000"/>
            </w:tcBorders>
            <w:shd w:val="clear" w:color="000000" w:fill="FFCC00"/>
            <w:vAlign w:val="center"/>
            <w:hideMark/>
          </w:tcPr>
          <w:p w14:paraId="43BD4999"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37</w:t>
            </w:r>
          </w:p>
        </w:tc>
        <w:tc>
          <w:tcPr>
            <w:tcW w:w="140" w:type="dxa"/>
            <w:tcBorders>
              <w:top w:val="nil"/>
              <w:left w:val="nil"/>
              <w:bottom w:val="nil"/>
              <w:right w:val="nil"/>
            </w:tcBorders>
            <w:shd w:val="clear" w:color="000000" w:fill="FFCC00"/>
            <w:vAlign w:val="center"/>
            <w:hideMark/>
          </w:tcPr>
          <w:p w14:paraId="4FBD3A96" w14:textId="77777777" w:rsidR="00BB79E7" w:rsidRPr="00BB79E7" w:rsidRDefault="00BB79E7" w:rsidP="00BB79E7">
            <w:pPr>
              <w:spacing w:after="0" w:line="240" w:lineRule="auto"/>
              <w:jc w:val="right"/>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38</w:t>
            </w:r>
          </w:p>
        </w:tc>
        <w:tc>
          <w:tcPr>
            <w:tcW w:w="207" w:type="dxa"/>
            <w:tcBorders>
              <w:top w:val="nil"/>
              <w:left w:val="single" w:sz="8" w:space="0" w:color="000000"/>
              <w:bottom w:val="nil"/>
              <w:right w:val="nil"/>
            </w:tcBorders>
            <w:shd w:val="clear" w:color="000000" w:fill="FFCC00"/>
            <w:vAlign w:val="center"/>
            <w:hideMark/>
          </w:tcPr>
          <w:p w14:paraId="297D7BB0"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39</w:t>
            </w:r>
          </w:p>
        </w:tc>
        <w:tc>
          <w:tcPr>
            <w:tcW w:w="195" w:type="dxa"/>
            <w:tcBorders>
              <w:top w:val="nil"/>
              <w:left w:val="single" w:sz="8" w:space="0" w:color="000000"/>
              <w:bottom w:val="nil"/>
              <w:right w:val="nil"/>
            </w:tcBorders>
            <w:shd w:val="clear" w:color="000000" w:fill="FFCC00"/>
            <w:vAlign w:val="center"/>
            <w:hideMark/>
          </w:tcPr>
          <w:p w14:paraId="4DFED7B1"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40</w:t>
            </w:r>
          </w:p>
        </w:tc>
        <w:tc>
          <w:tcPr>
            <w:tcW w:w="185" w:type="dxa"/>
            <w:tcBorders>
              <w:top w:val="nil"/>
              <w:left w:val="single" w:sz="8" w:space="0" w:color="000000"/>
              <w:bottom w:val="nil"/>
              <w:right w:val="nil"/>
            </w:tcBorders>
            <w:shd w:val="clear" w:color="000000" w:fill="FFCC00"/>
            <w:vAlign w:val="center"/>
            <w:hideMark/>
          </w:tcPr>
          <w:p w14:paraId="44A58973"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41</w:t>
            </w:r>
          </w:p>
        </w:tc>
        <w:tc>
          <w:tcPr>
            <w:tcW w:w="179" w:type="dxa"/>
            <w:tcBorders>
              <w:top w:val="nil"/>
              <w:left w:val="single" w:sz="8" w:space="0" w:color="000000"/>
              <w:bottom w:val="nil"/>
              <w:right w:val="nil"/>
            </w:tcBorders>
            <w:shd w:val="clear" w:color="000000" w:fill="FFCC00"/>
            <w:vAlign w:val="center"/>
            <w:hideMark/>
          </w:tcPr>
          <w:p w14:paraId="1D96ED0D"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42</w:t>
            </w:r>
          </w:p>
        </w:tc>
      </w:tr>
      <w:tr w:rsidR="00BB79E7" w:rsidRPr="00BB79E7" w14:paraId="1F759136" w14:textId="77777777" w:rsidTr="00BB79E7">
        <w:trPr>
          <w:gridBefore w:val="1"/>
          <w:wBefore w:w="805" w:type="dxa"/>
          <w:trHeight w:val="740"/>
        </w:trPr>
        <w:tc>
          <w:tcPr>
            <w:tcW w:w="842" w:type="dxa"/>
            <w:tcBorders>
              <w:top w:val="nil"/>
              <w:left w:val="nil"/>
              <w:bottom w:val="single" w:sz="8" w:space="0" w:color="000000"/>
              <w:right w:val="single" w:sz="8" w:space="0" w:color="000000"/>
            </w:tcBorders>
            <w:shd w:val="clear" w:color="auto" w:fill="auto"/>
            <w:vAlign w:val="center"/>
            <w:hideMark/>
          </w:tcPr>
          <w:p w14:paraId="1A389A09" w14:textId="77777777" w:rsidR="00BB79E7" w:rsidRPr="00BB79E7" w:rsidRDefault="00BB79E7" w:rsidP="00BB79E7">
            <w:pPr>
              <w:spacing w:after="0" w:line="240" w:lineRule="auto"/>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Carlos Andrés Peña - David Zamora</w:t>
            </w:r>
          </w:p>
        </w:tc>
        <w:tc>
          <w:tcPr>
            <w:tcW w:w="479" w:type="dxa"/>
            <w:tcBorders>
              <w:top w:val="nil"/>
              <w:left w:val="nil"/>
              <w:bottom w:val="nil"/>
              <w:right w:val="single" w:sz="8" w:space="0" w:color="000000"/>
            </w:tcBorders>
            <w:shd w:val="clear" w:color="000000" w:fill="C0C0C0"/>
            <w:vAlign w:val="center"/>
            <w:hideMark/>
          </w:tcPr>
          <w:p w14:paraId="087A0292" w14:textId="77777777" w:rsidR="00BB79E7" w:rsidRPr="00BB79E7" w:rsidRDefault="00BB79E7" w:rsidP="00BB79E7">
            <w:pPr>
              <w:spacing w:after="0" w:line="240" w:lineRule="auto"/>
              <w:jc w:val="center"/>
              <w:rPr>
                <w:rFonts w:ascii="Times New Roman" w:eastAsia="Times New Roman" w:hAnsi="Times New Roman" w:cs="Times New Roman"/>
                <w:b/>
                <w:bCs/>
                <w:color w:val="000000"/>
                <w:sz w:val="16"/>
                <w:szCs w:val="16"/>
              </w:rPr>
            </w:pPr>
            <w:r w:rsidRPr="00BB79E7">
              <w:rPr>
                <w:rFonts w:ascii="Times New Roman" w:eastAsia="Times New Roman" w:hAnsi="Times New Roman" w:cs="Times New Roman"/>
                <w:b/>
                <w:bCs/>
                <w:color w:val="000000"/>
                <w:sz w:val="16"/>
                <w:szCs w:val="16"/>
              </w:rPr>
              <w:t>1/02/20</w:t>
            </w:r>
          </w:p>
        </w:tc>
        <w:tc>
          <w:tcPr>
            <w:tcW w:w="452" w:type="dxa"/>
            <w:tcBorders>
              <w:top w:val="nil"/>
              <w:left w:val="nil"/>
              <w:bottom w:val="single" w:sz="8" w:space="0" w:color="000000"/>
              <w:right w:val="single" w:sz="8" w:space="0" w:color="000000"/>
            </w:tcBorders>
            <w:shd w:val="clear" w:color="000000" w:fill="FF8080"/>
            <w:vAlign w:val="center"/>
            <w:hideMark/>
          </w:tcPr>
          <w:p w14:paraId="4BC15076" w14:textId="77777777" w:rsidR="00BB79E7" w:rsidRPr="00BB79E7" w:rsidRDefault="00BB79E7" w:rsidP="00BB79E7">
            <w:pPr>
              <w:spacing w:after="0" w:line="240" w:lineRule="auto"/>
              <w:jc w:val="center"/>
              <w:rPr>
                <w:rFonts w:ascii="Times New Roman" w:eastAsia="Times New Roman" w:hAnsi="Times New Roman" w:cs="Times New Roman"/>
                <w:b/>
                <w:bCs/>
                <w:color w:val="000000"/>
                <w:sz w:val="16"/>
                <w:szCs w:val="16"/>
              </w:rPr>
            </w:pPr>
            <w:r w:rsidRPr="00BB79E7">
              <w:rPr>
                <w:rFonts w:ascii="Times New Roman" w:eastAsia="Times New Roman" w:hAnsi="Times New Roman" w:cs="Times New Roman"/>
                <w:b/>
                <w:bCs/>
                <w:color w:val="000000"/>
                <w:sz w:val="16"/>
                <w:szCs w:val="16"/>
              </w:rPr>
              <w:t>15/02/20</w:t>
            </w:r>
          </w:p>
        </w:tc>
        <w:tc>
          <w:tcPr>
            <w:tcW w:w="59" w:type="dxa"/>
            <w:tcBorders>
              <w:top w:val="nil"/>
              <w:left w:val="nil"/>
              <w:bottom w:val="nil"/>
              <w:right w:val="nil"/>
            </w:tcBorders>
            <w:shd w:val="clear" w:color="000000" w:fill="000000"/>
            <w:vAlign w:val="center"/>
            <w:hideMark/>
          </w:tcPr>
          <w:p w14:paraId="5238AC43" w14:textId="77777777" w:rsidR="00BB79E7" w:rsidRPr="00BB79E7" w:rsidRDefault="00BB79E7" w:rsidP="00BB79E7">
            <w:pPr>
              <w:spacing w:after="0" w:line="240" w:lineRule="auto"/>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73" w:type="dxa"/>
            <w:tcBorders>
              <w:top w:val="single" w:sz="8" w:space="0" w:color="auto"/>
              <w:left w:val="single" w:sz="8" w:space="0" w:color="auto"/>
              <w:bottom w:val="single" w:sz="8" w:space="0" w:color="000000"/>
              <w:right w:val="nil"/>
            </w:tcBorders>
            <w:shd w:val="clear" w:color="000000" w:fill="538DD5"/>
            <w:vAlign w:val="center"/>
            <w:hideMark/>
          </w:tcPr>
          <w:p w14:paraId="633567AB"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55" w:type="dxa"/>
            <w:tcBorders>
              <w:top w:val="single" w:sz="8" w:space="0" w:color="auto"/>
              <w:left w:val="nil"/>
              <w:bottom w:val="single" w:sz="8" w:space="0" w:color="000000"/>
              <w:right w:val="nil"/>
            </w:tcBorders>
            <w:shd w:val="clear" w:color="000000" w:fill="538DD5"/>
            <w:vAlign w:val="center"/>
            <w:hideMark/>
          </w:tcPr>
          <w:p w14:paraId="12D70974"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43" w:type="dxa"/>
            <w:tcBorders>
              <w:top w:val="single" w:sz="8" w:space="0" w:color="auto"/>
              <w:left w:val="nil"/>
              <w:bottom w:val="single" w:sz="8" w:space="0" w:color="000000"/>
              <w:right w:val="nil"/>
            </w:tcBorders>
            <w:shd w:val="clear" w:color="auto" w:fill="auto"/>
            <w:vAlign w:val="center"/>
            <w:hideMark/>
          </w:tcPr>
          <w:p w14:paraId="5E92640E"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34" w:type="dxa"/>
            <w:tcBorders>
              <w:top w:val="single" w:sz="8" w:space="0" w:color="auto"/>
              <w:left w:val="nil"/>
              <w:bottom w:val="single" w:sz="8" w:space="0" w:color="000000"/>
              <w:right w:val="nil"/>
            </w:tcBorders>
            <w:shd w:val="clear" w:color="auto" w:fill="auto"/>
            <w:vAlign w:val="center"/>
            <w:hideMark/>
          </w:tcPr>
          <w:p w14:paraId="311560C7"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35" w:type="dxa"/>
            <w:tcBorders>
              <w:top w:val="single" w:sz="8" w:space="0" w:color="auto"/>
              <w:left w:val="nil"/>
              <w:bottom w:val="single" w:sz="8" w:space="0" w:color="000000"/>
              <w:right w:val="nil"/>
            </w:tcBorders>
            <w:shd w:val="clear" w:color="auto" w:fill="auto"/>
            <w:vAlign w:val="center"/>
            <w:hideMark/>
          </w:tcPr>
          <w:p w14:paraId="1C2E7728"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26" w:type="dxa"/>
            <w:tcBorders>
              <w:top w:val="single" w:sz="8" w:space="0" w:color="auto"/>
              <w:left w:val="nil"/>
              <w:bottom w:val="single" w:sz="8" w:space="0" w:color="000000"/>
              <w:right w:val="nil"/>
            </w:tcBorders>
            <w:shd w:val="clear" w:color="auto" w:fill="auto"/>
            <w:vAlign w:val="center"/>
            <w:hideMark/>
          </w:tcPr>
          <w:p w14:paraId="3D9DEA3C"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19" w:type="dxa"/>
            <w:tcBorders>
              <w:top w:val="single" w:sz="8" w:space="0" w:color="auto"/>
              <w:left w:val="nil"/>
              <w:bottom w:val="single" w:sz="8" w:space="0" w:color="000000"/>
              <w:right w:val="nil"/>
            </w:tcBorders>
            <w:shd w:val="clear" w:color="auto" w:fill="auto"/>
            <w:vAlign w:val="center"/>
            <w:hideMark/>
          </w:tcPr>
          <w:p w14:paraId="6E2FDC2E"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13" w:type="dxa"/>
            <w:tcBorders>
              <w:top w:val="single" w:sz="8" w:space="0" w:color="auto"/>
              <w:left w:val="nil"/>
              <w:bottom w:val="single" w:sz="8" w:space="0" w:color="000000"/>
              <w:right w:val="nil"/>
            </w:tcBorders>
            <w:shd w:val="clear" w:color="auto" w:fill="auto"/>
            <w:vAlign w:val="center"/>
            <w:hideMark/>
          </w:tcPr>
          <w:p w14:paraId="3D1ECF7D"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58" w:type="dxa"/>
            <w:tcBorders>
              <w:top w:val="single" w:sz="8" w:space="0" w:color="auto"/>
              <w:left w:val="nil"/>
              <w:bottom w:val="single" w:sz="8" w:space="0" w:color="000000"/>
              <w:right w:val="nil"/>
            </w:tcBorders>
            <w:shd w:val="clear" w:color="auto" w:fill="auto"/>
            <w:vAlign w:val="center"/>
            <w:hideMark/>
          </w:tcPr>
          <w:p w14:paraId="620AD523"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58" w:type="dxa"/>
            <w:tcBorders>
              <w:top w:val="single" w:sz="8" w:space="0" w:color="auto"/>
              <w:left w:val="nil"/>
              <w:bottom w:val="single" w:sz="8" w:space="0" w:color="000000"/>
              <w:right w:val="nil"/>
            </w:tcBorders>
            <w:shd w:val="clear" w:color="auto" w:fill="auto"/>
            <w:vAlign w:val="center"/>
            <w:hideMark/>
          </w:tcPr>
          <w:p w14:paraId="549F7AAD"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40" w:type="dxa"/>
            <w:tcBorders>
              <w:top w:val="single" w:sz="8" w:space="0" w:color="auto"/>
              <w:left w:val="nil"/>
              <w:bottom w:val="single" w:sz="8" w:space="0" w:color="000000"/>
              <w:right w:val="nil"/>
            </w:tcBorders>
            <w:shd w:val="clear" w:color="auto" w:fill="auto"/>
            <w:vAlign w:val="center"/>
            <w:hideMark/>
          </w:tcPr>
          <w:p w14:paraId="05322C52"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40" w:type="dxa"/>
            <w:tcBorders>
              <w:top w:val="single" w:sz="8" w:space="0" w:color="auto"/>
              <w:left w:val="nil"/>
              <w:bottom w:val="single" w:sz="8" w:space="0" w:color="000000"/>
              <w:right w:val="nil"/>
            </w:tcBorders>
            <w:shd w:val="clear" w:color="auto" w:fill="auto"/>
            <w:vAlign w:val="center"/>
            <w:hideMark/>
          </w:tcPr>
          <w:p w14:paraId="70DB07B9"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40" w:type="dxa"/>
            <w:tcBorders>
              <w:top w:val="single" w:sz="8" w:space="0" w:color="auto"/>
              <w:left w:val="nil"/>
              <w:bottom w:val="single" w:sz="8" w:space="0" w:color="000000"/>
              <w:right w:val="nil"/>
            </w:tcBorders>
            <w:shd w:val="clear" w:color="auto" w:fill="auto"/>
            <w:vAlign w:val="center"/>
            <w:hideMark/>
          </w:tcPr>
          <w:p w14:paraId="1DC43E6B"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40" w:type="dxa"/>
            <w:tcBorders>
              <w:top w:val="single" w:sz="8" w:space="0" w:color="auto"/>
              <w:left w:val="nil"/>
              <w:bottom w:val="single" w:sz="8" w:space="0" w:color="000000"/>
              <w:right w:val="nil"/>
            </w:tcBorders>
            <w:shd w:val="clear" w:color="auto" w:fill="auto"/>
            <w:vAlign w:val="center"/>
            <w:hideMark/>
          </w:tcPr>
          <w:p w14:paraId="0C9B4C3E"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40" w:type="dxa"/>
            <w:tcBorders>
              <w:top w:val="single" w:sz="8" w:space="0" w:color="auto"/>
              <w:left w:val="nil"/>
              <w:bottom w:val="single" w:sz="8" w:space="0" w:color="000000"/>
              <w:right w:val="nil"/>
            </w:tcBorders>
            <w:shd w:val="clear" w:color="auto" w:fill="auto"/>
            <w:vAlign w:val="center"/>
            <w:hideMark/>
          </w:tcPr>
          <w:p w14:paraId="3CC890EF"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40" w:type="dxa"/>
            <w:tcBorders>
              <w:top w:val="single" w:sz="8" w:space="0" w:color="auto"/>
              <w:left w:val="nil"/>
              <w:bottom w:val="single" w:sz="8" w:space="0" w:color="000000"/>
              <w:right w:val="nil"/>
            </w:tcBorders>
            <w:shd w:val="clear" w:color="auto" w:fill="auto"/>
            <w:vAlign w:val="center"/>
            <w:hideMark/>
          </w:tcPr>
          <w:p w14:paraId="756CF351"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40" w:type="dxa"/>
            <w:tcBorders>
              <w:top w:val="single" w:sz="8" w:space="0" w:color="auto"/>
              <w:left w:val="nil"/>
              <w:bottom w:val="single" w:sz="8" w:space="0" w:color="000000"/>
              <w:right w:val="nil"/>
            </w:tcBorders>
            <w:shd w:val="clear" w:color="auto" w:fill="auto"/>
            <w:vAlign w:val="center"/>
            <w:hideMark/>
          </w:tcPr>
          <w:p w14:paraId="6FBF6A1A"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40" w:type="dxa"/>
            <w:tcBorders>
              <w:top w:val="single" w:sz="8" w:space="0" w:color="auto"/>
              <w:left w:val="nil"/>
              <w:bottom w:val="single" w:sz="8" w:space="0" w:color="000000"/>
              <w:right w:val="nil"/>
            </w:tcBorders>
            <w:shd w:val="clear" w:color="auto" w:fill="auto"/>
            <w:vAlign w:val="center"/>
            <w:hideMark/>
          </w:tcPr>
          <w:p w14:paraId="1D565511"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40" w:type="dxa"/>
            <w:tcBorders>
              <w:top w:val="single" w:sz="8" w:space="0" w:color="auto"/>
              <w:left w:val="nil"/>
              <w:bottom w:val="single" w:sz="8" w:space="0" w:color="000000"/>
              <w:right w:val="nil"/>
            </w:tcBorders>
            <w:shd w:val="clear" w:color="auto" w:fill="auto"/>
            <w:vAlign w:val="center"/>
            <w:hideMark/>
          </w:tcPr>
          <w:p w14:paraId="140A3D21"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40" w:type="dxa"/>
            <w:tcBorders>
              <w:top w:val="single" w:sz="8" w:space="0" w:color="auto"/>
              <w:left w:val="nil"/>
              <w:bottom w:val="single" w:sz="8" w:space="0" w:color="000000"/>
              <w:right w:val="nil"/>
            </w:tcBorders>
            <w:shd w:val="clear" w:color="auto" w:fill="auto"/>
            <w:vAlign w:val="center"/>
            <w:hideMark/>
          </w:tcPr>
          <w:p w14:paraId="67D7C732"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40" w:type="dxa"/>
            <w:tcBorders>
              <w:top w:val="single" w:sz="8" w:space="0" w:color="auto"/>
              <w:left w:val="nil"/>
              <w:bottom w:val="single" w:sz="8" w:space="0" w:color="000000"/>
              <w:right w:val="nil"/>
            </w:tcBorders>
            <w:shd w:val="clear" w:color="auto" w:fill="auto"/>
            <w:vAlign w:val="center"/>
            <w:hideMark/>
          </w:tcPr>
          <w:p w14:paraId="5C01A972"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58" w:type="dxa"/>
            <w:tcBorders>
              <w:top w:val="single" w:sz="8" w:space="0" w:color="auto"/>
              <w:left w:val="nil"/>
              <w:bottom w:val="single" w:sz="8" w:space="0" w:color="000000"/>
              <w:right w:val="nil"/>
            </w:tcBorders>
            <w:shd w:val="clear" w:color="auto" w:fill="auto"/>
            <w:vAlign w:val="center"/>
            <w:hideMark/>
          </w:tcPr>
          <w:p w14:paraId="46CE63EA"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58" w:type="dxa"/>
            <w:tcBorders>
              <w:top w:val="single" w:sz="8" w:space="0" w:color="auto"/>
              <w:left w:val="nil"/>
              <w:bottom w:val="single" w:sz="8" w:space="0" w:color="000000"/>
              <w:right w:val="nil"/>
            </w:tcBorders>
            <w:shd w:val="clear" w:color="auto" w:fill="auto"/>
            <w:vAlign w:val="center"/>
            <w:hideMark/>
          </w:tcPr>
          <w:p w14:paraId="76DBD841"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58" w:type="dxa"/>
            <w:tcBorders>
              <w:top w:val="single" w:sz="8" w:space="0" w:color="auto"/>
              <w:left w:val="nil"/>
              <w:bottom w:val="single" w:sz="8" w:space="0" w:color="000000"/>
              <w:right w:val="nil"/>
            </w:tcBorders>
            <w:shd w:val="clear" w:color="auto" w:fill="auto"/>
            <w:vAlign w:val="center"/>
            <w:hideMark/>
          </w:tcPr>
          <w:p w14:paraId="6B04240E"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40" w:type="dxa"/>
            <w:tcBorders>
              <w:top w:val="single" w:sz="8" w:space="0" w:color="auto"/>
              <w:left w:val="nil"/>
              <w:bottom w:val="single" w:sz="8" w:space="0" w:color="000000"/>
              <w:right w:val="nil"/>
            </w:tcBorders>
            <w:shd w:val="clear" w:color="auto" w:fill="auto"/>
            <w:vAlign w:val="center"/>
            <w:hideMark/>
          </w:tcPr>
          <w:p w14:paraId="18E82367"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40" w:type="dxa"/>
            <w:tcBorders>
              <w:top w:val="single" w:sz="8" w:space="0" w:color="auto"/>
              <w:left w:val="nil"/>
              <w:bottom w:val="single" w:sz="8" w:space="0" w:color="000000"/>
              <w:right w:val="nil"/>
            </w:tcBorders>
            <w:shd w:val="clear" w:color="auto" w:fill="auto"/>
            <w:vAlign w:val="center"/>
            <w:hideMark/>
          </w:tcPr>
          <w:p w14:paraId="1CA2D2B4"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40" w:type="dxa"/>
            <w:tcBorders>
              <w:top w:val="single" w:sz="8" w:space="0" w:color="auto"/>
              <w:left w:val="nil"/>
              <w:bottom w:val="single" w:sz="8" w:space="0" w:color="000000"/>
              <w:right w:val="nil"/>
            </w:tcBorders>
            <w:shd w:val="clear" w:color="auto" w:fill="auto"/>
            <w:vAlign w:val="center"/>
            <w:hideMark/>
          </w:tcPr>
          <w:p w14:paraId="2D7A0448"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69" w:type="dxa"/>
            <w:tcBorders>
              <w:top w:val="single" w:sz="8" w:space="0" w:color="auto"/>
              <w:left w:val="nil"/>
              <w:bottom w:val="single" w:sz="8" w:space="0" w:color="000000"/>
              <w:right w:val="nil"/>
            </w:tcBorders>
            <w:shd w:val="clear" w:color="auto" w:fill="auto"/>
            <w:vAlign w:val="center"/>
            <w:hideMark/>
          </w:tcPr>
          <w:p w14:paraId="3D02FD2C"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85" w:type="dxa"/>
            <w:tcBorders>
              <w:top w:val="single" w:sz="8" w:space="0" w:color="auto"/>
              <w:left w:val="nil"/>
              <w:bottom w:val="single" w:sz="8" w:space="0" w:color="000000"/>
              <w:right w:val="nil"/>
            </w:tcBorders>
            <w:shd w:val="clear" w:color="auto" w:fill="auto"/>
            <w:vAlign w:val="center"/>
            <w:hideMark/>
          </w:tcPr>
          <w:p w14:paraId="36B7519C"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59" w:type="dxa"/>
            <w:tcBorders>
              <w:top w:val="single" w:sz="8" w:space="0" w:color="auto"/>
              <w:left w:val="nil"/>
              <w:bottom w:val="single" w:sz="8" w:space="0" w:color="000000"/>
              <w:right w:val="nil"/>
            </w:tcBorders>
            <w:shd w:val="clear" w:color="auto" w:fill="auto"/>
            <w:vAlign w:val="center"/>
            <w:hideMark/>
          </w:tcPr>
          <w:p w14:paraId="31C2923C"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55" w:type="dxa"/>
            <w:tcBorders>
              <w:top w:val="single" w:sz="8" w:space="0" w:color="auto"/>
              <w:left w:val="nil"/>
              <w:bottom w:val="single" w:sz="8" w:space="0" w:color="000000"/>
              <w:right w:val="nil"/>
            </w:tcBorders>
            <w:shd w:val="clear" w:color="auto" w:fill="auto"/>
            <w:vAlign w:val="center"/>
            <w:hideMark/>
          </w:tcPr>
          <w:p w14:paraId="1070C2FE"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53" w:type="dxa"/>
            <w:tcBorders>
              <w:top w:val="single" w:sz="8" w:space="0" w:color="auto"/>
              <w:left w:val="nil"/>
              <w:bottom w:val="single" w:sz="8" w:space="0" w:color="000000"/>
              <w:right w:val="nil"/>
            </w:tcBorders>
            <w:shd w:val="clear" w:color="auto" w:fill="auto"/>
            <w:vAlign w:val="center"/>
            <w:hideMark/>
          </w:tcPr>
          <w:p w14:paraId="50F550C8"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217" w:type="dxa"/>
            <w:tcBorders>
              <w:top w:val="single" w:sz="8" w:space="0" w:color="auto"/>
              <w:left w:val="nil"/>
              <w:bottom w:val="single" w:sz="8" w:space="0" w:color="000000"/>
              <w:right w:val="nil"/>
            </w:tcBorders>
            <w:shd w:val="clear" w:color="auto" w:fill="auto"/>
            <w:vAlign w:val="center"/>
            <w:hideMark/>
          </w:tcPr>
          <w:p w14:paraId="6E28DF92"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203" w:type="dxa"/>
            <w:tcBorders>
              <w:top w:val="single" w:sz="8" w:space="0" w:color="auto"/>
              <w:left w:val="nil"/>
              <w:bottom w:val="single" w:sz="8" w:space="0" w:color="000000"/>
              <w:right w:val="nil"/>
            </w:tcBorders>
            <w:shd w:val="clear" w:color="auto" w:fill="auto"/>
            <w:vAlign w:val="center"/>
            <w:hideMark/>
          </w:tcPr>
          <w:p w14:paraId="3115D8DA"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92" w:type="dxa"/>
            <w:tcBorders>
              <w:top w:val="single" w:sz="8" w:space="0" w:color="auto"/>
              <w:left w:val="nil"/>
              <w:bottom w:val="single" w:sz="8" w:space="0" w:color="000000"/>
              <w:right w:val="nil"/>
            </w:tcBorders>
            <w:shd w:val="clear" w:color="auto" w:fill="auto"/>
            <w:vAlign w:val="center"/>
            <w:hideMark/>
          </w:tcPr>
          <w:p w14:paraId="2E2D03EE"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84" w:type="dxa"/>
            <w:tcBorders>
              <w:top w:val="single" w:sz="8" w:space="0" w:color="auto"/>
              <w:left w:val="nil"/>
              <w:bottom w:val="single" w:sz="8" w:space="0" w:color="000000"/>
              <w:right w:val="nil"/>
            </w:tcBorders>
            <w:shd w:val="clear" w:color="auto" w:fill="auto"/>
            <w:vAlign w:val="center"/>
            <w:hideMark/>
          </w:tcPr>
          <w:p w14:paraId="0FFC880C"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40" w:type="dxa"/>
            <w:tcBorders>
              <w:top w:val="single" w:sz="8" w:space="0" w:color="auto"/>
              <w:left w:val="nil"/>
              <w:bottom w:val="single" w:sz="8" w:space="0" w:color="000000"/>
              <w:right w:val="nil"/>
            </w:tcBorders>
            <w:shd w:val="clear" w:color="auto" w:fill="auto"/>
            <w:vAlign w:val="center"/>
            <w:hideMark/>
          </w:tcPr>
          <w:p w14:paraId="65FBEBE1"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40" w:type="dxa"/>
            <w:tcBorders>
              <w:top w:val="single" w:sz="8" w:space="0" w:color="auto"/>
              <w:left w:val="nil"/>
              <w:bottom w:val="single" w:sz="8" w:space="0" w:color="000000"/>
              <w:right w:val="nil"/>
            </w:tcBorders>
            <w:shd w:val="clear" w:color="auto" w:fill="auto"/>
            <w:vAlign w:val="center"/>
            <w:hideMark/>
          </w:tcPr>
          <w:p w14:paraId="0C95076F"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40" w:type="dxa"/>
            <w:tcBorders>
              <w:top w:val="single" w:sz="8" w:space="0" w:color="auto"/>
              <w:left w:val="nil"/>
              <w:bottom w:val="single" w:sz="8" w:space="0" w:color="000000"/>
              <w:right w:val="nil"/>
            </w:tcBorders>
            <w:shd w:val="clear" w:color="auto" w:fill="auto"/>
            <w:vAlign w:val="center"/>
            <w:hideMark/>
          </w:tcPr>
          <w:p w14:paraId="4C4AE7FE"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40" w:type="dxa"/>
            <w:tcBorders>
              <w:top w:val="single" w:sz="8" w:space="0" w:color="auto"/>
              <w:left w:val="nil"/>
              <w:bottom w:val="single" w:sz="8" w:space="0" w:color="000000"/>
              <w:right w:val="nil"/>
            </w:tcBorders>
            <w:shd w:val="clear" w:color="auto" w:fill="auto"/>
            <w:vAlign w:val="center"/>
            <w:hideMark/>
          </w:tcPr>
          <w:p w14:paraId="70B2DDBA"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40" w:type="dxa"/>
            <w:tcBorders>
              <w:top w:val="single" w:sz="8" w:space="0" w:color="auto"/>
              <w:left w:val="nil"/>
              <w:bottom w:val="single" w:sz="8" w:space="0" w:color="000000"/>
              <w:right w:val="nil"/>
            </w:tcBorders>
            <w:shd w:val="clear" w:color="auto" w:fill="auto"/>
            <w:vAlign w:val="center"/>
            <w:hideMark/>
          </w:tcPr>
          <w:p w14:paraId="18F11C56"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207" w:type="dxa"/>
            <w:tcBorders>
              <w:top w:val="single" w:sz="8" w:space="0" w:color="auto"/>
              <w:left w:val="nil"/>
              <w:bottom w:val="single" w:sz="8" w:space="0" w:color="000000"/>
              <w:right w:val="nil"/>
            </w:tcBorders>
            <w:shd w:val="clear" w:color="auto" w:fill="auto"/>
            <w:vAlign w:val="center"/>
            <w:hideMark/>
          </w:tcPr>
          <w:p w14:paraId="74D8DB24"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95" w:type="dxa"/>
            <w:tcBorders>
              <w:top w:val="single" w:sz="8" w:space="0" w:color="auto"/>
              <w:left w:val="nil"/>
              <w:bottom w:val="single" w:sz="8" w:space="0" w:color="000000"/>
              <w:right w:val="nil"/>
            </w:tcBorders>
            <w:shd w:val="clear" w:color="auto" w:fill="auto"/>
            <w:vAlign w:val="center"/>
            <w:hideMark/>
          </w:tcPr>
          <w:p w14:paraId="3E5BF45B"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85" w:type="dxa"/>
            <w:tcBorders>
              <w:top w:val="single" w:sz="8" w:space="0" w:color="auto"/>
              <w:left w:val="nil"/>
              <w:bottom w:val="single" w:sz="8" w:space="0" w:color="000000"/>
              <w:right w:val="nil"/>
            </w:tcBorders>
            <w:shd w:val="clear" w:color="auto" w:fill="auto"/>
            <w:vAlign w:val="center"/>
            <w:hideMark/>
          </w:tcPr>
          <w:p w14:paraId="68BA1FB2"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79" w:type="dxa"/>
            <w:tcBorders>
              <w:top w:val="single" w:sz="8" w:space="0" w:color="auto"/>
              <w:left w:val="nil"/>
              <w:bottom w:val="single" w:sz="8" w:space="0" w:color="000000"/>
              <w:right w:val="single" w:sz="8" w:space="0" w:color="auto"/>
            </w:tcBorders>
            <w:shd w:val="clear" w:color="auto" w:fill="auto"/>
            <w:vAlign w:val="center"/>
            <w:hideMark/>
          </w:tcPr>
          <w:p w14:paraId="475EEB4C"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r>
      <w:tr w:rsidR="00BB79E7" w:rsidRPr="00BB79E7" w14:paraId="1F613A76" w14:textId="77777777" w:rsidTr="00BB79E7">
        <w:trPr>
          <w:trHeight w:val="740"/>
        </w:trPr>
        <w:tc>
          <w:tcPr>
            <w:tcW w:w="805" w:type="dxa"/>
            <w:tcBorders>
              <w:top w:val="nil"/>
              <w:left w:val="single" w:sz="8" w:space="0" w:color="000000"/>
              <w:bottom w:val="single" w:sz="8" w:space="0" w:color="000000"/>
              <w:right w:val="single" w:sz="8" w:space="0" w:color="000000"/>
            </w:tcBorders>
            <w:shd w:val="clear" w:color="auto" w:fill="auto"/>
            <w:vAlign w:val="center"/>
            <w:hideMark/>
          </w:tcPr>
          <w:p w14:paraId="7C508CD8" w14:textId="77777777" w:rsidR="00BB79E7" w:rsidRPr="00BB79E7" w:rsidRDefault="00BB79E7" w:rsidP="00BB79E7">
            <w:pPr>
              <w:spacing w:after="0" w:line="240" w:lineRule="auto"/>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Desarrollo de encuestas.</w:t>
            </w:r>
          </w:p>
        </w:tc>
        <w:tc>
          <w:tcPr>
            <w:tcW w:w="842" w:type="dxa"/>
            <w:tcBorders>
              <w:top w:val="nil"/>
              <w:left w:val="nil"/>
              <w:bottom w:val="single" w:sz="8" w:space="0" w:color="000000"/>
              <w:right w:val="single" w:sz="8" w:space="0" w:color="000000"/>
            </w:tcBorders>
            <w:shd w:val="clear" w:color="auto" w:fill="auto"/>
            <w:vAlign w:val="center"/>
            <w:hideMark/>
          </w:tcPr>
          <w:p w14:paraId="39383E91" w14:textId="77777777" w:rsidR="00BB79E7" w:rsidRPr="00BB79E7" w:rsidRDefault="00BB79E7" w:rsidP="00BB79E7">
            <w:pPr>
              <w:spacing w:after="0" w:line="240" w:lineRule="auto"/>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Carlos Andrés Peña - David Zamora</w:t>
            </w:r>
          </w:p>
        </w:tc>
        <w:tc>
          <w:tcPr>
            <w:tcW w:w="479" w:type="dxa"/>
            <w:tcBorders>
              <w:top w:val="single" w:sz="8" w:space="0" w:color="000000"/>
              <w:left w:val="nil"/>
              <w:bottom w:val="single" w:sz="8" w:space="0" w:color="000000"/>
              <w:right w:val="single" w:sz="8" w:space="0" w:color="000000"/>
            </w:tcBorders>
            <w:shd w:val="clear" w:color="000000" w:fill="C0C0C0"/>
            <w:vAlign w:val="center"/>
            <w:hideMark/>
          </w:tcPr>
          <w:p w14:paraId="3DC52382" w14:textId="77777777" w:rsidR="00BB79E7" w:rsidRPr="00BB79E7" w:rsidRDefault="00BB79E7" w:rsidP="00BB79E7">
            <w:pPr>
              <w:spacing w:after="0" w:line="240" w:lineRule="auto"/>
              <w:jc w:val="center"/>
              <w:rPr>
                <w:rFonts w:ascii="Times New Roman" w:eastAsia="Times New Roman" w:hAnsi="Times New Roman" w:cs="Times New Roman"/>
                <w:b/>
                <w:bCs/>
                <w:color w:val="000000"/>
                <w:sz w:val="16"/>
                <w:szCs w:val="16"/>
              </w:rPr>
            </w:pPr>
            <w:r w:rsidRPr="00BB79E7">
              <w:rPr>
                <w:rFonts w:ascii="Times New Roman" w:eastAsia="Times New Roman" w:hAnsi="Times New Roman" w:cs="Times New Roman"/>
                <w:b/>
                <w:bCs/>
                <w:color w:val="000000"/>
                <w:sz w:val="16"/>
                <w:szCs w:val="16"/>
              </w:rPr>
              <w:t>16/02/19</w:t>
            </w:r>
          </w:p>
        </w:tc>
        <w:tc>
          <w:tcPr>
            <w:tcW w:w="452" w:type="dxa"/>
            <w:tcBorders>
              <w:top w:val="nil"/>
              <w:left w:val="nil"/>
              <w:bottom w:val="single" w:sz="8" w:space="0" w:color="000000"/>
              <w:right w:val="single" w:sz="8" w:space="0" w:color="000000"/>
            </w:tcBorders>
            <w:shd w:val="clear" w:color="000000" w:fill="FF8080"/>
            <w:vAlign w:val="center"/>
            <w:hideMark/>
          </w:tcPr>
          <w:p w14:paraId="4EEFFC1B" w14:textId="77777777" w:rsidR="00BB79E7" w:rsidRPr="00BB79E7" w:rsidRDefault="00BB79E7" w:rsidP="00BB79E7">
            <w:pPr>
              <w:spacing w:after="0" w:line="240" w:lineRule="auto"/>
              <w:jc w:val="center"/>
              <w:rPr>
                <w:rFonts w:ascii="Times New Roman" w:eastAsia="Times New Roman" w:hAnsi="Times New Roman" w:cs="Times New Roman"/>
                <w:b/>
                <w:bCs/>
                <w:color w:val="000000"/>
                <w:sz w:val="16"/>
                <w:szCs w:val="16"/>
              </w:rPr>
            </w:pPr>
            <w:r w:rsidRPr="00BB79E7">
              <w:rPr>
                <w:rFonts w:ascii="Times New Roman" w:eastAsia="Times New Roman" w:hAnsi="Times New Roman" w:cs="Times New Roman"/>
                <w:b/>
                <w:bCs/>
                <w:color w:val="000000"/>
                <w:sz w:val="16"/>
                <w:szCs w:val="16"/>
              </w:rPr>
              <w:t>30/03/20</w:t>
            </w:r>
          </w:p>
        </w:tc>
        <w:tc>
          <w:tcPr>
            <w:tcW w:w="59" w:type="dxa"/>
            <w:tcBorders>
              <w:top w:val="nil"/>
              <w:left w:val="nil"/>
              <w:bottom w:val="nil"/>
              <w:right w:val="nil"/>
            </w:tcBorders>
            <w:shd w:val="clear" w:color="000000" w:fill="000000"/>
            <w:vAlign w:val="center"/>
            <w:hideMark/>
          </w:tcPr>
          <w:p w14:paraId="67A77564"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73" w:type="dxa"/>
            <w:tcBorders>
              <w:top w:val="nil"/>
              <w:left w:val="single" w:sz="8" w:space="0" w:color="auto"/>
              <w:bottom w:val="single" w:sz="8" w:space="0" w:color="000000"/>
              <w:right w:val="nil"/>
            </w:tcBorders>
            <w:shd w:val="clear" w:color="auto" w:fill="auto"/>
            <w:vAlign w:val="center"/>
            <w:hideMark/>
          </w:tcPr>
          <w:p w14:paraId="1E4F7883"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55" w:type="dxa"/>
            <w:tcBorders>
              <w:top w:val="nil"/>
              <w:left w:val="nil"/>
              <w:bottom w:val="single" w:sz="8" w:space="0" w:color="000000"/>
              <w:right w:val="nil"/>
            </w:tcBorders>
            <w:shd w:val="clear" w:color="000000" w:fill="538DD5"/>
            <w:vAlign w:val="center"/>
            <w:hideMark/>
          </w:tcPr>
          <w:p w14:paraId="69CF04BE"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43" w:type="dxa"/>
            <w:tcBorders>
              <w:top w:val="nil"/>
              <w:left w:val="nil"/>
              <w:bottom w:val="single" w:sz="8" w:space="0" w:color="000000"/>
              <w:right w:val="nil"/>
            </w:tcBorders>
            <w:shd w:val="clear" w:color="000000" w:fill="538DD5"/>
            <w:vAlign w:val="center"/>
            <w:hideMark/>
          </w:tcPr>
          <w:p w14:paraId="45F5CDFB"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34" w:type="dxa"/>
            <w:tcBorders>
              <w:top w:val="nil"/>
              <w:left w:val="nil"/>
              <w:bottom w:val="single" w:sz="8" w:space="0" w:color="000000"/>
              <w:right w:val="nil"/>
            </w:tcBorders>
            <w:shd w:val="clear" w:color="000000" w:fill="538DD5"/>
            <w:vAlign w:val="center"/>
            <w:hideMark/>
          </w:tcPr>
          <w:p w14:paraId="01EBF1AD"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35" w:type="dxa"/>
            <w:tcBorders>
              <w:top w:val="nil"/>
              <w:left w:val="nil"/>
              <w:bottom w:val="single" w:sz="8" w:space="0" w:color="000000"/>
              <w:right w:val="nil"/>
            </w:tcBorders>
            <w:shd w:val="clear" w:color="000000" w:fill="538DD5"/>
            <w:vAlign w:val="center"/>
            <w:hideMark/>
          </w:tcPr>
          <w:p w14:paraId="53A32501"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26" w:type="dxa"/>
            <w:tcBorders>
              <w:top w:val="nil"/>
              <w:left w:val="nil"/>
              <w:bottom w:val="single" w:sz="8" w:space="0" w:color="000000"/>
              <w:right w:val="nil"/>
            </w:tcBorders>
            <w:shd w:val="clear" w:color="000000" w:fill="538DD5"/>
            <w:vAlign w:val="center"/>
            <w:hideMark/>
          </w:tcPr>
          <w:p w14:paraId="34CF892F"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19" w:type="dxa"/>
            <w:tcBorders>
              <w:top w:val="nil"/>
              <w:left w:val="nil"/>
              <w:bottom w:val="single" w:sz="8" w:space="0" w:color="000000"/>
              <w:right w:val="nil"/>
            </w:tcBorders>
            <w:shd w:val="clear" w:color="000000" w:fill="538DD5"/>
            <w:vAlign w:val="center"/>
            <w:hideMark/>
          </w:tcPr>
          <w:p w14:paraId="18CE972F"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13" w:type="dxa"/>
            <w:tcBorders>
              <w:top w:val="nil"/>
              <w:left w:val="nil"/>
              <w:bottom w:val="single" w:sz="8" w:space="0" w:color="000000"/>
              <w:right w:val="nil"/>
            </w:tcBorders>
            <w:shd w:val="clear" w:color="000000" w:fill="538DD5"/>
            <w:vAlign w:val="center"/>
            <w:hideMark/>
          </w:tcPr>
          <w:p w14:paraId="488AA803"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58" w:type="dxa"/>
            <w:tcBorders>
              <w:top w:val="nil"/>
              <w:left w:val="nil"/>
              <w:bottom w:val="single" w:sz="8" w:space="0" w:color="000000"/>
              <w:right w:val="nil"/>
            </w:tcBorders>
            <w:shd w:val="clear" w:color="auto" w:fill="auto"/>
            <w:vAlign w:val="center"/>
            <w:hideMark/>
          </w:tcPr>
          <w:p w14:paraId="0A5C4EF0"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58" w:type="dxa"/>
            <w:tcBorders>
              <w:top w:val="nil"/>
              <w:left w:val="nil"/>
              <w:bottom w:val="single" w:sz="8" w:space="0" w:color="000000"/>
              <w:right w:val="nil"/>
            </w:tcBorders>
            <w:shd w:val="clear" w:color="auto" w:fill="auto"/>
            <w:vAlign w:val="center"/>
            <w:hideMark/>
          </w:tcPr>
          <w:p w14:paraId="124D0A7B"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40" w:type="dxa"/>
            <w:tcBorders>
              <w:top w:val="nil"/>
              <w:left w:val="nil"/>
              <w:bottom w:val="single" w:sz="8" w:space="0" w:color="000000"/>
              <w:right w:val="nil"/>
            </w:tcBorders>
            <w:shd w:val="clear" w:color="auto" w:fill="auto"/>
            <w:vAlign w:val="center"/>
            <w:hideMark/>
          </w:tcPr>
          <w:p w14:paraId="3097DA7D"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40" w:type="dxa"/>
            <w:tcBorders>
              <w:top w:val="nil"/>
              <w:left w:val="nil"/>
              <w:bottom w:val="single" w:sz="8" w:space="0" w:color="000000"/>
              <w:right w:val="nil"/>
            </w:tcBorders>
            <w:shd w:val="clear" w:color="auto" w:fill="auto"/>
            <w:vAlign w:val="center"/>
            <w:hideMark/>
          </w:tcPr>
          <w:p w14:paraId="4CA5C407"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40" w:type="dxa"/>
            <w:tcBorders>
              <w:top w:val="nil"/>
              <w:left w:val="nil"/>
              <w:bottom w:val="single" w:sz="8" w:space="0" w:color="000000"/>
              <w:right w:val="nil"/>
            </w:tcBorders>
            <w:shd w:val="clear" w:color="auto" w:fill="auto"/>
            <w:vAlign w:val="center"/>
            <w:hideMark/>
          </w:tcPr>
          <w:p w14:paraId="0E5E197C"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40" w:type="dxa"/>
            <w:tcBorders>
              <w:top w:val="nil"/>
              <w:left w:val="nil"/>
              <w:bottom w:val="single" w:sz="8" w:space="0" w:color="000000"/>
              <w:right w:val="nil"/>
            </w:tcBorders>
            <w:shd w:val="clear" w:color="auto" w:fill="auto"/>
            <w:vAlign w:val="center"/>
            <w:hideMark/>
          </w:tcPr>
          <w:p w14:paraId="4B0474D3"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40" w:type="dxa"/>
            <w:tcBorders>
              <w:top w:val="nil"/>
              <w:left w:val="nil"/>
              <w:bottom w:val="single" w:sz="8" w:space="0" w:color="000000"/>
              <w:right w:val="nil"/>
            </w:tcBorders>
            <w:shd w:val="clear" w:color="auto" w:fill="auto"/>
            <w:vAlign w:val="center"/>
            <w:hideMark/>
          </w:tcPr>
          <w:p w14:paraId="0502A723"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40" w:type="dxa"/>
            <w:tcBorders>
              <w:top w:val="nil"/>
              <w:left w:val="nil"/>
              <w:bottom w:val="single" w:sz="8" w:space="0" w:color="000000"/>
              <w:right w:val="nil"/>
            </w:tcBorders>
            <w:shd w:val="clear" w:color="auto" w:fill="auto"/>
            <w:vAlign w:val="center"/>
            <w:hideMark/>
          </w:tcPr>
          <w:p w14:paraId="51D28D15"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40" w:type="dxa"/>
            <w:tcBorders>
              <w:top w:val="nil"/>
              <w:left w:val="nil"/>
              <w:bottom w:val="single" w:sz="8" w:space="0" w:color="000000"/>
              <w:right w:val="nil"/>
            </w:tcBorders>
            <w:shd w:val="clear" w:color="auto" w:fill="auto"/>
            <w:vAlign w:val="center"/>
            <w:hideMark/>
          </w:tcPr>
          <w:p w14:paraId="157B2E48"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40" w:type="dxa"/>
            <w:tcBorders>
              <w:top w:val="nil"/>
              <w:left w:val="nil"/>
              <w:bottom w:val="single" w:sz="8" w:space="0" w:color="000000"/>
              <w:right w:val="nil"/>
            </w:tcBorders>
            <w:shd w:val="clear" w:color="auto" w:fill="auto"/>
            <w:vAlign w:val="center"/>
            <w:hideMark/>
          </w:tcPr>
          <w:p w14:paraId="31AB36DB"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40" w:type="dxa"/>
            <w:tcBorders>
              <w:top w:val="nil"/>
              <w:left w:val="nil"/>
              <w:bottom w:val="single" w:sz="8" w:space="0" w:color="000000"/>
              <w:right w:val="nil"/>
            </w:tcBorders>
            <w:shd w:val="clear" w:color="auto" w:fill="auto"/>
            <w:vAlign w:val="center"/>
            <w:hideMark/>
          </w:tcPr>
          <w:p w14:paraId="106439F7"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40" w:type="dxa"/>
            <w:tcBorders>
              <w:top w:val="nil"/>
              <w:left w:val="nil"/>
              <w:bottom w:val="single" w:sz="8" w:space="0" w:color="000000"/>
              <w:right w:val="nil"/>
            </w:tcBorders>
            <w:shd w:val="clear" w:color="auto" w:fill="auto"/>
            <w:vAlign w:val="center"/>
            <w:hideMark/>
          </w:tcPr>
          <w:p w14:paraId="70107A5D"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40" w:type="dxa"/>
            <w:tcBorders>
              <w:top w:val="nil"/>
              <w:left w:val="nil"/>
              <w:bottom w:val="single" w:sz="8" w:space="0" w:color="000000"/>
              <w:right w:val="nil"/>
            </w:tcBorders>
            <w:shd w:val="clear" w:color="auto" w:fill="auto"/>
            <w:vAlign w:val="center"/>
            <w:hideMark/>
          </w:tcPr>
          <w:p w14:paraId="4333467C"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58" w:type="dxa"/>
            <w:tcBorders>
              <w:top w:val="nil"/>
              <w:left w:val="nil"/>
              <w:bottom w:val="single" w:sz="8" w:space="0" w:color="000000"/>
              <w:right w:val="nil"/>
            </w:tcBorders>
            <w:shd w:val="clear" w:color="auto" w:fill="auto"/>
            <w:vAlign w:val="center"/>
            <w:hideMark/>
          </w:tcPr>
          <w:p w14:paraId="2123D0E6"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58" w:type="dxa"/>
            <w:tcBorders>
              <w:top w:val="nil"/>
              <w:left w:val="nil"/>
              <w:bottom w:val="single" w:sz="8" w:space="0" w:color="000000"/>
              <w:right w:val="nil"/>
            </w:tcBorders>
            <w:shd w:val="clear" w:color="auto" w:fill="auto"/>
            <w:vAlign w:val="center"/>
            <w:hideMark/>
          </w:tcPr>
          <w:p w14:paraId="7611D6D3"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58" w:type="dxa"/>
            <w:tcBorders>
              <w:top w:val="nil"/>
              <w:left w:val="nil"/>
              <w:bottom w:val="single" w:sz="8" w:space="0" w:color="000000"/>
              <w:right w:val="nil"/>
            </w:tcBorders>
            <w:shd w:val="clear" w:color="auto" w:fill="auto"/>
            <w:vAlign w:val="center"/>
            <w:hideMark/>
          </w:tcPr>
          <w:p w14:paraId="256B639A"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40" w:type="dxa"/>
            <w:tcBorders>
              <w:top w:val="nil"/>
              <w:left w:val="nil"/>
              <w:bottom w:val="single" w:sz="8" w:space="0" w:color="000000"/>
              <w:right w:val="nil"/>
            </w:tcBorders>
            <w:shd w:val="clear" w:color="auto" w:fill="auto"/>
            <w:vAlign w:val="center"/>
            <w:hideMark/>
          </w:tcPr>
          <w:p w14:paraId="23D8C3AB"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40" w:type="dxa"/>
            <w:tcBorders>
              <w:top w:val="nil"/>
              <w:left w:val="nil"/>
              <w:bottom w:val="single" w:sz="8" w:space="0" w:color="000000"/>
              <w:right w:val="nil"/>
            </w:tcBorders>
            <w:shd w:val="clear" w:color="auto" w:fill="auto"/>
            <w:vAlign w:val="center"/>
            <w:hideMark/>
          </w:tcPr>
          <w:p w14:paraId="4DD73DDA"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40" w:type="dxa"/>
            <w:tcBorders>
              <w:top w:val="nil"/>
              <w:left w:val="nil"/>
              <w:bottom w:val="single" w:sz="8" w:space="0" w:color="000000"/>
              <w:right w:val="nil"/>
            </w:tcBorders>
            <w:shd w:val="clear" w:color="auto" w:fill="auto"/>
            <w:vAlign w:val="center"/>
            <w:hideMark/>
          </w:tcPr>
          <w:p w14:paraId="556CC004"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69" w:type="dxa"/>
            <w:tcBorders>
              <w:top w:val="nil"/>
              <w:left w:val="nil"/>
              <w:bottom w:val="single" w:sz="8" w:space="0" w:color="000000"/>
              <w:right w:val="nil"/>
            </w:tcBorders>
            <w:shd w:val="clear" w:color="auto" w:fill="auto"/>
            <w:vAlign w:val="center"/>
            <w:hideMark/>
          </w:tcPr>
          <w:p w14:paraId="480F41E7"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85" w:type="dxa"/>
            <w:tcBorders>
              <w:top w:val="nil"/>
              <w:left w:val="nil"/>
              <w:bottom w:val="single" w:sz="8" w:space="0" w:color="000000"/>
              <w:right w:val="nil"/>
            </w:tcBorders>
            <w:shd w:val="clear" w:color="auto" w:fill="auto"/>
            <w:vAlign w:val="center"/>
            <w:hideMark/>
          </w:tcPr>
          <w:p w14:paraId="0C601CB4"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59" w:type="dxa"/>
            <w:tcBorders>
              <w:top w:val="nil"/>
              <w:left w:val="nil"/>
              <w:bottom w:val="single" w:sz="8" w:space="0" w:color="000000"/>
              <w:right w:val="nil"/>
            </w:tcBorders>
            <w:shd w:val="clear" w:color="auto" w:fill="auto"/>
            <w:vAlign w:val="center"/>
            <w:hideMark/>
          </w:tcPr>
          <w:p w14:paraId="5E39DA70"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55" w:type="dxa"/>
            <w:tcBorders>
              <w:top w:val="nil"/>
              <w:left w:val="nil"/>
              <w:bottom w:val="single" w:sz="8" w:space="0" w:color="000000"/>
              <w:right w:val="nil"/>
            </w:tcBorders>
            <w:shd w:val="clear" w:color="auto" w:fill="auto"/>
            <w:vAlign w:val="center"/>
            <w:hideMark/>
          </w:tcPr>
          <w:p w14:paraId="6C7DEB9A"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53" w:type="dxa"/>
            <w:tcBorders>
              <w:top w:val="nil"/>
              <w:left w:val="nil"/>
              <w:bottom w:val="single" w:sz="8" w:space="0" w:color="000000"/>
              <w:right w:val="nil"/>
            </w:tcBorders>
            <w:shd w:val="clear" w:color="auto" w:fill="auto"/>
            <w:vAlign w:val="center"/>
            <w:hideMark/>
          </w:tcPr>
          <w:p w14:paraId="35C468E2"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217" w:type="dxa"/>
            <w:tcBorders>
              <w:top w:val="nil"/>
              <w:left w:val="nil"/>
              <w:bottom w:val="single" w:sz="8" w:space="0" w:color="000000"/>
              <w:right w:val="nil"/>
            </w:tcBorders>
            <w:shd w:val="clear" w:color="auto" w:fill="auto"/>
            <w:vAlign w:val="center"/>
            <w:hideMark/>
          </w:tcPr>
          <w:p w14:paraId="4AF87C58"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203" w:type="dxa"/>
            <w:tcBorders>
              <w:top w:val="nil"/>
              <w:left w:val="nil"/>
              <w:bottom w:val="single" w:sz="8" w:space="0" w:color="000000"/>
              <w:right w:val="nil"/>
            </w:tcBorders>
            <w:shd w:val="clear" w:color="auto" w:fill="auto"/>
            <w:vAlign w:val="center"/>
            <w:hideMark/>
          </w:tcPr>
          <w:p w14:paraId="39C7186E"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92" w:type="dxa"/>
            <w:tcBorders>
              <w:top w:val="nil"/>
              <w:left w:val="nil"/>
              <w:bottom w:val="single" w:sz="8" w:space="0" w:color="000000"/>
              <w:right w:val="nil"/>
            </w:tcBorders>
            <w:shd w:val="clear" w:color="auto" w:fill="auto"/>
            <w:vAlign w:val="center"/>
            <w:hideMark/>
          </w:tcPr>
          <w:p w14:paraId="26011359"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84" w:type="dxa"/>
            <w:tcBorders>
              <w:top w:val="nil"/>
              <w:left w:val="nil"/>
              <w:bottom w:val="single" w:sz="8" w:space="0" w:color="000000"/>
              <w:right w:val="nil"/>
            </w:tcBorders>
            <w:shd w:val="clear" w:color="auto" w:fill="auto"/>
            <w:vAlign w:val="center"/>
            <w:hideMark/>
          </w:tcPr>
          <w:p w14:paraId="124FF994"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40" w:type="dxa"/>
            <w:tcBorders>
              <w:top w:val="nil"/>
              <w:left w:val="nil"/>
              <w:bottom w:val="single" w:sz="8" w:space="0" w:color="000000"/>
              <w:right w:val="nil"/>
            </w:tcBorders>
            <w:shd w:val="clear" w:color="auto" w:fill="auto"/>
            <w:vAlign w:val="center"/>
            <w:hideMark/>
          </w:tcPr>
          <w:p w14:paraId="212657BE"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40" w:type="dxa"/>
            <w:tcBorders>
              <w:top w:val="nil"/>
              <w:left w:val="nil"/>
              <w:bottom w:val="single" w:sz="8" w:space="0" w:color="000000"/>
              <w:right w:val="nil"/>
            </w:tcBorders>
            <w:shd w:val="clear" w:color="auto" w:fill="auto"/>
            <w:vAlign w:val="center"/>
            <w:hideMark/>
          </w:tcPr>
          <w:p w14:paraId="5700D79C"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40" w:type="dxa"/>
            <w:tcBorders>
              <w:top w:val="nil"/>
              <w:left w:val="nil"/>
              <w:bottom w:val="single" w:sz="8" w:space="0" w:color="000000"/>
              <w:right w:val="nil"/>
            </w:tcBorders>
            <w:shd w:val="clear" w:color="auto" w:fill="auto"/>
            <w:vAlign w:val="center"/>
            <w:hideMark/>
          </w:tcPr>
          <w:p w14:paraId="565C4F5E"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40" w:type="dxa"/>
            <w:tcBorders>
              <w:top w:val="nil"/>
              <w:left w:val="nil"/>
              <w:bottom w:val="single" w:sz="8" w:space="0" w:color="000000"/>
              <w:right w:val="nil"/>
            </w:tcBorders>
            <w:shd w:val="clear" w:color="auto" w:fill="auto"/>
            <w:vAlign w:val="center"/>
            <w:hideMark/>
          </w:tcPr>
          <w:p w14:paraId="2E5D9EDE"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40" w:type="dxa"/>
            <w:tcBorders>
              <w:top w:val="nil"/>
              <w:left w:val="nil"/>
              <w:bottom w:val="single" w:sz="8" w:space="0" w:color="000000"/>
              <w:right w:val="nil"/>
            </w:tcBorders>
            <w:shd w:val="clear" w:color="auto" w:fill="auto"/>
            <w:vAlign w:val="center"/>
            <w:hideMark/>
          </w:tcPr>
          <w:p w14:paraId="58A47CB2"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207" w:type="dxa"/>
            <w:tcBorders>
              <w:top w:val="nil"/>
              <w:left w:val="nil"/>
              <w:bottom w:val="single" w:sz="8" w:space="0" w:color="000000"/>
              <w:right w:val="nil"/>
            </w:tcBorders>
            <w:shd w:val="clear" w:color="auto" w:fill="auto"/>
            <w:vAlign w:val="center"/>
            <w:hideMark/>
          </w:tcPr>
          <w:p w14:paraId="39508E88"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95" w:type="dxa"/>
            <w:tcBorders>
              <w:top w:val="nil"/>
              <w:left w:val="nil"/>
              <w:bottom w:val="single" w:sz="8" w:space="0" w:color="000000"/>
              <w:right w:val="nil"/>
            </w:tcBorders>
            <w:shd w:val="clear" w:color="auto" w:fill="auto"/>
            <w:vAlign w:val="center"/>
            <w:hideMark/>
          </w:tcPr>
          <w:p w14:paraId="6278D763"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85" w:type="dxa"/>
            <w:tcBorders>
              <w:top w:val="nil"/>
              <w:left w:val="nil"/>
              <w:bottom w:val="single" w:sz="8" w:space="0" w:color="000000"/>
              <w:right w:val="nil"/>
            </w:tcBorders>
            <w:shd w:val="clear" w:color="auto" w:fill="auto"/>
            <w:vAlign w:val="center"/>
            <w:hideMark/>
          </w:tcPr>
          <w:p w14:paraId="50EBE4F4"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79" w:type="dxa"/>
            <w:tcBorders>
              <w:top w:val="nil"/>
              <w:left w:val="nil"/>
              <w:bottom w:val="single" w:sz="8" w:space="0" w:color="000000"/>
              <w:right w:val="single" w:sz="8" w:space="0" w:color="auto"/>
            </w:tcBorders>
            <w:shd w:val="clear" w:color="auto" w:fill="auto"/>
            <w:vAlign w:val="center"/>
            <w:hideMark/>
          </w:tcPr>
          <w:p w14:paraId="04BB4561"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r>
      <w:tr w:rsidR="00BB79E7" w:rsidRPr="00BB79E7" w14:paraId="2F662121" w14:textId="77777777" w:rsidTr="00BB79E7">
        <w:trPr>
          <w:trHeight w:val="740"/>
        </w:trPr>
        <w:tc>
          <w:tcPr>
            <w:tcW w:w="805" w:type="dxa"/>
            <w:tcBorders>
              <w:top w:val="nil"/>
              <w:left w:val="single" w:sz="8" w:space="0" w:color="000000"/>
              <w:bottom w:val="single" w:sz="8" w:space="0" w:color="000000"/>
              <w:right w:val="single" w:sz="8" w:space="0" w:color="000000"/>
            </w:tcBorders>
            <w:shd w:val="clear" w:color="auto" w:fill="auto"/>
            <w:vAlign w:val="center"/>
            <w:hideMark/>
          </w:tcPr>
          <w:p w14:paraId="700C7863" w14:textId="77777777" w:rsidR="00BB79E7" w:rsidRPr="00BB79E7" w:rsidRDefault="00BB79E7" w:rsidP="00BB79E7">
            <w:pPr>
              <w:spacing w:after="0" w:line="240" w:lineRule="auto"/>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xml:space="preserve"> Identificación y cuantificación.</w:t>
            </w:r>
          </w:p>
        </w:tc>
        <w:tc>
          <w:tcPr>
            <w:tcW w:w="842" w:type="dxa"/>
            <w:tcBorders>
              <w:top w:val="nil"/>
              <w:left w:val="nil"/>
              <w:bottom w:val="single" w:sz="8" w:space="0" w:color="000000"/>
              <w:right w:val="single" w:sz="8" w:space="0" w:color="000000"/>
            </w:tcBorders>
            <w:shd w:val="clear" w:color="auto" w:fill="auto"/>
            <w:vAlign w:val="center"/>
            <w:hideMark/>
          </w:tcPr>
          <w:p w14:paraId="29735EA9" w14:textId="77777777" w:rsidR="00BB79E7" w:rsidRPr="00BB79E7" w:rsidRDefault="00BB79E7" w:rsidP="00BB79E7">
            <w:pPr>
              <w:spacing w:after="0" w:line="240" w:lineRule="auto"/>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Carlos Andrés Peña - David Zamora</w:t>
            </w:r>
          </w:p>
        </w:tc>
        <w:tc>
          <w:tcPr>
            <w:tcW w:w="479" w:type="dxa"/>
            <w:tcBorders>
              <w:top w:val="nil"/>
              <w:left w:val="nil"/>
              <w:bottom w:val="single" w:sz="8" w:space="0" w:color="000000"/>
              <w:right w:val="single" w:sz="8" w:space="0" w:color="000000"/>
            </w:tcBorders>
            <w:shd w:val="clear" w:color="000000" w:fill="C0C0C0"/>
            <w:vAlign w:val="center"/>
            <w:hideMark/>
          </w:tcPr>
          <w:p w14:paraId="4A033410" w14:textId="77777777" w:rsidR="00BB79E7" w:rsidRPr="00BB79E7" w:rsidRDefault="00BB79E7" w:rsidP="00BB79E7">
            <w:pPr>
              <w:spacing w:after="0" w:line="240" w:lineRule="auto"/>
              <w:jc w:val="center"/>
              <w:rPr>
                <w:rFonts w:ascii="Times New Roman" w:eastAsia="Times New Roman" w:hAnsi="Times New Roman" w:cs="Times New Roman"/>
                <w:b/>
                <w:bCs/>
                <w:color w:val="000000"/>
                <w:sz w:val="16"/>
                <w:szCs w:val="16"/>
              </w:rPr>
            </w:pPr>
            <w:r w:rsidRPr="00BB79E7">
              <w:rPr>
                <w:rFonts w:ascii="Times New Roman" w:eastAsia="Times New Roman" w:hAnsi="Times New Roman" w:cs="Times New Roman"/>
                <w:b/>
                <w:bCs/>
                <w:color w:val="000000"/>
                <w:sz w:val="16"/>
                <w:szCs w:val="16"/>
              </w:rPr>
              <w:t>15/03/20</w:t>
            </w:r>
          </w:p>
        </w:tc>
        <w:tc>
          <w:tcPr>
            <w:tcW w:w="452" w:type="dxa"/>
            <w:tcBorders>
              <w:top w:val="nil"/>
              <w:left w:val="nil"/>
              <w:bottom w:val="single" w:sz="8" w:space="0" w:color="000000"/>
              <w:right w:val="single" w:sz="8" w:space="0" w:color="000000"/>
            </w:tcBorders>
            <w:shd w:val="clear" w:color="000000" w:fill="FF8080"/>
            <w:vAlign w:val="center"/>
            <w:hideMark/>
          </w:tcPr>
          <w:p w14:paraId="77F12C44" w14:textId="77777777" w:rsidR="00BB79E7" w:rsidRPr="00BB79E7" w:rsidRDefault="00BB79E7" w:rsidP="00BB79E7">
            <w:pPr>
              <w:spacing w:after="0" w:line="240" w:lineRule="auto"/>
              <w:jc w:val="center"/>
              <w:rPr>
                <w:rFonts w:ascii="Times New Roman" w:eastAsia="Times New Roman" w:hAnsi="Times New Roman" w:cs="Times New Roman"/>
                <w:b/>
                <w:bCs/>
                <w:color w:val="000000"/>
                <w:sz w:val="16"/>
                <w:szCs w:val="16"/>
              </w:rPr>
            </w:pPr>
            <w:r w:rsidRPr="00BB79E7">
              <w:rPr>
                <w:rFonts w:ascii="Times New Roman" w:eastAsia="Times New Roman" w:hAnsi="Times New Roman" w:cs="Times New Roman"/>
                <w:b/>
                <w:bCs/>
                <w:color w:val="000000"/>
                <w:sz w:val="16"/>
                <w:szCs w:val="16"/>
              </w:rPr>
              <w:t> 30/04/20</w:t>
            </w:r>
          </w:p>
        </w:tc>
        <w:tc>
          <w:tcPr>
            <w:tcW w:w="59" w:type="dxa"/>
            <w:tcBorders>
              <w:top w:val="nil"/>
              <w:left w:val="nil"/>
              <w:bottom w:val="nil"/>
              <w:right w:val="nil"/>
            </w:tcBorders>
            <w:shd w:val="clear" w:color="000000" w:fill="000000"/>
            <w:vAlign w:val="center"/>
            <w:hideMark/>
          </w:tcPr>
          <w:p w14:paraId="7A3C2077"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73" w:type="dxa"/>
            <w:tcBorders>
              <w:top w:val="nil"/>
              <w:left w:val="single" w:sz="8" w:space="0" w:color="auto"/>
              <w:bottom w:val="single" w:sz="8" w:space="0" w:color="000000"/>
              <w:right w:val="nil"/>
            </w:tcBorders>
            <w:shd w:val="clear" w:color="auto" w:fill="auto"/>
            <w:vAlign w:val="center"/>
            <w:hideMark/>
          </w:tcPr>
          <w:p w14:paraId="6FB6677E"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55" w:type="dxa"/>
            <w:tcBorders>
              <w:top w:val="nil"/>
              <w:left w:val="nil"/>
              <w:bottom w:val="single" w:sz="8" w:space="0" w:color="000000"/>
              <w:right w:val="nil"/>
            </w:tcBorders>
            <w:shd w:val="clear" w:color="auto" w:fill="auto"/>
            <w:vAlign w:val="center"/>
            <w:hideMark/>
          </w:tcPr>
          <w:p w14:paraId="43AD4D20"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43" w:type="dxa"/>
            <w:tcBorders>
              <w:top w:val="nil"/>
              <w:left w:val="nil"/>
              <w:bottom w:val="single" w:sz="8" w:space="0" w:color="000000"/>
              <w:right w:val="nil"/>
            </w:tcBorders>
            <w:shd w:val="clear" w:color="auto" w:fill="auto"/>
            <w:vAlign w:val="center"/>
            <w:hideMark/>
          </w:tcPr>
          <w:p w14:paraId="6A74A44E"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34" w:type="dxa"/>
            <w:tcBorders>
              <w:top w:val="nil"/>
              <w:left w:val="nil"/>
              <w:bottom w:val="single" w:sz="8" w:space="0" w:color="000000"/>
              <w:right w:val="nil"/>
            </w:tcBorders>
            <w:shd w:val="clear" w:color="auto" w:fill="auto"/>
            <w:vAlign w:val="center"/>
            <w:hideMark/>
          </w:tcPr>
          <w:p w14:paraId="17D042D1"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35" w:type="dxa"/>
            <w:tcBorders>
              <w:top w:val="nil"/>
              <w:left w:val="nil"/>
              <w:bottom w:val="single" w:sz="8" w:space="0" w:color="000000"/>
              <w:right w:val="nil"/>
            </w:tcBorders>
            <w:shd w:val="clear" w:color="auto" w:fill="auto"/>
            <w:vAlign w:val="center"/>
            <w:hideMark/>
          </w:tcPr>
          <w:p w14:paraId="2BA016C8"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26" w:type="dxa"/>
            <w:tcBorders>
              <w:top w:val="nil"/>
              <w:left w:val="nil"/>
              <w:bottom w:val="single" w:sz="8" w:space="0" w:color="000000"/>
              <w:right w:val="nil"/>
            </w:tcBorders>
            <w:shd w:val="clear" w:color="000000" w:fill="538DD5"/>
            <w:vAlign w:val="center"/>
            <w:hideMark/>
          </w:tcPr>
          <w:p w14:paraId="3796BBBE"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19" w:type="dxa"/>
            <w:tcBorders>
              <w:top w:val="nil"/>
              <w:left w:val="nil"/>
              <w:bottom w:val="single" w:sz="8" w:space="0" w:color="000000"/>
              <w:right w:val="nil"/>
            </w:tcBorders>
            <w:shd w:val="clear" w:color="000000" w:fill="538DD5"/>
            <w:vAlign w:val="center"/>
            <w:hideMark/>
          </w:tcPr>
          <w:p w14:paraId="2CAD2DA2"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13" w:type="dxa"/>
            <w:tcBorders>
              <w:top w:val="nil"/>
              <w:left w:val="nil"/>
              <w:bottom w:val="single" w:sz="8" w:space="0" w:color="000000"/>
              <w:right w:val="nil"/>
            </w:tcBorders>
            <w:shd w:val="clear" w:color="000000" w:fill="538DD5"/>
            <w:vAlign w:val="center"/>
            <w:hideMark/>
          </w:tcPr>
          <w:p w14:paraId="0ABC6FE1"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58" w:type="dxa"/>
            <w:tcBorders>
              <w:top w:val="nil"/>
              <w:left w:val="nil"/>
              <w:bottom w:val="single" w:sz="8" w:space="0" w:color="000000"/>
              <w:right w:val="nil"/>
            </w:tcBorders>
            <w:shd w:val="clear" w:color="000000" w:fill="538DD5"/>
            <w:vAlign w:val="center"/>
            <w:hideMark/>
          </w:tcPr>
          <w:p w14:paraId="7A1CBDE9"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58" w:type="dxa"/>
            <w:tcBorders>
              <w:top w:val="nil"/>
              <w:left w:val="nil"/>
              <w:bottom w:val="single" w:sz="8" w:space="0" w:color="000000"/>
              <w:right w:val="nil"/>
            </w:tcBorders>
            <w:shd w:val="clear" w:color="000000" w:fill="538DD5"/>
            <w:vAlign w:val="center"/>
            <w:hideMark/>
          </w:tcPr>
          <w:p w14:paraId="3BAE962C"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40" w:type="dxa"/>
            <w:tcBorders>
              <w:top w:val="nil"/>
              <w:left w:val="nil"/>
              <w:bottom w:val="single" w:sz="8" w:space="0" w:color="000000"/>
              <w:right w:val="nil"/>
            </w:tcBorders>
            <w:shd w:val="clear" w:color="000000" w:fill="538DD5"/>
            <w:vAlign w:val="center"/>
            <w:hideMark/>
          </w:tcPr>
          <w:p w14:paraId="33C3D9A5"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40" w:type="dxa"/>
            <w:tcBorders>
              <w:top w:val="nil"/>
              <w:left w:val="nil"/>
              <w:bottom w:val="single" w:sz="8" w:space="0" w:color="000000"/>
              <w:right w:val="nil"/>
            </w:tcBorders>
            <w:shd w:val="clear" w:color="000000" w:fill="538DD5"/>
            <w:vAlign w:val="center"/>
            <w:hideMark/>
          </w:tcPr>
          <w:p w14:paraId="7B81699A"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40" w:type="dxa"/>
            <w:tcBorders>
              <w:top w:val="nil"/>
              <w:left w:val="nil"/>
              <w:bottom w:val="single" w:sz="8" w:space="0" w:color="000000"/>
              <w:right w:val="nil"/>
            </w:tcBorders>
            <w:shd w:val="clear" w:color="000000" w:fill="538DD5"/>
            <w:vAlign w:val="center"/>
            <w:hideMark/>
          </w:tcPr>
          <w:p w14:paraId="2EBD30E8"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40" w:type="dxa"/>
            <w:tcBorders>
              <w:top w:val="nil"/>
              <w:left w:val="nil"/>
              <w:bottom w:val="single" w:sz="8" w:space="0" w:color="000000"/>
              <w:right w:val="nil"/>
            </w:tcBorders>
            <w:shd w:val="clear" w:color="auto" w:fill="auto"/>
            <w:vAlign w:val="center"/>
            <w:hideMark/>
          </w:tcPr>
          <w:p w14:paraId="2B0A06C7"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40" w:type="dxa"/>
            <w:tcBorders>
              <w:top w:val="nil"/>
              <w:left w:val="nil"/>
              <w:bottom w:val="single" w:sz="8" w:space="0" w:color="000000"/>
              <w:right w:val="nil"/>
            </w:tcBorders>
            <w:shd w:val="clear" w:color="auto" w:fill="auto"/>
            <w:vAlign w:val="center"/>
            <w:hideMark/>
          </w:tcPr>
          <w:p w14:paraId="3AB2D99C"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40" w:type="dxa"/>
            <w:tcBorders>
              <w:top w:val="nil"/>
              <w:left w:val="nil"/>
              <w:bottom w:val="single" w:sz="8" w:space="0" w:color="000000"/>
              <w:right w:val="nil"/>
            </w:tcBorders>
            <w:shd w:val="clear" w:color="auto" w:fill="auto"/>
            <w:vAlign w:val="center"/>
            <w:hideMark/>
          </w:tcPr>
          <w:p w14:paraId="7A52FCED"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40" w:type="dxa"/>
            <w:tcBorders>
              <w:top w:val="nil"/>
              <w:left w:val="nil"/>
              <w:bottom w:val="single" w:sz="8" w:space="0" w:color="000000"/>
              <w:right w:val="nil"/>
            </w:tcBorders>
            <w:shd w:val="clear" w:color="auto" w:fill="auto"/>
            <w:vAlign w:val="center"/>
            <w:hideMark/>
          </w:tcPr>
          <w:p w14:paraId="5CBE0655"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40" w:type="dxa"/>
            <w:tcBorders>
              <w:top w:val="nil"/>
              <w:left w:val="nil"/>
              <w:bottom w:val="single" w:sz="8" w:space="0" w:color="000000"/>
              <w:right w:val="nil"/>
            </w:tcBorders>
            <w:shd w:val="clear" w:color="auto" w:fill="auto"/>
            <w:vAlign w:val="center"/>
            <w:hideMark/>
          </w:tcPr>
          <w:p w14:paraId="0105DD00"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40" w:type="dxa"/>
            <w:tcBorders>
              <w:top w:val="nil"/>
              <w:left w:val="nil"/>
              <w:bottom w:val="single" w:sz="8" w:space="0" w:color="000000"/>
              <w:right w:val="nil"/>
            </w:tcBorders>
            <w:shd w:val="clear" w:color="auto" w:fill="auto"/>
            <w:vAlign w:val="center"/>
            <w:hideMark/>
          </w:tcPr>
          <w:p w14:paraId="58FBEE9D"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40" w:type="dxa"/>
            <w:tcBorders>
              <w:top w:val="nil"/>
              <w:left w:val="nil"/>
              <w:bottom w:val="single" w:sz="8" w:space="0" w:color="000000"/>
              <w:right w:val="nil"/>
            </w:tcBorders>
            <w:shd w:val="clear" w:color="auto" w:fill="auto"/>
            <w:vAlign w:val="center"/>
            <w:hideMark/>
          </w:tcPr>
          <w:p w14:paraId="53FDDDEB"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40" w:type="dxa"/>
            <w:tcBorders>
              <w:top w:val="nil"/>
              <w:left w:val="nil"/>
              <w:bottom w:val="single" w:sz="8" w:space="0" w:color="000000"/>
              <w:right w:val="nil"/>
            </w:tcBorders>
            <w:shd w:val="clear" w:color="auto" w:fill="auto"/>
            <w:vAlign w:val="center"/>
            <w:hideMark/>
          </w:tcPr>
          <w:p w14:paraId="4D37605B"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58" w:type="dxa"/>
            <w:tcBorders>
              <w:top w:val="nil"/>
              <w:left w:val="nil"/>
              <w:bottom w:val="single" w:sz="8" w:space="0" w:color="000000"/>
              <w:right w:val="nil"/>
            </w:tcBorders>
            <w:shd w:val="clear" w:color="auto" w:fill="auto"/>
            <w:vAlign w:val="center"/>
            <w:hideMark/>
          </w:tcPr>
          <w:p w14:paraId="607850AF"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58" w:type="dxa"/>
            <w:tcBorders>
              <w:top w:val="nil"/>
              <w:left w:val="nil"/>
              <w:bottom w:val="single" w:sz="8" w:space="0" w:color="000000"/>
              <w:right w:val="nil"/>
            </w:tcBorders>
            <w:shd w:val="clear" w:color="auto" w:fill="auto"/>
            <w:vAlign w:val="center"/>
            <w:hideMark/>
          </w:tcPr>
          <w:p w14:paraId="02BC2A50"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58" w:type="dxa"/>
            <w:tcBorders>
              <w:top w:val="nil"/>
              <w:left w:val="nil"/>
              <w:bottom w:val="single" w:sz="8" w:space="0" w:color="000000"/>
              <w:right w:val="nil"/>
            </w:tcBorders>
            <w:shd w:val="clear" w:color="auto" w:fill="auto"/>
            <w:vAlign w:val="center"/>
            <w:hideMark/>
          </w:tcPr>
          <w:p w14:paraId="07AFDF49"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40" w:type="dxa"/>
            <w:tcBorders>
              <w:top w:val="nil"/>
              <w:left w:val="nil"/>
              <w:bottom w:val="single" w:sz="8" w:space="0" w:color="000000"/>
              <w:right w:val="nil"/>
            </w:tcBorders>
            <w:shd w:val="clear" w:color="auto" w:fill="auto"/>
            <w:vAlign w:val="center"/>
            <w:hideMark/>
          </w:tcPr>
          <w:p w14:paraId="0115AB0C"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40" w:type="dxa"/>
            <w:tcBorders>
              <w:top w:val="nil"/>
              <w:left w:val="nil"/>
              <w:bottom w:val="single" w:sz="8" w:space="0" w:color="000000"/>
              <w:right w:val="nil"/>
            </w:tcBorders>
            <w:shd w:val="clear" w:color="auto" w:fill="auto"/>
            <w:vAlign w:val="center"/>
            <w:hideMark/>
          </w:tcPr>
          <w:p w14:paraId="374FA652"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40" w:type="dxa"/>
            <w:tcBorders>
              <w:top w:val="nil"/>
              <w:left w:val="nil"/>
              <w:bottom w:val="single" w:sz="8" w:space="0" w:color="000000"/>
              <w:right w:val="nil"/>
            </w:tcBorders>
            <w:shd w:val="clear" w:color="auto" w:fill="auto"/>
            <w:vAlign w:val="center"/>
            <w:hideMark/>
          </w:tcPr>
          <w:p w14:paraId="05AC6081"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69" w:type="dxa"/>
            <w:tcBorders>
              <w:top w:val="nil"/>
              <w:left w:val="nil"/>
              <w:bottom w:val="single" w:sz="8" w:space="0" w:color="000000"/>
              <w:right w:val="nil"/>
            </w:tcBorders>
            <w:shd w:val="clear" w:color="auto" w:fill="auto"/>
            <w:vAlign w:val="center"/>
            <w:hideMark/>
          </w:tcPr>
          <w:p w14:paraId="40FEDC33"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85" w:type="dxa"/>
            <w:tcBorders>
              <w:top w:val="nil"/>
              <w:left w:val="nil"/>
              <w:bottom w:val="single" w:sz="8" w:space="0" w:color="000000"/>
              <w:right w:val="nil"/>
            </w:tcBorders>
            <w:shd w:val="clear" w:color="auto" w:fill="auto"/>
            <w:vAlign w:val="center"/>
            <w:hideMark/>
          </w:tcPr>
          <w:p w14:paraId="0C52783B"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59" w:type="dxa"/>
            <w:tcBorders>
              <w:top w:val="nil"/>
              <w:left w:val="nil"/>
              <w:bottom w:val="single" w:sz="8" w:space="0" w:color="000000"/>
              <w:right w:val="nil"/>
            </w:tcBorders>
            <w:shd w:val="clear" w:color="auto" w:fill="auto"/>
            <w:vAlign w:val="center"/>
            <w:hideMark/>
          </w:tcPr>
          <w:p w14:paraId="52DB31E5"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55" w:type="dxa"/>
            <w:tcBorders>
              <w:top w:val="nil"/>
              <w:left w:val="nil"/>
              <w:bottom w:val="single" w:sz="8" w:space="0" w:color="000000"/>
              <w:right w:val="nil"/>
            </w:tcBorders>
            <w:shd w:val="clear" w:color="auto" w:fill="auto"/>
            <w:vAlign w:val="center"/>
            <w:hideMark/>
          </w:tcPr>
          <w:p w14:paraId="3E15FC74"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53" w:type="dxa"/>
            <w:tcBorders>
              <w:top w:val="nil"/>
              <w:left w:val="nil"/>
              <w:bottom w:val="single" w:sz="8" w:space="0" w:color="000000"/>
              <w:right w:val="nil"/>
            </w:tcBorders>
            <w:shd w:val="clear" w:color="auto" w:fill="auto"/>
            <w:vAlign w:val="center"/>
            <w:hideMark/>
          </w:tcPr>
          <w:p w14:paraId="6C82B4F2"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217" w:type="dxa"/>
            <w:tcBorders>
              <w:top w:val="nil"/>
              <w:left w:val="nil"/>
              <w:bottom w:val="single" w:sz="8" w:space="0" w:color="000000"/>
              <w:right w:val="nil"/>
            </w:tcBorders>
            <w:shd w:val="clear" w:color="auto" w:fill="auto"/>
            <w:vAlign w:val="center"/>
            <w:hideMark/>
          </w:tcPr>
          <w:p w14:paraId="6D649AB4"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203" w:type="dxa"/>
            <w:tcBorders>
              <w:top w:val="nil"/>
              <w:left w:val="nil"/>
              <w:bottom w:val="single" w:sz="8" w:space="0" w:color="000000"/>
              <w:right w:val="nil"/>
            </w:tcBorders>
            <w:shd w:val="clear" w:color="auto" w:fill="auto"/>
            <w:vAlign w:val="center"/>
            <w:hideMark/>
          </w:tcPr>
          <w:p w14:paraId="478FCFB8"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92" w:type="dxa"/>
            <w:tcBorders>
              <w:top w:val="nil"/>
              <w:left w:val="nil"/>
              <w:bottom w:val="single" w:sz="8" w:space="0" w:color="000000"/>
              <w:right w:val="nil"/>
            </w:tcBorders>
            <w:shd w:val="clear" w:color="auto" w:fill="auto"/>
            <w:vAlign w:val="center"/>
            <w:hideMark/>
          </w:tcPr>
          <w:p w14:paraId="7320A812"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84" w:type="dxa"/>
            <w:tcBorders>
              <w:top w:val="nil"/>
              <w:left w:val="nil"/>
              <w:bottom w:val="single" w:sz="8" w:space="0" w:color="000000"/>
              <w:right w:val="nil"/>
            </w:tcBorders>
            <w:shd w:val="clear" w:color="auto" w:fill="auto"/>
            <w:vAlign w:val="center"/>
            <w:hideMark/>
          </w:tcPr>
          <w:p w14:paraId="46DCBFC3"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40" w:type="dxa"/>
            <w:tcBorders>
              <w:top w:val="nil"/>
              <w:left w:val="nil"/>
              <w:bottom w:val="single" w:sz="8" w:space="0" w:color="000000"/>
              <w:right w:val="nil"/>
            </w:tcBorders>
            <w:shd w:val="clear" w:color="auto" w:fill="auto"/>
            <w:vAlign w:val="center"/>
            <w:hideMark/>
          </w:tcPr>
          <w:p w14:paraId="1DB5742F"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40" w:type="dxa"/>
            <w:tcBorders>
              <w:top w:val="nil"/>
              <w:left w:val="nil"/>
              <w:bottom w:val="single" w:sz="8" w:space="0" w:color="000000"/>
              <w:right w:val="nil"/>
            </w:tcBorders>
            <w:shd w:val="clear" w:color="auto" w:fill="auto"/>
            <w:vAlign w:val="center"/>
            <w:hideMark/>
          </w:tcPr>
          <w:p w14:paraId="5536E878"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40" w:type="dxa"/>
            <w:tcBorders>
              <w:top w:val="nil"/>
              <w:left w:val="nil"/>
              <w:bottom w:val="single" w:sz="8" w:space="0" w:color="000000"/>
              <w:right w:val="nil"/>
            </w:tcBorders>
            <w:shd w:val="clear" w:color="auto" w:fill="auto"/>
            <w:vAlign w:val="center"/>
            <w:hideMark/>
          </w:tcPr>
          <w:p w14:paraId="368122AE"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40" w:type="dxa"/>
            <w:tcBorders>
              <w:top w:val="nil"/>
              <w:left w:val="nil"/>
              <w:bottom w:val="single" w:sz="8" w:space="0" w:color="000000"/>
              <w:right w:val="nil"/>
            </w:tcBorders>
            <w:shd w:val="clear" w:color="auto" w:fill="auto"/>
            <w:vAlign w:val="center"/>
            <w:hideMark/>
          </w:tcPr>
          <w:p w14:paraId="131C33F2"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40" w:type="dxa"/>
            <w:tcBorders>
              <w:top w:val="nil"/>
              <w:left w:val="nil"/>
              <w:bottom w:val="single" w:sz="8" w:space="0" w:color="000000"/>
              <w:right w:val="nil"/>
            </w:tcBorders>
            <w:shd w:val="clear" w:color="auto" w:fill="auto"/>
            <w:vAlign w:val="center"/>
            <w:hideMark/>
          </w:tcPr>
          <w:p w14:paraId="3C019060"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207" w:type="dxa"/>
            <w:tcBorders>
              <w:top w:val="nil"/>
              <w:left w:val="nil"/>
              <w:bottom w:val="single" w:sz="8" w:space="0" w:color="000000"/>
              <w:right w:val="nil"/>
            </w:tcBorders>
            <w:shd w:val="clear" w:color="auto" w:fill="auto"/>
            <w:vAlign w:val="center"/>
            <w:hideMark/>
          </w:tcPr>
          <w:p w14:paraId="230C74F7"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95" w:type="dxa"/>
            <w:tcBorders>
              <w:top w:val="nil"/>
              <w:left w:val="nil"/>
              <w:bottom w:val="single" w:sz="8" w:space="0" w:color="000000"/>
              <w:right w:val="nil"/>
            </w:tcBorders>
            <w:shd w:val="clear" w:color="auto" w:fill="auto"/>
            <w:vAlign w:val="center"/>
            <w:hideMark/>
          </w:tcPr>
          <w:p w14:paraId="2FEFE326"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85" w:type="dxa"/>
            <w:tcBorders>
              <w:top w:val="nil"/>
              <w:left w:val="nil"/>
              <w:bottom w:val="single" w:sz="8" w:space="0" w:color="000000"/>
              <w:right w:val="nil"/>
            </w:tcBorders>
            <w:shd w:val="clear" w:color="auto" w:fill="auto"/>
            <w:vAlign w:val="center"/>
            <w:hideMark/>
          </w:tcPr>
          <w:p w14:paraId="20EA0438"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79" w:type="dxa"/>
            <w:tcBorders>
              <w:top w:val="nil"/>
              <w:left w:val="nil"/>
              <w:bottom w:val="single" w:sz="8" w:space="0" w:color="000000"/>
              <w:right w:val="single" w:sz="8" w:space="0" w:color="auto"/>
            </w:tcBorders>
            <w:shd w:val="clear" w:color="auto" w:fill="auto"/>
            <w:vAlign w:val="center"/>
            <w:hideMark/>
          </w:tcPr>
          <w:p w14:paraId="4CB0A2E6"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r>
      <w:tr w:rsidR="00BB79E7" w:rsidRPr="00BB79E7" w14:paraId="69A1C7BA" w14:textId="77777777" w:rsidTr="00BB79E7">
        <w:trPr>
          <w:trHeight w:val="740"/>
        </w:trPr>
        <w:tc>
          <w:tcPr>
            <w:tcW w:w="805" w:type="dxa"/>
            <w:tcBorders>
              <w:top w:val="nil"/>
              <w:left w:val="single" w:sz="8" w:space="0" w:color="000000"/>
              <w:bottom w:val="single" w:sz="8" w:space="0" w:color="000000"/>
              <w:right w:val="single" w:sz="8" w:space="0" w:color="000000"/>
            </w:tcBorders>
            <w:shd w:val="clear" w:color="auto" w:fill="auto"/>
            <w:vAlign w:val="center"/>
            <w:hideMark/>
          </w:tcPr>
          <w:p w14:paraId="7C11C514" w14:textId="77777777" w:rsidR="00BB79E7" w:rsidRPr="00BB79E7" w:rsidRDefault="00BB79E7" w:rsidP="00BB79E7">
            <w:pPr>
              <w:spacing w:after="0" w:line="240" w:lineRule="auto"/>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Medidas de educación ambiental</w:t>
            </w:r>
          </w:p>
        </w:tc>
        <w:tc>
          <w:tcPr>
            <w:tcW w:w="842" w:type="dxa"/>
            <w:tcBorders>
              <w:top w:val="nil"/>
              <w:left w:val="nil"/>
              <w:bottom w:val="single" w:sz="8" w:space="0" w:color="000000"/>
              <w:right w:val="single" w:sz="8" w:space="0" w:color="000000"/>
            </w:tcBorders>
            <w:shd w:val="clear" w:color="auto" w:fill="auto"/>
            <w:vAlign w:val="center"/>
            <w:hideMark/>
          </w:tcPr>
          <w:p w14:paraId="50C28527" w14:textId="77777777" w:rsidR="00BB79E7" w:rsidRPr="00BB79E7" w:rsidRDefault="00BB79E7" w:rsidP="00BB79E7">
            <w:pPr>
              <w:spacing w:after="0" w:line="240" w:lineRule="auto"/>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Carlos Andrés Peña - David Zamora</w:t>
            </w:r>
          </w:p>
        </w:tc>
        <w:tc>
          <w:tcPr>
            <w:tcW w:w="479" w:type="dxa"/>
            <w:tcBorders>
              <w:top w:val="nil"/>
              <w:left w:val="nil"/>
              <w:bottom w:val="single" w:sz="8" w:space="0" w:color="000000"/>
              <w:right w:val="single" w:sz="8" w:space="0" w:color="000000"/>
            </w:tcBorders>
            <w:shd w:val="clear" w:color="000000" w:fill="C0C0C0"/>
            <w:vAlign w:val="center"/>
            <w:hideMark/>
          </w:tcPr>
          <w:p w14:paraId="517B10CB" w14:textId="77777777" w:rsidR="00BB79E7" w:rsidRPr="00BB79E7" w:rsidRDefault="00BB79E7" w:rsidP="00BB79E7">
            <w:pPr>
              <w:spacing w:after="0" w:line="240" w:lineRule="auto"/>
              <w:jc w:val="center"/>
              <w:rPr>
                <w:rFonts w:ascii="Times New Roman" w:eastAsia="Times New Roman" w:hAnsi="Times New Roman" w:cs="Times New Roman"/>
                <w:b/>
                <w:bCs/>
                <w:color w:val="000000"/>
                <w:sz w:val="16"/>
                <w:szCs w:val="16"/>
              </w:rPr>
            </w:pPr>
            <w:r w:rsidRPr="00BB79E7">
              <w:rPr>
                <w:rFonts w:ascii="Times New Roman" w:eastAsia="Times New Roman" w:hAnsi="Times New Roman" w:cs="Times New Roman"/>
                <w:b/>
                <w:bCs/>
                <w:color w:val="000000"/>
                <w:sz w:val="16"/>
                <w:szCs w:val="16"/>
              </w:rPr>
              <w:t>1/05/20</w:t>
            </w:r>
          </w:p>
        </w:tc>
        <w:tc>
          <w:tcPr>
            <w:tcW w:w="452" w:type="dxa"/>
            <w:tcBorders>
              <w:top w:val="nil"/>
              <w:left w:val="nil"/>
              <w:bottom w:val="single" w:sz="8" w:space="0" w:color="000000"/>
              <w:right w:val="single" w:sz="8" w:space="0" w:color="000000"/>
            </w:tcBorders>
            <w:shd w:val="clear" w:color="000000" w:fill="FF8080"/>
            <w:vAlign w:val="center"/>
            <w:hideMark/>
          </w:tcPr>
          <w:p w14:paraId="79401D99" w14:textId="77777777" w:rsidR="00BB79E7" w:rsidRPr="00BB79E7" w:rsidRDefault="00BB79E7" w:rsidP="00BB79E7">
            <w:pPr>
              <w:spacing w:after="0" w:line="240" w:lineRule="auto"/>
              <w:jc w:val="center"/>
              <w:rPr>
                <w:rFonts w:ascii="Times New Roman" w:eastAsia="Times New Roman" w:hAnsi="Times New Roman" w:cs="Times New Roman"/>
                <w:b/>
                <w:bCs/>
                <w:color w:val="000000"/>
                <w:sz w:val="16"/>
                <w:szCs w:val="16"/>
              </w:rPr>
            </w:pPr>
            <w:r w:rsidRPr="00BB79E7">
              <w:rPr>
                <w:rFonts w:ascii="Times New Roman" w:eastAsia="Times New Roman" w:hAnsi="Times New Roman" w:cs="Times New Roman"/>
                <w:b/>
                <w:bCs/>
                <w:color w:val="000000"/>
                <w:sz w:val="16"/>
                <w:szCs w:val="16"/>
              </w:rPr>
              <w:t>30/09/20</w:t>
            </w:r>
          </w:p>
        </w:tc>
        <w:tc>
          <w:tcPr>
            <w:tcW w:w="59" w:type="dxa"/>
            <w:tcBorders>
              <w:top w:val="nil"/>
              <w:left w:val="nil"/>
              <w:bottom w:val="nil"/>
              <w:right w:val="nil"/>
            </w:tcBorders>
            <w:shd w:val="clear" w:color="000000" w:fill="000000"/>
            <w:vAlign w:val="center"/>
            <w:hideMark/>
          </w:tcPr>
          <w:p w14:paraId="2BBC7F54"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73" w:type="dxa"/>
            <w:tcBorders>
              <w:top w:val="nil"/>
              <w:left w:val="single" w:sz="8" w:space="0" w:color="auto"/>
              <w:bottom w:val="single" w:sz="8" w:space="0" w:color="000000"/>
              <w:right w:val="nil"/>
            </w:tcBorders>
            <w:shd w:val="clear" w:color="auto" w:fill="auto"/>
            <w:vAlign w:val="center"/>
            <w:hideMark/>
          </w:tcPr>
          <w:p w14:paraId="796D8005"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55" w:type="dxa"/>
            <w:tcBorders>
              <w:top w:val="nil"/>
              <w:left w:val="nil"/>
              <w:bottom w:val="single" w:sz="8" w:space="0" w:color="000000"/>
              <w:right w:val="nil"/>
            </w:tcBorders>
            <w:shd w:val="clear" w:color="auto" w:fill="auto"/>
            <w:vAlign w:val="center"/>
            <w:hideMark/>
          </w:tcPr>
          <w:p w14:paraId="78D53D18"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43" w:type="dxa"/>
            <w:tcBorders>
              <w:top w:val="nil"/>
              <w:left w:val="nil"/>
              <w:bottom w:val="single" w:sz="8" w:space="0" w:color="000000"/>
              <w:right w:val="nil"/>
            </w:tcBorders>
            <w:shd w:val="clear" w:color="auto" w:fill="auto"/>
            <w:vAlign w:val="center"/>
            <w:hideMark/>
          </w:tcPr>
          <w:p w14:paraId="2795B689"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34" w:type="dxa"/>
            <w:tcBorders>
              <w:top w:val="nil"/>
              <w:left w:val="nil"/>
              <w:bottom w:val="single" w:sz="8" w:space="0" w:color="000000"/>
              <w:right w:val="nil"/>
            </w:tcBorders>
            <w:shd w:val="clear" w:color="auto" w:fill="auto"/>
            <w:vAlign w:val="center"/>
            <w:hideMark/>
          </w:tcPr>
          <w:p w14:paraId="35886024"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35" w:type="dxa"/>
            <w:tcBorders>
              <w:top w:val="nil"/>
              <w:left w:val="nil"/>
              <w:bottom w:val="single" w:sz="8" w:space="0" w:color="000000"/>
              <w:right w:val="nil"/>
            </w:tcBorders>
            <w:shd w:val="clear" w:color="auto" w:fill="auto"/>
            <w:vAlign w:val="center"/>
            <w:hideMark/>
          </w:tcPr>
          <w:p w14:paraId="4BDD0BA9"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26" w:type="dxa"/>
            <w:tcBorders>
              <w:top w:val="nil"/>
              <w:left w:val="nil"/>
              <w:bottom w:val="single" w:sz="8" w:space="0" w:color="000000"/>
              <w:right w:val="nil"/>
            </w:tcBorders>
            <w:shd w:val="clear" w:color="auto" w:fill="auto"/>
            <w:vAlign w:val="center"/>
            <w:hideMark/>
          </w:tcPr>
          <w:p w14:paraId="7A153047"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19" w:type="dxa"/>
            <w:tcBorders>
              <w:top w:val="nil"/>
              <w:left w:val="nil"/>
              <w:bottom w:val="single" w:sz="8" w:space="0" w:color="000000"/>
              <w:right w:val="nil"/>
            </w:tcBorders>
            <w:shd w:val="clear" w:color="auto" w:fill="auto"/>
            <w:vAlign w:val="center"/>
            <w:hideMark/>
          </w:tcPr>
          <w:p w14:paraId="19EA047D"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13" w:type="dxa"/>
            <w:tcBorders>
              <w:top w:val="nil"/>
              <w:left w:val="nil"/>
              <w:bottom w:val="single" w:sz="8" w:space="0" w:color="000000"/>
              <w:right w:val="nil"/>
            </w:tcBorders>
            <w:shd w:val="clear" w:color="auto" w:fill="auto"/>
            <w:vAlign w:val="center"/>
            <w:hideMark/>
          </w:tcPr>
          <w:p w14:paraId="41BAEA14"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58" w:type="dxa"/>
            <w:tcBorders>
              <w:top w:val="nil"/>
              <w:left w:val="nil"/>
              <w:bottom w:val="single" w:sz="8" w:space="0" w:color="000000"/>
              <w:right w:val="nil"/>
            </w:tcBorders>
            <w:shd w:val="clear" w:color="auto" w:fill="auto"/>
            <w:vAlign w:val="center"/>
            <w:hideMark/>
          </w:tcPr>
          <w:p w14:paraId="3AB2E3B9"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58" w:type="dxa"/>
            <w:tcBorders>
              <w:top w:val="nil"/>
              <w:left w:val="nil"/>
              <w:bottom w:val="single" w:sz="8" w:space="0" w:color="000000"/>
              <w:right w:val="nil"/>
            </w:tcBorders>
            <w:shd w:val="clear" w:color="auto" w:fill="auto"/>
            <w:vAlign w:val="center"/>
            <w:hideMark/>
          </w:tcPr>
          <w:p w14:paraId="7BD6FD9B"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40" w:type="dxa"/>
            <w:tcBorders>
              <w:top w:val="nil"/>
              <w:left w:val="nil"/>
              <w:bottom w:val="single" w:sz="8" w:space="0" w:color="000000"/>
              <w:right w:val="nil"/>
            </w:tcBorders>
            <w:shd w:val="clear" w:color="auto" w:fill="auto"/>
            <w:vAlign w:val="center"/>
            <w:hideMark/>
          </w:tcPr>
          <w:p w14:paraId="01CC1581"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40" w:type="dxa"/>
            <w:tcBorders>
              <w:top w:val="nil"/>
              <w:left w:val="nil"/>
              <w:bottom w:val="single" w:sz="8" w:space="0" w:color="000000"/>
              <w:right w:val="nil"/>
            </w:tcBorders>
            <w:shd w:val="clear" w:color="auto" w:fill="auto"/>
            <w:vAlign w:val="center"/>
            <w:hideMark/>
          </w:tcPr>
          <w:p w14:paraId="0D61A273"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40" w:type="dxa"/>
            <w:tcBorders>
              <w:top w:val="nil"/>
              <w:left w:val="nil"/>
              <w:bottom w:val="single" w:sz="8" w:space="0" w:color="000000"/>
              <w:right w:val="nil"/>
            </w:tcBorders>
            <w:shd w:val="clear" w:color="auto" w:fill="auto"/>
            <w:vAlign w:val="center"/>
            <w:hideMark/>
          </w:tcPr>
          <w:p w14:paraId="75A1CC2D"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40" w:type="dxa"/>
            <w:tcBorders>
              <w:top w:val="nil"/>
              <w:left w:val="nil"/>
              <w:bottom w:val="single" w:sz="8" w:space="0" w:color="000000"/>
              <w:right w:val="nil"/>
            </w:tcBorders>
            <w:shd w:val="clear" w:color="000000" w:fill="538DD5"/>
            <w:vAlign w:val="center"/>
            <w:hideMark/>
          </w:tcPr>
          <w:p w14:paraId="5B22C63E"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40" w:type="dxa"/>
            <w:tcBorders>
              <w:top w:val="nil"/>
              <w:left w:val="nil"/>
              <w:bottom w:val="single" w:sz="8" w:space="0" w:color="000000"/>
              <w:right w:val="nil"/>
            </w:tcBorders>
            <w:shd w:val="clear" w:color="000000" w:fill="538DD5"/>
            <w:vAlign w:val="center"/>
            <w:hideMark/>
          </w:tcPr>
          <w:p w14:paraId="601C27F1"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40" w:type="dxa"/>
            <w:tcBorders>
              <w:top w:val="nil"/>
              <w:left w:val="nil"/>
              <w:bottom w:val="single" w:sz="8" w:space="0" w:color="000000"/>
              <w:right w:val="nil"/>
            </w:tcBorders>
            <w:shd w:val="clear" w:color="000000" w:fill="538DD5"/>
            <w:vAlign w:val="center"/>
            <w:hideMark/>
          </w:tcPr>
          <w:p w14:paraId="33352636"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40" w:type="dxa"/>
            <w:tcBorders>
              <w:top w:val="nil"/>
              <w:left w:val="nil"/>
              <w:bottom w:val="single" w:sz="8" w:space="0" w:color="000000"/>
              <w:right w:val="nil"/>
            </w:tcBorders>
            <w:shd w:val="clear" w:color="000000" w:fill="538DD5"/>
            <w:vAlign w:val="center"/>
            <w:hideMark/>
          </w:tcPr>
          <w:p w14:paraId="1907C168"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40" w:type="dxa"/>
            <w:tcBorders>
              <w:top w:val="nil"/>
              <w:left w:val="nil"/>
              <w:bottom w:val="single" w:sz="8" w:space="0" w:color="000000"/>
              <w:right w:val="nil"/>
            </w:tcBorders>
            <w:shd w:val="clear" w:color="000000" w:fill="538DD5"/>
            <w:vAlign w:val="center"/>
            <w:hideMark/>
          </w:tcPr>
          <w:p w14:paraId="599379D0"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40" w:type="dxa"/>
            <w:tcBorders>
              <w:top w:val="nil"/>
              <w:left w:val="nil"/>
              <w:bottom w:val="single" w:sz="8" w:space="0" w:color="000000"/>
              <w:right w:val="nil"/>
            </w:tcBorders>
            <w:shd w:val="clear" w:color="000000" w:fill="538DD5"/>
            <w:vAlign w:val="center"/>
            <w:hideMark/>
          </w:tcPr>
          <w:p w14:paraId="09B501E6"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40" w:type="dxa"/>
            <w:tcBorders>
              <w:top w:val="nil"/>
              <w:left w:val="nil"/>
              <w:bottom w:val="single" w:sz="8" w:space="0" w:color="000000"/>
              <w:right w:val="nil"/>
            </w:tcBorders>
            <w:shd w:val="clear" w:color="000000" w:fill="538DD5"/>
            <w:vAlign w:val="center"/>
            <w:hideMark/>
          </w:tcPr>
          <w:p w14:paraId="00168629"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40" w:type="dxa"/>
            <w:tcBorders>
              <w:top w:val="nil"/>
              <w:left w:val="nil"/>
              <w:bottom w:val="single" w:sz="8" w:space="0" w:color="000000"/>
              <w:right w:val="nil"/>
            </w:tcBorders>
            <w:shd w:val="clear" w:color="000000" w:fill="538DD5"/>
            <w:vAlign w:val="center"/>
            <w:hideMark/>
          </w:tcPr>
          <w:p w14:paraId="7B258FCF"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58" w:type="dxa"/>
            <w:tcBorders>
              <w:top w:val="nil"/>
              <w:left w:val="nil"/>
              <w:bottom w:val="single" w:sz="8" w:space="0" w:color="000000"/>
              <w:right w:val="nil"/>
            </w:tcBorders>
            <w:shd w:val="clear" w:color="000000" w:fill="538DD5"/>
            <w:vAlign w:val="center"/>
            <w:hideMark/>
          </w:tcPr>
          <w:p w14:paraId="6B0AEBE3"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58" w:type="dxa"/>
            <w:tcBorders>
              <w:top w:val="nil"/>
              <w:left w:val="nil"/>
              <w:bottom w:val="single" w:sz="8" w:space="0" w:color="000000"/>
              <w:right w:val="nil"/>
            </w:tcBorders>
            <w:shd w:val="clear" w:color="000000" w:fill="538DD5"/>
            <w:vAlign w:val="center"/>
            <w:hideMark/>
          </w:tcPr>
          <w:p w14:paraId="1D085C7A"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58" w:type="dxa"/>
            <w:tcBorders>
              <w:top w:val="nil"/>
              <w:left w:val="nil"/>
              <w:bottom w:val="single" w:sz="8" w:space="0" w:color="000000"/>
              <w:right w:val="nil"/>
            </w:tcBorders>
            <w:shd w:val="clear" w:color="000000" w:fill="538DD5"/>
            <w:vAlign w:val="center"/>
            <w:hideMark/>
          </w:tcPr>
          <w:p w14:paraId="64D07548"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40" w:type="dxa"/>
            <w:tcBorders>
              <w:top w:val="nil"/>
              <w:left w:val="nil"/>
              <w:bottom w:val="single" w:sz="8" w:space="0" w:color="000000"/>
              <w:right w:val="nil"/>
            </w:tcBorders>
            <w:shd w:val="clear" w:color="000000" w:fill="538DD5"/>
            <w:vAlign w:val="center"/>
            <w:hideMark/>
          </w:tcPr>
          <w:p w14:paraId="2C303781"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40" w:type="dxa"/>
            <w:tcBorders>
              <w:top w:val="nil"/>
              <w:left w:val="nil"/>
              <w:bottom w:val="single" w:sz="8" w:space="0" w:color="000000"/>
              <w:right w:val="nil"/>
            </w:tcBorders>
            <w:shd w:val="clear" w:color="000000" w:fill="538DD5"/>
            <w:vAlign w:val="center"/>
            <w:hideMark/>
          </w:tcPr>
          <w:p w14:paraId="50CE1C5D"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40" w:type="dxa"/>
            <w:tcBorders>
              <w:top w:val="nil"/>
              <w:left w:val="nil"/>
              <w:bottom w:val="single" w:sz="8" w:space="0" w:color="000000"/>
              <w:right w:val="nil"/>
            </w:tcBorders>
            <w:shd w:val="clear" w:color="000000" w:fill="538DD5"/>
            <w:vAlign w:val="center"/>
            <w:hideMark/>
          </w:tcPr>
          <w:p w14:paraId="0E230716"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69" w:type="dxa"/>
            <w:tcBorders>
              <w:top w:val="nil"/>
              <w:left w:val="nil"/>
              <w:bottom w:val="single" w:sz="8" w:space="0" w:color="000000"/>
              <w:right w:val="nil"/>
            </w:tcBorders>
            <w:shd w:val="clear" w:color="000000" w:fill="538DD5"/>
            <w:vAlign w:val="center"/>
            <w:hideMark/>
          </w:tcPr>
          <w:p w14:paraId="70D38EA9"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85" w:type="dxa"/>
            <w:tcBorders>
              <w:top w:val="nil"/>
              <w:left w:val="nil"/>
              <w:bottom w:val="single" w:sz="8" w:space="0" w:color="000000"/>
              <w:right w:val="nil"/>
            </w:tcBorders>
            <w:shd w:val="clear" w:color="000000" w:fill="538DD5"/>
            <w:vAlign w:val="center"/>
            <w:hideMark/>
          </w:tcPr>
          <w:p w14:paraId="7F14E805"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59" w:type="dxa"/>
            <w:tcBorders>
              <w:top w:val="nil"/>
              <w:left w:val="nil"/>
              <w:bottom w:val="single" w:sz="8" w:space="0" w:color="000000"/>
              <w:right w:val="nil"/>
            </w:tcBorders>
            <w:shd w:val="clear" w:color="000000" w:fill="538DD5"/>
            <w:vAlign w:val="center"/>
            <w:hideMark/>
          </w:tcPr>
          <w:p w14:paraId="6016071E"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55" w:type="dxa"/>
            <w:tcBorders>
              <w:top w:val="nil"/>
              <w:left w:val="nil"/>
              <w:bottom w:val="single" w:sz="8" w:space="0" w:color="000000"/>
              <w:right w:val="nil"/>
            </w:tcBorders>
            <w:shd w:val="clear" w:color="000000" w:fill="538DD5"/>
            <w:vAlign w:val="center"/>
            <w:hideMark/>
          </w:tcPr>
          <w:p w14:paraId="481BFB1D"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53" w:type="dxa"/>
            <w:tcBorders>
              <w:top w:val="nil"/>
              <w:left w:val="nil"/>
              <w:bottom w:val="single" w:sz="8" w:space="0" w:color="000000"/>
              <w:right w:val="nil"/>
            </w:tcBorders>
            <w:shd w:val="clear" w:color="000000" w:fill="538DD5"/>
            <w:vAlign w:val="center"/>
            <w:hideMark/>
          </w:tcPr>
          <w:p w14:paraId="747D72FB"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217" w:type="dxa"/>
            <w:tcBorders>
              <w:top w:val="nil"/>
              <w:left w:val="nil"/>
              <w:bottom w:val="single" w:sz="8" w:space="0" w:color="000000"/>
              <w:right w:val="nil"/>
            </w:tcBorders>
            <w:shd w:val="clear" w:color="000000" w:fill="538DD5"/>
            <w:vAlign w:val="center"/>
            <w:hideMark/>
          </w:tcPr>
          <w:p w14:paraId="0BB0F329"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203" w:type="dxa"/>
            <w:tcBorders>
              <w:top w:val="nil"/>
              <w:left w:val="nil"/>
              <w:bottom w:val="single" w:sz="8" w:space="0" w:color="000000"/>
              <w:right w:val="nil"/>
            </w:tcBorders>
            <w:shd w:val="clear" w:color="000000" w:fill="538DD5"/>
            <w:vAlign w:val="center"/>
            <w:hideMark/>
          </w:tcPr>
          <w:p w14:paraId="1E6D15A2"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92" w:type="dxa"/>
            <w:tcBorders>
              <w:top w:val="nil"/>
              <w:left w:val="nil"/>
              <w:bottom w:val="single" w:sz="8" w:space="0" w:color="000000"/>
              <w:right w:val="nil"/>
            </w:tcBorders>
            <w:shd w:val="clear" w:color="000000" w:fill="538DD5"/>
            <w:vAlign w:val="center"/>
            <w:hideMark/>
          </w:tcPr>
          <w:p w14:paraId="59E3A1FF"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84" w:type="dxa"/>
            <w:tcBorders>
              <w:top w:val="nil"/>
              <w:left w:val="nil"/>
              <w:bottom w:val="single" w:sz="8" w:space="0" w:color="000000"/>
              <w:right w:val="nil"/>
            </w:tcBorders>
            <w:shd w:val="clear" w:color="000000" w:fill="538DD5"/>
            <w:vAlign w:val="center"/>
            <w:hideMark/>
          </w:tcPr>
          <w:p w14:paraId="0CCA8BAE"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40" w:type="dxa"/>
            <w:tcBorders>
              <w:top w:val="nil"/>
              <w:left w:val="nil"/>
              <w:bottom w:val="single" w:sz="8" w:space="0" w:color="000000"/>
              <w:right w:val="nil"/>
            </w:tcBorders>
            <w:shd w:val="clear" w:color="auto" w:fill="auto"/>
            <w:vAlign w:val="center"/>
            <w:hideMark/>
          </w:tcPr>
          <w:p w14:paraId="515D5618"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40" w:type="dxa"/>
            <w:tcBorders>
              <w:top w:val="nil"/>
              <w:left w:val="nil"/>
              <w:bottom w:val="single" w:sz="8" w:space="0" w:color="000000"/>
              <w:right w:val="nil"/>
            </w:tcBorders>
            <w:shd w:val="clear" w:color="auto" w:fill="auto"/>
            <w:vAlign w:val="center"/>
            <w:hideMark/>
          </w:tcPr>
          <w:p w14:paraId="04BCC64A"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40" w:type="dxa"/>
            <w:tcBorders>
              <w:top w:val="nil"/>
              <w:left w:val="nil"/>
              <w:bottom w:val="single" w:sz="8" w:space="0" w:color="000000"/>
              <w:right w:val="nil"/>
            </w:tcBorders>
            <w:shd w:val="clear" w:color="auto" w:fill="auto"/>
            <w:vAlign w:val="center"/>
            <w:hideMark/>
          </w:tcPr>
          <w:p w14:paraId="590FCA1E"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40" w:type="dxa"/>
            <w:tcBorders>
              <w:top w:val="nil"/>
              <w:left w:val="nil"/>
              <w:bottom w:val="single" w:sz="8" w:space="0" w:color="000000"/>
              <w:right w:val="nil"/>
            </w:tcBorders>
            <w:shd w:val="clear" w:color="auto" w:fill="auto"/>
            <w:vAlign w:val="center"/>
            <w:hideMark/>
          </w:tcPr>
          <w:p w14:paraId="4DC9B471"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40" w:type="dxa"/>
            <w:tcBorders>
              <w:top w:val="nil"/>
              <w:left w:val="nil"/>
              <w:bottom w:val="single" w:sz="8" w:space="0" w:color="000000"/>
              <w:right w:val="nil"/>
            </w:tcBorders>
            <w:shd w:val="clear" w:color="auto" w:fill="auto"/>
            <w:vAlign w:val="center"/>
            <w:hideMark/>
          </w:tcPr>
          <w:p w14:paraId="4E1C4132"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207" w:type="dxa"/>
            <w:tcBorders>
              <w:top w:val="nil"/>
              <w:left w:val="nil"/>
              <w:bottom w:val="single" w:sz="8" w:space="0" w:color="000000"/>
              <w:right w:val="nil"/>
            </w:tcBorders>
            <w:shd w:val="clear" w:color="auto" w:fill="auto"/>
            <w:vAlign w:val="center"/>
            <w:hideMark/>
          </w:tcPr>
          <w:p w14:paraId="2CFDF574"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95" w:type="dxa"/>
            <w:tcBorders>
              <w:top w:val="nil"/>
              <w:left w:val="nil"/>
              <w:bottom w:val="single" w:sz="8" w:space="0" w:color="000000"/>
              <w:right w:val="nil"/>
            </w:tcBorders>
            <w:shd w:val="clear" w:color="auto" w:fill="auto"/>
            <w:vAlign w:val="center"/>
            <w:hideMark/>
          </w:tcPr>
          <w:p w14:paraId="25BE3843"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85" w:type="dxa"/>
            <w:tcBorders>
              <w:top w:val="nil"/>
              <w:left w:val="nil"/>
              <w:bottom w:val="single" w:sz="8" w:space="0" w:color="000000"/>
              <w:right w:val="nil"/>
            </w:tcBorders>
            <w:shd w:val="clear" w:color="auto" w:fill="auto"/>
            <w:vAlign w:val="center"/>
            <w:hideMark/>
          </w:tcPr>
          <w:p w14:paraId="0D812302"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79" w:type="dxa"/>
            <w:tcBorders>
              <w:top w:val="nil"/>
              <w:left w:val="nil"/>
              <w:bottom w:val="single" w:sz="8" w:space="0" w:color="000000"/>
              <w:right w:val="single" w:sz="8" w:space="0" w:color="auto"/>
            </w:tcBorders>
            <w:shd w:val="clear" w:color="auto" w:fill="auto"/>
            <w:vAlign w:val="center"/>
            <w:hideMark/>
          </w:tcPr>
          <w:p w14:paraId="2E28ADD6"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r>
      <w:tr w:rsidR="00BB79E7" w:rsidRPr="00BB79E7" w14:paraId="6B931E77" w14:textId="77777777" w:rsidTr="00BB79E7">
        <w:trPr>
          <w:trHeight w:val="740"/>
        </w:trPr>
        <w:tc>
          <w:tcPr>
            <w:tcW w:w="805" w:type="dxa"/>
            <w:tcBorders>
              <w:top w:val="nil"/>
              <w:left w:val="single" w:sz="8" w:space="0" w:color="000000"/>
              <w:bottom w:val="single" w:sz="8" w:space="0" w:color="000000"/>
              <w:right w:val="single" w:sz="8" w:space="0" w:color="000000"/>
            </w:tcBorders>
            <w:shd w:val="clear" w:color="auto" w:fill="auto"/>
            <w:vAlign w:val="center"/>
            <w:hideMark/>
          </w:tcPr>
          <w:p w14:paraId="7E78145E" w14:textId="77777777" w:rsidR="00BB79E7" w:rsidRPr="00BB79E7" w:rsidRDefault="00BB79E7" w:rsidP="00BB79E7">
            <w:pPr>
              <w:spacing w:after="0" w:line="240" w:lineRule="auto"/>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Análisis de resultados de monitoreo</w:t>
            </w:r>
          </w:p>
        </w:tc>
        <w:tc>
          <w:tcPr>
            <w:tcW w:w="842" w:type="dxa"/>
            <w:tcBorders>
              <w:top w:val="nil"/>
              <w:left w:val="nil"/>
              <w:bottom w:val="single" w:sz="8" w:space="0" w:color="000000"/>
              <w:right w:val="single" w:sz="8" w:space="0" w:color="000000"/>
            </w:tcBorders>
            <w:shd w:val="clear" w:color="auto" w:fill="auto"/>
            <w:vAlign w:val="center"/>
            <w:hideMark/>
          </w:tcPr>
          <w:p w14:paraId="5FB24645" w14:textId="77777777" w:rsidR="00BB79E7" w:rsidRPr="00BB79E7" w:rsidRDefault="00BB79E7" w:rsidP="00BB79E7">
            <w:pPr>
              <w:spacing w:after="0" w:line="240" w:lineRule="auto"/>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Carlos Andrés Peña - David Zamora</w:t>
            </w:r>
          </w:p>
        </w:tc>
        <w:tc>
          <w:tcPr>
            <w:tcW w:w="479" w:type="dxa"/>
            <w:tcBorders>
              <w:top w:val="nil"/>
              <w:left w:val="nil"/>
              <w:bottom w:val="single" w:sz="8" w:space="0" w:color="000000"/>
              <w:right w:val="single" w:sz="8" w:space="0" w:color="000000"/>
            </w:tcBorders>
            <w:shd w:val="clear" w:color="000000" w:fill="C0C0C0"/>
            <w:vAlign w:val="center"/>
            <w:hideMark/>
          </w:tcPr>
          <w:p w14:paraId="553EA31A" w14:textId="77777777" w:rsidR="00BB79E7" w:rsidRPr="00BB79E7" w:rsidRDefault="00BB79E7" w:rsidP="00BB79E7">
            <w:pPr>
              <w:spacing w:after="0" w:line="240" w:lineRule="auto"/>
              <w:rPr>
                <w:rFonts w:ascii="Times New Roman" w:eastAsia="Times New Roman" w:hAnsi="Times New Roman" w:cs="Times New Roman"/>
                <w:b/>
                <w:bCs/>
                <w:color w:val="000000"/>
                <w:sz w:val="16"/>
                <w:szCs w:val="16"/>
              </w:rPr>
            </w:pPr>
            <w:r w:rsidRPr="00BB79E7">
              <w:rPr>
                <w:rFonts w:ascii="Times New Roman" w:eastAsia="Times New Roman" w:hAnsi="Times New Roman" w:cs="Times New Roman"/>
                <w:b/>
                <w:bCs/>
                <w:color w:val="000000"/>
                <w:sz w:val="16"/>
                <w:szCs w:val="16"/>
              </w:rPr>
              <w:t>01/10/202</w:t>
            </w:r>
          </w:p>
        </w:tc>
        <w:tc>
          <w:tcPr>
            <w:tcW w:w="452" w:type="dxa"/>
            <w:tcBorders>
              <w:top w:val="nil"/>
              <w:left w:val="nil"/>
              <w:bottom w:val="single" w:sz="8" w:space="0" w:color="000000"/>
              <w:right w:val="single" w:sz="8" w:space="0" w:color="000000"/>
            </w:tcBorders>
            <w:shd w:val="clear" w:color="000000" w:fill="FF8080"/>
            <w:vAlign w:val="center"/>
            <w:hideMark/>
          </w:tcPr>
          <w:p w14:paraId="5F03F4B6" w14:textId="77777777" w:rsidR="00BB79E7" w:rsidRPr="00BB79E7" w:rsidRDefault="00BB79E7" w:rsidP="00BB79E7">
            <w:pPr>
              <w:spacing w:after="0" w:line="240" w:lineRule="auto"/>
              <w:jc w:val="center"/>
              <w:rPr>
                <w:rFonts w:ascii="Times New Roman" w:eastAsia="Times New Roman" w:hAnsi="Times New Roman" w:cs="Times New Roman"/>
                <w:b/>
                <w:bCs/>
                <w:color w:val="000000"/>
                <w:sz w:val="16"/>
                <w:szCs w:val="16"/>
              </w:rPr>
            </w:pPr>
            <w:r w:rsidRPr="00BB79E7">
              <w:rPr>
                <w:rFonts w:ascii="Times New Roman" w:eastAsia="Times New Roman" w:hAnsi="Times New Roman" w:cs="Times New Roman"/>
                <w:b/>
                <w:bCs/>
                <w:color w:val="000000"/>
                <w:sz w:val="16"/>
                <w:szCs w:val="16"/>
              </w:rPr>
              <w:t>15/11/20</w:t>
            </w:r>
          </w:p>
        </w:tc>
        <w:tc>
          <w:tcPr>
            <w:tcW w:w="59" w:type="dxa"/>
            <w:tcBorders>
              <w:top w:val="nil"/>
              <w:left w:val="nil"/>
              <w:bottom w:val="nil"/>
              <w:right w:val="nil"/>
            </w:tcBorders>
            <w:shd w:val="clear" w:color="000000" w:fill="000000"/>
            <w:vAlign w:val="center"/>
            <w:hideMark/>
          </w:tcPr>
          <w:p w14:paraId="35CFC2E8"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73" w:type="dxa"/>
            <w:tcBorders>
              <w:top w:val="nil"/>
              <w:left w:val="single" w:sz="8" w:space="0" w:color="auto"/>
              <w:bottom w:val="single" w:sz="8" w:space="0" w:color="auto"/>
              <w:right w:val="nil"/>
            </w:tcBorders>
            <w:shd w:val="clear" w:color="auto" w:fill="auto"/>
            <w:vAlign w:val="center"/>
            <w:hideMark/>
          </w:tcPr>
          <w:p w14:paraId="7E75217C"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55" w:type="dxa"/>
            <w:tcBorders>
              <w:top w:val="nil"/>
              <w:left w:val="nil"/>
              <w:bottom w:val="single" w:sz="8" w:space="0" w:color="auto"/>
              <w:right w:val="nil"/>
            </w:tcBorders>
            <w:shd w:val="clear" w:color="auto" w:fill="auto"/>
            <w:vAlign w:val="center"/>
            <w:hideMark/>
          </w:tcPr>
          <w:p w14:paraId="6E927EC4"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43" w:type="dxa"/>
            <w:tcBorders>
              <w:top w:val="nil"/>
              <w:left w:val="nil"/>
              <w:bottom w:val="single" w:sz="8" w:space="0" w:color="auto"/>
              <w:right w:val="nil"/>
            </w:tcBorders>
            <w:shd w:val="clear" w:color="auto" w:fill="auto"/>
            <w:vAlign w:val="center"/>
            <w:hideMark/>
          </w:tcPr>
          <w:p w14:paraId="051614A0"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34" w:type="dxa"/>
            <w:tcBorders>
              <w:top w:val="nil"/>
              <w:left w:val="nil"/>
              <w:bottom w:val="single" w:sz="8" w:space="0" w:color="auto"/>
              <w:right w:val="nil"/>
            </w:tcBorders>
            <w:shd w:val="clear" w:color="auto" w:fill="auto"/>
            <w:vAlign w:val="center"/>
            <w:hideMark/>
          </w:tcPr>
          <w:p w14:paraId="3B21F57F"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35" w:type="dxa"/>
            <w:tcBorders>
              <w:top w:val="nil"/>
              <w:left w:val="nil"/>
              <w:bottom w:val="single" w:sz="8" w:space="0" w:color="auto"/>
              <w:right w:val="nil"/>
            </w:tcBorders>
            <w:shd w:val="clear" w:color="auto" w:fill="auto"/>
            <w:vAlign w:val="center"/>
            <w:hideMark/>
          </w:tcPr>
          <w:p w14:paraId="20D3EBE5"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26" w:type="dxa"/>
            <w:tcBorders>
              <w:top w:val="nil"/>
              <w:left w:val="nil"/>
              <w:bottom w:val="single" w:sz="8" w:space="0" w:color="auto"/>
              <w:right w:val="nil"/>
            </w:tcBorders>
            <w:shd w:val="clear" w:color="auto" w:fill="auto"/>
            <w:vAlign w:val="center"/>
            <w:hideMark/>
          </w:tcPr>
          <w:p w14:paraId="7D0D7319"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19" w:type="dxa"/>
            <w:tcBorders>
              <w:top w:val="nil"/>
              <w:left w:val="nil"/>
              <w:bottom w:val="single" w:sz="8" w:space="0" w:color="auto"/>
              <w:right w:val="nil"/>
            </w:tcBorders>
            <w:shd w:val="clear" w:color="auto" w:fill="auto"/>
            <w:vAlign w:val="center"/>
            <w:hideMark/>
          </w:tcPr>
          <w:p w14:paraId="08058E28"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13" w:type="dxa"/>
            <w:tcBorders>
              <w:top w:val="nil"/>
              <w:left w:val="nil"/>
              <w:bottom w:val="single" w:sz="8" w:space="0" w:color="auto"/>
              <w:right w:val="nil"/>
            </w:tcBorders>
            <w:shd w:val="clear" w:color="auto" w:fill="auto"/>
            <w:vAlign w:val="center"/>
            <w:hideMark/>
          </w:tcPr>
          <w:p w14:paraId="582B429C"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58" w:type="dxa"/>
            <w:tcBorders>
              <w:top w:val="nil"/>
              <w:left w:val="nil"/>
              <w:bottom w:val="single" w:sz="8" w:space="0" w:color="auto"/>
              <w:right w:val="nil"/>
            </w:tcBorders>
            <w:shd w:val="clear" w:color="auto" w:fill="auto"/>
            <w:vAlign w:val="center"/>
            <w:hideMark/>
          </w:tcPr>
          <w:p w14:paraId="0EA74FB7"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58" w:type="dxa"/>
            <w:tcBorders>
              <w:top w:val="nil"/>
              <w:left w:val="nil"/>
              <w:bottom w:val="single" w:sz="8" w:space="0" w:color="auto"/>
              <w:right w:val="nil"/>
            </w:tcBorders>
            <w:shd w:val="clear" w:color="auto" w:fill="auto"/>
            <w:vAlign w:val="center"/>
            <w:hideMark/>
          </w:tcPr>
          <w:p w14:paraId="43A9C851"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40" w:type="dxa"/>
            <w:tcBorders>
              <w:top w:val="nil"/>
              <w:left w:val="nil"/>
              <w:bottom w:val="single" w:sz="8" w:space="0" w:color="auto"/>
              <w:right w:val="nil"/>
            </w:tcBorders>
            <w:shd w:val="clear" w:color="auto" w:fill="auto"/>
            <w:vAlign w:val="center"/>
            <w:hideMark/>
          </w:tcPr>
          <w:p w14:paraId="6376A50A"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40" w:type="dxa"/>
            <w:tcBorders>
              <w:top w:val="nil"/>
              <w:left w:val="nil"/>
              <w:bottom w:val="single" w:sz="8" w:space="0" w:color="auto"/>
              <w:right w:val="nil"/>
            </w:tcBorders>
            <w:shd w:val="clear" w:color="auto" w:fill="auto"/>
            <w:vAlign w:val="center"/>
            <w:hideMark/>
          </w:tcPr>
          <w:p w14:paraId="59A653C3"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40" w:type="dxa"/>
            <w:tcBorders>
              <w:top w:val="nil"/>
              <w:left w:val="nil"/>
              <w:bottom w:val="single" w:sz="8" w:space="0" w:color="auto"/>
              <w:right w:val="nil"/>
            </w:tcBorders>
            <w:shd w:val="clear" w:color="auto" w:fill="auto"/>
            <w:vAlign w:val="center"/>
            <w:hideMark/>
          </w:tcPr>
          <w:p w14:paraId="5CE84597"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40" w:type="dxa"/>
            <w:tcBorders>
              <w:top w:val="nil"/>
              <w:left w:val="nil"/>
              <w:bottom w:val="single" w:sz="8" w:space="0" w:color="auto"/>
              <w:right w:val="nil"/>
            </w:tcBorders>
            <w:shd w:val="clear" w:color="auto" w:fill="auto"/>
            <w:vAlign w:val="center"/>
            <w:hideMark/>
          </w:tcPr>
          <w:p w14:paraId="55C2A552"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40" w:type="dxa"/>
            <w:tcBorders>
              <w:top w:val="nil"/>
              <w:left w:val="nil"/>
              <w:bottom w:val="single" w:sz="8" w:space="0" w:color="auto"/>
              <w:right w:val="nil"/>
            </w:tcBorders>
            <w:shd w:val="clear" w:color="auto" w:fill="auto"/>
            <w:vAlign w:val="center"/>
            <w:hideMark/>
          </w:tcPr>
          <w:p w14:paraId="274D111C"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40" w:type="dxa"/>
            <w:tcBorders>
              <w:top w:val="nil"/>
              <w:left w:val="nil"/>
              <w:bottom w:val="single" w:sz="8" w:space="0" w:color="auto"/>
              <w:right w:val="nil"/>
            </w:tcBorders>
            <w:shd w:val="clear" w:color="auto" w:fill="auto"/>
            <w:vAlign w:val="center"/>
            <w:hideMark/>
          </w:tcPr>
          <w:p w14:paraId="52961C3D"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40" w:type="dxa"/>
            <w:tcBorders>
              <w:top w:val="nil"/>
              <w:left w:val="nil"/>
              <w:bottom w:val="single" w:sz="8" w:space="0" w:color="auto"/>
              <w:right w:val="nil"/>
            </w:tcBorders>
            <w:shd w:val="clear" w:color="auto" w:fill="auto"/>
            <w:vAlign w:val="center"/>
            <w:hideMark/>
          </w:tcPr>
          <w:p w14:paraId="63C62B6C"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40" w:type="dxa"/>
            <w:tcBorders>
              <w:top w:val="nil"/>
              <w:left w:val="nil"/>
              <w:bottom w:val="single" w:sz="8" w:space="0" w:color="auto"/>
              <w:right w:val="nil"/>
            </w:tcBorders>
            <w:shd w:val="clear" w:color="auto" w:fill="auto"/>
            <w:vAlign w:val="center"/>
            <w:hideMark/>
          </w:tcPr>
          <w:p w14:paraId="447CB137"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40" w:type="dxa"/>
            <w:tcBorders>
              <w:top w:val="nil"/>
              <w:left w:val="nil"/>
              <w:bottom w:val="single" w:sz="8" w:space="0" w:color="auto"/>
              <w:right w:val="nil"/>
            </w:tcBorders>
            <w:shd w:val="clear" w:color="auto" w:fill="auto"/>
            <w:vAlign w:val="center"/>
            <w:hideMark/>
          </w:tcPr>
          <w:p w14:paraId="7EA762CB"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40" w:type="dxa"/>
            <w:tcBorders>
              <w:top w:val="nil"/>
              <w:left w:val="nil"/>
              <w:bottom w:val="single" w:sz="8" w:space="0" w:color="auto"/>
              <w:right w:val="nil"/>
            </w:tcBorders>
            <w:shd w:val="clear" w:color="auto" w:fill="auto"/>
            <w:vAlign w:val="center"/>
            <w:hideMark/>
          </w:tcPr>
          <w:p w14:paraId="76860173"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40" w:type="dxa"/>
            <w:tcBorders>
              <w:top w:val="nil"/>
              <w:left w:val="nil"/>
              <w:bottom w:val="single" w:sz="8" w:space="0" w:color="auto"/>
              <w:right w:val="nil"/>
            </w:tcBorders>
            <w:shd w:val="clear" w:color="auto" w:fill="auto"/>
            <w:vAlign w:val="center"/>
            <w:hideMark/>
          </w:tcPr>
          <w:p w14:paraId="0DF294C9"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58" w:type="dxa"/>
            <w:tcBorders>
              <w:top w:val="nil"/>
              <w:left w:val="nil"/>
              <w:bottom w:val="single" w:sz="8" w:space="0" w:color="auto"/>
              <w:right w:val="nil"/>
            </w:tcBorders>
            <w:shd w:val="clear" w:color="auto" w:fill="auto"/>
            <w:vAlign w:val="center"/>
            <w:hideMark/>
          </w:tcPr>
          <w:p w14:paraId="2E42AE2D"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58" w:type="dxa"/>
            <w:tcBorders>
              <w:top w:val="nil"/>
              <w:left w:val="nil"/>
              <w:bottom w:val="single" w:sz="8" w:space="0" w:color="auto"/>
              <w:right w:val="nil"/>
            </w:tcBorders>
            <w:shd w:val="clear" w:color="auto" w:fill="auto"/>
            <w:vAlign w:val="center"/>
            <w:hideMark/>
          </w:tcPr>
          <w:p w14:paraId="4F20AEF1"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58" w:type="dxa"/>
            <w:tcBorders>
              <w:top w:val="nil"/>
              <w:left w:val="nil"/>
              <w:bottom w:val="single" w:sz="8" w:space="0" w:color="auto"/>
              <w:right w:val="nil"/>
            </w:tcBorders>
            <w:shd w:val="clear" w:color="auto" w:fill="auto"/>
            <w:vAlign w:val="center"/>
            <w:hideMark/>
          </w:tcPr>
          <w:p w14:paraId="33E42F0A"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40" w:type="dxa"/>
            <w:tcBorders>
              <w:top w:val="nil"/>
              <w:left w:val="nil"/>
              <w:bottom w:val="single" w:sz="8" w:space="0" w:color="auto"/>
              <w:right w:val="nil"/>
            </w:tcBorders>
            <w:shd w:val="clear" w:color="auto" w:fill="auto"/>
            <w:vAlign w:val="center"/>
            <w:hideMark/>
          </w:tcPr>
          <w:p w14:paraId="53ED6427"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40" w:type="dxa"/>
            <w:tcBorders>
              <w:top w:val="nil"/>
              <w:left w:val="nil"/>
              <w:bottom w:val="single" w:sz="8" w:space="0" w:color="auto"/>
              <w:right w:val="nil"/>
            </w:tcBorders>
            <w:shd w:val="clear" w:color="auto" w:fill="auto"/>
            <w:vAlign w:val="center"/>
            <w:hideMark/>
          </w:tcPr>
          <w:p w14:paraId="55281DFC"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40" w:type="dxa"/>
            <w:tcBorders>
              <w:top w:val="nil"/>
              <w:left w:val="nil"/>
              <w:bottom w:val="single" w:sz="8" w:space="0" w:color="auto"/>
              <w:right w:val="nil"/>
            </w:tcBorders>
            <w:shd w:val="clear" w:color="auto" w:fill="auto"/>
            <w:vAlign w:val="center"/>
            <w:hideMark/>
          </w:tcPr>
          <w:p w14:paraId="7F132303"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69" w:type="dxa"/>
            <w:tcBorders>
              <w:top w:val="nil"/>
              <w:left w:val="nil"/>
              <w:bottom w:val="single" w:sz="8" w:space="0" w:color="auto"/>
              <w:right w:val="nil"/>
            </w:tcBorders>
            <w:shd w:val="clear" w:color="auto" w:fill="auto"/>
            <w:vAlign w:val="center"/>
            <w:hideMark/>
          </w:tcPr>
          <w:p w14:paraId="1C331B75"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85" w:type="dxa"/>
            <w:tcBorders>
              <w:top w:val="nil"/>
              <w:left w:val="nil"/>
              <w:bottom w:val="single" w:sz="8" w:space="0" w:color="auto"/>
              <w:right w:val="nil"/>
            </w:tcBorders>
            <w:shd w:val="clear" w:color="auto" w:fill="auto"/>
            <w:vAlign w:val="center"/>
            <w:hideMark/>
          </w:tcPr>
          <w:p w14:paraId="6FB12A99"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59" w:type="dxa"/>
            <w:tcBorders>
              <w:top w:val="nil"/>
              <w:left w:val="nil"/>
              <w:bottom w:val="single" w:sz="8" w:space="0" w:color="auto"/>
              <w:right w:val="nil"/>
            </w:tcBorders>
            <w:shd w:val="clear" w:color="auto" w:fill="auto"/>
            <w:vAlign w:val="center"/>
            <w:hideMark/>
          </w:tcPr>
          <w:p w14:paraId="7ABC1A47"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55" w:type="dxa"/>
            <w:tcBorders>
              <w:top w:val="nil"/>
              <w:left w:val="nil"/>
              <w:bottom w:val="single" w:sz="8" w:space="0" w:color="auto"/>
              <w:right w:val="nil"/>
            </w:tcBorders>
            <w:shd w:val="clear" w:color="auto" w:fill="auto"/>
            <w:vAlign w:val="center"/>
            <w:hideMark/>
          </w:tcPr>
          <w:p w14:paraId="1D4908CF"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53" w:type="dxa"/>
            <w:tcBorders>
              <w:top w:val="nil"/>
              <w:left w:val="nil"/>
              <w:bottom w:val="single" w:sz="8" w:space="0" w:color="auto"/>
              <w:right w:val="nil"/>
            </w:tcBorders>
            <w:shd w:val="clear" w:color="auto" w:fill="auto"/>
            <w:vAlign w:val="center"/>
            <w:hideMark/>
          </w:tcPr>
          <w:p w14:paraId="15E3C026"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217" w:type="dxa"/>
            <w:tcBorders>
              <w:top w:val="nil"/>
              <w:left w:val="nil"/>
              <w:bottom w:val="single" w:sz="8" w:space="0" w:color="auto"/>
              <w:right w:val="nil"/>
            </w:tcBorders>
            <w:shd w:val="clear" w:color="auto" w:fill="auto"/>
            <w:vAlign w:val="center"/>
            <w:hideMark/>
          </w:tcPr>
          <w:p w14:paraId="5D4F2833"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203" w:type="dxa"/>
            <w:tcBorders>
              <w:top w:val="nil"/>
              <w:left w:val="nil"/>
              <w:bottom w:val="single" w:sz="8" w:space="0" w:color="auto"/>
              <w:right w:val="nil"/>
            </w:tcBorders>
            <w:shd w:val="clear" w:color="auto" w:fill="auto"/>
            <w:vAlign w:val="center"/>
            <w:hideMark/>
          </w:tcPr>
          <w:p w14:paraId="40C627C9"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92" w:type="dxa"/>
            <w:tcBorders>
              <w:top w:val="nil"/>
              <w:left w:val="nil"/>
              <w:bottom w:val="single" w:sz="8" w:space="0" w:color="auto"/>
              <w:right w:val="nil"/>
            </w:tcBorders>
            <w:shd w:val="clear" w:color="auto" w:fill="auto"/>
            <w:vAlign w:val="center"/>
            <w:hideMark/>
          </w:tcPr>
          <w:p w14:paraId="0CF11C25"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84" w:type="dxa"/>
            <w:tcBorders>
              <w:top w:val="nil"/>
              <w:left w:val="nil"/>
              <w:bottom w:val="single" w:sz="8" w:space="0" w:color="auto"/>
              <w:right w:val="nil"/>
            </w:tcBorders>
            <w:shd w:val="clear" w:color="auto" w:fill="auto"/>
            <w:vAlign w:val="center"/>
            <w:hideMark/>
          </w:tcPr>
          <w:p w14:paraId="18D16DEB"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40" w:type="dxa"/>
            <w:tcBorders>
              <w:top w:val="nil"/>
              <w:left w:val="nil"/>
              <w:bottom w:val="single" w:sz="8" w:space="0" w:color="auto"/>
              <w:right w:val="nil"/>
            </w:tcBorders>
            <w:shd w:val="clear" w:color="000000" w:fill="538DD5"/>
            <w:vAlign w:val="center"/>
            <w:hideMark/>
          </w:tcPr>
          <w:p w14:paraId="357285DF"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40" w:type="dxa"/>
            <w:tcBorders>
              <w:top w:val="nil"/>
              <w:left w:val="nil"/>
              <w:bottom w:val="single" w:sz="8" w:space="0" w:color="auto"/>
              <w:right w:val="nil"/>
            </w:tcBorders>
            <w:shd w:val="clear" w:color="000000" w:fill="538DD5"/>
            <w:vAlign w:val="center"/>
            <w:hideMark/>
          </w:tcPr>
          <w:p w14:paraId="05868A04"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40" w:type="dxa"/>
            <w:tcBorders>
              <w:top w:val="nil"/>
              <w:left w:val="nil"/>
              <w:bottom w:val="single" w:sz="8" w:space="0" w:color="auto"/>
              <w:right w:val="nil"/>
            </w:tcBorders>
            <w:shd w:val="clear" w:color="000000" w:fill="538DD5"/>
            <w:vAlign w:val="center"/>
            <w:hideMark/>
          </w:tcPr>
          <w:p w14:paraId="1569724E"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40" w:type="dxa"/>
            <w:tcBorders>
              <w:top w:val="nil"/>
              <w:left w:val="nil"/>
              <w:bottom w:val="single" w:sz="8" w:space="0" w:color="auto"/>
              <w:right w:val="nil"/>
            </w:tcBorders>
            <w:shd w:val="clear" w:color="000000" w:fill="538DD5"/>
            <w:vAlign w:val="center"/>
            <w:hideMark/>
          </w:tcPr>
          <w:p w14:paraId="0952CC51"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40" w:type="dxa"/>
            <w:tcBorders>
              <w:top w:val="nil"/>
              <w:left w:val="nil"/>
              <w:bottom w:val="single" w:sz="8" w:space="0" w:color="auto"/>
              <w:right w:val="nil"/>
            </w:tcBorders>
            <w:shd w:val="clear" w:color="000000" w:fill="538DD5"/>
            <w:vAlign w:val="center"/>
            <w:hideMark/>
          </w:tcPr>
          <w:p w14:paraId="4874F8D2"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207" w:type="dxa"/>
            <w:tcBorders>
              <w:top w:val="nil"/>
              <w:left w:val="nil"/>
              <w:bottom w:val="single" w:sz="8" w:space="0" w:color="auto"/>
              <w:right w:val="nil"/>
            </w:tcBorders>
            <w:shd w:val="clear" w:color="000000" w:fill="538DD5"/>
            <w:vAlign w:val="center"/>
            <w:hideMark/>
          </w:tcPr>
          <w:p w14:paraId="4A7A6F5F"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95" w:type="dxa"/>
            <w:tcBorders>
              <w:top w:val="nil"/>
              <w:left w:val="nil"/>
              <w:bottom w:val="single" w:sz="8" w:space="0" w:color="auto"/>
              <w:right w:val="nil"/>
            </w:tcBorders>
            <w:shd w:val="clear" w:color="000000" w:fill="538DD5"/>
            <w:vAlign w:val="center"/>
            <w:hideMark/>
          </w:tcPr>
          <w:p w14:paraId="560F7C9B"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85" w:type="dxa"/>
            <w:tcBorders>
              <w:top w:val="nil"/>
              <w:left w:val="nil"/>
              <w:bottom w:val="single" w:sz="8" w:space="0" w:color="auto"/>
              <w:right w:val="nil"/>
            </w:tcBorders>
            <w:shd w:val="clear" w:color="000000" w:fill="538DD5"/>
            <w:vAlign w:val="center"/>
            <w:hideMark/>
          </w:tcPr>
          <w:p w14:paraId="2B2C3222"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c>
          <w:tcPr>
            <w:tcW w:w="179" w:type="dxa"/>
            <w:tcBorders>
              <w:top w:val="nil"/>
              <w:left w:val="nil"/>
              <w:bottom w:val="single" w:sz="8" w:space="0" w:color="auto"/>
              <w:right w:val="single" w:sz="8" w:space="0" w:color="auto"/>
            </w:tcBorders>
            <w:shd w:val="clear" w:color="000000" w:fill="538DD5"/>
            <w:vAlign w:val="center"/>
            <w:hideMark/>
          </w:tcPr>
          <w:p w14:paraId="598C0470" w14:textId="77777777" w:rsidR="00BB79E7" w:rsidRPr="00BB79E7" w:rsidRDefault="00BB79E7" w:rsidP="00BB79E7">
            <w:pPr>
              <w:spacing w:after="0" w:line="240" w:lineRule="auto"/>
              <w:jc w:val="center"/>
              <w:rPr>
                <w:rFonts w:ascii="Times New Roman" w:eastAsia="Times New Roman" w:hAnsi="Times New Roman" w:cs="Times New Roman"/>
                <w:color w:val="000000"/>
                <w:sz w:val="16"/>
                <w:szCs w:val="16"/>
              </w:rPr>
            </w:pPr>
            <w:r w:rsidRPr="00BB79E7">
              <w:rPr>
                <w:rFonts w:ascii="Times New Roman" w:eastAsia="Times New Roman" w:hAnsi="Times New Roman" w:cs="Times New Roman"/>
                <w:color w:val="000000"/>
                <w:sz w:val="16"/>
                <w:szCs w:val="16"/>
              </w:rPr>
              <w:t> </w:t>
            </w:r>
          </w:p>
        </w:tc>
      </w:tr>
    </w:tbl>
    <w:p w14:paraId="0FDA3874" w14:textId="77777777" w:rsidR="005A3412" w:rsidRDefault="005A3412">
      <w:pPr>
        <w:pStyle w:val="normal0"/>
        <w:spacing w:after="0" w:line="276" w:lineRule="auto"/>
        <w:rPr>
          <w:rFonts w:ascii="Times New Roman" w:eastAsia="Times New Roman" w:hAnsi="Times New Roman" w:cs="Times New Roman"/>
          <w:sz w:val="24"/>
          <w:szCs w:val="24"/>
        </w:rPr>
      </w:pPr>
    </w:p>
    <w:p w14:paraId="4A6D8A66" w14:textId="77777777" w:rsidR="00BB79E7" w:rsidRDefault="00BB79E7">
      <w:pPr>
        <w:pStyle w:val="normal0"/>
        <w:spacing w:after="0" w:line="276" w:lineRule="auto"/>
        <w:rPr>
          <w:rFonts w:ascii="Times New Roman" w:eastAsia="Times New Roman" w:hAnsi="Times New Roman" w:cs="Times New Roman"/>
          <w:sz w:val="24"/>
          <w:szCs w:val="24"/>
        </w:rPr>
      </w:pPr>
    </w:p>
    <w:p w14:paraId="67633E39" w14:textId="77777777" w:rsidR="00BB79E7" w:rsidRDefault="00BB79E7">
      <w:pPr>
        <w:pStyle w:val="normal0"/>
        <w:spacing w:after="0" w:line="276" w:lineRule="auto"/>
        <w:rPr>
          <w:rFonts w:ascii="Times New Roman" w:eastAsia="Times New Roman" w:hAnsi="Times New Roman" w:cs="Times New Roman"/>
          <w:sz w:val="24"/>
          <w:szCs w:val="24"/>
        </w:rPr>
      </w:pPr>
    </w:p>
    <w:p w14:paraId="6557025F" w14:textId="77777777" w:rsidR="00BB79E7" w:rsidRDefault="00BB79E7">
      <w:pPr>
        <w:pStyle w:val="normal0"/>
        <w:spacing w:after="0" w:line="276" w:lineRule="auto"/>
        <w:rPr>
          <w:rFonts w:ascii="Times New Roman" w:eastAsia="Times New Roman" w:hAnsi="Times New Roman" w:cs="Times New Roman"/>
          <w:sz w:val="24"/>
          <w:szCs w:val="24"/>
        </w:rPr>
      </w:pPr>
    </w:p>
    <w:tbl>
      <w:tblPr>
        <w:tblStyle w:val="aa"/>
        <w:tblW w:w="14895" w:type="dxa"/>
        <w:tblInd w:w="0" w:type="dxa"/>
        <w:tblBorders>
          <w:top w:val="nil"/>
          <w:left w:val="nil"/>
          <w:bottom w:val="nil"/>
          <w:right w:val="nil"/>
          <w:insideH w:val="nil"/>
          <w:insideV w:val="nil"/>
        </w:tblBorders>
        <w:tblLook w:val="0600" w:firstRow="0" w:lastRow="0" w:firstColumn="0" w:lastColumn="0" w:noHBand="1" w:noVBand="1"/>
      </w:tblPr>
      <w:tblGrid>
        <w:gridCol w:w="2565"/>
        <w:gridCol w:w="3510"/>
        <w:gridCol w:w="1365"/>
        <w:gridCol w:w="1635"/>
        <w:gridCol w:w="3390"/>
        <w:gridCol w:w="2430"/>
      </w:tblGrid>
      <w:tr w:rsidR="005A3412" w14:paraId="3336CAE0" w14:textId="77777777">
        <w:tc>
          <w:tcPr>
            <w:tcW w:w="2565" w:type="dxa"/>
            <w:tcBorders>
              <w:top w:val="single" w:sz="8" w:space="0" w:color="DDDDDD"/>
              <w:left w:val="single" w:sz="8" w:space="0" w:color="DDDDDD"/>
              <w:bottom w:val="single" w:sz="8" w:space="0" w:color="DDDDDD"/>
              <w:right w:val="single" w:sz="8" w:space="0" w:color="DDDDDD"/>
            </w:tcBorders>
            <w:shd w:val="clear" w:color="auto" w:fill="F3F3F3"/>
            <w:tcMar>
              <w:top w:w="100" w:type="dxa"/>
              <w:left w:w="100" w:type="dxa"/>
              <w:bottom w:w="100" w:type="dxa"/>
              <w:right w:w="100" w:type="dxa"/>
            </w:tcMar>
          </w:tcPr>
          <w:p w14:paraId="41B4794E" w14:textId="77777777" w:rsidR="005A3412" w:rsidRDefault="00110E44">
            <w:pPr>
              <w:pStyle w:val="normal0"/>
              <w:jc w:val="center"/>
              <w:rPr>
                <w:rFonts w:ascii="Times New Roman" w:eastAsia="Times New Roman" w:hAnsi="Times New Roman" w:cs="Times New Roman"/>
                <w:b/>
                <w:color w:val="222222"/>
                <w:sz w:val="20"/>
                <w:szCs w:val="20"/>
              </w:rPr>
            </w:pPr>
            <w:r>
              <w:rPr>
                <w:rFonts w:ascii="Times New Roman" w:eastAsia="Times New Roman" w:hAnsi="Times New Roman" w:cs="Times New Roman"/>
                <w:b/>
                <w:color w:val="222222"/>
                <w:sz w:val="20"/>
                <w:szCs w:val="20"/>
              </w:rPr>
              <w:t xml:space="preserve"> </w:t>
            </w:r>
          </w:p>
        </w:tc>
        <w:tc>
          <w:tcPr>
            <w:tcW w:w="12330" w:type="dxa"/>
            <w:gridSpan w:val="5"/>
            <w:tcBorders>
              <w:top w:val="single" w:sz="8" w:space="0" w:color="DDDDDD"/>
              <w:left w:val="nil"/>
              <w:bottom w:val="single" w:sz="8" w:space="0" w:color="DDDDDD"/>
              <w:right w:val="single" w:sz="8" w:space="0" w:color="DDDDDD"/>
            </w:tcBorders>
            <w:shd w:val="clear" w:color="auto" w:fill="F3F3F3"/>
            <w:tcMar>
              <w:top w:w="20" w:type="dxa"/>
              <w:left w:w="20" w:type="dxa"/>
              <w:bottom w:w="20" w:type="dxa"/>
              <w:right w:w="20" w:type="dxa"/>
            </w:tcMar>
          </w:tcPr>
          <w:p w14:paraId="439E83E5" w14:textId="77777777" w:rsidR="005A3412" w:rsidRDefault="00110E44">
            <w:pPr>
              <w:pStyle w:val="normal0"/>
              <w:jc w:val="center"/>
              <w:rPr>
                <w:rFonts w:ascii="Times New Roman" w:eastAsia="Times New Roman" w:hAnsi="Times New Roman" w:cs="Times New Roman"/>
                <w:b/>
                <w:color w:val="222222"/>
                <w:sz w:val="20"/>
                <w:szCs w:val="20"/>
              </w:rPr>
            </w:pPr>
            <w:r>
              <w:rPr>
                <w:rFonts w:ascii="Times New Roman" w:eastAsia="Times New Roman" w:hAnsi="Times New Roman" w:cs="Times New Roman"/>
                <w:b/>
                <w:color w:val="222222"/>
                <w:sz w:val="20"/>
                <w:szCs w:val="20"/>
              </w:rPr>
              <w:t>Presupuesto</w:t>
            </w:r>
          </w:p>
        </w:tc>
      </w:tr>
      <w:tr w:rsidR="005A3412" w14:paraId="6F9A3DAE" w14:textId="77777777">
        <w:trPr>
          <w:trHeight w:val="180"/>
        </w:trPr>
        <w:tc>
          <w:tcPr>
            <w:tcW w:w="2565" w:type="dxa"/>
            <w:tcBorders>
              <w:top w:val="nil"/>
              <w:left w:val="single" w:sz="8" w:space="0" w:color="DDDDDD"/>
              <w:bottom w:val="single" w:sz="8" w:space="0" w:color="DDDDDD"/>
              <w:right w:val="single" w:sz="8" w:space="0" w:color="DDDDDD"/>
            </w:tcBorders>
            <w:shd w:val="clear" w:color="auto" w:fill="F3F3F3"/>
            <w:tcMar>
              <w:top w:w="100" w:type="dxa"/>
              <w:left w:w="100" w:type="dxa"/>
              <w:bottom w:w="100" w:type="dxa"/>
              <w:right w:w="100" w:type="dxa"/>
            </w:tcMar>
          </w:tcPr>
          <w:p w14:paraId="5811AF51" w14:textId="77777777" w:rsidR="005A3412" w:rsidRDefault="00110E44">
            <w:pPr>
              <w:pStyle w:val="normal0"/>
              <w:jc w:val="center"/>
              <w:rPr>
                <w:rFonts w:ascii="Times New Roman" w:eastAsia="Times New Roman" w:hAnsi="Times New Roman" w:cs="Times New Roman"/>
                <w:b/>
                <w:color w:val="222222"/>
                <w:sz w:val="20"/>
                <w:szCs w:val="20"/>
              </w:rPr>
            </w:pPr>
            <w:r>
              <w:rPr>
                <w:rFonts w:ascii="Times New Roman" w:eastAsia="Times New Roman" w:hAnsi="Times New Roman" w:cs="Times New Roman"/>
                <w:b/>
                <w:color w:val="222222"/>
                <w:sz w:val="20"/>
                <w:szCs w:val="20"/>
              </w:rPr>
              <w:t xml:space="preserve"> </w:t>
            </w:r>
          </w:p>
        </w:tc>
        <w:tc>
          <w:tcPr>
            <w:tcW w:w="12330" w:type="dxa"/>
            <w:gridSpan w:val="5"/>
            <w:tcBorders>
              <w:top w:val="nil"/>
              <w:left w:val="nil"/>
              <w:bottom w:val="single" w:sz="8" w:space="0" w:color="DDDDDD"/>
              <w:right w:val="single" w:sz="8" w:space="0" w:color="DDDDDD"/>
            </w:tcBorders>
            <w:shd w:val="clear" w:color="auto" w:fill="F3F3F3"/>
            <w:tcMar>
              <w:top w:w="20" w:type="dxa"/>
              <w:left w:w="20" w:type="dxa"/>
              <w:bottom w:w="20" w:type="dxa"/>
              <w:right w:w="20" w:type="dxa"/>
            </w:tcMar>
          </w:tcPr>
          <w:p w14:paraId="397F9C41" w14:textId="77777777" w:rsidR="005A3412" w:rsidRDefault="00110E44">
            <w:pPr>
              <w:pStyle w:val="normal0"/>
              <w:jc w:val="center"/>
              <w:rPr>
                <w:rFonts w:ascii="Times New Roman" w:eastAsia="Times New Roman" w:hAnsi="Times New Roman" w:cs="Times New Roman"/>
                <w:b/>
                <w:color w:val="222222"/>
                <w:sz w:val="20"/>
                <w:szCs w:val="20"/>
              </w:rPr>
            </w:pPr>
            <w:r>
              <w:rPr>
                <w:rFonts w:ascii="Times New Roman" w:eastAsia="Times New Roman" w:hAnsi="Times New Roman" w:cs="Times New Roman"/>
                <w:b/>
                <w:color w:val="222222"/>
                <w:sz w:val="20"/>
                <w:szCs w:val="20"/>
              </w:rPr>
              <w:t>Horas nómina</w:t>
            </w:r>
          </w:p>
        </w:tc>
      </w:tr>
      <w:tr w:rsidR="005A3412" w14:paraId="1F17C1C1" w14:textId="77777777">
        <w:trPr>
          <w:trHeight w:val="400"/>
        </w:trPr>
        <w:tc>
          <w:tcPr>
            <w:tcW w:w="2565" w:type="dxa"/>
            <w:tcBorders>
              <w:top w:val="nil"/>
              <w:left w:val="single" w:sz="8" w:space="0" w:color="DDDDDD"/>
              <w:bottom w:val="single" w:sz="8" w:space="0" w:color="DDDDDD"/>
              <w:right w:val="single" w:sz="8" w:space="0" w:color="DDDDDD"/>
            </w:tcBorders>
            <w:shd w:val="clear" w:color="auto" w:fill="F3F3F3"/>
            <w:tcMar>
              <w:top w:w="20" w:type="dxa"/>
              <w:left w:w="20" w:type="dxa"/>
              <w:bottom w:w="20" w:type="dxa"/>
              <w:right w:w="20" w:type="dxa"/>
            </w:tcMar>
          </w:tcPr>
          <w:p w14:paraId="0B3D34C6" w14:textId="77777777" w:rsidR="005A3412" w:rsidRDefault="00110E44">
            <w:pPr>
              <w:pStyle w:val="normal0"/>
              <w:jc w:val="center"/>
              <w:rPr>
                <w:rFonts w:ascii="Times New Roman" w:eastAsia="Times New Roman" w:hAnsi="Times New Roman" w:cs="Times New Roman"/>
                <w:b/>
                <w:color w:val="222222"/>
                <w:sz w:val="20"/>
                <w:szCs w:val="20"/>
              </w:rPr>
            </w:pPr>
            <w:r>
              <w:rPr>
                <w:rFonts w:ascii="Times New Roman" w:eastAsia="Times New Roman" w:hAnsi="Times New Roman" w:cs="Times New Roman"/>
                <w:b/>
                <w:color w:val="222222"/>
                <w:sz w:val="20"/>
                <w:szCs w:val="20"/>
              </w:rPr>
              <w:lastRenderedPageBreak/>
              <w:t>Concepto</w:t>
            </w:r>
          </w:p>
        </w:tc>
        <w:tc>
          <w:tcPr>
            <w:tcW w:w="3510" w:type="dxa"/>
            <w:tcBorders>
              <w:top w:val="nil"/>
              <w:left w:val="nil"/>
              <w:bottom w:val="single" w:sz="8" w:space="0" w:color="DDDDDD"/>
              <w:right w:val="single" w:sz="8" w:space="0" w:color="DDDDDD"/>
            </w:tcBorders>
            <w:shd w:val="clear" w:color="auto" w:fill="F3F3F3"/>
            <w:tcMar>
              <w:top w:w="20" w:type="dxa"/>
              <w:left w:w="20" w:type="dxa"/>
              <w:bottom w:w="20" w:type="dxa"/>
              <w:right w:w="20" w:type="dxa"/>
            </w:tcMar>
          </w:tcPr>
          <w:p w14:paraId="461E4D72" w14:textId="77777777" w:rsidR="005A3412" w:rsidRDefault="00110E44">
            <w:pPr>
              <w:pStyle w:val="normal0"/>
              <w:jc w:val="center"/>
              <w:rPr>
                <w:rFonts w:ascii="Times New Roman" w:eastAsia="Times New Roman" w:hAnsi="Times New Roman" w:cs="Times New Roman"/>
                <w:b/>
                <w:color w:val="222222"/>
                <w:sz w:val="20"/>
                <w:szCs w:val="20"/>
              </w:rPr>
            </w:pPr>
            <w:r>
              <w:rPr>
                <w:rFonts w:ascii="Times New Roman" w:eastAsia="Times New Roman" w:hAnsi="Times New Roman" w:cs="Times New Roman"/>
                <w:b/>
                <w:color w:val="222222"/>
                <w:sz w:val="20"/>
                <w:szCs w:val="20"/>
              </w:rPr>
              <w:t>Nombre</w:t>
            </w:r>
          </w:p>
        </w:tc>
        <w:tc>
          <w:tcPr>
            <w:tcW w:w="1365" w:type="dxa"/>
            <w:tcBorders>
              <w:top w:val="nil"/>
              <w:left w:val="nil"/>
              <w:bottom w:val="single" w:sz="8" w:space="0" w:color="DDDDDD"/>
              <w:right w:val="single" w:sz="8" w:space="0" w:color="DDDDDD"/>
            </w:tcBorders>
            <w:shd w:val="clear" w:color="auto" w:fill="F3F3F3"/>
            <w:tcMar>
              <w:top w:w="20" w:type="dxa"/>
              <w:left w:w="20" w:type="dxa"/>
              <w:bottom w:w="20" w:type="dxa"/>
              <w:right w:w="20" w:type="dxa"/>
            </w:tcMar>
          </w:tcPr>
          <w:p w14:paraId="138DED20" w14:textId="77777777" w:rsidR="005A3412" w:rsidRDefault="00110E44">
            <w:pPr>
              <w:pStyle w:val="normal0"/>
              <w:jc w:val="center"/>
              <w:rPr>
                <w:rFonts w:ascii="Times New Roman" w:eastAsia="Times New Roman" w:hAnsi="Times New Roman" w:cs="Times New Roman"/>
                <w:b/>
                <w:color w:val="222222"/>
                <w:sz w:val="20"/>
                <w:szCs w:val="20"/>
              </w:rPr>
            </w:pPr>
            <w:r>
              <w:rPr>
                <w:rFonts w:ascii="Times New Roman" w:eastAsia="Times New Roman" w:hAnsi="Times New Roman" w:cs="Times New Roman"/>
                <w:b/>
                <w:color w:val="222222"/>
                <w:sz w:val="20"/>
                <w:szCs w:val="20"/>
              </w:rPr>
              <w:t>Escalafón</w:t>
            </w:r>
          </w:p>
        </w:tc>
        <w:tc>
          <w:tcPr>
            <w:tcW w:w="1635" w:type="dxa"/>
            <w:tcBorders>
              <w:top w:val="nil"/>
              <w:left w:val="nil"/>
              <w:bottom w:val="single" w:sz="8" w:space="0" w:color="DDDDDD"/>
              <w:right w:val="single" w:sz="8" w:space="0" w:color="DDDDDD"/>
            </w:tcBorders>
            <w:shd w:val="clear" w:color="auto" w:fill="F3F3F3"/>
            <w:tcMar>
              <w:top w:w="20" w:type="dxa"/>
              <w:left w:w="20" w:type="dxa"/>
              <w:bottom w:w="20" w:type="dxa"/>
              <w:right w:w="20" w:type="dxa"/>
            </w:tcMar>
          </w:tcPr>
          <w:p w14:paraId="46CEAEE1" w14:textId="77777777" w:rsidR="005A3412" w:rsidRDefault="00110E44">
            <w:pPr>
              <w:pStyle w:val="normal0"/>
              <w:jc w:val="center"/>
              <w:rPr>
                <w:rFonts w:ascii="Times New Roman" w:eastAsia="Times New Roman" w:hAnsi="Times New Roman" w:cs="Times New Roman"/>
                <w:b/>
                <w:color w:val="222222"/>
                <w:sz w:val="20"/>
                <w:szCs w:val="20"/>
              </w:rPr>
            </w:pPr>
            <w:r>
              <w:rPr>
                <w:rFonts w:ascii="Times New Roman" w:eastAsia="Times New Roman" w:hAnsi="Times New Roman" w:cs="Times New Roman"/>
                <w:b/>
                <w:color w:val="222222"/>
                <w:sz w:val="20"/>
                <w:szCs w:val="20"/>
              </w:rPr>
              <w:t>Horas mes</w:t>
            </w:r>
          </w:p>
        </w:tc>
        <w:tc>
          <w:tcPr>
            <w:tcW w:w="3390" w:type="dxa"/>
            <w:tcBorders>
              <w:top w:val="nil"/>
              <w:left w:val="nil"/>
              <w:bottom w:val="single" w:sz="8" w:space="0" w:color="DDDDDD"/>
              <w:right w:val="single" w:sz="8" w:space="0" w:color="DDDDDD"/>
            </w:tcBorders>
            <w:shd w:val="clear" w:color="auto" w:fill="F3F3F3"/>
            <w:tcMar>
              <w:top w:w="100" w:type="dxa"/>
              <w:left w:w="100" w:type="dxa"/>
              <w:bottom w:w="100" w:type="dxa"/>
              <w:right w:w="100" w:type="dxa"/>
            </w:tcMar>
          </w:tcPr>
          <w:p w14:paraId="0217C7CE" w14:textId="77777777" w:rsidR="005A3412" w:rsidRDefault="00110E44">
            <w:pPr>
              <w:pStyle w:val="normal0"/>
              <w:jc w:val="center"/>
              <w:rPr>
                <w:rFonts w:ascii="Times New Roman" w:eastAsia="Times New Roman" w:hAnsi="Times New Roman" w:cs="Times New Roman"/>
                <w:b/>
                <w:color w:val="222222"/>
                <w:sz w:val="20"/>
                <w:szCs w:val="20"/>
              </w:rPr>
            </w:pPr>
            <w:r>
              <w:rPr>
                <w:rFonts w:ascii="Times New Roman" w:eastAsia="Times New Roman" w:hAnsi="Times New Roman" w:cs="Times New Roman"/>
                <w:b/>
                <w:color w:val="222222"/>
                <w:sz w:val="20"/>
                <w:szCs w:val="20"/>
              </w:rPr>
              <w:t>Sede / Seccional o Externo</w:t>
            </w:r>
          </w:p>
        </w:tc>
        <w:tc>
          <w:tcPr>
            <w:tcW w:w="2430" w:type="dxa"/>
            <w:tcBorders>
              <w:top w:val="nil"/>
              <w:left w:val="nil"/>
              <w:bottom w:val="single" w:sz="8" w:space="0" w:color="DDDDDD"/>
              <w:right w:val="single" w:sz="8" w:space="0" w:color="DDDDDD"/>
            </w:tcBorders>
            <w:shd w:val="clear" w:color="auto" w:fill="F3F3F3"/>
            <w:tcMar>
              <w:top w:w="20" w:type="dxa"/>
              <w:left w:w="20" w:type="dxa"/>
              <w:bottom w:w="20" w:type="dxa"/>
              <w:right w:w="20" w:type="dxa"/>
            </w:tcMar>
          </w:tcPr>
          <w:p w14:paraId="6558EA0C" w14:textId="77777777" w:rsidR="005A3412" w:rsidRDefault="00110E44">
            <w:pPr>
              <w:pStyle w:val="normal0"/>
              <w:jc w:val="center"/>
              <w:rPr>
                <w:rFonts w:ascii="Times New Roman" w:eastAsia="Times New Roman" w:hAnsi="Times New Roman" w:cs="Times New Roman"/>
                <w:b/>
                <w:color w:val="222222"/>
                <w:sz w:val="20"/>
                <w:szCs w:val="20"/>
              </w:rPr>
            </w:pPr>
            <w:r>
              <w:rPr>
                <w:rFonts w:ascii="Times New Roman" w:eastAsia="Times New Roman" w:hAnsi="Times New Roman" w:cs="Times New Roman"/>
                <w:b/>
                <w:color w:val="222222"/>
                <w:sz w:val="20"/>
                <w:szCs w:val="20"/>
              </w:rPr>
              <w:t>Total ($)</w:t>
            </w:r>
          </w:p>
        </w:tc>
      </w:tr>
      <w:tr w:rsidR="005A3412" w14:paraId="14AD5428" w14:textId="77777777">
        <w:trPr>
          <w:trHeight w:val="600"/>
        </w:trPr>
        <w:tc>
          <w:tcPr>
            <w:tcW w:w="2565" w:type="dxa"/>
            <w:tcBorders>
              <w:top w:val="nil"/>
              <w:left w:val="single" w:sz="8" w:space="0" w:color="DDDDDD"/>
              <w:bottom w:val="single" w:sz="8" w:space="0" w:color="DDDDDD"/>
              <w:right w:val="single" w:sz="8" w:space="0" w:color="DDDDDD"/>
            </w:tcBorders>
            <w:shd w:val="clear" w:color="auto" w:fill="auto"/>
            <w:tcMar>
              <w:top w:w="20" w:type="dxa"/>
              <w:left w:w="20" w:type="dxa"/>
              <w:bottom w:w="20" w:type="dxa"/>
              <w:right w:w="20" w:type="dxa"/>
            </w:tcMar>
          </w:tcPr>
          <w:p w14:paraId="6D70C919" w14:textId="77777777" w:rsidR="005A3412" w:rsidRDefault="00110E44">
            <w:pPr>
              <w:pStyle w:val="normal0"/>
              <w:jc w:val="center"/>
              <w:rPr>
                <w:rFonts w:ascii="Times New Roman" w:eastAsia="Times New Roman" w:hAnsi="Times New Roman" w:cs="Times New Roman"/>
                <w:color w:val="222222"/>
                <w:sz w:val="20"/>
                <w:szCs w:val="20"/>
              </w:rPr>
            </w:pPr>
            <w:r>
              <w:rPr>
                <w:rFonts w:ascii="Times New Roman" w:eastAsia="Times New Roman" w:hAnsi="Times New Roman" w:cs="Times New Roman"/>
                <w:color w:val="222222"/>
                <w:sz w:val="20"/>
                <w:szCs w:val="20"/>
              </w:rPr>
              <w:t>Horas Nomina (Investigador Principal)</w:t>
            </w:r>
          </w:p>
        </w:tc>
        <w:tc>
          <w:tcPr>
            <w:tcW w:w="3510" w:type="dxa"/>
            <w:tcBorders>
              <w:top w:val="nil"/>
              <w:left w:val="nil"/>
              <w:bottom w:val="single" w:sz="8" w:space="0" w:color="DDDDDD"/>
              <w:right w:val="single" w:sz="8" w:space="0" w:color="DDDDDD"/>
            </w:tcBorders>
            <w:shd w:val="clear" w:color="auto" w:fill="auto"/>
            <w:tcMar>
              <w:top w:w="20" w:type="dxa"/>
              <w:left w:w="20" w:type="dxa"/>
              <w:bottom w:w="20" w:type="dxa"/>
              <w:right w:w="20" w:type="dxa"/>
            </w:tcMar>
          </w:tcPr>
          <w:p w14:paraId="1ADFC8EF" w14:textId="4AC54F95" w:rsidR="005A3412" w:rsidRDefault="00BB79E7">
            <w:pPr>
              <w:pStyle w:val="normal0"/>
              <w:jc w:val="center"/>
              <w:rPr>
                <w:rFonts w:ascii="Times New Roman" w:eastAsia="Times New Roman" w:hAnsi="Times New Roman" w:cs="Times New Roman"/>
                <w:color w:val="222222"/>
                <w:sz w:val="20"/>
                <w:szCs w:val="20"/>
              </w:rPr>
            </w:pPr>
            <w:r>
              <w:rPr>
                <w:rFonts w:ascii="Times New Roman" w:eastAsia="Times New Roman" w:hAnsi="Times New Roman" w:cs="Times New Roman"/>
                <w:color w:val="222222"/>
                <w:sz w:val="20"/>
                <w:szCs w:val="20"/>
              </w:rPr>
              <w:t>Carlos Andrés Peña Guzmán</w:t>
            </w:r>
          </w:p>
        </w:tc>
        <w:tc>
          <w:tcPr>
            <w:tcW w:w="1365" w:type="dxa"/>
            <w:tcBorders>
              <w:top w:val="nil"/>
              <w:left w:val="nil"/>
              <w:bottom w:val="single" w:sz="8" w:space="0" w:color="DDDDDD"/>
              <w:right w:val="single" w:sz="8" w:space="0" w:color="DDDDDD"/>
            </w:tcBorders>
            <w:shd w:val="clear" w:color="auto" w:fill="auto"/>
            <w:tcMar>
              <w:top w:w="20" w:type="dxa"/>
              <w:left w:w="20" w:type="dxa"/>
              <w:bottom w:w="20" w:type="dxa"/>
              <w:right w:w="20" w:type="dxa"/>
            </w:tcMar>
          </w:tcPr>
          <w:p w14:paraId="162C2E40" w14:textId="6A800288" w:rsidR="005A3412" w:rsidRDefault="00BA31E8">
            <w:pPr>
              <w:pStyle w:val="normal0"/>
              <w:jc w:val="center"/>
              <w:rPr>
                <w:rFonts w:ascii="Times New Roman" w:eastAsia="Times New Roman" w:hAnsi="Times New Roman" w:cs="Times New Roman"/>
                <w:color w:val="222222"/>
                <w:sz w:val="20"/>
                <w:szCs w:val="20"/>
              </w:rPr>
            </w:pPr>
            <w:r>
              <w:rPr>
                <w:rFonts w:ascii="Times New Roman" w:eastAsia="Times New Roman" w:hAnsi="Times New Roman" w:cs="Times New Roman"/>
                <w:color w:val="222222"/>
                <w:sz w:val="20"/>
                <w:szCs w:val="20"/>
              </w:rPr>
              <w:t>4</w:t>
            </w:r>
          </w:p>
        </w:tc>
        <w:tc>
          <w:tcPr>
            <w:tcW w:w="1635" w:type="dxa"/>
            <w:tcBorders>
              <w:top w:val="nil"/>
              <w:left w:val="nil"/>
              <w:bottom w:val="single" w:sz="8" w:space="0" w:color="DDDDDD"/>
              <w:right w:val="single" w:sz="8" w:space="0" w:color="DDDDDD"/>
            </w:tcBorders>
            <w:shd w:val="clear" w:color="auto" w:fill="auto"/>
            <w:tcMar>
              <w:top w:w="20" w:type="dxa"/>
              <w:left w:w="20" w:type="dxa"/>
              <w:bottom w:w="20" w:type="dxa"/>
              <w:right w:w="20" w:type="dxa"/>
            </w:tcMar>
          </w:tcPr>
          <w:p w14:paraId="37F71448" w14:textId="1AFCF58E" w:rsidR="005A3412" w:rsidRDefault="00BA31E8">
            <w:pPr>
              <w:pStyle w:val="normal0"/>
              <w:jc w:val="center"/>
              <w:rPr>
                <w:rFonts w:ascii="Times New Roman" w:eastAsia="Times New Roman" w:hAnsi="Times New Roman" w:cs="Times New Roman"/>
                <w:color w:val="222222"/>
                <w:sz w:val="20"/>
                <w:szCs w:val="20"/>
              </w:rPr>
            </w:pPr>
            <w:r>
              <w:rPr>
                <w:rFonts w:ascii="Times New Roman" w:eastAsia="Times New Roman" w:hAnsi="Times New Roman" w:cs="Times New Roman"/>
                <w:color w:val="222222"/>
                <w:sz w:val="20"/>
                <w:szCs w:val="20"/>
              </w:rPr>
              <w:t>32</w:t>
            </w:r>
          </w:p>
        </w:tc>
        <w:tc>
          <w:tcPr>
            <w:tcW w:w="3390" w:type="dxa"/>
            <w:tcBorders>
              <w:top w:val="nil"/>
              <w:left w:val="nil"/>
              <w:bottom w:val="single" w:sz="8" w:space="0" w:color="DDDDDD"/>
              <w:right w:val="single" w:sz="8" w:space="0" w:color="DDDDDD"/>
            </w:tcBorders>
            <w:shd w:val="clear" w:color="auto" w:fill="auto"/>
            <w:tcMar>
              <w:top w:w="100" w:type="dxa"/>
              <w:left w:w="100" w:type="dxa"/>
              <w:bottom w:w="100" w:type="dxa"/>
              <w:right w:w="100" w:type="dxa"/>
            </w:tcMar>
          </w:tcPr>
          <w:p w14:paraId="1CD1EF7E" w14:textId="77777777" w:rsidR="005A3412" w:rsidRDefault="00110E44">
            <w:pPr>
              <w:pStyle w:val="normal0"/>
              <w:jc w:val="center"/>
              <w:rPr>
                <w:rFonts w:ascii="Times New Roman" w:eastAsia="Times New Roman" w:hAnsi="Times New Roman" w:cs="Times New Roman"/>
                <w:color w:val="222222"/>
                <w:sz w:val="20"/>
                <w:szCs w:val="20"/>
              </w:rPr>
            </w:pPr>
            <w:r>
              <w:rPr>
                <w:rFonts w:ascii="Times New Roman" w:eastAsia="Times New Roman" w:hAnsi="Times New Roman" w:cs="Times New Roman"/>
                <w:color w:val="222222"/>
                <w:sz w:val="20"/>
                <w:szCs w:val="20"/>
              </w:rPr>
              <w:t>Principal</w:t>
            </w:r>
          </w:p>
        </w:tc>
        <w:tc>
          <w:tcPr>
            <w:tcW w:w="2430" w:type="dxa"/>
            <w:tcBorders>
              <w:top w:val="nil"/>
              <w:left w:val="nil"/>
              <w:bottom w:val="single" w:sz="8" w:space="0" w:color="DDDDDD"/>
              <w:right w:val="single" w:sz="8" w:space="0" w:color="DDDDDD"/>
            </w:tcBorders>
            <w:shd w:val="clear" w:color="auto" w:fill="auto"/>
            <w:tcMar>
              <w:top w:w="20" w:type="dxa"/>
              <w:left w:w="20" w:type="dxa"/>
              <w:bottom w:w="20" w:type="dxa"/>
              <w:right w:w="20" w:type="dxa"/>
            </w:tcMar>
          </w:tcPr>
          <w:p w14:paraId="3CDD6660" w14:textId="22C86715" w:rsidR="005A3412" w:rsidRDefault="00BA31E8">
            <w:pPr>
              <w:pStyle w:val="normal0"/>
              <w:jc w:val="center"/>
              <w:rPr>
                <w:rFonts w:ascii="Times New Roman" w:eastAsia="Times New Roman" w:hAnsi="Times New Roman" w:cs="Times New Roman"/>
                <w:color w:val="222222"/>
                <w:sz w:val="20"/>
                <w:szCs w:val="20"/>
              </w:rPr>
            </w:pPr>
            <w:r>
              <w:rPr>
                <w:rFonts w:ascii="Times New Roman" w:eastAsia="Times New Roman" w:hAnsi="Times New Roman" w:cs="Times New Roman"/>
                <w:color w:val="222222"/>
                <w:sz w:val="20"/>
                <w:szCs w:val="20"/>
              </w:rPr>
              <w:t>$11.994</w:t>
            </w:r>
            <w:r w:rsidR="004A6380">
              <w:rPr>
                <w:rFonts w:ascii="Times New Roman" w:eastAsia="Times New Roman" w:hAnsi="Times New Roman" w:cs="Times New Roman"/>
                <w:color w:val="222222"/>
                <w:sz w:val="20"/>
                <w:szCs w:val="20"/>
              </w:rPr>
              <w:t>.</w:t>
            </w:r>
            <w:r>
              <w:rPr>
                <w:rFonts w:ascii="Times New Roman" w:eastAsia="Times New Roman" w:hAnsi="Times New Roman" w:cs="Times New Roman"/>
                <w:color w:val="222222"/>
                <w:sz w:val="20"/>
                <w:szCs w:val="20"/>
              </w:rPr>
              <w:t>00</w:t>
            </w:r>
            <w:r w:rsidR="00110E44">
              <w:rPr>
                <w:rFonts w:ascii="Times New Roman" w:eastAsia="Times New Roman" w:hAnsi="Times New Roman" w:cs="Times New Roman"/>
                <w:color w:val="222222"/>
                <w:sz w:val="20"/>
                <w:szCs w:val="20"/>
              </w:rPr>
              <w:t>0</w:t>
            </w:r>
          </w:p>
        </w:tc>
      </w:tr>
      <w:tr w:rsidR="005A3412" w14:paraId="226CE3BB" w14:textId="77777777">
        <w:trPr>
          <w:trHeight w:val="560"/>
        </w:trPr>
        <w:tc>
          <w:tcPr>
            <w:tcW w:w="2565" w:type="dxa"/>
            <w:tcBorders>
              <w:top w:val="nil"/>
              <w:left w:val="single" w:sz="8" w:space="0" w:color="DDDDDD"/>
              <w:bottom w:val="single" w:sz="8" w:space="0" w:color="DDDDDD"/>
              <w:right w:val="single" w:sz="8" w:space="0" w:color="DDDDDD"/>
            </w:tcBorders>
            <w:shd w:val="clear" w:color="auto" w:fill="auto"/>
            <w:tcMar>
              <w:top w:w="20" w:type="dxa"/>
              <w:left w:w="20" w:type="dxa"/>
              <w:bottom w:w="20" w:type="dxa"/>
              <w:right w:w="20" w:type="dxa"/>
            </w:tcMar>
          </w:tcPr>
          <w:p w14:paraId="58824FDB" w14:textId="77777777" w:rsidR="005A3412" w:rsidRDefault="00110E44">
            <w:pPr>
              <w:pStyle w:val="normal0"/>
              <w:jc w:val="center"/>
              <w:rPr>
                <w:rFonts w:ascii="Times New Roman" w:eastAsia="Times New Roman" w:hAnsi="Times New Roman" w:cs="Times New Roman"/>
                <w:color w:val="222222"/>
                <w:sz w:val="20"/>
                <w:szCs w:val="20"/>
              </w:rPr>
            </w:pPr>
            <w:r>
              <w:rPr>
                <w:rFonts w:ascii="Times New Roman" w:eastAsia="Times New Roman" w:hAnsi="Times New Roman" w:cs="Times New Roman"/>
                <w:color w:val="222222"/>
                <w:sz w:val="20"/>
                <w:szCs w:val="20"/>
              </w:rPr>
              <w:t>Horas Nomina (Co-Investigadores)</w:t>
            </w:r>
          </w:p>
        </w:tc>
        <w:tc>
          <w:tcPr>
            <w:tcW w:w="3510" w:type="dxa"/>
            <w:tcBorders>
              <w:top w:val="nil"/>
              <w:left w:val="nil"/>
              <w:bottom w:val="single" w:sz="8" w:space="0" w:color="DDDDDD"/>
              <w:right w:val="single" w:sz="8" w:space="0" w:color="DDDDDD"/>
            </w:tcBorders>
            <w:shd w:val="clear" w:color="auto" w:fill="auto"/>
            <w:tcMar>
              <w:top w:w="20" w:type="dxa"/>
              <w:left w:w="20" w:type="dxa"/>
              <w:bottom w:w="20" w:type="dxa"/>
              <w:right w:w="20" w:type="dxa"/>
            </w:tcMar>
          </w:tcPr>
          <w:p w14:paraId="1A3E6FC9" w14:textId="2CEE082C" w:rsidR="005A3412" w:rsidRDefault="00BB79E7">
            <w:pPr>
              <w:pStyle w:val="normal0"/>
              <w:jc w:val="center"/>
              <w:rPr>
                <w:rFonts w:ascii="Times New Roman" w:eastAsia="Times New Roman" w:hAnsi="Times New Roman" w:cs="Times New Roman"/>
                <w:color w:val="222222"/>
                <w:sz w:val="20"/>
                <w:szCs w:val="20"/>
              </w:rPr>
            </w:pPr>
            <w:r>
              <w:rPr>
                <w:rFonts w:ascii="Times New Roman" w:eastAsia="Times New Roman" w:hAnsi="Times New Roman" w:cs="Times New Roman"/>
                <w:color w:val="222222"/>
                <w:sz w:val="20"/>
                <w:szCs w:val="20"/>
              </w:rPr>
              <w:t>Danvid Andrés Zamora</w:t>
            </w:r>
          </w:p>
        </w:tc>
        <w:tc>
          <w:tcPr>
            <w:tcW w:w="1365" w:type="dxa"/>
            <w:tcBorders>
              <w:top w:val="nil"/>
              <w:left w:val="nil"/>
              <w:bottom w:val="single" w:sz="8" w:space="0" w:color="DDDDDD"/>
              <w:right w:val="single" w:sz="8" w:space="0" w:color="DDDDDD"/>
            </w:tcBorders>
            <w:shd w:val="clear" w:color="auto" w:fill="auto"/>
            <w:tcMar>
              <w:top w:w="20" w:type="dxa"/>
              <w:left w:w="20" w:type="dxa"/>
              <w:bottom w:w="20" w:type="dxa"/>
              <w:right w:w="20" w:type="dxa"/>
            </w:tcMar>
          </w:tcPr>
          <w:p w14:paraId="685322B9" w14:textId="4BE366F3" w:rsidR="005A3412" w:rsidRDefault="00BB79E7">
            <w:pPr>
              <w:pStyle w:val="normal0"/>
              <w:jc w:val="center"/>
              <w:rPr>
                <w:rFonts w:ascii="Times New Roman" w:eastAsia="Times New Roman" w:hAnsi="Times New Roman" w:cs="Times New Roman"/>
                <w:color w:val="222222"/>
                <w:sz w:val="20"/>
                <w:szCs w:val="20"/>
              </w:rPr>
            </w:pPr>
            <w:r>
              <w:rPr>
                <w:rFonts w:ascii="Times New Roman" w:eastAsia="Times New Roman" w:hAnsi="Times New Roman" w:cs="Times New Roman"/>
                <w:color w:val="222222"/>
                <w:sz w:val="20"/>
                <w:szCs w:val="20"/>
              </w:rPr>
              <w:t>2</w:t>
            </w:r>
          </w:p>
        </w:tc>
        <w:tc>
          <w:tcPr>
            <w:tcW w:w="1635" w:type="dxa"/>
            <w:tcBorders>
              <w:top w:val="nil"/>
              <w:left w:val="nil"/>
              <w:bottom w:val="single" w:sz="8" w:space="0" w:color="DDDDDD"/>
              <w:right w:val="single" w:sz="8" w:space="0" w:color="DDDDDD"/>
            </w:tcBorders>
            <w:shd w:val="clear" w:color="auto" w:fill="auto"/>
            <w:tcMar>
              <w:top w:w="20" w:type="dxa"/>
              <w:left w:w="20" w:type="dxa"/>
              <w:bottom w:w="20" w:type="dxa"/>
              <w:right w:w="20" w:type="dxa"/>
            </w:tcMar>
          </w:tcPr>
          <w:p w14:paraId="5867EF98" w14:textId="77777777" w:rsidR="005A3412" w:rsidRDefault="00110E44">
            <w:pPr>
              <w:pStyle w:val="normal0"/>
              <w:jc w:val="center"/>
              <w:rPr>
                <w:rFonts w:ascii="Times New Roman" w:eastAsia="Times New Roman" w:hAnsi="Times New Roman" w:cs="Times New Roman"/>
                <w:color w:val="222222"/>
                <w:sz w:val="20"/>
                <w:szCs w:val="20"/>
              </w:rPr>
            </w:pPr>
            <w:r>
              <w:rPr>
                <w:rFonts w:ascii="Times New Roman" w:eastAsia="Times New Roman" w:hAnsi="Times New Roman" w:cs="Times New Roman"/>
                <w:color w:val="222222"/>
                <w:sz w:val="20"/>
                <w:szCs w:val="20"/>
              </w:rPr>
              <w:t>20</w:t>
            </w:r>
          </w:p>
        </w:tc>
        <w:tc>
          <w:tcPr>
            <w:tcW w:w="3390" w:type="dxa"/>
            <w:tcBorders>
              <w:top w:val="nil"/>
              <w:left w:val="nil"/>
              <w:bottom w:val="single" w:sz="8" w:space="0" w:color="DDDDDD"/>
              <w:right w:val="single" w:sz="8" w:space="0" w:color="DDDDDD"/>
            </w:tcBorders>
            <w:shd w:val="clear" w:color="auto" w:fill="auto"/>
            <w:tcMar>
              <w:top w:w="100" w:type="dxa"/>
              <w:left w:w="100" w:type="dxa"/>
              <w:bottom w:w="100" w:type="dxa"/>
              <w:right w:w="100" w:type="dxa"/>
            </w:tcMar>
          </w:tcPr>
          <w:p w14:paraId="265F72A3" w14:textId="77777777" w:rsidR="005A3412" w:rsidRDefault="00110E44">
            <w:pPr>
              <w:pStyle w:val="normal0"/>
              <w:jc w:val="center"/>
              <w:rPr>
                <w:rFonts w:ascii="Times New Roman" w:eastAsia="Times New Roman" w:hAnsi="Times New Roman" w:cs="Times New Roman"/>
                <w:color w:val="222222"/>
                <w:sz w:val="20"/>
                <w:szCs w:val="20"/>
              </w:rPr>
            </w:pPr>
            <w:r>
              <w:rPr>
                <w:rFonts w:ascii="Times New Roman" w:eastAsia="Times New Roman" w:hAnsi="Times New Roman" w:cs="Times New Roman"/>
                <w:color w:val="222222"/>
                <w:sz w:val="20"/>
                <w:szCs w:val="20"/>
              </w:rPr>
              <w:t>Principal</w:t>
            </w:r>
          </w:p>
        </w:tc>
        <w:tc>
          <w:tcPr>
            <w:tcW w:w="2430" w:type="dxa"/>
            <w:tcBorders>
              <w:top w:val="nil"/>
              <w:left w:val="nil"/>
              <w:bottom w:val="single" w:sz="8" w:space="0" w:color="DDDDDD"/>
              <w:right w:val="single" w:sz="8" w:space="0" w:color="DDDDDD"/>
            </w:tcBorders>
            <w:shd w:val="clear" w:color="auto" w:fill="auto"/>
            <w:tcMar>
              <w:top w:w="20" w:type="dxa"/>
              <w:left w:w="20" w:type="dxa"/>
              <w:bottom w:w="20" w:type="dxa"/>
              <w:right w:w="20" w:type="dxa"/>
            </w:tcMar>
          </w:tcPr>
          <w:p w14:paraId="36BD9794" w14:textId="3231F906" w:rsidR="005A3412" w:rsidRDefault="004A6380">
            <w:pPr>
              <w:pStyle w:val="normal0"/>
              <w:jc w:val="center"/>
              <w:rPr>
                <w:rFonts w:ascii="Times New Roman" w:eastAsia="Times New Roman" w:hAnsi="Times New Roman" w:cs="Times New Roman"/>
                <w:color w:val="222222"/>
                <w:sz w:val="20"/>
                <w:szCs w:val="20"/>
              </w:rPr>
            </w:pPr>
            <w:r>
              <w:rPr>
                <w:rFonts w:ascii="Times New Roman" w:eastAsia="Times New Roman" w:hAnsi="Times New Roman" w:cs="Times New Roman"/>
                <w:color w:val="222222"/>
                <w:sz w:val="20"/>
                <w:szCs w:val="20"/>
              </w:rPr>
              <w:t>$ 5.363.7</w:t>
            </w:r>
            <w:r w:rsidR="00110E44">
              <w:rPr>
                <w:rFonts w:ascii="Times New Roman" w:eastAsia="Times New Roman" w:hAnsi="Times New Roman" w:cs="Times New Roman"/>
                <w:color w:val="222222"/>
                <w:sz w:val="20"/>
                <w:szCs w:val="20"/>
              </w:rPr>
              <w:t>50</w:t>
            </w:r>
          </w:p>
        </w:tc>
      </w:tr>
    </w:tbl>
    <w:p w14:paraId="4669440A" w14:textId="77777777" w:rsidR="005A3412" w:rsidRDefault="005A3412">
      <w:pPr>
        <w:pStyle w:val="normal0"/>
        <w:spacing w:after="0" w:line="276" w:lineRule="auto"/>
        <w:rPr>
          <w:rFonts w:ascii="Times New Roman" w:eastAsia="Times New Roman" w:hAnsi="Times New Roman" w:cs="Times New Roman"/>
          <w:sz w:val="24"/>
          <w:szCs w:val="24"/>
        </w:rPr>
      </w:pPr>
    </w:p>
    <w:p w14:paraId="4F641BEF" w14:textId="77777777" w:rsidR="005A3412" w:rsidRDefault="005A3412">
      <w:pPr>
        <w:pStyle w:val="normal0"/>
        <w:spacing w:after="0" w:line="276" w:lineRule="auto"/>
        <w:rPr>
          <w:rFonts w:ascii="Times New Roman" w:eastAsia="Times New Roman" w:hAnsi="Times New Roman" w:cs="Times New Roman"/>
          <w:sz w:val="24"/>
          <w:szCs w:val="24"/>
        </w:rPr>
      </w:pPr>
    </w:p>
    <w:tbl>
      <w:tblPr>
        <w:tblW w:w="14046" w:type="dxa"/>
        <w:tblInd w:w="55" w:type="dxa"/>
        <w:tblCellMar>
          <w:left w:w="70" w:type="dxa"/>
          <w:right w:w="70" w:type="dxa"/>
        </w:tblCellMar>
        <w:tblLook w:val="04A0" w:firstRow="1" w:lastRow="0" w:firstColumn="1" w:lastColumn="0" w:noHBand="0" w:noVBand="1"/>
      </w:tblPr>
      <w:tblGrid>
        <w:gridCol w:w="2607"/>
        <w:gridCol w:w="2010"/>
        <w:gridCol w:w="3409"/>
        <w:gridCol w:w="1988"/>
        <w:gridCol w:w="2044"/>
        <w:gridCol w:w="1988"/>
      </w:tblGrid>
      <w:tr w:rsidR="001F423D" w:rsidRPr="001F423D" w14:paraId="7A337647" w14:textId="77777777" w:rsidTr="001F423D">
        <w:trPr>
          <w:trHeight w:val="721"/>
        </w:trPr>
        <w:tc>
          <w:tcPr>
            <w:tcW w:w="2607" w:type="dxa"/>
            <w:tcBorders>
              <w:top w:val="single" w:sz="8" w:space="0" w:color="000000"/>
              <w:left w:val="single" w:sz="8" w:space="0" w:color="000000"/>
              <w:bottom w:val="single" w:sz="8" w:space="0" w:color="000000"/>
              <w:right w:val="single" w:sz="8" w:space="0" w:color="000000"/>
            </w:tcBorders>
            <w:shd w:val="clear" w:color="000000" w:fill="F2F2F2"/>
            <w:vAlign w:val="center"/>
            <w:hideMark/>
          </w:tcPr>
          <w:p w14:paraId="37DCD8B9" w14:textId="77777777" w:rsidR="001F423D" w:rsidRPr="001F423D" w:rsidRDefault="001F423D" w:rsidP="001F423D">
            <w:pPr>
              <w:spacing w:after="0" w:line="240" w:lineRule="auto"/>
              <w:jc w:val="center"/>
              <w:rPr>
                <w:rFonts w:ascii="Times New Roman" w:eastAsia="Times New Roman" w:hAnsi="Times New Roman" w:cs="Times New Roman"/>
                <w:b/>
                <w:bCs/>
                <w:color w:val="000000"/>
                <w:sz w:val="20"/>
                <w:szCs w:val="20"/>
              </w:rPr>
            </w:pPr>
            <w:r w:rsidRPr="001F423D">
              <w:rPr>
                <w:rFonts w:ascii="Times New Roman" w:eastAsia="Times New Roman" w:hAnsi="Times New Roman" w:cs="Times New Roman"/>
                <w:b/>
                <w:bCs/>
                <w:color w:val="000000"/>
                <w:sz w:val="20"/>
                <w:szCs w:val="20"/>
              </w:rPr>
              <w:t>FINANCIACIÓN</w:t>
            </w:r>
          </w:p>
        </w:tc>
        <w:tc>
          <w:tcPr>
            <w:tcW w:w="2010" w:type="dxa"/>
            <w:tcBorders>
              <w:top w:val="single" w:sz="8" w:space="0" w:color="000000"/>
              <w:left w:val="nil"/>
              <w:bottom w:val="single" w:sz="8" w:space="0" w:color="000000"/>
              <w:right w:val="single" w:sz="8" w:space="0" w:color="000000"/>
            </w:tcBorders>
            <w:shd w:val="clear" w:color="000000" w:fill="F2F2F2"/>
            <w:vAlign w:val="center"/>
            <w:hideMark/>
          </w:tcPr>
          <w:p w14:paraId="2E73134A" w14:textId="77777777" w:rsidR="001F423D" w:rsidRPr="001F423D" w:rsidRDefault="001F423D" w:rsidP="001F423D">
            <w:pPr>
              <w:spacing w:after="0" w:line="240" w:lineRule="auto"/>
              <w:jc w:val="center"/>
              <w:rPr>
                <w:rFonts w:ascii="Times New Roman" w:eastAsia="Times New Roman" w:hAnsi="Times New Roman" w:cs="Times New Roman"/>
                <w:b/>
                <w:bCs/>
                <w:color w:val="000000"/>
                <w:sz w:val="20"/>
                <w:szCs w:val="20"/>
              </w:rPr>
            </w:pPr>
            <w:r w:rsidRPr="001F423D">
              <w:rPr>
                <w:rFonts w:ascii="Times New Roman" w:eastAsia="Times New Roman" w:hAnsi="Times New Roman" w:cs="Times New Roman"/>
                <w:b/>
                <w:bCs/>
                <w:color w:val="000000"/>
                <w:sz w:val="20"/>
                <w:szCs w:val="20"/>
              </w:rPr>
              <w:t>RECURSO</w:t>
            </w:r>
          </w:p>
        </w:tc>
        <w:tc>
          <w:tcPr>
            <w:tcW w:w="3409" w:type="dxa"/>
            <w:tcBorders>
              <w:top w:val="single" w:sz="8" w:space="0" w:color="000000"/>
              <w:left w:val="nil"/>
              <w:bottom w:val="single" w:sz="8" w:space="0" w:color="000000"/>
              <w:right w:val="single" w:sz="8" w:space="0" w:color="000000"/>
            </w:tcBorders>
            <w:shd w:val="clear" w:color="000000" w:fill="F2F2F2"/>
            <w:vAlign w:val="center"/>
            <w:hideMark/>
          </w:tcPr>
          <w:p w14:paraId="0FB7DA46" w14:textId="77777777" w:rsidR="001F423D" w:rsidRPr="001F423D" w:rsidRDefault="001F423D" w:rsidP="001F423D">
            <w:pPr>
              <w:spacing w:after="0" w:line="240" w:lineRule="auto"/>
              <w:jc w:val="center"/>
              <w:rPr>
                <w:rFonts w:ascii="Times New Roman" w:eastAsia="Times New Roman" w:hAnsi="Times New Roman" w:cs="Times New Roman"/>
                <w:b/>
                <w:bCs/>
                <w:color w:val="000000"/>
                <w:sz w:val="20"/>
                <w:szCs w:val="20"/>
              </w:rPr>
            </w:pPr>
            <w:r w:rsidRPr="001F423D">
              <w:rPr>
                <w:rFonts w:ascii="Times New Roman" w:eastAsia="Times New Roman" w:hAnsi="Times New Roman" w:cs="Times New Roman"/>
                <w:b/>
                <w:bCs/>
                <w:color w:val="000000"/>
                <w:sz w:val="20"/>
                <w:szCs w:val="20"/>
              </w:rPr>
              <w:t>DESCRIPCIÓN</w:t>
            </w:r>
          </w:p>
        </w:tc>
        <w:tc>
          <w:tcPr>
            <w:tcW w:w="1988" w:type="dxa"/>
            <w:tcBorders>
              <w:top w:val="single" w:sz="8" w:space="0" w:color="000000"/>
              <w:left w:val="nil"/>
              <w:bottom w:val="single" w:sz="8" w:space="0" w:color="000000"/>
              <w:right w:val="single" w:sz="8" w:space="0" w:color="000000"/>
            </w:tcBorders>
            <w:shd w:val="clear" w:color="000000" w:fill="F2F2F2"/>
            <w:vAlign w:val="center"/>
            <w:hideMark/>
          </w:tcPr>
          <w:p w14:paraId="1B3D617C" w14:textId="77777777" w:rsidR="001F423D" w:rsidRPr="001F423D" w:rsidRDefault="001F423D" w:rsidP="001F423D">
            <w:pPr>
              <w:spacing w:after="0" w:line="240" w:lineRule="auto"/>
              <w:jc w:val="center"/>
              <w:rPr>
                <w:rFonts w:ascii="Times New Roman" w:eastAsia="Times New Roman" w:hAnsi="Times New Roman" w:cs="Times New Roman"/>
                <w:b/>
                <w:bCs/>
                <w:color w:val="222222"/>
                <w:sz w:val="20"/>
                <w:szCs w:val="20"/>
              </w:rPr>
            </w:pPr>
            <w:r w:rsidRPr="001F423D">
              <w:rPr>
                <w:rFonts w:ascii="Times New Roman" w:eastAsia="Times New Roman" w:hAnsi="Times New Roman" w:cs="Times New Roman"/>
                <w:b/>
                <w:bCs/>
                <w:color w:val="222222"/>
                <w:sz w:val="20"/>
                <w:szCs w:val="20"/>
              </w:rPr>
              <w:t>Valor partida</w:t>
            </w:r>
          </w:p>
        </w:tc>
        <w:tc>
          <w:tcPr>
            <w:tcW w:w="2044" w:type="dxa"/>
            <w:tcBorders>
              <w:top w:val="single" w:sz="8" w:space="0" w:color="000000"/>
              <w:left w:val="nil"/>
              <w:bottom w:val="single" w:sz="8" w:space="0" w:color="000000"/>
              <w:right w:val="single" w:sz="8" w:space="0" w:color="000000"/>
            </w:tcBorders>
            <w:shd w:val="clear" w:color="000000" w:fill="F2F2F2"/>
            <w:vAlign w:val="center"/>
            <w:hideMark/>
          </w:tcPr>
          <w:p w14:paraId="1CD1926A" w14:textId="77777777" w:rsidR="001F423D" w:rsidRPr="001F423D" w:rsidRDefault="001F423D" w:rsidP="001F423D">
            <w:pPr>
              <w:spacing w:after="0" w:line="240" w:lineRule="auto"/>
              <w:jc w:val="center"/>
              <w:rPr>
                <w:rFonts w:ascii="Times New Roman" w:eastAsia="Times New Roman" w:hAnsi="Times New Roman" w:cs="Times New Roman"/>
                <w:b/>
                <w:bCs/>
                <w:color w:val="222222"/>
                <w:sz w:val="20"/>
                <w:szCs w:val="20"/>
              </w:rPr>
            </w:pPr>
            <w:r w:rsidRPr="001F423D">
              <w:rPr>
                <w:rFonts w:ascii="Times New Roman" w:eastAsia="Times New Roman" w:hAnsi="Times New Roman" w:cs="Times New Roman"/>
                <w:b/>
                <w:bCs/>
                <w:color w:val="222222"/>
                <w:sz w:val="20"/>
                <w:szCs w:val="20"/>
              </w:rPr>
              <w:t>Valor contrapartida (Externa)</w:t>
            </w:r>
          </w:p>
        </w:tc>
        <w:tc>
          <w:tcPr>
            <w:tcW w:w="1988" w:type="dxa"/>
            <w:tcBorders>
              <w:top w:val="single" w:sz="8" w:space="0" w:color="000000"/>
              <w:left w:val="nil"/>
              <w:bottom w:val="single" w:sz="8" w:space="0" w:color="000000"/>
              <w:right w:val="single" w:sz="8" w:space="0" w:color="000000"/>
            </w:tcBorders>
            <w:shd w:val="clear" w:color="000000" w:fill="F2F2F2"/>
            <w:vAlign w:val="center"/>
            <w:hideMark/>
          </w:tcPr>
          <w:p w14:paraId="2EEAA11C" w14:textId="77777777" w:rsidR="001F423D" w:rsidRPr="001F423D" w:rsidRDefault="001F423D" w:rsidP="001F423D">
            <w:pPr>
              <w:spacing w:after="0" w:line="240" w:lineRule="auto"/>
              <w:jc w:val="center"/>
              <w:rPr>
                <w:rFonts w:ascii="Times New Roman" w:eastAsia="Times New Roman" w:hAnsi="Times New Roman" w:cs="Times New Roman"/>
                <w:b/>
                <w:bCs/>
                <w:color w:val="222222"/>
                <w:sz w:val="20"/>
                <w:szCs w:val="20"/>
              </w:rPr>
            </w:pPr>
            <w:r w:rsidRPr="001F423D">
              <w:rPr>
                <w:rFonts w:ascii="Times New Roman" w:eastAsia="Times New Roman" w:hAnsi="Times New Roman" w:cs="Times New Roman"/>
                <w:b/>
                <w:bCs/>
                <w:color w:val="222222"/>
                <w:sz w:val="20"/>
                <w:szCs w:val="20"/>
              </w:rPr>
              <w:t>Total ($)</w:t>
            </w:r>
          </w:p>
        </w:tc>
      </w:tr>
      <w:tr w:rsidR="001F423D" w:rsidRPr="001F423D" w14:paraId="7D3C1947" w14:textId="77777777" w:rsidTr="001F423D">
        <w:trPr>
          <w:trHeight w:val="488"/>
        </w:trPr>
        <w:tc>
          <w:tcPr>
            <w:tcW w:w="2607"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234D6A18" w14:textId="77777777" w:rsidR="001F423D" w:rsidRPr="001F423D" w:rsidRDefault="001F423D" w:rsidP="001F423D">
            <w:pPr>
              <w:spacing w:after="0" w:line="240" w:lineRule="auto"/>
              <w:jc w:val="center"/>
              <w:rPr>
                <w:rFonts w:ascii="Times New Roman" w:eastAsia="Times New Roman" w:hAnsi="Times New Roman" w:cs="Times New Roman"/>
                <w:b/>
                <w:bCs/>
                <w:color w:val="000000"/>
                <w:sz w:val="20"/>
                <w:szCs w:val="20"/>
              </w:rPr>
            </w:pPr>
            <w:r w:rsidRPr="001F423D">
              <w:rPr>
                <w:rFonts w:ascii="Times New Roman" w:eastAsia="Times New Roman" w:hAnsi="Times New Roman" w:cs="Times New Roman"/>
                <w:b/>
                <w:bCs/>
                <w:color w:val="000000"/>
                <w:sz w:val="20"/>
                <w:szCs w:val="20"/>
              </w:rPr>
              <w:t>RUBROS</w:t>
            </w:r>
          </w:p>
        </w:tc>
        <w:tc>
          <w:tcPr>
            <w:tcW w:w="2010" w:type="dxa"/>
            <w:tcBorders>
              <w:top w:val="nil"/>
              <w:left w:val="nil"/>
              <w:bottom w:val="single" w:sz="8" w:space="0" w:color="000000"/>
              <w:right w:val="single" w:sz="8" w:space="0" w:color="000000"/>
            </w:tcBorders>
            <w:shd w:val="clear" w:color="auto" w:fill="auto"/>
            <w:vAlign w:val="center"/>
            <w:hideMark/>
          </w:tcPr>
          <w:p w14:paraId="6BEBEE90" w14:textId="77777777" w:rsidR="001F423D" w:rsidRPr="001F423D" w:rsidRDefault="001F423D" w:rsidP="001F423D">
            <w:pPr>
              <w:spacing w:after="0" w:line="240" w:lineRule="auto"/>
              <w:jc w:val="both"/>
              <w:rPr>
                <w:rFonts w:ascii="Times New Roman" w:eastAsia="Times New Roman" w:hAnsi="Times New Roman" w:cs="Times New Roman"/>
                <w:b/>
                <w:bCs/>
                <w:color w:val="000000"/>
                <w:sz w:val="20"/>
                <w:szCs w:val="20"/>
              </w:rPr>
            </w:pPr>
            <w:r w:rsidRPr="001F423D">
              <w:rPr>
                <w:rFonts w:ascii="Times New Roman" w:eastAsia="Times New Roman" w:hAnsi="Times New Roman" w:cs="Times New Roman"/>
                <w:b/>
                <w:bCs/>
                <w:color w:val="000000"/>
                <w:sz w:val="20"/>
                <w:szCs w:val="20"/>
              </w:rPr>
              <w:t>Servicios Técnicos</w:t>
            </w:r>
          </w:p>
        </w:tc>
        <w:tc>
          <w:tcPr>
            <w:tcW w:w="3409" w:type="dxa"/>
            <w:tcBorders>
              <w:top w:val="nil"/>
              <w:left w:val="nil"/>
              <w:bottom w:val="single" w:sz="8" w:space="0" w:color="000000"/>
              <w:right w:val="single" w:sz="8" w:space="0" w:color="000000"/>
            </w:tcBorders>
            <w:shd w:val="clear" w:color="auto" w:fill="auto"/>
            <w:vAlign w:val="center"/>
            <w:hideMark/>
          </w:tcPr>
          <w:p w14:paraId="552BEDF7" w14:textId="77777777" w:rsidR="001F423D" w:rsidRPr="001F423D" w:rsidRDefault="001F423D" w:rsidP="001F423D">
            <w:pPr>
              <w:spacing w:after="0" w:line="240" w:lineRule="auto"/>
              <w:jc w:val="both"/>
              <w:rPr>
                <w:rFonts w:ascii="Times New Roman" w:eastAsia="Times New Roman" w:hAnsi="Times New Roman" w:cs="Times New Roman"/>
                <w:color w:val="000000"/>
                <w:sz w:val="20"/>
                <w:szCs w:val="20"/>
              </w:rPr>
            </w:pPr>
            <w:r w:rsidRPr="001F423D">
              <w:rPr>
                <w:rFonts w:ascii="Times New Roman" w:eastAsia="Times New Roman" w:hAnsi="Times New Roman" w:cs="Times New Roman"/>
                <w:color w:val="000000"/>
                <w:sz w:val="20"/>
                <w:szCs w:val="20"/>
              </w:rPr>
              <w:t> </w:t>
            </w:r>
          </w:p>
        </w:tc>
        <w:tc>
          <w:tcPr>
            <w:tcW w:w="1988" w:type="dxa"/>
            <w:tcBorders>
              <w:top w:val="nil"/>
              <w:left w:val="nil"/>
              <w:bottom w:val="single" w:sz="8" w:space="0" w:color="000000"/>
              <w:right w:val="single" w:sz="8" w:space="0" w:color="000000"/>
            </w:tcBorders>
            <w:shd w:val="clear" w:color="auto" w:fill="auto"/>
            <w:vAlign w:val="center"/>
            <w:hideMark/>
          </w:tcPr>
          <w:p w14:paraId="11550D0D" w14:textId="77777777" w:rsidR="001F423D" w:rsidRPr="001F423D" w:rsidRDefault="001F423D" w:rsidP="001F423D">
            <w:pPr>
              <w:spacing w:after="0" w:line="240" w:lineRule="auto"/>
              <w:jc w:val="both"/>
              <w:rPr>
                <w:rFonts w:ascii="Times New Roman" w:eastAsia="Times New Roman" w:hAnsi="Times New Roman" w:cs="Times New Roman"/>
                <w:color w:val="000000"/>
                <w:sz w:val="20"/>
                <w:szCs w:val="20"/>
              </w:rPr>
            </w:pPr>
            <w:r w:rsidRPr="001F423D">
              <w:rPr>
                <w:rFonts w:ascii="Times New Roman" w:eastAsia="Times New Roman" w:hAnsi="Times New Roman" w:cs="Times New Roman"/>
                <w:color w:val="000000"/>
                <w:sz w:val="20"/>
                <w:szCs w:val="20"/>
              </w:rPr>
              <w:t>N.A</w:t>
            </w:r>
          </w:p>
        </w:tc>
        <w:tc>
          <w:tcPr>
            <w:tcW w:w="2044" w:type="dxa"/>
            <w:tcBorders>
              <w:top w:val="nil"/>
              <w:left w:val="nil"/>
              <w:bottom w:val="single" w:sz="8" w:space="0" w:color="000000"/>
              <w:right w:val="single" w:sz="8" w:space="0" w:color="000000"/>
            </w:tcBorders>
            <w:shd w:val="clear" w:color="auto" w:fill="auto"/>
            <w:vAlign w:val="center"/>
            <w:hideMark/>
          </w:tcPr>
          <w:p w14:paraId="06E269EB" w14:textId="77777777" w:rsidR="001F423D" w:rsidRPr="001F423D" w:rsidRDefault="001F423D" w:rsidP="001F423D">
            <w:pPr>
              <w:spacing w:after="0" w:line="240" w:lineRule="auto"/>
              <w:jc w:val="both"/>
              <w:rPr>
                <w:rFonts w:ascii="Times New Roman" w:eastAsia="Times New Roman" w:hAnsi="Times New Roman" w:cs="Times New Roman"/>
                <w:color w:val="000000"/>
                <w:sz w:val="20"/>
                <w:szCs w:val="20"/>
              </w:rPr>
            </w:pPr>
            <w:r w:rsidRPr="001F423D">
              <w:rPr>
                <w:rFonts w:ascii="Times New Roman" w:eastAsia="Times New Roman" w:hAnsi="Times New Roman" w:cs="Times New Roman"/>
                <w:color w:val="000000"/>
                <w:sz w:val="20"/>
                <w:szCs w:val="20"/>
              </w:rPr>
              <w:t> </w:t>
            </w:r>
          </w:p>
        </w:tc>
        <w:tc>
          <w:tcPr>
            <w:tcW w:w="1988" w:type="dxa"/>
            <w:tcBorders>
              <w:top w:val="nil"/>
              <w:left w:val="nil"/>
              <w:bottom w:val="single" w:sz="8" w:space="0" w:color="000000"/>
              <w:right w:val="single" w:sz="8" w:space="0" w:color="000000"/>
            </w:tcBorders>
            <w:shd w:val="clear" w:color="auto" w:fill="auto"/>
            <w:vAlign w:val="center"/>
            <w:hideMark/>
          </w:tcPr>
          <w:p w14:paraId="370606B5" w14:textId="77777777" w:rsidR="001F423D" w:rsidRPr="001F423D" w:rsidRDefault="001F423D" w:rsidP="001F423D">
            <w:pPr>
              <w:spacing w:after="0" w:line="240" w:lineRule="auto"/>
              <w:jc w:val="both"/>
              <w:rPr>
                <w:rFonts w:ascii="Times New Roman" w:eastAsia="Times New Roman" w:hAnsi="Times New Roman" w:cs="Times New Roman"/>
                <w:color w:val="000000"/>
                <w:sz w:val="20"/>
                <w:szCs w:val="20"/>
              </w:rPr>
            </w:pPr>
            <w:r w:rsidRPr="001F423D">
              <w:rPr>
                <w:rFonts w:ascii="Times New Roman" w:eastAsia="Times New Roman" w:hAnsi="Times New Roman" w:cs="Times New Roman"/>
                <w:color w:val="000000"/>
                <w:sz w:val="20"/>
                <w:szCs w:val="20"/>
              </w:rPr>
              <w:t> </w:t>
            </w:r>
          </w:p>
        </w:tc>
      </w:tr>
      <w:tr w:rsidR="001F423D" w:rsidRPr="001F423D" w14:paraId="1BCB938C" w14:textId="77777777" w:rsidTr="001F423D">
        <w:trPr>
          <w:trHeight w:val="488"/>
        </w:trPr>
        <w:tc>
          <w:tcPr>
            <w:tcW w:w="2607" w:type="dxa"/>
            <w:vMerge/>
            <w:tcBorders>
              <w:top w:val="nil"/>
              <w:left w:val="single" w:sz="8" w:space="0" w:color="000000"/>
              <w:bottom w:val="single" w:sz="8" w:space="0" w:color="000000"/>
              <w:right w:val="single" w:sz="8" w:space="0" w:color="000000"/>
            </w:tcBorders>
            <w:vAlign w:val="center"/>
            <w:hideMark/>
          </w:tcPr>
          <w:p w14:paraId="05A2BC99" w14:textId="77777777" w:rsidR="001F423D" w:rsidRPr="001F423D" w:rsidRDefault="001F423D" w:rsidP="001F423D">
            <w:pPr>
              <w:spacing w:after="0" w:line="240" w:lineRule="auto"/>
              <w:rPr>
                <w:rFonts w:ascii="Times New Roman" w:eastAsia="Times New Roman" w:hAnsi="Times New Roman" w:cs="Times New Roman"/>
                <w:b/>
                <w:bCs/>
                <w:color w:val="000000"/>
                <w:sz w:val="20"/>
                <w:szCs w:val="20"/>
              </w:rPr>
            </w:pPr>
          </w:p>
        </w:tc>
        <w:tc>
          <w:tcPr>
            <w:tcW w:w="2010" w:type="dxa"/>
            <w:tcBorders>
              <w:top w:val="nil"/>
              <w:left w:val="nil"/>
              <w:bottom w:val="single" w:sz="8" w:space="0" w:color="000000"/>
              <w:right w:val="single" w:sz="8" w:space="0" w:color="000000"/>
            </w:tcBorders>
            <w:shd w:val="clear" w:color="auto" w:fill="auto"/>
            <w:vAlign w:val="center"/>
            <w:hideMark/>
          </w:tcPr>
          <w:p w14:paraId="4F29DA2D" w14:textId="77777777" w:rsidR="001F423D" w:rsidRPr="001F423D" w:rsidRDefault="001F423D" w:rsidP="001F423D">
            <w:pPr>
              <w:spacing w:after="0" w:line="240" w:lineRule="auto"/>
              <w:jc w:val="both"/>
              <w:rPr>
                <w:rFonts w:ascii="Times New Roman" w:eastAsia="Times New Roman" w:hAnsi="Times New Roman" w:cs="Times New Roman"/>
                <w:b/>
                <w:bCs/>
                <w:color w:val="000000"/>
                <w:sz w:val="20"/>
                <w:szCs w:val="20"/>
              </w:rPr>
            </w:pPr>
            <w:r w:rsidRPr="001F423D">
              <w:rPr>
                <w:rFonts w:ascii="Times New Roman" w:eastAsia="Times New Roman" w:hAnsi="Times New Roman" w:cs="Times New Roman"/>
                <w:b/>
                <w:bCs/>
                <w:color w:val="000000"/>
                <w:sz w:val="20"/>
                <w:szCs w:val="20"/>
              </w:rPr>
              <w:t>Salidas de campo</w:t>
            </w:r>
          </w:p>
        </w:tc>
        <w:tc>
          <w:tcPr>
            <w:tcW w:w="3409" w:type="dxa"/>
            <w:tcBorders>
              <w:top w:val="nil"/>
              <w:left w:val="nil"/>
              <w:bottom w:val="single" w:sz="8" w:space="0" w:color="000000"/>
              <w:right w:val="single" w:sz="8" w:space="0" w:color="000000"/>
            </w:tcBorders>
            <w:shd w:val="clear" w:color="auto" w:fill="auto"/>
            <w:vAlign w:val="center"/>
            <w:hideMark/>
          </w:tcPr>
          <w:p w14:paraId="13A3CAB7" w14:textId="77777777" w:rsidR="001F423D" w:rsidRPr="001F423D" w:rsidRDefault="001F423D" w:rsidP="001F423D">
            <w:pPr>
              <w:spacing w:after="0" w:line="240" w:lineRule="auto"/>
              <w:jc w:val="both"/>
              <w:rPr>
                <w:rFonts w:ascii="Times New Roman" w:eastAsia="Times New Roman" w:hAnsi="Times New Roman" w:cs="Times New Roman"/>
                <w:color w:val="000000"/>
                <w:sz w:val="20"/>
                <w:szCs w:val="20"/>
              </w:rPr>
            </w:pPr>
            <w:r w:rsidRPr="001F423D">
              <w:rPr>
                <w:rFonts w:ascii="Times New Roman" w:eastAsia="Times New Roman" w:hAnsi="Times New Roman" w:cs="Times New Roman"/>
                <w:color w:val="000000"/>
                <w:sz w:val="20"/>
                <w:szCs w:val="20"/>
              </w:rPr>
              <w:t> </w:t>
            </w:r>
          </w:p>
        </w:tc>
        <w:tc>
          <w:tcPr>
            <w:tcW w:w="1988" w:type="dxa"/>
            <w:tcBorders>
              <w:top w:val="nil"/>
              <w:left w:val="nil"/>
              <w:bottom w:val="single" w:sz="8" w:space="0" w:color="000000"/>
              <w:right w:val="single" w:sz="8" w:space="0" w:color="000000"/>
            </w:tcBorders>
            <w:shd w:val="clear" w:color="auto" w:fill="auto"/>
            <w:vAlign w:val="center"/>
            <w:hideMark/>
          </w:tcPr>
          <w:p w14:paraId="0DA48435" w14:textId="77777777" w:rsidR="001F423D" w:rsidRPr="001F423D" w:rsidRDefault="001F423D" w:rsidP="001F423D">
            <w:pPr>
              <w:spacing w:after="0" w:line="240" w:lineRule="auto"/>
              <w:jc w:val="both"/>
              <w:rPr>
                <w:rFonts w:ascii="Times New Roman" w:eastAsia="Times New Roman" w:hAnsi="Times New Roman" w:cs="Times New Roman"/>
                <w:color w:val="000000"/>
                <w:sz w:val="20"/>
                <w:szCs w:val="20"/>
              </w:rPr>
            </w:pPr>
            <w:r w:rsidRPr="001F423D">
              <w:rPr>
                <w:rFonts w:ascii="Times New Roman" w:eastAsia="Times New Roman" w:hAnsi="Times New Roman" w:cs="Times New Roman"/>
                <w:color w:val="000000"/>
                <w:sz w:val="20"/>
                <w:szCs w:val="20"/>
              </w:rPr>
              <w:t>N.A</w:t>
            </w:r>
          </w:p>
        </w:tc>
        <w:tc>
          <w:tcPr>
            <w:tcW w:w="2044" w:type="dxa"/>
            <w:tcBorders>
              <w:top w:val="nil"/>
              <w:left w:val="nil"/>
              <w:bottom w:val="single" w:sz="8" w:space="0" w:color="000000"/>
              <w:right w:val="single" w:sz="8" w:space="0" w:color="000000"/>
            </w:tcBorders>
            <w:shd w:val="clear" w:color="auto" w:fill="auto"/>
            <w:vAlign w:val="center"/>
            <w:hideMark/>
          </w:tcPr>
          <w:p w14:paraId="7B70A1CB" w14:textId="77777777" w:rsidR="001F423D" w:rsidRPr="001F423D" w:rsidRDefault="001F423D" w:rsidP="001F423D">
            <w:pPr>
              <w:spacing w:after="0" w:line="240" w:lineRule="auto"/>
              <w:jc w:val="both"/>
              <w:rPr>
                <w:rFonts w:ascii="Times New Roman" w:eastAsia="Times New Roman" w:hAnsi="Times New Roman" w:cs="Times New Roman"/>
                <w:color w:val="000000"/>
                <w:sz w:val="20"/>
                <w:szCs w:val="20"/>
              </w:rPr>
            </w:pPr>
            <w:r w:rsidRPr="001F423D">
              <w:rPr>
                <w:rFonts w:ascii="Times New Roman" w:eastAsia="Times New Roman" w:hAnsi="Times New Roman" w:cs="Times New Roman"/>
                <w:color w:val="000000"/>
                <w:sz w:val="20"/>
                <w:szCs w:val="20"/>
              </w:rPr>
              <w:t> </w:t>
            </w:r>
          </w:p>
        </w:tc>
        <w:tc>
          <w:tcPr>
            <w:tcW w:w="1988" w:type="dxa"/>
            <w:tcBorders>
              <w:top w:val="nil"/>
              <w:left w:val="nil"/>
              <w:bottom w:val="single" w:sz="8" w:space="0" w:color="000000"/>
              <w:right w:val="single" w:sz="8" w:space="0" w:color="000000"/>
            </w:tcBorders>
            <w:shd w:val="clear" w:color="auto" w:fill="auto"/>
            <w:vAlign w:val="center"/>
            <w:hideMark/>
          </w:tcPr>
          <w:p w14:paraId="2AFBDFF5" w14:textId="77777777" w:rsidR="001F423D" w:rsidRPr="001F423D" w:rsidRDefault="001F423D" w:rsidP="001F423D">
            <w:pPr>
              <w:spacing w:after="0" w:line="240" w:lineRule="auto"/>
              <w:jc w:val="both"/>
              <w:rPr>
                <w:rFonts w:ascii="Times New Roman" w:eastAsia="Times New Roman" w:hAnsi="Times New Roman" w:cs="Times New Roman"/>
                <w:color w:val="000000"/>
                <w:sz w:val="20"/>
                <w:szCs w:val="20"/>
              </w:rPr>
            </w:pPr>
            <w:r w:rsidRPr="001F423D">
              <w:rPr>
                <w:rFonts w:ascii="Times New Roman" w:eastAsia="Times New Roman" w:hAnsi="Times New Roman" w:cs="Times New Roman"/>
                <w:color w:val="000000"/>
                <w:sz w:val="20"/>
                <w:szCs w:val="20"/>
              </w:rPr>
              <w:t>$0</w:t>
            </w:r>
          </w:p>
        </w:tc>
      </w:tr>
      <w:tr w:rsidR="001F423D" w:rsidRPr="001F423D" w14:paraId="52A519CD" w14:textId="77777777" w:rsidTr="001F423D">
        <w:trPr>
          <w:trHeight w:val="721"/>
        </w:trPr>
        <w:tc>
          <w:tcPr>
            <w:tcW w:w="2607" w:type="dxa"/>
            <w:vMerge/>
            <w:tcBorders>
              <w:top w:val="nil"/>
              <w:left w:val="single" w:sz="8" w:space="0" w:color="000000"/>
              <w:bottom w:val="single" w:sz="8" w:space="0" w:color="000000"/>
              <w:right w:val="single" w:sz="8" w:space="0" w:color="000000"/>
            </w:tcBorders>
            <w:vAlign w:val="center"/>
            <w:hideMark/>
          </w:tcPr>
          <w:p w14:paraId="6BE817A8" w14:textId="77777777" w:rsidR="001F423D" w:rsidRPr="001F423D" w:rsidRDefault="001F423D" w:rsidP="001F423D">
            <w:pPr>
              <w:spacing w:after="0" w:line="240" w:lineRule="auto"/>
              <w:rPr>
                <w:rFonts w:ascii="Times New Roman" w:eastAsia="Times New Roman" w:hAnsi="Times New Roman" w:cs="Times New Roman"/>
                <w:b/>
                <w:bCs/>
                <w:color w:val="000000"/>
                <w:sz w:val="20"/>
                <w:szCs w:val="20"/>
              </w:rPr>
            </w:pPr>
          </w:p>
        </w:tc>
        <w:tc>
          <w:tcPr>
            <w:tcW w:w="2010" w:type="dxa"/>
            <w:tcBorders>
              <w:top w:val="nil"/>
              <w:left w:val="nil"/>
              <w:bottom w:val="single" w:sz="8" w:space="0" w:color="000000"/>
              <w:right w:val="single" w:sz="8" w:space="0" w:color="000000"/>
            </w:tcBorders>
            <w:shd w:val="clear" w:color="auto" w:fill="auto"/>
            <w:vAlign w:val="center"/>
            <w:hideMark/>
          </w:tcPr>
          <w:p w14:paraId="41E071E8" w14:textId="77777777" w:rsidR="001F423D" w:rsidRPr="001F423D" w:rsidRDefault="001F423D" w:rsidP="001F423D">
            <w:pPr>
              <w:spacing w:after="0" w:line="240" w:lineRule="auto"/>
              <w:jc w:val="both"/>
              <w:rPr>
                <w:rFonts w:ascii="Times New Roman" w:eastAsia="Times New Roman" w:hAnsi="Times New Roman" w:cs="Times New Roman"/>
                <w:b/>
                <w:bCs/>
                <w:color w:val="000000"/>
                <w:sz w:val="20"/>
                <w:szCs w:val="20"/>
              </w:rPr>
            </w:pPr>
            <w:r w:rsidRPr="001F423D">
              <w:rPr>
                <w:rFonts w:ascii="Times New Roman" w:eastAsia="Times New Roman" w:hAnsi="Times New Roman" w:cs="Times New Roman"/>
                <w:b/>
                <w:bCs/>
                <w:color w:val="000000"/>
                <w:sz w:val="20"/>
                <w:szCs w:val="20"/>
              </w:rPr>
              <w:t>Equipos</w:t>
            </w:r>
          </w:p>
        </w:tc>
        <w:tc>
          <w:tcPr>
            <w:tcW w:w="3409" w:type="dxa"/>
            <w:tcBorders>
              <w:top w:val="nil"/>
              <w:left w:val="nil"/>
              <w:bottom w:val="single" w:sz="8" w:space="0" w:color="000000"/>
              <w:right w:val="single" w:sz="8" w:space="0" w:color="000000"/>
            </w:tcBorders>
            <w:shd w:val="clear" w:color="auto" w:fill="auto"/>
            <w:vAlign w:val="center"/>
            <w:hideMark/>
          </w:tcPr>
          <w:p w14:paraId="5A7E9E15" w14:textId="77777777" w:rsidR="001F423D" w:rsidRPr="001F423D" w:rsidRDefault="001F423D" w:rsidP="001F423D">
            <w:pPr>
              <w:spacing w:after="0" w:line="240" w:lineRule="auto"/>
              <w:jc w:val="both"/>
              <w:rPr>
                <w:rFonts w:ascii="Times New Roman" w:eastAsia="Times New Roman" w:hAnsi="Times New Roman" w:cs="Times New Roman"/>
                <w:color w:val="000000"/>
                <w:sz w:val="20"/>
                <w:szCs w:val="20"/>
              </w:rPr>
            </w:pPr>
            <w:r w:rsidRPr="001F423D">
              <w:rPr>
                <w:rFonts w:ascii="Times New Roman" w:eastAsia="Times New Roman" w:hAnsi="Times New Roman" w:cs="Times New Roman"/>
                <w:color w:val="000000"/>
                <w:sz w:val="20"/>
                <w:szCs w:val="20"/>
              </w:rPr>
              <w:t>Compra de equipo para medición de cuadal en línea</w:t>
            </w:r>
          </w:p>
        </w:tc>
        <w:tc>
          <w:tcPr>
            <w:tcW w:w="1988" w:type="dxa"/>
            <w:tcBorders>
              <w:top w:val="nil"/>
              <w:left w:val="nil"/>
              <w:bottom w:val="single" w:sz="8" w:space="0" w:color="000000"/>
              <w:right w:val="single" w:sz="8" w:space="0" w:color="000000"/>
            </w:tcBorders>
            <w:shd w:val="clear" w:color="auto" w:fill="auto"/>
            <w:vAlign w:val="center"/>
            <w:hideMark/>
          </w:tcPr>
          <w:p w14:paraId="46836C70" w14:textId="77777777" w:rsidR="001F423D" w:rsidRPr="001F423D" w:rsidRDefault="001F423D" w:rsidP="001F423D">
            <w:pPr>
              <w:spacing w:after="0" w:line="240" w:lineRule="auto"/>
              <w:jc w:val="both"/>
              <w:rPr>
                <w:rFonts w:ascii="Times New Roman" w:eastAsia="Times New Roman" w:hAnsi="Times New Roman" w:cs="Times New Roman"/>
                <w:color w:val="000000"/>
                <w:sz w:val="20"/>
                <w:szCs w:val="20"/>
              </w:rPr>
            </w:pPr>
            <w:r w:rsidRPr="001F423D">
              <w:rPr>
                <w:rFonts w:ascii="Times New Roman" w:eastAsia="Times New Roman" w:hAnsi="Times New Roman" w:cs="Times New Roman"/>
                <w:color w:val="000000"/>
                <w:sz w:val="20"/>
                <w:szCs w:val="20"/>
              </w:rPr>
              <w:t xml:space="preserve"> $10.000.000 </w:t>
            </w:r>
          </w:p>
        </w:tc>
        <w:tc>
          <w:tcPr>
            <w:tcW w:w="2044" w:type="dxa"/>
            <w:tcBorders>
              <w:top w:val="nil"/>
              <w:left w:val="nil"/>
              <w:bottom w:val="single" w:sz="8" w:space="0" w:color="000000"/>
              <w:right w:val="single" w:sz="8" w:space="0" w:color="000000"/>
            </w:tcBorders>
            <w:shd w:val="clear" w:color="auto" w:fill="auto"/>
            <w:vAlign w:val="center"/>
            <w:hideMark/>
          </w:tcPr>
          <w:p w14:paraId="3AE3D23D" w14:textId="77777777" w:rsidR="001F423D" w:rsidRPr="001F423D" w:rsidRDefault="001F423D" w:rsidP="001F423D">
            <w:pPr>
              <w:spacing w:after="0" w:line="240" w:lineRule="auto"/>
              <w:jc w:val="both"/>
              <w:rPr>
                <w:rFonts w:ascii="Times New Roman" w:eastAsia="Times New Roman" w:hAnsi="Times New Roman" w:cs="Times New Roman"/>
                <w:color w:val="000000"/>
                <w:sz w:val="20"/>
                <w:szCs w:val="20"/>
              </w:rPr>
            </w:pPr>
            <w:r w:rsidRPr="001F423D">
              <w:rPr>
                <w:rFonts w:ascii="Times New Roman" w:eastAsia="Times New Roman" w:hAnsi="Times New Roman" w:cs="Times New Roman"/>
                <w:color w:val="000000"/>
                <w:sz w:val="20"/>
                <w:szCs w:val="20"/>
              </w:rPr>
              <w:t> </w:t>
            </w:r>
          </w:p>
        </w:tc>
        <w:tc>
          <w:tcPr>
            <w:tcW w:w="1988" w:type="dxa"/>
            <w:tcBorders>
              <w:top w:val="nil"/>
              <w:left w:val="nil"/>
              <w:bottom w:val="single" w:sz="8" w:space="0" w:color="000000"/>
              <w:right w:val="single" w:sz="8" w:space="0" w:color="000000"/>
            </w:tcBorders>
            <w:shd w:val="clear" w:color="auto" w:fill="auto"/>
            <w:vAlign w:val="center"/>
            <w:hideMark/>
          </w:tcPr>
          <w:p w14:paraId="510547EC" w14:textId="77777777" w:rsidR="001F423D" w:rsidRPr="001F423D" w:rsidRDefault="001F423D" w:rsidP="001F423D">
            <w:pPr>
              <w:spacing w:after="0" w:line="240" w:lineRule="auto"/>
              <w:jc w:val="both"/>
              <w:rPr>
                <w:rFonts w:ascii="Times New Roman" w:eastAsia="Times New Roman" w:hAnsi="Times New Roman" w:cs="Times New Roman"/>
                <w:color w:val="000000"/>
                <w:sz w:val="20"/>
                <w:szCs w:val="20"/>
              </w:rPr>
            </w:pPr>
            <w:r w:rsidRPr="001F423D">
              <w:rPr>
                <w:rFonts w:ascii="Times New Roman" w:eastAsia="Times New Roman" w:hAnsi="Times New Roman" w:cs="Times New Roman"/>
                <w:color w:val="000000"/>
                <w:sz w:val="20"/>
                <w:szCs w:val="20"/>
              </w:rPr>
              <w:t xml:space="preserve"> $10.000.000 </w:t>
            </w:r>
          </w:p>
        </w:tc>
      </w:tr>
      <w:tr w:rsidR="001F423D" w:rsidRPr="001F423D" w14:paraId="46C026A0" w14:textId="77777777" w:rsidTr="001F423D">
        <w:trPr>
          <w:trHeight w:val="390"/>
        </w:trPr>
        <w:tc>
          <w:tcPr>
            <w:tcW w:w="2607" w:type="dxa"/>
            <w:vMerge/>
            <w:tcBorders>
              <w:top w:val="nil"/>
              <w:left w:val="single" w:sz="8" w:space="0" w:color="000000"/>
              <w:bottom w:val="single" w:sz="8" w:space="0" w:color="000000"/>
              <w:right w:val="single" w:sz="8" w:space="0" w:color="000000"/>
            </w:tcBorders>
            <w:vAlign w:val="center"/>
            <w:hideMark/>
          </w:tcPr>
          <w:p w14:paraId="22DBAAFC" w14:textId="77777777" w:rsidR="001F423D" w:rsidRPr="001F423D" w:rsidRDefault="001F423D" w:rsidP="001F423D">
            <w:pPr>
              <w:spacing w:after="0" w:line="240" w:lineRule="auto"/>
              <w:rPr>
                <w:rFonts w:ascii="Times New Roman" w:eastAsia="Times New Roman" w:hAnsi="Times New Roman" w:cs="Times New Roman"/>
                <w:b/>
                <w:bCs/>
                <w:color w:val="000000"/>
                <w:sz w:val="20"/>
                <w:szCs w:val="20"/>
              </w:rPr>
            </w:pPr>
          </w:p>
        </w:tc>
        <w:tc>
          <w:tcPr>
            <w:tcW w:w="2010"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603B5365" w14:textId="77777777" w:rsidR="001F423D" w:rsidRPr="001F423D" w:rsidRDefault="001F423D" w:rsidP="001F423D">
            <w:pPr>
              <w:spacing w:after="0" w:line="240" w:lineRule="auto"/>
              <w:jc w:val="both"/>
              <w:rPr>
                <w:rFonts w:ascii="Times New Roman" w:eastAsia="Times New Roman" w:hAnsi="Times New Roman" w:cs="Times New Roman"/>
                <w:b/>
                <w:bCs/>
                <w:color w:val="000000"/>
                <w:sz w:val="20"/>
                <w:szCs w:val="20"/>
              </w:rPr>
            </w:pPr>
            <w:r w:rsidRPr="001F423D">
              <w:rPr>
                <w:rFonts w:ascii="Times New Roman" w:eastAsia="Times New Roman" w:hAnsi="Times New Roman" w:cs="Times New Roman"/>
                <w:b/>
                <w:bCs/>
                <w:color w:val="000000"/>
                <w:sz w:val="20"/>
                <w:szCs w:val="20"/>
              </w:rPr>
              <w:t>Materiales, insumos y software</w:t>
            </w:r>
          </w:p>
        </w:tc>
        <w:tc>
          <w:tcPr>
            <w:tcW w:w="3409"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5EFB3F54" w14:textId="77777777" w:rsidR="001F423D" w:rsidRPr="001F423D" w:rsidRDefault="001F423D" w:rsidP="001F423D">
            <w:pPr>
              <w:spacing w:after="0" w:line="240" w:lineRule="auto"/>
              <w:rPr>
                <w:rFonts w:ascii="Times New Roman" w:eastAsia="Times New Roman" w:hAnsi="Times New Roman" w:cs="Times New Roman"/>
                <w:color w:val="000000"/>
                <w:sz w:val="20"/>
                <w:szCs w:val="20"/>
              </w:rPr>
            </w:pPr>
            <w:r w:rsidRPr="001F423D">
              <w:rPr>
                <w:rFonts w:ascii="Times New Roman" w:eastAsia="Times New Roman" w:hAnsi="Times New Roman" w:cs="Times New Roman"/>
                <w:color w:val="000000"/>
                <w:sz w:val="20"/>
                <w:szCs w:val="20"/>
              </w:rPr>
              <w:t>Reactivos para medición de DQO y DBO, generaciíon de folletos y material de educación ambiental y refigrerios capacitación.</w:t>
            </w:r>
          </w:p>
        </w:tc>
        <w:tc>
          <w:tcPr>
            <w:tcW w:w="1988"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67B95A19" w14:textId="77777777" w:rsidR="001F423D" w:rsidRPr="001F423D" w:rsidRDefault="001F423D" w:rsidP="001F423D">
            <w:pPr>
              <w:spacing w:after="0" w:line="240" w:lineRule="auto"/>
              <w:jc w:val="both"/>
              <w:rPr>
                <w:rFonts w:ascii="Times New Roman" w:eastAsia="Times New Roman" w:hAnsi="Times New Roman" w:cs="Times New Roman"/>
                <w:color w:val="000000"/>
                <w:sz w:val="20"/>
                <w:szCs w:val="20"/>
              </w:rPr>
            </w:pPr>
            <w:r w:rsidRPr="001F423D">
              <w:rPr>
                <w:rFonts w:ascii="Times New Roman" w:eastAsia="Times New Roman" w:hAnsi="Times New Roman" w:cs="Times New Roman"/>
                <w:color w:val="000000"/>
                <w:sz w:val="20"/>
                <w:szCs w:val="20"/>
              </w:rPr>
              <w:t xml:space="preserve"> $ 10.000.000 </w:t>
            </w:r>
          </w:p>
        </w:tc>
        <w:tc>
          <w:tcPr>
            <w:tcW w:w="2044"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4CC25017" w14:textId="77777777" w:rsidR="001F423D" w:rsidRPr="001F423D" w:rsidRDefault="001F423D" w:rsidP="001F423D">
            <w:pPr>
              <w:spacing w:after="0" w:line="240" w:lineRule="auto"/>
              <w:jc w:val="both"/>
              <w:rPr>
                <w:rFonts w:ascii="Times New Roman" w:eastAsia="Times New Roman" w:hAnsi="Times New Roman" w:cs="Times New Roman"/>
                <w:color w:val="000000"/>
                <w:sz w:val="20"/>
                <w:szCs w:val="20"/>
              </w:rPr>
            </w:pPr>
            <w:r w:rsidRPr="001F423D">
              <w:rPr>
                <w:rFonts w:ascii="Times New Roman" w:eastAsia="Times New Roman" w:hAnsi="Times New Roman" w:cs="Times New Roman"/>
                <w:color w:val="000000"/>
                <w:sz w:val="20"/>
                <w:szCs w:val="20"/>
              </w:rPr>
              <w:t> </w:t>
            </w:r>
          </w:p>
        </w:tc>
        <w:tc>
          <w:tcPr>
            <w:tcW w:w="1988"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5587687B" w14:textId="77777777" w:rsidR="001F423D" w:rsidRPr="001F423D" w:rsidRDefault="001F423D" w:rsidP="001F423D">
            <w:pPr>
              <w:spacing w:after="0" w:line="240" w:lineRule="auto"/>
              <w:jc w:val="both"/>
              <w:rPr>
                <w:rFonts w:ascii="Times New Roman" w:eastAsia="Times New Roman" w:hAnsi="Times New Roman" w:cs="Times New Roman"/>
                <w:color w:val="000000"/>
                <w:sz w:val="20"/>
                <w:szCs w:val="20"/>
              </w:rPr>
            </w:pPr>
            <w:r w:rsidRPr="001F423D">
              <w:rPr>
                <w:rFonts w:ascii="Times New Roman" w:eastAsia="Times New Roman" w:hAnsi="Times New Roman" w:cs="Times New Roman"/>
                <w:color w:val="000000"/>
                <w:sz w:val="20"/>
                <w:szCs w:val="20"/>
              </w:rPr>
              <w:t xml:space="preserve"> $ 10.000.000 </w:t>
            </w:r>
          </w:p>
        </w:tc>
      </w:tr>
      <w:tr w:rsidR="001F423D" w:rsidRPr="001F423D" w14:paraId="0167FA80" w14:textId="77777777" w:rsidTr="001F423D">
        <w:trPr>
          <w:trHeight w:val="1463"/>
        </w:trPr>
        <w:tc>
          <w:tcPr>
            <w:tcW w:w="2607" w:type="dxa"/>
            <w:vMerge/>
            <w:tcBorders>
              <w:top w:val="nil"/>
              <w:left w:val="single" w:sz="8" w:space="0" w:color="000000"/>
              <w:bottom w:val="single" w:sz="8" w:space="0" w:color="000000"/>
              <w:right w:val="single" w:sz="8" w:space="0" w:color="000000"/>
            </w:tcBorders>
            <w:vAlign w:val="center"/>
            <w:hideMark/>
          </w:tcPr>
          <w:p w14:paraId="5496B033" w14:textId="77777777" w:rsidR="001F423D" w:rsidRPr="001F423D" w:rsidRDefault="001F423D" w:rsidP="001F423D">
            <w:pPr>
              <w:spacing w:after="0" w:line="240" w:lineRule="auto"/>
              <w:rPr>
                <w:rFonts w:ascii="Times New Roman" w:eastAsia="Times New Roman" w:hAnsi="Times New Roman" w:cs="Times New Roman"/>
                <w:b/>
                <w:bCs/>
                <w:color w:val="000000"/>
                <w:sz w:val="20"/>
                <w:szCs w:val="20"/>
              </w:rPr>
            </w:pPr>
          </w:p>
        </w:tc>
        <w:tc>
          <w:tcPr>
            <w:tcW w:w="2010" w:type="dxa"/>
            <w:vMerge/>
            <w:tcBorders>
              <w:top w:val="nil"/>
              <w:left w:val="single" w:sz="8" w:space="0" w:color="000000"/>
              <w:bottom w:val="single" w:sz="8" w:space="0" w:color="000000"/>
              <w:right w:val="single" w:sz="8" w:space="0" w:color="000000"/>
            </w:tcBorders>
            <w:vAlign w:val="center"/>
            <w:hideMark/>
          </w:tcPr>
          <w:p w14:paraId="33F279D5" w14:textId="77777777" w:rsidR="001F423D" w:rsidRPr="001F423D" w:rsidRDefault="001F423D" w:rsidP="001F423D">
            <w:pPr>
              <w:spacing w:after="0" w:line="240" w:lineRule="auto"/>
              <w:rPr>
                <w:rFonts w:ascii="Times New Roman" w:eastAsia="Times New Roman" w:hAnsi="Times New Roman" w:cs="Times New Roman"/>
                <w:b/>
                <w:bCs/>
                <w:color w:val="000000"/>
                <w:sz w:val="20"/>
                <w:szCs w:val="20"/>
              </w:rPr>
            </w:pPr>
          </w:p>
        </w:tc>
        <w:tc>
          <w:tcPr>
            <w:tcW w:w="3409" w:type="dxa"/>
            <w:vMerge/>
            <w:tcBorders>
              <w:top w:val="nil"/>
              <w:left w:val="single" w:sz="8" w:space="0" w:color="000000"/>
              <w:bottom w:val="single" w:sz="8" w:space="0" w:color="000000"/>
              <w:right w:val="single" w:sz="8" w:space="0" w:color="000000"/>
            </w:tcBorders>
            <w:vAlign w:val="center"/>
            <w:hideMark/>
          </w:tcPr>
          <w:p w14:paraId="7838AA08" w14:textId="77777777" w:rsidR="001F423D" w:rsidRPr="001F423D" w:rsidRDefault="001F423D" w:rsidP="001F423D">
            <w:pPr>
              <w:spacing w:after="0" w:line="240" w:lineRule="auto"/>
              <w:rPr>
                <w:rFonts w:ascii="Times New Roman" w:eastAsia="Times New Roman" w:hAnsi="Times New Roman" w:cs="Times New Roman"/>
                <w:color w:val="000000"/>
                <w:sz w:val="20"/>
                <w:szCs w:val="20"/>
              </w:rPr>
            </w:pPr>
          </w:p>
        </w:tc>
        <w:tc>
          <w:tcPr>
            <w:tcW w:w="1988" w:type="dxa"/>
            <w:vMerge/>
            <w:tcBorders>
              <w:top w:val="nil"/>
              <w:left w:val="single" w:sz="8" w:space="0" w:color="000000"/>
              <w:bottom w:val="single" w:sz="8" w:space="0" w:color="000000"/>
              <w:right w:val="single" w:sz="8" w:space="0" w:color="000000"/>
            </w:tcBorders>
            <w:vAlign w:val="center"/>
            <w:hideMark/>
          </w:tcPr>
          <w:p w14:paraId="30DFE3F4" w14:textId="77777777" w:rsidR="001F423D" w:rsidRPr="001F423D" w:rsidRDefault="001F423D" w:rsidP="001F423D">
            <w:pPr>
              <w:spacing w:after="0" w:line="240" w:lineRule="auto"/>
              <w:rPr>
                <w:rFonts w:ascii="Times New Roman" w:eastAsia="Times New Roman" w:hAnsi="Times New Roman" w:cs="Times New Roman"/>
                <w:color w:val="000000"/>
                <w:sz w:val="20"/>
                <w:szCs w:val="20"/>
              </w:rPr>
            </w:pPr>
          </w:p>
        </w:tc>
        <w:tc>
          <w:tcPr>
            <w:tcW w:w="2044" w:type="dxa"/>
            <w:vMerge/>
            <w:tcBorders>
              <w:top w:val="nil"/>
              <w:left w:val="single" w:sz="8" w:space="0" w:color="000000"/>
              <w:bottom w:val="single" w:sz="8" w:space="0" w:color="000000"/>
              <w:right w:val="single" w:sz="8" w:space="0" w:color="000000"/>
            </w:tcBorders>
            <w:vAlign w:val="center"/>
            <w:hideMark/>
          </w:tcPr>
          <w:p w14:paraId="1838C29D" w14:textId="77777777" w:rsidR="001F423D" w:rsidRPr="001F423D" w:rsidRDefault="001F423D" w:rsidP="001F423D">
            <w:pPr>
              <w:spacing w:after="0" w:line="240" w:lineRule="auto"/>
              <w:rPr>
                <w:rFonts w:ascii="Times New Roman" w:eastAsia="Times New Roman" w:hAnsi="Times New Roman" w:cs="Times New Roman"/>
                <w:color w:val="000000"/>
                <w:sz w:val="20"/>
                <w:szCs w:val="20"/>
              </w:rPr>
            </w:pPr>
          </w:p>
        </w:tc>
        <w:tc>
          <w:tcPr>
            <w:tcW w:w="1988" w:type="dxa"/>
            <w:vMerge/>
            <w:tcBorders>
              <w:top w:val="nil"/>
              <w:left w:val="single" w:sz="8" w:space="0" w:color="000000"/>
              <w:bottom w:val="single" w:sz="8" w:space="0" w:color="000000"/>
              <w:right w:val="single" w:sz="8" w:space="0" w:color="000000"/>
            </w:tcBorders>
            <w:vAlign w:val="center"/>
            <w:hideMark/>
          </w:tcPr>
          <w:p w14:paraId="548EB2A3" w14:textId="77777777" w:rsidR="001F423D" w:rsidRPr="001F423D" w:rsidRDefault="001F423D" w:rsidP="001F423D">
            <w:pPr>
              <w:spacing w:after="0" w:line="240" w:lineRule="auto"/>
              <w:rPr>
                <w:rFonts w:ascii="Times New Roman" w:eastAsia="Times New Roman" w:hAnsi="Times New Roman" w:cs="Times New Roman"/>
                <w:color w:val="000000"/>
                <w:sz w:val="20"/>
                <w:szCs w:val="20"/>
              </w:rPr>
            </w:pPr>
          </w:p>
        </w:tc>
      </w:tr>
      <w:tr w:rsidR="001F423D" w:rsidRPr="001F423D" w14:paraId="3B011512" w14:textId="77777777" w:rsidTr="001F423D">
        <w:trPr>
          <w:trHeight w:val="312"/>
        </w:trPr>
        <w:tc>
          <w:tcPr>
            <w:tcW w:w="2607"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0D01A777" w14:textId="77777777" w:rsidR="001F423D" w:rsidRPr="001F423D" w:rsidRDefault="001F423D" w:rsidP="001F423D">
            <w:pPr>
              <w:spacing w:after="0" w:line="240" w:lineRule="auto"/>
              <w:jc w:val="center"/>
              <w:rPr>
                <w:rFonts w:ascii="Times New Roman" w:eastAsia="Times New Roman" w:hAnsi="Times New Roman" w:cs="Times New Roman"/>
                <w:b/>
                <w:bCs/>
                <w:color w:val="000000"/>
                <w:sz w:val="20"/>
                <w:szCs w:val="20"/>
              </w:rPr>
            </w:pPr>
            <w:r w:rsidRPr="001F423D">
              <w:rPr>
                <w:rFonts w:ascii="Times New Roman" w:eastAsia="Times New Roman" w:hAnsi="Times New Roman" w:cs="Times New Roman"/>
                <w:b/>
                <w:bCs/>
                <w:color w:val="000000"/>
                <w:sz w:val="20"/>
                <w:szCs w:val="20"/>
              </w:rPr>
              <w:t>BOLSAS</w:t>
            </w:r>
          </w:p>
        </w:tc>
        <w:tc>
          <w:tcPr>
            <w:tcW w:w="2010" w:type="dxa"/>
            <w:tcBorders>
              <w:top w:val="nil"/>
              <w:left w:val="nil"/>
              <w:bottom w:val="single" w:sz="8" w:space="0" w:color="000000"/>
              <w:right w:val="single" w:sz="8" w:space="0" w:color="000000"/>
            </w:tcBorders>
            <w:shd w:val="clear" w:color="auto" w:fill="auto"/>
            <w:vAlign w:val="center"/>
            <w:hideMark/>
          </w:tcPr>
          <w:p w14:paraId="13824518" w14:textId="77777777" w:rsidR="001F423D" w:rsidRPr="001F423D" w:rsidRDefault="001F423D" w:rsidP="001F423D">
            <w:pPr>
              <w:spacing w:after="0" w:line="240" w:lineRule="auto"/>
              <w:jc w:val="both"/>
              <w:rPr>
                <w:rFonts w:ascii="Times New Roman" w:eastAsia="Times New Roman" w:hAnsi="Times New Roman" w:cs="Times New Roman"/>
                <w:b/>
                <w:bCs/>
                <w:color w:val="000000"/>
                <w:sz w:val="20"/>
                <w:szCs w:val="20"/>
              </w:rPr>
            </w:pPr>
            <w:r w:rsidRPr="001F423D">
              <w:rPr>
                <w:rFonts w:ascii="Times New Roman" w:eastAsia="Times New Roman" w:hAnsi="Times New Roman" w:cs="Times New Roman"/>
                <w:b/>
                <w:bCs/>
                <w:color w:val="000000"/>
                <w:sz w:val="20"/>
                <w:szCs w:val="20"/>
              </w:rPr>
              <w:t>Papelería</w:t>
            </w:r>
          </w:p>
        </w:tc>
        <w:tc>
          <w:tcPr>
            <w:tcW w:w="3409" w:type="dxa"/>
            <w:tcBorders>
              <w:top w:val="nil"/>
              <w:left w:val="nil"/>
              <w:bottom w:val="single" w:sz="8" w:space="0" w:color="000000"/>
              <w:right w:val="single" w:sz="8" w:space="0" w:color="000000"/>
            </w:tcBorders>
            <w:shd w:val="clear" w:color="auto" w:fill="auto"/>
            <w:vAlign w:val="center"/>
            <w:hideMark/>
          </w:tcPr>
          <w:p w14:paraId="07A165ED" w14:textId="77777777" w:rsidR="001F423D" w:rsidRPr="001F423D" w:rsidRDefault="001F423D" w:rsidP="001F423D">
            <w:pPr>
              <w:spacing w:after="0" w:line="240" w:lineRule="auto"/>
              <w:rPr>
                <w:rFonts w:ascii="Times New Roman" w:eastAsia="Times New Roman" w:hAnsi="Times New Roman" w:cs="Times New Roman"/>
                <w:color w:val="000000"/>
                <w:sz w:val="20"/>
                <w:szCs w:val="20"/>
              </w:rPr>
            </w:pPr>
            <w:r w:rsidRPr="001F423D">
              <w:rPr>
                <w:rFonts w:ascii="Times New Roman" w:eastAsia="Times New Roman" w:hAnsi="Times New Roman" w:cs="Times New Roman"/>
                <w:color w:val="000000"/>
                <w:sz w:val="20"/>
                <w:szCs w:val="20"/>
              </w:rPr>
              <w:t> </w:t>
            </w:r>
          </w:p>
        </w:tc>
        <w:tc>
          <w:tcPr>
            <w:tcW w:w="1988" w:type="dxa"/>
            <w:tcBorders>
              <w:top w:val="nil"/>
              <w:left w:val="nil"/>
              <w:bottom w:val="single" w:sz="8" w:space="0" w:color="000000"/>
              <w:right w:val="single" w:sz="8" w:space="0" w:color="000000"/>
            </w:tcBorders>
            <w:shd w:val="clear" w:color="auto" w:fill="auto"/>
            <w:vAlign w:val="center"/>
            <w:hideMark/>
          </w:tcPr>
          <w:p w14:paraId="55CFF9C5" w14:textId="77777777" w:rsidR="001F423D" w:rsidRPr="001F423D" w:rsidRDefault="001F423D" w:rsidP="001F423D">
            <w:pPr>
              <w:spacing w:after="0" w:line="240" w:lineRule="auto"/>
              <w:jc w:val="both"/>
              <w:rPr>
                <w:rFonts w:ascii="Times New Roman" w:eastAsia="Times New Roman" w:hAnsi="Times New Roman" w:cs="Times New Roman"/>
                <w:color w:val="000000"/>
                <w:sz w:val="20"/>
                <w:szCs w:val="20"/>
              </w:rPr>
            </w:pPr>
            <w:r w:rsidRPr="001F423D">
              <w:rPr>
                <w:rFonts w:ascii="Times New Roman" w:eastAsia="Times New Roman" w:hAnsi="Times New Roman" w:cs="Times New Roman"/>
                <w:color w:val="000000"/>
                <w:sz w:val="20"/>
                <w:szCs w:val="20"/>
              </w:rPr>
              <w:t>N.A</w:t>
            </w:r>
          </w:p>
        </w:tc>
        <w:tc>
          <w:tcPr>
            <w:tcW w:w="2044" w:type="dxa"/>
            <w:tcBorders>
              <w:top w:val="nil"/>
              <w:left w:val="nil"/>
              <w:bottom w:val="single" w:sz="8" w:space="0" w:color="000000"/>
              <w:right w:val="single" w:sz="8" w:space="0" w:color="000000"/>
            </w:tcBorders>
            <w:shd w:val="clear" w:color="auto" w:fill="auto"/>
            <w:vAlign w:val="center"/>
            <w:hideMark/>
          </w:tcPr>
          <w:p w14:paraId="26ADD365" w14:textId="77777777" w:rsidR="001F423D" w:rsidRPr="001F423D" w:rsidRDefault="001F423D" w:rsidP="001F423D">
            <w:pPr>
              <w:spacing w:after="0" w:line="240" w:lineRule="auto"/>
              <w:jc w:val="both"/>
              <w:rPr>
                <w:rFonts w:ascii="Times New Roman" w:eastAsia="Times New Roman" w:hAnsi="Times New Roman" w:cs="Times New Roman"/>
                <w:color w:val="000000"/>
                <w:sz w:val="20"/>
                <w:szCs w:val="20"/>
              </w:rPr>
            </w:pPr>
            <w:r w:rsidRPr="001F423D">
              <w:rPr>
                <w:rFonts w:ascii="Times New Roman" w:eastAsia="Times New Roman" w:hAnsi="Times New Roman" w:cs="Times New Roman"/>
                <w:color w:val="000000"/>
                <w:sz w:val="20"/>
                <w:szCs w:val="20"/>
              </w:rPr>
              <w:t> </w:t>
            </w:r>
          </w:p>
        </w:tc>
        <w:tc>
          <w:tcPr>
            <w:tcW w:w="1988" w:type="dxa"/>
            <w:tcBorders>
              <w:top w:val="nil"/>
              <w:left w:val="nil"/>
              <w:bottom w:val="single" w:sz="8" w:space="0" w:color="000000"/>
              <w:right w:val="single" w:sz="8" w:space="0" w:color="000000"/>
            </w:tcBorders>
            <w:shd w:val="clear" w:color="auto" w:fill="auto"/>
            <w:vAlign w:val="center"/>
            <w:hideMark/>
          </w:tcPr>
          <w:p w14:paraId="75939D29" w14:textId="77777777" w:rsidR="001F423D" w:rsidRPr="001F423D" w:rsidRDefault="001F423D" w:rsidP="001F423D">
            <w:pPr>
              <w:spacing w:after="0" w:line="240" w:lineRule="auto"/>
              <w:jc w:val="both"/>
              <w:rPr>
                <w:rFonts w:ascii="Times New Roman" w:eastAsia="Times New Roman" w:hAnsi="Times New Roman" w:cs="Times New Roman"/>
                <w:color w:val="000000"/>
                <w:sz w:val="20"/>
                <w:szCs w:val="20"/>
              </w:rPr>
            </w:pPr>
            <w:r w:rsidRPr="001F423D">
              <w:rPr>
                <w:rFonts w:ascii="Times New Roman" w:eastAsia="Times New Roman" w:hAnsi="Times New Roman" w:cs="Times New Roman"/>
                <w:color w:val="000000"/>
                <w:sz w:val="20"/>
                <w:szCs w:val="20"/>
              </w:rPr>
              <w:t>$0</w:t>
            </w:r>
          </w:p>
        </w:tc>
      </w:tr>
      <w:tr w:rsidR="001F423D" w:rsidRPr="001F423D" w14:paraId="2863D04C" w14:textId="77777777" w:rsidTr="001F423D">
        <w:trPr>
          <w:trHeight w:val="312"/>
        </w:trPr>
        <w:tc>
          <w:tcPr>
            <w:tcW w:w="2607" w:type="dxa"/>
            <w:vMerge/>
            <w:tcBorders>
              <w:top w:val="nil"/>
              <w:left w:val="single" w:sz="8" w:space="0" w:color="000000"/>
              <w:bottom w:val="single" w:sz="8" w:space="0" w:color="000000"/>
              <w:right w:val="single" w:sz="8" w:space="0" w:color="000000"/>
            </w:tcBorders>
            <w:vAlign w:val="center"/>
            <w:hideMark/>
          </w:tcPr>
          <w:p w14:paraId="33923206" w14:textId="77777777" w:rsidR="001F423D" w:rsidRPr="001F423D" w:rsidRDefault="001F423D" w:rsidP="001F423D">
            <w:pPr>
              <w:spacing w:after="0" w:line="240" w:lineRule="auto"/>
              <w:rPr>
                <w:rFonts w:ascii="Times New Roman" w:eastAsia="Times New Roman" w:hAnsi="Times New Roman" w:cs="Times New Roman"/>
                <w:b/>
                <w:bCs/>
                <w:color w:val="000000"/>
                <w:sz w:val="20"/>
                <w:szCs w:val="20"/>
              </w:rPr>
            </w:pPr>
          </w:p>
        </w:tc>
        <w:tc>
          <w:tcPr>
            <w:tcW w:w="2010" w:type="dxa"/>
            <w:tcBorders>
              <w:top w:val="nil"/>
              <w:left w:val="nil"/>
              <w:bottom w:val="single" w:sz="8" w:space="0" w:color="000000"/>
              <w:right w:val="single" w:sz="8" w:space="0" w:color="000000"/>
            </w:tcBorders>
            <w:shd w:val="clear" w:color="auto" w:fill="auto"/>
            <w:vAlign w:val="center"/>
            <w:hideMark/>
          </w:tcPr>
          <w:p w14:paraId="0A95EBE5" w14:textId="77777777" w:rsidR="001F423D" w:rsidRPr="001F423D" w:rsidRDefault="001F423D" w:rsidP="001F423D">
            <w:pPr>
              <w:spacing w:after="0" w:line="240" w:lineRule="auto"/>
              <w:jc w:val="both"/>
              <w:rPr>
                <w:rFonts w:ascii="Times New Roman" w:eastAsia="Times New Roman" w:hAnsi="Times New Roman" w:cs="Times New Roman"/>
                <w:b/>
                <w:bCs/>
                <w:color w:val="000000"/>
                <w:sz w:val="20"/>
                <w:szCs w:val="20"/>
              </w:rPr>
            </w:pPr>
            <w:r w:rsidRPr="001F423D">
              <w:rPr>
                <w:rFonts w:ascii="Times New Roman" w:eastAsia="Times New Roman" w:hAnsi="Times New Roman" w:cs="Times New Roman"/>
                <w:b/>
                <w:bCs/>
                <w:color w:val="000000"/>
                <w:sz w:val="20"/>
                <w:szCs w:val="20"/>
              </w:rPr>
              <w:t>Fotocopias</w:t>
            </w:r>
          </w:p>
        </w:tc>
        <w:tc>
          <w:tcPr>
            <w:tcW w:w="3409" w:type="dxa"/>
            <w:tcBorders>
              <w:top w:val="nil"/>
              <w:left w:val="nil"/>
              <w:bottom w:val="single" w:sz="8" w:space="0" w:color="000000"/>
              <w:right w:val="single" w:sz="8" w:space="0" w:color="000000"/>
            </w:tcBorders>
            <w:shd w:val="clear" w:color="auto" w:fill="auto"/>
            <w:vAlign w:val="center"/>
            <w:hideMark/>
          </w:tcPr>
          <w:p w14:paraId="34877042" w14:textId="77777777" w:rsidR="001F423D" w:rsidRPr="001F423D" w:rsidRDefault="001F423D" w:rsidP="001F423D">
            <w:pPr>
              <w:spacing w:after="0" w:line="240" w:lineRule="auto"/>
              <w:rPr>
                <w:rFonts w:ascii="Times New Roman" w:eastAsia="Times New Roman" w:hAnsi="Times New Roman" w:cs="Times New Roman"/>
                <w:color w:val="000000"/>
                <w:sz w:val="20"/>
                <w:szCs w:val="20"/>
              </w:rPr>
            </w:pPr>
            <w:r w:rsidRPr="001F423D">
              <w:rPr>
                <w:rFonts w:ascii="Times New Roman" w:eastAsia="Times New Roman" w:hAnsi="Times New Roman" w:cs="Times New Roman"/>
                <w:color w:val="000000"/>
                <w:sz w:val="20"/>
                <w:szCs w:val="20"/>
              </w:rPr>
              <w:t> </w:t>
            </w:r>
          </w:p>
        </w:tc>
        <w:tc>
          <w:tcPr>
            <w:tcW w:w="1988" w:type="dxa"/>
            <w:tcBorders>
              <w:top w:val="nil"/>
              <w:left w:val="nil"/>
              <w:bottom w:val="single" w:sz="8" w:space="0" w:color="000000"/>
              <w:right w:val="single" w:sz="8" w:space="0" w:color="000000"/>
            </w:tcBorders>
            <w:shd w:val="clear" w:color="auto" w:fill="auto"/>
            <w:vAlign w:val="center"/>
            <w:hideMark/>
          </w:tcPr>
          <w:p w14:paraId="4AEA5311" w14:textId="77777777" w:rsidR="001F423D" w:rsidRPr="001F423D" w:rsidRDefault="001F423D" w:rsidP="001F423D">
            <w:pPr>
              <w:spacing w:after="0" w:line="240" w:lineRule="auto"/>
              <w:jc w:val="both"/>
              <w:rPr>
                <w:rFonts w:ascii="Times New Roman" w:eastAsia="Times New Roman" w:hAnsi="Times New Roman" w:cs="Times New Roman"/>
                <w:color w:val="000000"/>
                <w:sz w:val="20"/>
                <w:szCs w:val="20"/>
              </w:rPr>
            </w:pPr>
            <w:r w:rsidRPr="001F423D">
              <w:rPr>
                <w:rFonts w:ascii="Times New Roman" w:eastAsia="Times New Roman" w:hAnsi="Times New Roman" w:cs="Times New Roman"/>
                <w:color w:val="000000"/>
                <w:sz w:val="20"/>
                <w:szCs w:val="20"/>
              </w:rPr>
              <w:t>N.A</w:t>
            </w:r>
          </w:p>
        </w:tc>
        <w:tc>
          <w:tcPr>
            <w:tcW w:w="2044" w:type="dxa"/>
            <w:tcBorders>
              <w:top w:val="nil"/>
              <w:left w:val="nil"/>
              <w:bottom w:val="single" w:sz="8" w:space="0" w:color="000000"/>
              <w:right w:val="single" w:sz="8" w:space="0" w:color="000000"/>
            </w:tcBorders>
            <w:shd w:val="clear" w:color="auto" w:fill="auto"/>
            <w:vAlign w:val="center"/>
            <w:hideMark/>
          </w:tcPr>
          <w:p w14:paraId="1A818AC5" w14:textId="77777777" w:rsidR="001F423D" w:rsidRPr="001F423D" w:rsidRDefault="001F423D" w:rsidP="001F423D">
            <w:pPr>
              <w:spacing w:after="0" w:line="240" w:lineRule="auto"/>
              <w:jc w:val="both"/>
              <w:rPr>
                <w:rFonts w:ascii="Times New Roman" w:eastAsia="Times New Roman" w:hAnsi="Times New Roman" w:cs="Times New Roman"/>
                <w:color w:val="000000"/>
                <w:sz w:val="20"/>
                <w:szCs w:val="20"/>
              </w:rPr>
            </w:pPr>
            <w:r w:rsidRPr="001F423D">
              <w:rPr>
                <w:rFonts w:ascii="Times New Roman" w:eastAsia="Times New Roman" w:hAnsi="Times New Roman" w:cs="Times New Roman"/>
                <w:color w:val="000000"/>
                <w:sz w:val="20"/>
                <w:szCs w:val="20"/>
              </w:rPr>
              <w:t> </w:t>
            </w:r>
          </w:p>
        </w:tc>
        <w:tc>
          <w:tcPr>
            <w:tcW w:w="1988" w:type="dxa"/>
            <w:tcBorders>
              <w:top w:val="nil"/>
              <w:left w:val="nil"/>
              <w:bottom w:val="single" w:sz="8" w:space="0" w:color="000000"/>
              <w:right w:val="single" w:sz="8" w:space="0" w:color="000000"/>
            </w:tcBorders>
            <w:shd w:val="clear" w:color="auto" w:fill="auto"/>
            <w:vAlign w:val="center"/>
            <w:hideMark/>
          </w:tcPr>
          <w:p w14:paraId="76B56800" w14:textId="77777777" w:rsidR="001F423D" w:rsidRPr="001F423D" w:rsidRDefault="001F423D" w:rsidP="001F423D">
            <w:pPr>
              <w:spacing w:after="0" w:line="240" w:lineRule="auto"/>
              <w:jc w:val="both"/>
              <w:rPr>
                <w:rFonts w:ascii="Times New Roman" w:eastAsia="Times New Roman" w:hAnsi="Times New Roman" w:cs="Times New Roman"/>
                <w:color w:val="000000"/>
                <w:sz w:val="20"/>
                <w:szCs w:val="20"/>
              </w:rPr>
            </w:pPr>
            <w:r w:rsidRPr="001F423D">
              <w:rPr>
                <w:rFonts w:ascii="Times New Roman" w:eastAsia="Times New Roman" w:hAnsi="Times New Roman" w:cs="Times New Roman"/>
                <w:color w:val="000000"/>
                <w:sz w:val="20"/>
                <w:szCs w:val="20"/>
              </w:rPr>
              <w:t>$0</w:t>
            </w:r>
          </w:p>
        </w:tc>
      </w:tr>
      <w:tr w:rsidR="001F423D" w:rsidRPr="001F423D" w14:paraId="08995986" w14:textId="77777777" w:rsidTr="001F423D">
        <w:trPr>
          <w:trHeight w:val="488"/>
        </w:trPr>
        <w:tc>
          <w:tcPr>
            <w:tcW w:w="2607" w:type="dxa"/>
            <w:vMerge/>
            <w:tcBorders>
              <w:top w:val="nil"/>
              <w:left w:val="single" w:sz="8" w:space="0" w:color="000000"/>
              <w:bottom w:val="single" w:sz="8" w:space="0" w:color="000000"/>
              <w:right w:val="single" w:sz="8" w:space="0" w:color="000000"/>
            </w:tcBorders>
            <w:vAlign w:val="center"/>
            <w:hideMark/>
          </w:tcPr>
          <w:p w14:paraId="183AB6AC" w14:textId="77777777" w:rsidR="001F423D" w:rsidRPr="001F423D" w:rsidRDefault="001F423D" w:rsidP="001F423D">
            <w:pPr>
              <w:spacing w:after="0" w:line="240" w:lineRule="auto"/>
              <w:rPr>
                <w:rFonts w:ascii="Times New Roman" w:eastAsia="Times New Roman" w:hAnsi="Times New Roman" w:cs="Times New Roman"/>
                <w:b/>
                <w:bCs/>
                <w:color w:val="000000"/>
                <w:sz w:val="20"/>
                <w:szCs w:val="20"/>
              </w:rPr>
            </w:pPr>
          </w:p>
        </w:tc>
        <w:tc>
          <w:tcPr>
            <w:tcW w:w="2010" w:type="dxa"/>
            <w:tcBorders>
              <w:top w:val="nil"/>
              <w:left w:val="nil"/>
              <w:bottom w:val="single" w:sz="8" w:space="0" w:color="000000"/>
              <w:right w:val="single" w:sz="8" w:space="0" w:color="000000"/>
            </w:tcBorders>
            <w:shd w:val="clear" w:color="auto" w:fill="auto"/>
            <w:vAlign w:val="center"/>
            <w:hideMark/>
          </w:tcPr>
          <w:p w14:paraId="1F7EADC4" w14:textId="77777777" w:rsidR="001F423D" w:rsidRPr="001F423D" w:rsidRDefault="001F423D" w:rsidP="001F423D">
            <w:pPr>
              <w:spacing w:after="0" w:line="240" w:lineRule="auto"/>
              <w:jc w:val="both"/>
              <w:rPr>
                <w:rFonts w:ascii="Times New Roman" w:eastAsia="Times New Roman" w:hAnsi="Times New Roman" w:cs="Times New Roman"/>
                <w:b/>
                <w:bCs/>
                <w:color w:val="000000"/>
                <w:sz w:val="20"/>
                <w:szCs w:val="20"/>
              </w:rPr>
            </w:pPr>
            <w:r w:rsidRPr="001F423D">
              <w:rPr>
                <w:rFonts w:ascii="Times New Roman" w:eastAsia="Times New Roman" w:hAnsi="Times New Roman" w:cs="Times New Roman"/>
                <w:b/>
                <w:bCs/>
                <w:color w:val="000000"/>
                <w:sz w:val="20"/>
                <w:szCs w:val="20"/>
              </w:rPr>
              <w:t>Material bibliográfico</w:t>
            </w:r>
          </w:p>
        </w:tc>
        <w:tc>
          <w:tcPr>
            <w:tcW w:w="3409" w:type="dxa"/>
            <w:tcBorders>
              <w:top w:val="nil"/>
              <w:left w:val="nil"/>
              <w:bottom w:val="single" w:sz="8" w:space="0" w:color="000000"/>
              <w:right w:val="single" w:sz="8" w:space="0" w:color="000000"/>
            </w:tcBorders>
            <w:shd w:val="clear" w:color="auto" w:fill="auto"/>
            <w:vAlign w:val="center"/>
            <w:hideMark/>
          </w:tcPr>
          <w:p w14:paraId="59DD0467" w14:textId="77777777" w:rsidR="001F423D" w:rsidRPr="001F423D" w:rsidRDefault="001F423D" w:rsidP="001F423D">
            <w:pPr>
              <w:spacing w:after="0" w:line="240" w:lineRule="auto"/>
              <w:rPr>
                <w:rFonts w:ascii="Times New Roman" w:eastAsia="Times New Roman" w:hAnsi="Times New Roman" w:cs="Times New Roman"/>
                <w:color w:val="000000"/>
                <w:sz w:val="20"/>
                <w:szCs w:val="20"/>
              </w:rPr>
            </w:pPr>
            <w:r w:rsidRPr="001F423D">
              <w:rPr>
                <w:rFonts w:ascii="Times New Roman" w:eastAsia="Times New Roman" w:hAnsi="Times New Roman" w:cs="Times New Roman"/>
                <w:color w:val="000000"/>
                <w:sz w:val="20"/>
                <w:szCs w:val="20"/>
              </w:rPr>
              <w:t> </w:t>
            </w:r>
          </w:p>
        </w:tc>
        <w:tc>
          <w:tcPr>
            <w:tcW w:w="1988" w:type="dxa"/>
            <w:tcBorders>
              <w:top w:val="nil"/>
              <w:left w:val="nil"/>
              <w:bottom w:val="single" w:sz="8" w:space="0" w:color="000000"/>
              <w:right w:val="single" w:sz="8" w:space="0" w:color="000000"/>
            </w:tcBorders>
            <w:shd w:val="clear" w:color="auto" w:fill="auto"/>
            <w:vAlign w:val="center"/>
            <w:hideMark/>
          </w:tcPr>
          <w:p w14:paraId="0EFED935" w14:textId="77777777" w:rsidR="001F423D" w:rsidRPr="001F423D" w:rsidRDefault="001F423D" w:rsidP="001F423D">
            <w:pPr>
              <w:spacing w:after="0" w:line="240" w:lineRule="auto"/>
              <w:jc w:val="both"/>
              <w:rPr>
                <w:rFonts w:ascii="Times New Roman" w:eastAsia="Times New Roman" w:hAnsi="Times New Roman" w:cs="Times New Roman"/>
                <w:color w:val="000000"/>
                <w:sz w:val="20"/>
                <w:szCs w:val="20"/>
              </w:rPr>
            </w:pPr>
            <w:r w:rsidRPr="001F423D">
              <w:rPr>
                <w:rFonts w:ascii="Times New Roman" w:eastAsia="Times New Roman" w:hAnsi="Times New Roman" w:cs="Times New Roman"/>
                <w:color w:val="000000"/>
                <w:sz w:val="20"/>
                <w:szCs w:val="20"/>
              </w:rPr>
              <w:t>N.A</w:t>
            </w:r>
          </w:p>
        </w:tc>
        <w:tc>
          <w:tcPr>
            <w:tcW w:w="2044" w:type="dxa"/>
            <w:tcBorders>
              <w:top w:val="nil"/>
              <w:left w:val="nil"/>
              <w:bottom w:val="single" w:sz="8" w:space="0" w:color="000000"/>
              <w:right w:val="single" w:sz="8" w:space="0" w:color="000000"/>
            </w:tcBorders>
            <w:shd w:val="clear" w:color="auto" w:fill="auto"/>
            <w:vAlign w:val="center"/>
            <w:hideMark/>
          </w:tcPr>
          <w:p w14:paraId="61DF8E68" w14:textId="77777777" w:rsidR="001F423D" w:rsidRPr="001F423D" w:rsidRDefault="001F423D" w:rsidP="001F423D">
            <w:pPr>
              <w:spacing w:after="0" w:line="240" w:lineRule="auto"/>
              <w:jc w:val="both"/>
              <w:rPr>
                <w:rFonts w:ascii="Times New Roman" w:eastAsia="Times New Roman" w:hAnsi="Times New Roman" w:cs="Times New Roman"/>
                <w:color w:val="000000"/>
                <w:sz w:val="20"/>
                <w:szCs w:val="20"/>
              </w:rPr>
            </w:pPr>
            <w:r w:rsidRPr="001F423D">
              <w:rPr>
                <w:rFonts w:ascii="Times New Roman" w:eastAsia="Times New Roman" w:hAnsi="Times New Roman" w:cs="Times New Roman"/>
                <w:color w:val="000000"/>
                <w:sz w:val="20"/>
                <w:szCs w:val="20"/>
              </w:rPr>
              <w:t> </w:t>
            </w:r>
          </w:p>
        </w:tc>
        <w:tc>
          <w:tcPr>
            <w:tcW w:w="1988" w:type="dxa"/>
            <w:tcBorders>
              <w:top w:val="nil"/>
              <w:left w:val="nil"/>
              <w:bottom w:val="single" w:sz="8" w:space="0" w:color="000000"/>
              <w:right w:val="single" w:sz="8" w:space="0" w:color="000000"/>
            </w:tcBorders>
            <w:shd w:val="clear" w:color="auto" w:fill="auto"/>
            <w:vAlign w:val="center"/>
            <w:hideMark/>
          </w:tcPr>
          <w:p w14:paraId="586728E9" w14:textId="77777777" w:rsidR="001F423D" w:rsidRPr="001F423D" w:rsidRDefault="001F423D" w:rsidP="001F423D">
            <w:pPr>
              <w:spacing w:after="0" w:line="240" w:lineRule="auto"/>
              <w:jc w:val="both"/>
              <w:rPr>
                <w:rFonts w:ascii="Times New Roman" w:eastAsia="Times New Roman" w:hAnsi="Times New Roman" w:cs="Times New Roman"/>
                <w:color w:val="000000"/>
                <w:sz w:val="20"/>
                <w:szCs w:val="20"/>
              </w:rPr>
            </w:pPr>
            <w:r w:rsidRPr="001F423D">
              <w:rPr>
                <w:rFonts w:ascii="Times New Roman" w:eastAsia="Times New Roman" w:hAnsi="Times New Roman" w:cs="Times New Roman"/>
                <w:color w:val="000000"/>
                <w:sz w:val="20"/>
                <w:szCs w:val="20"/>
              </w:rPr>
              <w:t> </w:t>
            </w:r>
          </w:p>
        </w:tc>
      </w:tr>
      <w:tr w:rsidR="001F423D" w:rsidRPr="001F423D" w14:paraId="02661792" w14:textId="77777777" w:rsidTr="001F423D">
        <w:trPr>
          <w:trHeight w:val="488"/>
        </w:trPr>
        <w:tc>
          <w:tcPr>
            <w:tcW w:w="2607" w:type="dxa"/>
            <w:vMerge/>
            <w:tcBorders>
              <w:top w:val="nil"/>
              <w:left w:val="single" w:sz="8" w:space="0" w:color="000000"/>
              <w:bottom w:val="single" w:sz="8" w:space="0" w:color="000000"/>
              <w:right w:val="single" w:sz="8" w:space="0" w:color="000000"/>
            </w:tcBorders>
            <w:vAlign w:val="center"/>
            <w:hideMark/>
          </w:tcPr>
          <w:p w14:paraId="7E0C2C36" w14:textId="77777777" w:rsidR="001F423D" w:rsidRPr="001F423D" w:rsidRDefault="001F423D" w:rsidP="001F423D">
            <w:pPr>
              <w:spacing w:after="0" w:line="240" w:lineRule="auto"/>
              <w:rPr>
                <w:rFonts w:ascii="Times New Roman" w:eastAsia="Times New Roman" w:hAnsi="Times New Roman" w:cs="Times New Roman"/>
                <w:b/>
                <w:bCs/>
                <w:color w:val="000000"/>
                <w:sz w:val="20"/>
                <w:szCs w:val="20"/>
              </w:rPr>
            </w:pPr>
          </w:p>
        </w:tc>
        <w:tc>
          <w:tcPr>
            <w:tcW w:w="2010" w:type="dxa"/>
            <w:tcBorders>
              <w:top w:val="nil"/>
              <w:left w:val="nil"/>
              <w:bottom w:val="single" w:sz="8" w:space="0" w:color="000000"/>
              <w:right w:val="single" w:sz="8" w:space="0" w:color="000000"/>
            </w:tcBorders>
            <w:shd w:val="clear" w:color="auto" w:fill="auto"/>
            <w:vAlign w:val="center"/>
            <w:hideMark/>
          </w:tcPr>
          <w:p w14:paraId="34091F36" w14:textId="77777777" w:rsidR="001F423D" w:rsidRPr="001F423D" w:rsidRDefault="001F423D" w:rsidP="001F423D">
            <w:pPr>
              <w:spacing w:after="0" w:line="240" w:lineRule="auto"/>
              <w:jc w:val="both"/>
              <w:rPr>
                <w:rFonts w:ascii="Times New Roman" w:eastAsia="Times New Roman" w:hAnsi="Times New Roman" w:cs="Times New Roman"/>
                <w:b/>
                <w:bCs/>
                <w:color w:val="000000"/>
                <w:sz w:val="20"/>
                <w:szCs w:val="20"/>
              </w:rPr>
            </w:pPr>
            <w:r w:rsidRPr="001F423D">
              <w:rPr>
                <w:rFonts w:ascii="Times New Roman" w:eastAsia="Times New Roman" w:hAnsi="Times New Roman" w:cs="Times New Roman"/>
                <w:b/>
                <w:bCs/>
                <w:color w:val="000000"/>
                <w:sz w:val="20"/>
                <w:szCs w:val="20"/>
              </w:rPr>
              <w:t>Auxilio de transporte</w:t>
            </w:r>
          </w:p>
        </w:tc>
        <w:tc>
          <w:tcPr>
            <w:tcW w:w="3409" w:type="dxa"/>
            <w:tcBorders>
              <w:top w:val="nil"/>
              <w:left w:val="nil"/>
              <w:bottom w:val="single" w:sz="8" w:space="0" w:color="000000"/>
              <w:right w:val="single" w:sz="8" w:space="0" w:color="000000"/>
            </w:tcBorders>
            <w:shd w:val="clear" w:color="auto" w:fill="auto"/>
            <w:vAlign w:val="center"/>
            <w:hideMark/>
          </w:tcPr>
          <w:p w14:paraId="5CFF1D60" w14:textId="77777777" w:rsidR="001F423D" w:rsidRPr="001F423D" w:rsidRDefault="001F423D" w:rsidP="001F423D">
            <w:pPr>
              <w:spacing w:after="0" w:line="240" w:lineRule="auto"/>
              <w:jc w:val="both"/>
              <w:rPr>
                <w:rFonts w:ascii="Times New Roman" w:eastAsia="Times New Roman" w:hAnsi="Times New Roman" w:cs="Times New Roman"/>
                <w:color w:val="000000"/>
                <w:sz w:val="20"/>
                <w:szCs w:val="20"/>
              </w:rPr>
            </w:pPr>
            <w:r w:rsidRPr="001F423D">
              <w:rPr>
                <w:rFonts w:ascii="Times New Roman" w:eastAsia="Times New Roman" w:hAnsi="Times New Roman" w:cs="Times New Roman"/>
                <w:color w:val="000000"/>
                <w:sz w:val="20"/>
                <w:szCs w:val="20"/>
              </w:rPr>
              <w:t> </w:t>
            </w:r>
          </w:p>
        </w:tc>
        <w:tc>
          <w:tcPr>
            <w:tcW w:w="1988" w:type="dxa"/>
            <w:tcBorders>
              <w:top w:val="nil"/>
              <w:left w:val="nil"/>
              <w:bottom w:val="single" w:sz="8" w:space="0" w:color="000000"/>
              <w:right w:val="single" w:sz="8" w:space="0" w:color="000000"/>
            </w:tcBorders>
            <w:shd w:val="clear" w:color="auto" w:fill="auto"/>
            <w:vAlign w:val="center"/>
            <w:hideMark/>
          </w:tcPr>
          <w:p w14:paraId="4216E602" w14:textId="77777777" w:rsidR="001F423D" w:rsidRPr="001F423D" w:rsidRDefault="001F423D" w:rsidP="001F423D">
            <w:pPr>
              <w:spacing w:after="0" w:line="240" w:lineRule="auto"/>
              <w:jc w:val="both"/>
              <w:rPr>
                <w:rFonts w:ascii="Times New Roman" w:eastAsia="Times New Roman" w:hAnsi="Times New Roman" w:cs="Times New Roman"/>
                <w:color w:val="000000"/>
                <w:sz w:val="20"/>
                <w:szCs w:val="20"/>
              </w:rPr>
            </w:pPr>
            <w:r w:rsidRPr="001F423D">
              <w:rPr>
                <w:rFonts w:ascii="Times New Roman" w:eastAsia="Times New Roman" w:hAnsi="Times New Roman" w:cs="Times New Roman"/>
                <w:color w:val="000000"/>
                <w:sz w:val="20"/>
                <w:szCs w:val="20"/>
              </w:rPr>
              <w:t>N.A</w:t>
            </w:r>
          </w:p>
        </w:tc>
        <w:tc>
          <w:tcPr>
            <w:tcW w:w="2044" w:type="dxa"/>
            <w:tcBorders>
              <w:top w:val="nil"/>
              <w:left w:val="nil"/>
              <w:bottom w:val="single" w:sz="8" w:space="0" w:color="000000"/>
              <w:right w:val="single" w:sz="8" w:space="0" w:color="000000"/>
            </w:tcBorders>
            <w:shd w:val="clear" w:color="auto" w:fill="auto"/>
            <w:vAlign w:val="center"/>
            <w:hideMark/>
          </w:tcPr>
          <w:p w14:paraId="0382B76B" w14:textId="77777777" w:rsidR="001F423D" w:rsidRPr="001F423D" w:rsidRDefault="001F423D" w:rsidP="001F423D">
            <w:pPr>
              <w:spacing w:after="0" w:line="240" w:lineRule="auto"/>
              <w:jc w:val="both"/>
              <w:rPr>
                <w:rFonts w:ascii="Times New Roman" w:eastAsia="Times New Roman" w:hAnsi="Times New Roman" w:cs="Times New Roman"/>
                <w:color w:val="000000"/>
                <w:sz w:val="20"/>
                <w:szCs w:val="20"/>
              </w:rPr>
            </w:pPr>
            <w:r w:rsidRPr="001F423D">
              <w:rPr>
                <w:rFonts w:ascii="Times New Roman" w:eastAsia="Times New Roman" w:hAnsi="Times New Roman" w:cs="Times New Roman"/>
                <w:color w:val="000000"/>
                <w:sz w:val="20"/>
                <w:szCs w:val="20"/>
              </w:rPr>
              <w:t> </w:t>
            </w:r>
          </w:p>
        </w:tc>
        <w:tc>
          <w:tcPr>
            <w:tcW w:w="1988" w:type="dxa"/>
            <w:tcBorders>
              <w:top w:val="nil"/>
              <w:left w:val="nil"/>
              <w:bottom w:val="single" w:sz="8" w:space="0" w:color="000000"/>
              <w:right w:val="single" w:sz="8" w:space="0" w:color="000000"/>
            </w:tcBorders>
            <w:shd w:val="clear" w:color="auto" w:fill="auto"/>
            <w:vAlign w:val="center"/>
            <w:hideMark/>
          </w:tcPr>
          <w:p w14:paraId="48C32B6F" w14:textId="77777777" w:rsidR="001F423D" w:rsidRPr="001F423D" w:rsidRDefault="001F423D" w:rsidP="001F423D">
            <w:pPr>
              <w:spacing w:after="0" w:line="240" w:lineRule="auto"/>
              <w:jc w:val="both"/>
              <w:rPr>
                <w:rFonts w:ascii="Times New Roman" w:eastAsia="Times New Roman" w:hAnsi="Times New Roman" w:cs="Times New Roman"/>
                <w:color w:val="000000"/>
                <w:sz w:val="20"/>
                <w:szCs w:val="20"/>
              </w:rPr>
            </w:pPr>
            <w:r w:rsidRPr="001F423D">
              <w:rPr>
                <w:rFonts w:ascii="Times New Roman" w:eastAsia="Times New Roman" w:hAnsi="Times New Roman" w:cs="Times New Roman"/>
                <w:color w:val="000000"/>
                <w:sz w:val="20"/>
                <w:szCs w:val="20"/>
              </w:rPr>
              <w:t>$0</w:t>
            </w:r>
          </w:p>
        </w:tc>
      </w:tr>
      <w:tr w:rsidR="001F423D" w:rsidRPr="001F423D" w14:paraId="7C153441" w14:textId="77777777" w:rsidTr="001F423D">
        <w:trPr>
          <w:trHeight w:val="488"/>
        </w:trPr>
        <w:tc>
          <w:tcPr>
            <w:tcW w:w="2607" w:type="dxa"/>
            <w:vMerge/>
            <w:tcBorders>
              <w:top w:val="nil"/>
              <w:left w:val="single" w:sz="8" w:space="0" w:color="000000"/>
              <w:bottom w:val="single" w:sz="8" w:space="0" w:color="000000"/>
              <w:right w:val="single" w:sz="8" w:space="0" w:color="000000"/>
            </w:tcBorders>
            <w:vAlign w:val="center"/>
            <w:hideMark/>
          </w:tcPr>
          <w:p w14:paraId="21A2F224" w14:textId="77777777" w:rsidR="001F423D" w:rsidRPr="001F423D" w:rsidRDefault="001F423D" w:rsidP="001F423D">
            <w:pPr>
              <w:spacing w:after="0" w:line="240" w:lineRule="auto"/>
              <w:rPr>
                <w:rFonts w:ascii="Times New Roman" w:eastAsia="Times New Roman" w:hAnsi="Times New Roman" w:cs="Times New Roman"/>
                <w:b/>
                <w:bCs/>
                <w:color w:val="000000"/>
                <w:sz w:val="20"/>
                <w:szCs w:val="20"/>
              </w:rPr>
            </w:pPr>
          </w:p>
        </w:tc>
        <w:tc>
          <w:tcPr>
            <w:tcW w:w="2010" w:type="dxa"/>
            <w:tcBorders>
              <w:top w:val="nil"/>
              <w:left w:val="nil"/>
              <w:bottom w:val="single" w:sz="8" w:space="0" w:color="000000"/>
              <w:right w:val="single" w:sz="8" w:space="0" w:color="000000"/>
            </w:tcBorders>
            <w:shd w:val="clear" w:color="auto" w:fill="auto"/>
            <w:vAlign w:val="center"/>
            <w:hideMark/>
          </w:tcPr>
          <w:p w14:paraId="0330081B" w14:textId="77777777" w:rsidR="001F423D" w:rsidRPr="001F423D" w:rsidRDefault="001F423D" w:rsidP="001F423D">
            <w:pPr>
              <w:spacing w:after="0" w:line="240" w:lineRule="auto"/>
              <w:jc w:val="both"/>
              <w:rPr>
                <w:rFonts w:ascii="Times New Roman" w:eastAsia="Times New Roman" w:hAnsi="Times New Roman" w:cs="Times New Roman"/>
                <w:b/>
                <w:bCs/>
                <w:color w:val="000000"/>
                <w:sz w:val="20"/>
                <w:szCs w:val="20"/>
              </w:rPr>
            </w:pPr>
            <w:r w:rsidRPr="001F423D">
              <w:rPr>
                <w:rFonts w:ascii="Times New Roman" w:eastAsia="Times New Roman" w:hAnsi="Times New Roman" w:cs="Times New Roman"/>
                <w:b/>
                <w:bCs/>
                <w:color w:val="000000"/>
                <w:sz w:val="20"/>
                <w:szCs w:val="20"/>
              </w:rPr>
              <w:t xml:space="preserve">Movilidad </w:t>
            </w:r>
          </w:p>
        </w:tc>
        <w:tc>
          <w:tcPr>
            <w:tcW w:w="3409" w:type="dxa"/>
            <w:tcBorders>
              <w:top w:val="nil"/>
              <w:left w:val="nil"/>
              <w:bottom w:val="single" w:sz="8" w:space="0" w:color="000000"/>
              <w:right w:val="single" w:sz="8" w:space="0" w:color="000000"/>
            </w:tcBorders>
            <w:shd w:val="clear" w:color="auto" w:fill="auto"/>
            <w:vAlign w:val="center"/>
            <w:hideMark/>
          </w:tcPr>
          <w:p w14:paraId="64B3A0B0" w14:textId="77777777" w:rsidR="001F423D" w:rsidRPr="001F423D" w:rsidRDefault="001F423D" w:rsidP="001F423D">
            <w:pPr>
              <w:spacing w:after="0" w:line="240" w:lineRule="auto"/>
              <w:jc w:val="both"/>
              <w:rPr>
                <w:rFonts w:ascii="Times New Roman" w:eastAsia="Times New Roman" w:hAnsi="Times New Roman" w:cs="Times New Roman"/>
                <w:color w:val="000000"/>
                <w:sz w:val="20"/>
                <w:szCs w:val="20"/>
              </w:rPr>
            </w:pPr>
            <w:r w:rsidRPr="001F423D">
              <w:rPr>
                <w:rFonts w:ascii="Times New Roman" w:eastAsia="Times New Roman" w:hAnsi="Times New Roman" w:cs="Times New Roman"/>
                <w:color w:val="000000"/>
                <w:sz w:val="20"/>
                <w:szCs w:val="20"/>
              </w:rPr>
              <w:t>Participación en evento científico internacional.</w:t>
            </w:r>
          </w:p>
        </w:tc>
        <w:tc>
          <w:tcPr>
            <w:tcW w:w="1988" w:type="dxa"/>
            <w:tcBorders>
              <w:top w:val="nil"/>
              <w:left w:val="nil"/>
              <w:bottom w:val="single" w:sz="8" w:space="0" w:color="000000"/>
              <w:right w:val="single" w:sz="8" w:space="0" w:color="000000"/>
            </w:tcBorders>
            <w:shd w:val="clear" w:color="auto" w:fill="auto"/>
            <w:vAlign w:val="center"/>
            <w:hideMark/>
          </w:tcPr>
          <w:p w14:paraId="5A287893" w14:textId="77777777" w:rsidR="001F423D" w:rsidRPr="001F423D" w:rsidRDefault="001F423D" w:rsidP="001F423D">
            <w:pPr>
              <w:spacing w:after="0" w:line="240" w:lineRule="auto"/>
              <w:jc w:val="both"/>
              <w:rPr>
                <w:rFonts w:ascii="Times New Roman" w:eastAsia="Times New Roman" w:hAnsi="Times New Roman" w:cs="Times New Roman"/>
                <w:color w:val="000000"/>
                <w:sz w:val="20"/>
                <w:szCs w:val="20"/>
              </w:rPr>
            </w:pPr>
            <w:r w:rsidRPr="001F423D">
              <w:rPr>
                <w:rFonts w:ascii="Times New Roman" w:eastAsia="Times New Roman" w:hAnsi="Times New Roman" w:cs="Times New Roman"/>
                <w:color w:val="000000"/>
                <w:sz w:val="20"/>
                <w:szCs w:val="20"/>
              </w:rPr>
              <w:t xml:space="preserve"> $9.000.000 </w:t>
            </w:r>
          </w:p>
        </w:tc>
        <w:tc>
          <w:tcPr>
            <w:tcW w:w="2044" w:type="dxa"/>
            <w:tcBorders>
              <w:top w:val="nil"/>
              <w:left w:val="nil"/>
              <w:bottom w:val="single" w:sz="8" w:space="0" w:color="000000"/>
              <w:right w:val="single" w:sz="8" w:space="0" w:color="000000"/>
            </w:tcBorders>
            <w:shd w:val="clear" w:color="auto" w:fill="auto"/>
            <w:vAlign w:val="center"/>
            <w:hideMark/>
          </w:tcPr>
          <w:p w14:paraId="5DA67AD0" w14:textId="77777777" w:rsidR="001F423D" w:rsidRPr="001F423D" w:rsidRDefault="001F423D" w:rsidP="001F423D">
            <w:pPr>
              <w:spacing w:after="0" w:line="240" w:lineRule="auto"/>
              <w:jc w:val="both"/>
              <w:rPr>
                <w:rFonts w:ascii="Times New Roman" w:eastAsia="Times New Roman" w:hAnsi="Times New Roman" w:cs="Times New Roman"/>
                <w:color w:val="000000"/>
                <w:sz w:val="20"/>
                <w:szCs w:val="20"/>
              </w:rPr>
            </w:pPr>
            <w:r w:rsidRPr="001F423D">
              <w:rPr>
                <w:rFonts w:ascii="Times New Roman" w:eastAsia="Times New Roman" w:hAnsi="Times New Roman" w:cs="Times New Roman"/>
                <w:color w:val="000000"/>
                <w:sz w:val="20"/>
                <w:szCs w:val="20"/>
              </w:rPr>
              <w:t> </w:t>
            </w:r>
          </w:p>
        </w:tc>
        <w:tc>
          <w:tcPr>
            <w:tcW w:w="1988" w:type="dxa"/>
            <w:tcBorders>
              <w:top w:val="nil"/>
              <w:left w:val="nil"/>
              <w:bottom w:val="single" w:sz="8" w:space="0" w:color="000000"/>
              <w:right w:val="single" w:sz="8" w:space="0" w:color="000000"/>
            </w:tcBorders>
            <w:shd w:val="clear" w:color="auto" w:fill="auto"/>
            <w:vAlign w:val="center"/>
            <w:hideMark/>
          </w:tcPr>
          <w:p w14:paraId="56C26E7A" w14:textId="18284129" w:rsidR="001F423D" w:rsidRPr="001F423D" w:rsidRDefault="004E655B" w:rsidP="001F423D">
            <w:pPr>
              <w:spacing w:after="0"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NA</w:t>
            </w:r>
          </w:p>
        </w:tc>
      </w:tr>
      <w:tr w:rsidR="001F423D" w:rsidRPr="001F423D" w14:paraId="6C022094" w14:textId="77777777" w:rsidTr="001F423D">
        <w:trPr>
          <w:trHeight w:val="1191"/>
        </w:trPr>
        <w:tc>
          <w:tcPr>
            <w:tcW w:w="2607" w:type="dxa"/>
            <w:vMerge/>
            <w:tcBorders>
              <w:top w:val="nil"/>
              <w:left w:val="single" w:sz="8" w:space="0" w:color="000000"/>
              <w:bottom w:val="single" w:sz="8" w:space="0" w:color="000000"/>
              <w:right w:val="single" w:sz="8" w:space="0" w:color="000000"/>
            </w:tcBorders>
            <w:vAlign w:val="center"/>
            <w:hideMark/>
          </w:tcPr>
          <w:p w14:paraId="54829E11" w14:textId="77777777" w:rsidR="001F423D" w:rsidRPr="001F423D" w:rsidRDefault="001F423D" w:rsidP="001F423D">
            <w:pPr>
              <w:spacing w:after="0" w:line="240" w:lineRule="auto"/>
              <w:rPr>
                <w:rFonts w:ascii="Times New Roman" w:eastAsia="Times New Roman" w:hAnsi="Times New Roman" w:cs="Times New Roman"/>
                <w:b/>
                <w:bCs/>
                <w:color w:val="000000"/>
                <w:sz w:val="20"/>
                <w:szCs w:val="20"/>
              </w:rPr>
            </w:pPr>
          </w:p>
        </w:tc>
        <w:tc>
          <w:tcPr>
            <w:tcW w:w="2010" w:type="dxa"/>
            <w:tcBorders>
              <w:top w:val="nil"/>
              <w:left w:val="nil"/>
              <w:bottom w:val="single" w:sz="8" w:space="0" w:color="000000"/>
              <w:right w:val="single" w:sz="8" w:space="0" w:color="000000"/>
            </w:tcBorders>
            <w:shd w:val="clear" w:color="auto" w:fill="auto"/>
            <w:vAlign w:val="center"/>
            <w:hideMark/>
          </w:tcPr>
          <w:p w14:paraId="31F6E724" w14:textId="77777777" w:rsidR="001F423D" w:rsidRPr="001F423D" w:rsidRDefault="001F423D" w:rsidP="001F423D">
            <w:pPr>
              <w:spacing w:after="0" w:line="240" w:lineRule="auto"/>
              <w:jc w:val="both"/>
              <w:rPr>
                <w:rFonts w:ascii="Times New Roman" w:eastAsia="Times New Roman" w:hAnsi="Times New Roman" w:cs="Times New Roman"/>
                <w:b/>
                <w:bCs/>
                <w:color w:val="000000"/>
                <w:sz w:val="20"/>
                <w:szCs w:val="20"/>
              </w:rPr>
            </w:pPr>
            <w:r w:rsidRPr="001F423D">
              <w:rPr>
                <w:rFonts w:ascii="Times New Roman" w:eastAsia="Times New Roman" w:hAnsi="Times New Roman" w:cs="Times New Roman"/>
                <w:b/>
                <w:bCs/>
                <w:color w:val="000000"/>
                <w:sz w:val="20"/>
                <w:szCs w:val="20"/>
              </w:rPr>
              <w:t>Publicaciones (Artículos, proceso editorial y traducción)</w:t>
            </w:r>
          </w:p>
        </w:tc>
        <w:tc>
          <w:tcPr>
            <w:tcW w:w="3409" w:type="dxa"/>
            <w:tcBorders>
              <w:top w:val="nil"/>
              <w:left w:val="nil"/>
              <w:bottom w:val="single" w:sz="8" w:space="0" w:color="000000"/>
              <w:right w:val="single" w:sz="8" w:space="0" w:color="000000"/>
            </w:tcBorders>
            <w:shd w:val="clear" w:color="auto" w:fill="auto"/>
            <w:vAlign w:val="center"/>
            <w:hideMark/>
          </w:tcPr>
          <w:p w14:paraId="680E184F" w14:textId="77777777" w:rsidR="001F423D" w:rsidRPr="001F423D" w:rsidRDefault="001F423D" w:rsidP="001F423D">
            <w:pPr>
              <w:spacing w:after="0" w:line="240" w:lineRule="auto"/>
              <w:jc w:val="both"/>
              <w:rPr>
                <w:rFonts w:ascii="Times New Roman" w:eastAsia="Times New Roman" w:hAnsi="Times New Roman" w:cs="Times New Roman"/>
                <w:color w:val="000000"/>
                <w:sz w:val="20"/>
                <w:szCs w:val="20"/>
              </w:rPr>
            </w:pPr>
            <w:r w:rsidRPr="001F423D">
              <w:rPr>
                <w:rFonts w:ascii="Times New Roman" w:eastAsia="Times New Roman" w:hAnsi="Times New Roman" w:cs="Times New Roman"/>
                <w:color w:val="000000"/>
                <w:sz w:val="20"/>
                <w:szCs w:val="20"/>
              </w:rPr>
              <w:t>Traducción y aporte en el pago de artículo científico</w:t>
            </w:r>
          </w:p>
        </w:tc>
        <w:tc>
          <w:tcPr>
            <w:tcW w:w="1988" w:type="dxa"/>
            <w:tcBorders>
              <w:top w:val="nil"/>
              <w:left w:val="nil"/>
              <w:bottom w:val="single" w:sz="8" w:space="0" w:color="000000"/>
              <w:right w:val="single" w:sz="8" w:space="0" w:color="000000"/>
            </w:tcBorders>
            <w:shd w:val="clear" w:color="auto" w:fill="auto"/>
            <w:vAlign w:val="center"/>
            <w:hideMark/>
          </w:tcPr>
          <w:p w14:paraId="7FC76C6E" w14:textId="77777777" w:rsidR="001F423D" w:rsidRPr="001F423D" w:rsidRDefault="001F423D" w:rsidP="001F423D">
            <w:pPr>
              <w:spacing w:after="0" w:line="240" w:lineRule="auto"/>
              <w:jc w:val="both"/>
              <w:rPr>
                <w:rFonts w:ascii="Times New Roman" w:eastAsia="Times New Roman" w:hAnsi="Times New Roman" w:cs="Times New Roman"/>
                <w:color w:val="000000"/>
                <w:sz w:val="20"/>
                <w:szCs w:val="20"/>
              </w:rPr>
            </w:pPr>
            <w:r w:rsidRPr="001F423D">
              <w:rPr>
                <w:rFonts w:ascii="Times New Roman" w:eastAsia="Times New Roman" w:hAnsi="Times New Roman" w:cs="Times New Roman"/>
                <w:color w:val="000000"/>
                <w:sz w:val="20"/>
                <w:szCs w:val="20"/>
              </w:rPr>
              <w:t>$5’000.000</w:t>
            </w:r>
          </w:p>
        </w:tc>
        <w:tc>
          <w:tcPr>
            <w:tcW w:w="2044" w:type="dxa"/>
            <w:tcBorders>
              <w:top w:val="nil"/>
              <w:left w:val="nil"/>
              <w:bottom w:val="single" w:sz="8" w:space="0" w:color="000000"/>
              <w:right w:val="single" w:sz="8" w:space="0" w:color="000000"/>
            </w:tcBorders>
            <w:shd w:val="clear" w:color="auto" w:fill="auto"/>
            <w:vAlign w:val="center"/>
            <w:hideMark/>
          </w:tcPr>
          <w:p w14:paraId="2097C115" w14:textId="77777777" w:rsidR="001F423D" w:rsidRPr="001F423D" w:rsidRDefault="001F423D" w:rsidP="001F423D">
            <w:pPr>
              <w:spacing w:after="0" w:line="240" w:lineRule="auto"/>
              <w:jc w:val="both"/>
              <w:rPr>
                <w:rFonts w:ascii="Times New Roman" w:eastAsia="Times New Roman" w:hAnsi="Times New Roman" w:cs="Times New Roman"/>
                <w:color w:val="000000"/>
                <w:sz w:val="20"/>
                <w:szCs w:val="20"/>
              </w:rPr>
            </w:pPr>
            <w:r w:rsidRPr="001F423D">
              <w:rPr>
                <w:rFonts w:ascii="Times New Roman" w:eastAsia="Times New Roman" w:hAnsi="Times New Roman" w:cs="Times New Roman"/>
                <w:color w:val="000000"/>
                <w:sz w:val="20"/>
                <w:szCs w:val="20"/>
              </w:rPr>
              <w:t>-</w:t>
            </w:r>
          </w:p>
        </w:tc>
        <w:tc>
          <w:tcPr>
            <w:tcW w:w="1988" w:type="dxa"/>
            <w:tcBorders>
              <w:top w:val="nil"/>
              <w:left w:val="nil"/>
              <w:bottom w:val="single" w:sz="8" w:space="0" w:color="000000"/>
              <w:right w:val="single" w:sz="8" w:space="0" w:color="000000"/>
            </w:tcBorders>
            <w:shd w:val="clear" w:color="auto" w:fill="auto"/>
            <w:vAlign w:val="center"/>
            <w:hideMark/>
          </w:tcPr>
          <w:p w14:paraId="78D705B0" w14:textId="5B588F12" w:rsidR="001F423D" w:rsidRPr="001F423D" w:rsidRDefault="004E655B" w:rsidP="001F423D">
            <w:pPr>
              <w:spacing w:after="0"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NA</w:t>
            </w:r>
          </w:p>
        </w:tc>
      </w:tr>
      <w:tr w:rsidR="001F423D" w:rsidRPr="001F423D" w14:paraId="5CF6C824" w14:textId="77777777" w:rsidTr="001F423D">
        <w:trPr>
          <w:trHeight w:val="312"/>
        </w:trPr>
        <w:tc>
          <w:tcPr>
            <w:tcW w:w="12058" w:type="dxa"/>
            <w:gridSpan w:val="5"/>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28A8C07C" w14:textId="77777777" w:rsidR="001F423D" w:rsidRPr="001F423D" w:rsidRDefault="001F423D" w:rsidP="001F423D">
            <w:pPr>
              <w:spacing w:after="0" w:line="240" w:lineRule="auto"/>
              <w:jc w:val="right"/>
              <w:rPr>
                <w:rFonts w:ascii="Times New Roman" w:eastAsia="Times New Roman" w:hAnsi="Times New Roman" w:cs="Times New Roman"/>
                <w:b/>
                <w:bCs/>
                <w:color w:val="000000"/>
                <w:sz w:val="20"/>
                <w:szCs w:val="20"/>
              </w:rPr>
            </w:pPr>
            <w:r w:rsidRPr="001F423D">
              <w:rPr>
                <w:rFonts w:ascii="Times New Roman" w:eastAsia="Times New Roman" w:hAnsi="Times New Roman" w:cs="Times New Roman"/>
                <w:b/>
                <w:bCs/>
                <w:color w:val="000000"/>
                <w:sz w:val="20"/>
                <w:szCs w:val="20"/>
              </w:rPr>
              <w:t>TOTAL DEL PROYECTO:</w:t>
            </w:r>
          </w:p>
        </w:tc>
        <w:tc>
          <w:tcPr>
            <w:tcW w:w="1988" w:type="dxa"/>
            <w:tcBorders>
              <w:top w:val="nil"/>
              <w:left w:val="nil"/>
              <w:bottom w:val="single" w:sz="8" w:space="0" w:color="000000"/>
              <w:right w:val="single" w:sz="8" w:space="0" w:color="000000"/>
            </w:tcBorders>
            <w:shd w:val="clear" w:color="auto" w:fill="auto"/>
            <w:vAlign w:val="center"/>
            <w:hideMark/>
          </w:tcPr>
          <w:p w14:paraId="6CED0C1E" w14:textId="0A28B7F7" w:rsidR="001F423D" w:rsidRPr="001F423D" w:rsidRDefault="004E655B" w:rsidP="001F423D">
            <w:pPr>
              <w:spacing w:after="0"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$20</w:t>
            </w:r>
            <w:r w:rsidR="001F423D" w:rsidRPr="001F423D">
              <w:rPr>
                <w:rFonts w:ascii="Times New Roman" w:eastAsia="Times New Roman" w:hAnsi="Times New Roman" w:cs="Times New Roman"/>
                <w:color w:val="000000"/>
                <w:sz w:val="20"/>
                <w:szCs w:val="20"/>
              </w:rPr>
              <w:t>.000.000</w:t>
            </w:r>
          </w:p>
        </w:tc>
      </w:tr>
    </w:tbl>
    <w:p w14:paraId="2A570F87" w14:textId="77777777" w:rsidR="005A3412" w:rsidRDefault="005A3412">
      <w:pPr>
        <w:pStyle w:val="normal0"/>
        <w:spacing w:after="0" w:line="276" w:lineRule="auto"/>
        <w:rPr>
          <w:rFonts w:ascii="Times New Roman" w:eastAsia="Times New Roman" w:hAnsi="Times New Roman" w:cs="Times New Roman"/>
          <w:sz w:val="24"/>
          <w:szCs w:val="24"/>
        </w:rPr>
      </w:pPr>
    </w:p>
    <w:p w14:paraId="68FB8615" w14:textId="77777777" w:rsidR="005A3412" w:rsidRDefault="00110E44">
      <w:pPr>
        <w:pStyle w:val="normal0"/>
      </w:pPr>
      <w:bookmarkStart w:id="1" w:name="_gjdgxs" w:colFirst="0" w:colLast="0"/>
      <w:bookmarkEnd w:id="1"/>
      <w:r>
        <w:br w:type="page"/>
      </w:r>
    </w:p>
    <w:tbl>
      <w:tblPr>
        <w:tblStyle w:val="ac"/>
        <w:tblW w:w="14983" w:type="dxa"/>
        <w:tblInd w:w="0" w:type="dxa"/>
        <w:tblLayout w:type="fixed"/>
        <w:tblLook w:val="0400" w:firstRow="0" w:lastRow="0" w:firstColumn="0" w:lastColumn="0" w:noHBand="0" w:noVBand="1"/>
      </w:tblPr>
      <w:tblGrid>
        <w:gridCol w:w="14983"/>
      </w:tblGrid>
      <w:tr w:rsidR="005A3412" w14:paraId="6BA829F1" w14:textId="77777777">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1453BDE1" w14:textId="77777777" w:rsidR="005A3412" w:rsidRDefault="00110E44">
            <w:pPr>
              <w:pStyle w:val="normal0"/>
              <w:spacing w:line="276" w:lineRule="auto"/>
              <w:jc w:val="center"/>
              <w:rPr>
                <w:rFonts w:ascii="Times New Roman" w:eastAsia="Times New Roman" w:hAnsi="Times New Roman" w:cs="Times New Roman"/>
                <w:b/>
                <w:color w:val="222222"/>
                <w:sz w:val="24"/>
                <w:szCs w:val="24"/>
              </w:rPr>
            </w:pPr>
            <w:r>
              <w:rPr>
                <w:rFonts w:ascii="Times New Roman" w:eastAsia="Times New Roman" w:hAnsi="Times New Roman" w:cs="Times New Roman"/>
                <w:b/>
                <w:color w:val="222222"/>
                <w:sz w:val="24"/>
                <w:szCs w:val="24"/>
              </w:rPr>
              <w:lastRenderedPageBreak/>
              <w:t>Referencia bibliográficas</w:t>
            </w:r>
          </w:p>
        </w:tc>
      </w:tr>
      <w:tr w:rsidR="005A3412" w14:paraId="3187EE41" w14:textId="77777777">
        <w:tc>
          <w:tcPr>
            <w:tcW w:w="14983" w:type="dxa"/>
            <w:tcBorders>
              <w:top w:val="single" w:sz="6" w:space="0" w:color="DDDDDD"/>
              <w:left w:val="single" w:sz="6" w:space="0" w:color="DDDDDD"/>
              <w:bottom w:val="single" w:sz="6" w:space="0" w:color="DDDDDD"/>
              <w:right w:val="single" w:sz="6" w:space="0" w:color="DDDDDD"/>
            </w:tcBorders>
            <w:tcMar>
              <w:top w:w="15" w:type="dxa"/>
              <w:left w:w="15" w:type="dxa"/>
              <w:bottom w:w="15" w:type="dxa"/>
              <w:right w:w="15" w:type="dxa"/>
            </w:tcMar>
            <w:vAlign w:val="center"/>
          </w:tcPr>
          <w:p w14:paraId="5788B186" w14:textId="77777777" w:rsidR="00531C87" w:rsidRPr="00531C87" w:rsidRDefault="00D4309D" w:rsidP="00531C87">
            <w:pPr>
              <w:pStyle w:val="Bibliografa1"/>
              <w:rPr>
                <w:color w:val="000000"/>
                <w:sz w:val="20"/>
                <w:lang w:val="es-ES"/>
              </w:rPr>
            </w:pPr>
            <w:r w:rsidRPr="00B811E3">
              <w:rPr>
                <w:rFonts w:eastAsia="Times New Roman" w:cs="Times New Roman"/>
                <w:color w:val="222222"/>
                <w:sz w:val="20"/>
                <w:szCs w:val="20"/>
              </w:rPr>
              <w:fldChar w:fldCharType="begin"/>
            </w:r>
            <w:r w:rsidR="004027CB">
              <w:rPr>
                <w:rFonts w:eastAsia="Times New Roman" w:cs="Times New Roman"/>
                <w:color w:val="222222"/>
                <w:sz w:val="20"/>
                <w:szCs w:val="20"/>
              </w:rPr>
              <w:instrText xml:space="preserve"> ADDIN ZOTERO_BIBL {"custom":[]} CSL_BIBLIOGRAPHY </w:instrText>
            </w:r>
            <w:r w:rsidRPr="00B811E3">
              <w:rPr>
                <w:rFonts w:eastAsia="Times New Roman" w:cs="Times New Roman"/>
                <w:color w:val="222222"/>
                <w:sz w:val="20"/>
                <w:szCs w:val="20"/>
              </w:rPr>
              <w:fldChar w:fldCharType="separate"/>
            </w:r>
            <w:r w:rsidR="00531C87" w:rsidRPr="00531C87">
              <w:rPr>
                <w:color w:val="000000"/>
                <w:sz w:val="20"/>
                <w:lang w:val="es-ES"/>
              </w:rPr>
              <w:t xml:space="preserve">Abrahamse, W., Steg, L., Vlek, C., &amp; Rothengatter, T. (2005). A review of intervention studies aimed at household energy conservation. </w:t>
            </w:r>
            <w:r w:rsidR="00531C87" w:rsidRPr="00531C87">
              <w:rPr>
                <w:i/>
                <w:iCs/>
                <w:color w:val="000000"/>
                <w:sz w:val="20"/>
                <w:lang w:val="es-ES"/>
              </w:rPr>
              <w:t>Journal of Environmental Psychology</w:t>
            </w:r>
            <w:r w:rsidR="00531C87" w:rsidRPr="00531C87">
              <w:rPr>
                <w:color w:val="000000"/>
                <w:sz w:val="20"/>
                <w:lang w:val="es-ES"/>
              </w:rPr>
              <w:t xml:space="preserve">, </w:t>
            </w:r>
            <w:r w:rsidR="00531C87" w:rsidRPr="00531C87">
              <w:rPr>
                <w:i/>
                <w:iCs/>
                <w:color w:val="000000"/>
                <w:sz w:val="20"/>
                <w:lang w:val="es-ES"/>
              </w:rPr>
              <w:t>25</w:t>
            </w:r>
            <w:r w:rsidR="00531C87" w:rsidRPr="00531C87">
              <w:rPr>
                <w:color w:val="000000"/>
                <w:sz w:val="20"/>
                <w:lang w:val="es-ES"/>
              </w:rPr>
              <w:t>(3), 273-291. https://doi.org/10.1016/j.jenvp.2005.08.002</w:t>
            </w:r>
          </w:p>
          <w:p w14:paraId="320F4BB4" w14:textId="77777777" w:rsidR="00531C87" w:rsidRPr="00531C87" w:rsidRDefault="00531C87" w:rsidP="00531C87">
            <w:pPr>
              <w:pStyle w:val="Bibliografa1"/>
              <w:rPr>
                <w:color w:val="000000"/>
                <w:sz w:val="20"/>
                <w:lang w:val="es-ES"/>
              </w:rPr>
            </w:pPr>
            <w:r w:rsidRPr="00531C87">
              <w:rPr>
                <w:color w:val="000000"/>
                <w:sz w:val="20"/>
                <w:lang w:val="es-ES"/>
              </w:rPr>
              <w:t xml:space="preserve">Archibald, S. O., &amp; Renwick, M. E. (1998). Expected Transaction Costs and Incentives for Water Market Development. En K. W. Easter, M. W. Rosegrant, &amp; A. Dinar (Eds.), </w:t>
            </w:r>
            <w:r w:rsidRPr="00531C87">
              <w:rPr>
                <w:i/>
                <w:iCs/>
                <w:color w:val="000000"/>
                <w:sz w:val="20"/>
                <w:lang w:val="es-ES"/>
              </w:rPr>
              <w:t>Markets for Water: Potential and Performance</w:t>
            </w:r>
            <w:r w:rsidRPr="00531C87">
              <w:rPr>
                <w:color w:val="000000"/>
                <w:sz w:val="20"/>
                <w:lang w:val="es-ES"/>
              </w:rPr>
              <w:t xml:space="preserve"> (pp. 95-117). https://doi.org/10.1007/978-0-585-32088-5_7</w:t>
            </w:r>
          </w:p>
          <w:p w14:paraId="0FD8130F" w14:textId="77777777" w:rsidR="00531C87" w:rsidRPr="00531C87" w:rsidRDefault="00531C87" w:rsidP="00531C87">
            <w:pPr>
              <w:pStyle w:val="Bibliografa1"/>
              <w:rPr>
                <w:color w:val="000000"/>
                <w:sz w:val="20"/>
                <w:lang w:val="es-ES"/>
              </w:rPr>
            </w:pPr>
            <w:r w:rsidRPr="00531C87">
              <w:rPr>
                <w:color w:val="000000"/>
                <w:sz w:val="20"/>
                <w:lang w:val="es-ES"/>
              </w:rPr>
              <w:t>Arpke, A., &amp; Hutzler, N. (2006). Domestic Water Use in the United States: A Life</w:t>
            </w:r>
            <w:r w:rsidRPr="00531C87">
              <w:rPr>
                <w:rFonts w:ascii="Palatino Linotype" w:hAnsi="Palatino Linotype" w:cs="Palatino Linotype"/>
                <w:color w:val="000000"/>
                <w:sz w:val="20"/>
                <w:lang w:val="es-ES"/>
              </w:rPr>
              <w:t>‐</w:t>
            </w:r>
            <w:r w:rsidRPr="00531C87">
              <w:rPr>
                <w:color w:val="000000"/>
                <w:sz w:val="20"/>
                <w:lang w:val="es-ES"/>
              </w:rPr>
              <w:t xml:space="preserve">Cycle Approach. </w:t>
            </w:r>
            <w:r w:rsidRPr="00531C87">
              <w:rPr>
                <w:i/>
                <w:iCs/>
                <w:color w:val="000000"/>
                <w:sz w:val="20"/>
                <w:lang w:val="es-ES"/>
              </w:rPr>
              <w:t>Journal of Industrial Ecology</w:t>
            </w:r>
            <w:r w:rsidRPr="00531C87">
              <w:rPr>
                <w:color w:val="000000"/>
                <w:sz w:val="20"/>
                <w:lang w:val="es-ES"/>
              </w:rPr>
              <w:t xml:space="preserve">, </w:t>
            </w:r>
            <w:r w:rsidRPr="00531C87">
              <w:rPr>
                <w:i/>
                <w:iCs/>
                <w:color w:val="000000"/>
                <w:sz w:val="20"/>
                <w:lang w:val="es-ES"/>
              </w:rPr>
              <w:t>10</w:t>
            </w:r>
            <w:r w:rsidRPr="00531C87">
              <w:rPr>
                <w:color w:val="000000"/>
                <w:sz w:val="20"/>
                <w:lang w:val="es-ES"/>
              </w:rPr>
              <w:t>(1-2), 169-184.</w:t>
            </w:r>
          </w:p>
          <w:p w14:paraId="6F5FD1AE" w14:textId="77777777" w:rsidR="00531C87" w:rsidRPr="00531C87" w:rsidRDefault="00531C87" w:rsidP="00531C87">
            <w:pPr>
              <w:pStyle w:val="Bibliografa1"/>
              <w:rPr>
                <w:color w:val="000000"/>
                <w:sz w:val="20"/>
                <w:lang w:val="es-ES"/>
              </w:rPr>
            </w:pPr>
            <w:r w:rsidRPr="00531C87">
              <w:rPr>
                <w:color w:val="000000"/>
                <w:sz w:val="20"/>
                <w:lang w:val="es-ES"/>
              </w:rPr>
              <w:t xml:space="preserve">Binks, A. N., Kenway, S. J., Lant, P. A., &amp; Head, B. W. (2016). Understanding Australian household water-related energy use and identifying physical and human characteristics of major end uses. </w:t>
            </w:r>
            <w:r w:rsidRPr="00531C87">
              <w:rPr>
                <w:i/>
                <w:iCs/>
                <w:color w:val="000000"/>
                <w:sz w:val="20"/>
                <w:lang w:val="es-ES"/>
              </w:rPr>
              <w:t>Journal of Cleaner Production</w:t>
            </w:r>
            <w:r w:rsidRPr="00531C87">
              <w:rPr>
                <w:color w:val="000000"/>
                <w:sz w:val="20"/>
                <w:lang w:val="es-ES"/>
              </w:rPr>
              <w:t xml:space="preserve">, </w:t>
            </w:r>
            <w:r w:rsidRPr="00531C87">
              <w:rPr>
                <w:i/>
                <w:iCs/>
                <w:color w:val="000000"/>
                <w:sz w:val="20"/>
                <w:lang w:val="es-ES"/>
              </w:rPr>
              <w:t>135</w:t>
            </w:r>
            <w:r w:rsidRPr="00531C87">
              <w:rPr>
                <w:color w:val="000000"/>
                <w:sz w:val="20"/>
                <w:lang w:val="es-ES"/>
              </w:rPr>
              <w:t>, 892-906. https://doi.org/10.1016/j.jclepro.2016.06.091</w:t>
            </w:r>
          </w:p>
          <w:p w14:paraId="49FBF8FF" w14:textId="77777777" w:rsidR="00531C87" w:rsidRPr="00531C87" w:rsidRDefault="00531C87" w:rsidP="00531C87">
            <w:pPr>
              <w:pStyle w:val="Bibliografa1"/>
              <w:rPr>
                <w:color w:val="000000"/>
                <w:sz w:val="20"/>
                <w:lang w:val="es-ES"/>
              </w:rPr>
            </w:pPr>
            <w:r w:rsidRPr="00531C87">
              <w:rPr>
                <w:color w:val="000000"/>
                <w:sz w:val="20"/>
                <w:lang w:val="es-ES"/>
              </w:rPr>
              <w:t xml:space="preserve">Boardman, B. (2004). New directions for household energy efficiency: evidence from the UK. </w:t>
            </w:r>
            <w:r w:rsidRPr="00531C87">
              <w:rPr>
                <w:i/>
                <w:iCs/>
                <w:color w:val="000000"/>
                <w:sz w:val="20"/>
                <w:lang w:val="es-ES"/>
              </w:rPr>
              <w:t>Energy Policy</w:t>
            </w:r>
            <w:r w:rsidRPr="00531C87">
              <w:rPr>
                <w:color w:val="000000"/>
                <w:sz w:val="20"/>
                <w:lang w:val="es-ES"/>
              </w:rPr>
              <w:t xml:space="preserve">, </w:t>
            </w:r>
            <w:r w:rsidRPr="00531C87">
              <w:rPr>
                <w:i/>
                <w:iCs/>
                <w:color w:val="000000"/>
                <w:sz w:val="20"/>
                <w:lang w:val="es-ES"/>
              </w:rPr>
              <w:t>32</w:t>
            </w:r>
            <w:r w:rsidRPr="00531C87">
              <w:rPr>
                <w:color w:val="000000"/>
                <w:sz w:val="20"/>
                <w:lang w:val="es-ES"/>
              </w:rPr>
              <w:t>(17), 1921-1933. https://doi.org/10.1016/j.enpol.2004.03.021</w:t>
            </w:r>
          </w:p>
          <w:p w14:paraId="628C20FB" w14:textId="77777777" w:rsidR="00531C87" w:rsidRPr="00531C87" w:rsidRDefault="00531C87" w:rsidP="00531C87">
            <w:pPr>
              <w:pStyle w:val="Bibliografa1"/>
              <w:rPr>
                <w:color w:val="000000"/>
                <w:sz w:val="20"/>
                <w:lang w:val="es-ES"/>
              </w:rPr>
            </w:pPr>
            <w:r w:rsidRPr="00531C87">
              <w:rPr>
                <w:color w:val="000000"/>
                <w:sz w:val="20"/>
                <w:lang w:val="es-ES"/>
              </w:rPr>
              <w:t xml:space="preserve">Cheng, C.-L. (2002). Study of the inter-relationship between water use and energy conservation for a building. </w:t>
            </w:r>
            <w:r w:rsidRPr="00531C87">
              <w:rPr>
                <w:i/>
                <w:iCs/>
                <w:color w:val="000000"/>
                <w:sz w:val="20"/>
                <w:lang w:val="es-ES"/>
              </w:rPr>
              <w:t>Energy and Buildings</w:t>
            </w:r>
            <w:r w:rsidRPr="00531C87">
              <w:rPr>
                <w:color w:val="000000"/>
                <w:sz w:val="20"/>
                <w:lang w:val="es-ES"/>
              </w:rPr>
              <w:t xml:space="preserve">, </w:t>
            </w:r>
            <w:r w:rsidRPr="00531C87">
              <w:rPr>
                <w:i/>
                <w:iCs/>
                <w:color w:val="000000"/>
                <w:sz w:val="20"/>
                <w:lang w:val="es-ES"/>
              </w:rPr>
              <w:t>34</w:t>
            </w:r>
            <w:r w:rsidRPr="00531C87">
              <w:rPr>
                <w:color w:val="000000"/>
                <w:sz w:val="20"/>
                <w:lang w:val="es-ES"/>
              </w:rPr>
              <w:t>(3), 261-266. https://doi.org/10.1016/S0378-7788(01)00097-4</w:t>
            </w:r>
          </w:p>
          <w:p w14:paraId="34DA2EED" w14:textId="77777777" w:rsidR="00531C87" w:rsidRPr="00531C87" w:rsidRDefault="00531C87" w:rsidP="00531C87">
            <w:pPr>
              <w:pStyle w:val="Bibliografa1"/>
              <w:rPr>
                <w:color w:val="000000"/>
                <w:sz w:val="20"/>
                <w:lang w:val="es-ES"/>
              </w:rPr>
            </w:pPr>
            <w:r w:rsidRPr="00531C87">
              <w:rPr>
                <w:color w:val="000000"/>
                <w:sz w:val="20"/>
                <w:lang w:val="es-ES"/>
              </w:rPr>
              <w:t xml:space="preserve">Domene, E., &amp; Saurí, D. (2006). Urbanisation and Water Consumption: Influencing Factors in the Metropolitan Region of Barcelona. </w:t>
            </w:r>
            <w:r w:rsidRPr="00531C87">
              <w:rPr>
                <w:i/>
                <w:iCs/>
                <w:color w:val="000000"/>
                <w:sz w:val="20"/>
                <w:lang w:val="es-ES"/>
              </w:rPr>
              <w:t>Urban Studies</w:t>
            </w:r>
            <w:r w:rsidRPr="00531C87">
              <w:rPr>
                <w:color w:val="000000"/>
                <w:sz w:val="20"/>
                <w:lang w:val="es-ES"/>
              </w:rPr>
              <w:t xml:space="preserve">, </w:t>
            </w:r>
            <w:r w:rsidRPr="00531C87">
              <w:rPr>
                <w:i/>
                <w:iCs/>
                <w:color w:val="000000"/>
                <w:sz w:val="20"/>
                <w:lang w:val="es-ES"/>
              </w:rPr>
              <w:t>43</w:t>
            </w:r>
            <w:r w:rsidRPr="00531C87">
              <w:rPr>
                <w:color w:val="000000"/>
                <w:sz w:val="20"/>
                <w:lang w:val="es-ES"/>
              </w:rPr>
              <w:t>(9), 1605-1623. https://doi.org/10.1080/00420980600749969</w:t>
            </w:r>
          </w:p>
          <w:p w14:paraId="31470999" w14:textId="77777777" w:rsidR="00531C87" w:rsidRPr="00531C87" w:rsidRDefault="00531C87" w:rsidP="00531C87">
            <w:pPr>
              <w:pStyle w:val="Bibliografa1"/>
              <w:rPr>
                <w:color w:val="000000"/>
                <w:sz w:val="20"/>
                <w:lang w:val="es-ES"/>
              </w:rPr>
            </w:pPr>
            <w:r w:rsidRPr="00531C87">
              <w:rPr>
                <w:color w:val="000000"/>
                <w:sz w:val="20"/>
                <w:lang w:val="es-ES"/>
              </w:rPr>
              <w:t xml:space="preserve">Elías-Maxil, J. A., van der Hoek, J. P., Hofman, J., &amp; Rietveld, L. (2014). Energy in the urban water cycle: Actions to reduce the total expenditure of fossil fuels with emphasis on heat reclamation from urban water. </w:t>
            </w:r>
            <w:r w:rsidRPr="00531C87">
              <w:rPr>
                <w:i/>
                <w:iCs/>
                <w:color w:val="000000"/>
                <w:sz w:val="20"/>
                <w:lang w:val="es-ES"/>
              </w:rPr>
              <w:t>Renewable and Sustainable Energy Reviews</w:t>
            </w:r>
            <w:r w:rsidRPr="00531C87">
              <w:rPr>
                <w:color w:val="000000"/>
                <w:sz w:val="20"/>
                <w:lang w:val="es-ES"/>
              </w:rPr>
              <w:t xml:space="preserve">, </w:t>
            </w:r>
            <w:r w:rsidRPr="00531C87">
              <w:rPr>
                <w:i/>
                <w:iCs/>
                <w:color w:val="000000"/>
                <w:sz w:val="20"/>
                <w:lang w:val="es-ES"/>
              </w:rPr>
              <w:t>30</w:t>
            </w:r>
            <w:r w:rsidRPr="00531C87">
              <w:rPr>
                <w:color w:val="000000"/>
                <w:sz w:val="20"/>
                <w:lang w:val="es-ES"/>
              </w:rPr>
              <w:t>, 808-820. https://doi.org/10.1016/j.rser.2013.10.007</w:t>
            </w:r>
          </w:p>
          <w:p w14:paraId="0D4801B6" w14:textId="77777777" w:rsidR="00531C87" w:rsidRPr="00531C87" w:rsidRDefault="00531C87" w:rsidP="00531C87">
            <w:pPr>
              <w:pStyle w:val="Bibliografa1"/>
              <w:rPr>
                <w:color w:val="000000"/>
                <w:sz w:val="20"/>
                <w:lang w:val="es-ES"/>
              </w:rPr>
            </w:pPr>
            <w:r w:rsidRPr="00531C87">
              <w:rPr>
                <w:color w:val="000000"/>
                <w:sz w:val="20"/>
                <w:lang w:val="es-ES"/>
              </w:rPr>
              <w:t xml:space="preserve">Fielding, K. S., Russell, S., Spinks, A., &amp; Mankad, A. (2012). Determinants of household water conservation: The role of demographic, infrastructure, behavior, and psychosocial variables. </w:t>
            </w:r>
            <w:r w:rsidRPr="00531C87">
              <w:rPr>
                <w:i/>
                <w:iCs/>
                <w:color w:val="000000"/>
                <w:sz w:val="20"/>
                <w:lang w:val="es-ES"/>
              </w:rPr>
              <w:t>Water Resources Research</w:t>
            </w:r>
            <w:r w:rsidRPr="00531C87">
              <w:rPr>
                <w:color w:val="000000"/>
                <w:sz w:val="20"/>
                <w:lang w:val="es-ES"/>
              </w:rPr>
              <w:t xml:space="preserve">, </w:t>
            </w:r>
            <w:r w:rsidRPr="00531C87">
              <w:rPr>
                <w:i/>
                <w:iCs/>
                <w:color w:val="000000"/>
                <w:sz w:val="20"/>
                <w:lang w:val="es-ES"/>
              </w:rPr>
              <w:t>48</w:t>
            </w:r>
            <w:r w:rsidRPr="00531C87">
              <w:rPr>
                <w:color w:val="000000"/>
                <w:sz w:val="20"/>
                <w:lang w:val="es-ES"/>
              </w:rPr>
              <w:t>(10). https://doi.org/10.1029/2012WR012398</w:t>
            </w:r>
          </w:p>
          <w:p w14:paraId="1E764F67" w14:textId="77777777" w:rsidR="00531C87" w:rsidRPr="00531C87" w:rsidRDefault="00531C87" w:rsidP="00531C87">
            <w:pPr>
              <w:pStyle w:val="Bibliografa1"/>
              <w:rPr>
                <w:color w:val="000000"/>
                <w:sz w:val="20"/>
                <w:lang w:val="es-ES"/>
              </w:rPr>
            </w:pPr>
            <w:r w:rsidRPr="00531C87">
              <w:rPr>
                <w:color w:val="000000"/>
                <w:sz w:val="20"/>
                <w:lang w:val="es-ES"/>
              </w:rPr>
              <w:t xml:space="preserve">Haas, R. (1997). Energy efficiency indicators in the residential sector: What do we know and what has to be ensured? </w:t>
            </w:r>
            <w:r w:rsidRPr="00531C87">
              <w:rPr>
                <w:i/>
                <w:iCs/>
                <w:color w:val="000000"/>
                <w:sz w:val="20"/>
                <w:lang w:val="es-ES"/>
              </w:rPr>
              <w:t>Energy Policy</w:t>
            </w:r>
            <w:r w:rsidRPr="00531C87">
              <w:rPr>
                <w:color w:val="000000"/>
                <w:sz w:val="20"/>
                <w:lang w:val="es-ES"/>
              </w:rPr>
              <w:t xml:space="preserve">, </w:t>
            </w:r>
            <w:r w:rsidRPr="00531C87">
              <w:rPr>
                <w:i/>
                <w:iCs/>
                <w:color w:val="000000"/>
                <w:sz w:val="20"/>
                <w:lang w:val="es-ES"/>
              </w:rPr>
              <w:t>25</w:t>
            </w:r>
            <w:r w:rsidRPr="00531C87">
              <w:rPr>
                <w:color w:val="000000"/>
                <w:sz w:val="20"/>
                <w:lang w:val="es-ES"/>
              </w:rPr>
              <w:t>(7), 789-802. https://doi.org/10.1016/S0301-4215(97)00069-4</w:t>
            </w:r>
          </w:p>
          <w:p w14:paraId="3BD0E34E" w14:textId="77777777" w:rsidR="00531C87" w:rsidRPr="00531C87" w:rsidRDefault="00531C87" w:rsidP="00531C87">
            <w:pPr>
              <w:pStyle w:val="Bibliografa1"/>
              <w:rPr>
                <w:color w:val="000000"/>
                <w:sz w:val="20"/>
                <w:lang w:val="es-ES"/>
              </w:rPr>
            </w:pPr>
            <w:r w:rsidRPr="00531C87">
              <w:rPr>
                <w:color w:val="000000"/>
                <w:sz w:val="20"/>
                <w:lang w:val="es-ES"/>
              </w:rPr>
              <w:t xml:space="preserve">Howarth, D., &amp; Butler, S. (2004). Communicating water conservation: how can the public be engaged? </w:t>
            </w:r>
            <w:r w:rsidRPr="00531C87">
              <w:rPr>
                <w:i/>
                <w:iCs/>
                <w:color w:val="000000"/>
                <w:sz w:val="20"/>
                <w:lang w:val="es-ES"/>
              </w:rPr>
              <w:t>Water Supply</w:t>
            </w:r>
            <w:r w:rsidRPr="00531C87">
              <w:rPr>
                <w:color w:val="000000"/>
                <w:sz w:val="20"/>
                <w:lang w:val="es-ES"/>
              </w:rPr>
              <w:t xml:space="preserve">, </w:t>
            </w:r>
            <w:r w:rsidRPr="00531C87">
              <w:rPr>
                <w:i/>
                <w:iCs/>
                <w:color w:val="000000"/>
                <w:sz w:val="20"/>
                <w:lang w:val="es-ES"/>
              </w:rPr>
              <w:t>4</w:t>
            </w:r>
            <w:r w:rsidRPr="00531C87">
              <w:rPr>
                <w:color w:val="000000"/>
                <w:sz w:val="20"/>
                <w:lang w:val="es-ES"/>
              </w:rPr>
              <w:t>(3), 33-44. https://doi.org/10.2166/ws.2004.0041</w:t>
            </w:r>
          </w:p>
          <w:p w14:paraId="57AD0CB6" w14:textId="77777777" w:rsidR="00531C87" w:rsidRPr="00531C87" w:rsidRDefault="00531C87" w:rsidP="00531C87">
            <w:pPr>
              <w:pStyle w:val="Bibliografa1"/>
              <w:rPr>
                <w:color w:val="000000"/>
                <w:sz w:val="20"/>
                <w:lang w:val="es-ES"/>
              </w:rPr>
            </w:pPr>
            <w:r w:rsidRPr="00531C87">
              <w:rPr>
                <w:color w:val="000000"/>
                <w:sz w:val="20"/>
                <w:lang w:val="es-ES"/>
              </w:rPr>
              <w:lastRenderedPageBreak/>
              <w:t xml:space="preserve">Inman, D., &amp; Jeffrey, P. (2006). A review of residential water conservation tool performance and influences on implementation effectiveness. </w:t>
            </w:r>
            <w:r w:rsidRPr="00531C87">
              <w:rPr>
                <w:i/>
                <w:iCs/>
                <w:color w:val="000000"/>
                <w:sz w:val="20"/>
                <w:lang w:val="es-ES"/>
              </w:rPr>
              <w:t>Urban Water Journal</w:t>
            </w:r>
            <w:r w:rsidRPr="00531C87">
              <w:rPr>
                <w:color w:val="000000"/>
                <w:sz w:val="20"/>
                <w:lang w:val="es-ES"/>
              </w:rPr>
              <w:t xml:space="preserve">, </w:t>
            </w:r>
            <w:r w:rsidRPr="00531C87">
              <w:rPr>
                <w:i/>
                <w:iCs/>
                <w:color w:val="000000"/>
                <w:sz w:val="20"/>
                <w:lang w:val="es-ES"/>
              </w:rPr>
              <w:t>3</w:t>
            </w:r>
            <w:r w:rsidRPr="00531C87">
              <w:rPr>
                <w:color w:val="000000"/>
                <w:sz w:val="20"/>
                <w:lang w:val="es-ES"/>
              </w:rPr>
              <w:t>(3), 127-143. https://doi.org/10.1080/15730620600961288</w:t>
            </w:r>
          </w:p>
          <w:p w14:paraId="24CD991B" w14:textId="77777777" w:rsidR="00531C87" w:rsidRPr="00531C87" w:rsidRDefault="00531C87" w:rsidP="00531C87">
            <w:pPr>
              <w:pStyle w:val="Bibliografa1"/>
              <w:rPr>
                <w:color w:val="000000"/>
                <w:sz w:val="20"/>
                <w:lang w:val="es-ES"/>
              </w:rPr>
            </w:pPr>
            <w:r w:rsidRPr="00531C87">
              <w:rPr>
                <w:color w:val="000000"/>
                <w:sz w:val="20"/>
                <w:lang w:val="es-ES"/>
              </w:rPr>
              <w:t xml:space="preserve">Kalbar, P. P., Birkved, M., Hauschild, M., Kabins, S., &amp; Nygaard, S. E. (2018). Environmental impact of urban consumption patterns: Drivers and focus points. </w:t>
            </w:r>
            <w:r w:rsidRPr="00531C87">
              <w:rPr>
                <w:i/>
                <w:iCs/>
                <w:color w:val="000000"/>
                <w:sz w:val="20"/>
                <w:lang w:val="es-ES"/>
              </w:rPr>
              <w:t>Resources, Conservation and Recycling</w:t>
            </w:r>
            <w:r w:rsidRPr="00531C87">
              <w:rPr>
                <w:color w:val="000000"/>
                <w:sz w:val="20"/>
                <w:lang w:val="es-ES"/>
              </w:rPr>
              <w:t xml:space="preserve">, </w:t>
            </w:r>
            <w:r w:rsidRPr="00531C87">
              <w:rPr>
                <w:i/>
                <w:iCs/>
                <w:color w:val="000000"/>
                <w:sz w:val="20"/>
                <w:lang w:val="es-ES"/>
              </w:rPr>
              <w:t>137</w:t>
            </w:r>
            <w:r w:rsidRPr="00531C87">
              <w:rPr>
                <w:color w:val="000000"/>
                <w:sz w:val="20"/>
                <w:lang w:val="es-ES"/>
              </w:rPr>
              <w:t>, 260-269. https://doi.org/10.1016/j.resconrec.2018.06.019</w:t>
            </w:r>
          </w:p>
          <w:p w14:paraId="7E77655D" w14:textId="77777777" w:rsidR="00531C87" w:rsidRPr="00531C87" w:rsidRDefault="00531C87" w:rsidP="00531C87">
            <w:pPr>
              <w:pStyle w:val="Bibliografa1"/>
              <w:rPr>
                <w:color w:val="000000"/>
                <w:sz w:val="20"/>
                <w:lang w:val="es-ES"/>
              </w:rPr>
            </w:pPr>
            <w:r w:rsidRPr="00531C87">
              <w:rPr>
                <w:color w:val="000000"/>
                <w:sz w:val="20"/>
                <w:lang w:val="es-ES"/>
              </w:rPr>
              <w:t xml:space="preserve">Kanakoudis, V. K. (2002). Urban water use conservation measures. </w:t>
            </w:r>
            <w:r w:rsidRPr="00531C87">
              <w:rPr>
                <w:i/>
                <w:iCs/>
                <w:color w:val="000000"/>
                <w:sz w:val="20"/>
                <w:lang w:val="es-ES"/>
              </w:rPr>
              <w:t>Journal of Water Supply: Research and Technology-Aqua</w:t>
            </w:r>
            <w:r w:rsidRPr="00531C87">
              <w:rPr>
                <w:color w:val="000000"/>
                <w:sz w:val="20"/>
                <w:lang w:val="es-ES"/>
              </w:rPr>
              <w:t xml:space="preserve">, </w:t>
            </w:r>
            <w:r w:rsidRPr="00531C87">
              <w:rPr>
                <w:i/>
                <w:iCs/>
                <w:color w:val="000000"/>
                <w:sz w:val="20"/>
                <w:lang w:val="es-ES"/>
              </w:rPr>
              <w:t>51</w:t>
            </w:r>
            <w:r w:rsidRPr="00531C87">
              <w:rPr>
                <w:color w:val="000000"/>
                <w:sz w:val="20"/>
                <w:lang w:val="es-ES"/>
              </w:rPr>
              <w:t>(3), 153-163. https://doi.org/10.2166/aqua.2002.0013</w:t>
            </w:r>
          </w:p>
          <w:p w14:paraId="4578A8B5" w14:textId="77777777" w:rsidR="00531C87" w:rsidRPr="00531C87" w:rsidRDefault="00531C87" w:rsidP="00531C87">
            <w:pPr>
              <w:pStyle w:val="Bibliografa1"/>
              <w:rPr>
                <w:color w:val="000000"/>
                <w:sz w:val="20"/>
                <w:lang w:val="es-ES"/>
              </w:rPr>
            </w:pPr>
            <w:r w:rsidRPr="00531C87">
              <w:rPr>
                <w:color w:val="000000"/>
                <w:sz w:val="20"/>
                <w:lang w:val="es-ES"/>
              </w:rPr>
              <w:t xml:space="preserve">Kavousian, A., Rajagopal, R., &amp; Fischer, M. (2013). Determinants of residential electricity consumption: Using smart meter data to examine the effect of climate, building characteristics, appliance stock, and occupants’ behavior. </w:t>
            </w:r>
            <w:r w:rsidRPr="00531C87">
              <w:rPr>
                <w:i/>
                <w:iCs/>
                <w:color w:val="000000"/>
                <w:sz w:val="20"/>
                <w:lang w:val="es-ES"/>
              </w:rPr>
              <w:t>Energy</w:t>
            </w:r>
            <w:r w:rsidRPr="00531C87">
              <w:rPr>
                <w:color w:val="000000"/>
                <w:sz w:val="20"/>
                <w:lang w:val="es-ES"/>
              </w:rPr>
              <w:t xml:space="preserve">, </w:t>
            </w:r>
            <w:r w:rsidRPr="00531C87">
              <w:rPr>
                <w:i/>
                <w:iCs/>
                <w:color w:val="000000"/>
                <w:sz w:val="20"/>
                <w:lang w:val="es-ES"/>
              </w:rPr>
              <w:t>55</w:t>
            </w:r>
            <w:r w:rsidRPr="00531C87">
              <w:rPr>
                <w:color w:val="000000"/>
                <w:sz w:val="20"/>
                <w:lang w:val="es-ES"/>
              </w:rPr>
              <w:t>, 184-194. https://doi.org/10.1016/j.energy.2013.03.086</w:t>
            </w:r>
          </w:p>
          <w:p w14:paraId="40ECEE69" w14:textId="77777777" w:rsidR="00531C87" w:rsidRPr="00531C87" w:rsidRDefault="00531C87" w:rsidP="00531C87">
            <w:pPr>
              <w:pStyle w:val="Bibliografa1"/>
              <w:rPr>
                <w:color w:val="000000"/>
                <w:sz w:val="20"/>
                <w:lang w:val="es-ES"/>
              </w:rPr>
            </w:pPr>
            <w:r w:rsidRPr="00531C87">
              <w:rPr>
                <w:color w:val="000000"/>
                <w:sz w:val="20"/>
                <w:lang w:val="es-ES"/>
              </w:rPr>
              <w:t xml:space="preserve">Kenway, S. J., Binks, A., Lane, J., Lant, P. A., Lam, K. L., &amp; Simms, A. (2015). A systemic framework and analysis of urban water energy. </w:t>
            </w:r>
            <w:r w:rsidRPr="00531C87">
              <w:rPr>
                <w:i/>
                <w:iCs/>
                <w:color w:val="000000"/>
                <w:sz w:val="20"/>
                <w:lang w:val="es-ES"/>
              </w:rPr>
              <w:t>Environmental Modelling &amp; Software</w:t>
            </w:r>
            <w:r w:rsidRPr="00531C87">
              <w:rPr>
                <w:color w:val="000000"/>
                <w:sz w:val="20"/>
                <w:lang w:val="es-ES"/>
              </w:rPr>
              <w:t xml:space="preserve">, </w:t>
            </w:r>
            <w:r w:rsidRPr="00531C87">
              <w:rPr>
                <w:i/>
                <w:iCs/>
                <w:color w:val="000000"/>
                <w:sz w:val="20"/>
                <w:lang w:val="es-ES"/>
              </w:rPr>
              <w:t>73</w:t>
            </w:r>
            <w:r w:rsidRPr="00531C87">
              <w:rPr>
                <w:color w:val="000000"/>
                <w:sz w:val="20"/>
                <w:lang w:val="es-ES"/>
              </w:rPr>
              <w:t>, 272-285. https://doi.org/10.1016/j.envsoft.2015.08.009</w:t>
            </w:r>
          </w:p>
          <w:p w14:paraId="5C8316FF" w14:textId="77777777" w:rsidR="00531C87" w:rsidRPr="00531C87" w:rsidRDefault="00531C87" w:rsidP="00531C87">
            <w:pPr>
              <w:pStyle w:val="Bibliografa1"/>
              <w:rPr>
                <w:color w:val="000000"/>
                <w:sz w:val="20"/>
                <w:lang w:val="es-ES"/>
              </w:rPr>
            </w:pPr>
            <w:r w:rsidRPr="00531C87">
              <w:rPr>
                <w:color w:val="000000"/>
                <w:sz w:val="20"/>
                <w:lang w:val="es-ES"/>
              </w:rPr>
              <w:t xml:space="preserve">Kenway, S. J., Binks, A., Scheidegger, R., Bader, H.-P., Pamminger, F., Lant, P., &amp; Taimre, T. (2016). Household analysis identifies water-related energy efficiency opportunities. </w:t>
            </w:r>
            <w:r w:rsidRPr="00531C87">
              <w:rPr>
                <w:i/>
                <w:iCs/>
                <w:color w:val="000000"/>
                <w:sz w:val="20"/>
                <w:lang w:val="es-ES"/>
              </w:rPr>
              <w:t>Energy and Buildings</w:t>
            </w:r>
            <w:r w:rsidRPr="00531C87">
              <w:rPr>
                <w:color w:val="000000"/>
                <w:sz w:val="20"/>
                <w:lang w:val="es-ES"/>
              </w:rPr>
              <w:t xml:space="preserve">, </w:t>
            </w:r>
            <w:r w:rsidRPr="00531C87">
              <w:rPr>
                <w:i/>
                <w:iCs/>
                <w:color w:val="000000"/>
                <w:sz w:val="20"/>
                <w:lang w:val="es-ES"/>
              </w:rPr>
              <w:t>131</w:t>
            </w:r>
            <w:r w:rsidRPr="00531C87">
              <w:rPr>
                <w:color w:val="000000"/>
                <w:sz w:val="20"/>
                <w:lang w:val="es-ES"/>
              </w:rPr>
              <w:t>, 21-34. https://doi.org/10.1016/j.enbuild.2016.09.008</w:t>
            </w:r>
          </w:p>
          <w:p w14:paraId="2C162136" w14:textId="77777777" w:rsidR="00531C87" w:rsidRPr="00531C87" w:rsidRDefault="00531C87" w:rsidP="00531C87">
            <w:pPr>
              <w:pStyle w:val="Bibliografa1"/>
              <w:rPr>
                <w:color w:val="000000"/>
                <w:sz w:val="20"/>
                <w:lang w:val="es-ES"/>
              </w:rPr>
            </w:pPr>
            <w:r w:rsidRPr="00531C87">
              <w:rPr>
                <w:color w:val="000000"/>
                <w:sz w:val="20"/>
                <w:lang w:val="es-ES"/>
              </w:rPr>
              <w:t xml:space="preserve">Kenway, S. J., Lant, P. A., Priestley, A., &amp; Daniels, P. (2011). The connection between water and energy in cities: a review. </w:t>
            </w:r>
            <w:r w:rsidRPr="00531C87">
              <w:rPr>
                <w:i/>
                <w:iCs/>
                <w:color w:val="000000"/>
                <w:sz w:val="20"/>
                <w:lang w:val="es-ES"/>
              </w:rPr>
              <w:t>Water Science and Technology</w:t>
            </w:r>
            <w:r w:rsidRPr="00531C87">
              <w:rPr>
                <w:color w:val="000000"/>
                <w:sz w:val="20"/>
                <w:lang w:val="es-ES"/>
              </w:rPr>
              <w:t xml:space="preserve">, </w:t>
            </w:r>
            <w:r w:rsidRPr="00531C87">
              <w:rPr>
                <w:i/>
                <w:iCs/>
                <w:color w:val="000000"/>
                <w:sz w:val="20"/>
                <w:lang w:val="es-ES"/>
              </w:rPr>
              <w:t>63</w:t>
            </w:r>
            <w:r w:rsidRPr="00531C87">
              <w:rPr>
                <w:color w:val="000000"/>
                <w:sz w:val="20"/>
                <w:lang w:val="es-ES"/>
              </w:rPr>
              <w:t>(9), 1983-1990. https://doi.org/10.2166/wst.2011.070</w:t>
            </w:r>
          </w:p>
          <w:p w14:paraId="6804CFA9" w14:textId="77777777" w:rsidR="00531C87" w:rsidRPr="00531C87" w:rsidRDefault="00531C87" w:rsidP="00531C87">
            <w:pPr>
              <w:pStyle w:val="Bibliografa1"/>
              <w:rPr>
                <w:color w:val="000000"/>
                <w:sz w:val="20"/>
                <w:lang w:val="es-ES"/>
              </w:rPr>
            </w:pPr>
            <w:r w:rsidRPr="00531C87">
              <w:rPr>
                <w:color w:val="000000"/>
                <w:sz w:val="20"/>
                <w:lang w:val="es-ES"/>
              </w:rPr>
              <w:t xml:space="preserve">Kenway, S. J., Scheidegger, R., Larsen, T. A., Lant, P., &amp; Bader, H.-P. (2013). Water-related energy in households: A model designed to understand the current state and simulate possible measures. </w:t>
            </w:r>
            <w:r w:rsidRPr="00531C87">
              <w:rPr>
                <w:i/>
                <w:iCs/>
                <w:color w:val="000000"/>
                <w:sz w:val="20"/>
                <w:lang w:val="es-ES"/>
              </w:rPr>
              <w:t>Energy and Buildings</w:t>
            </w:r>
            <w:r w:rsidRPr="00531C87">
              <w:rPr>
                <w:color w:val="000000"/>
                <w:sz w:val="20"/>
                <w:lang w:val="es-ES"/>
              </w:rPr>
              <w:t xml:space="preserve">, </w:t>
            </w:r>
            <w:r w:rsidRPr="00531C87">
              <w:rPr>
                <w:i/>
                <w:iCs/>
                <w:color w:val="000000"/>
                <w:sz w:val="20"/>
                <w:lang w:val="es-ES"/>
              </w:rPr>
              <w:t>58</w:t>
            </w:r>
            <w:r w:rsidRPr="00531C87">
              <w:rPr>
                <w:color w:val="000000"/>
                <w:sz w:val="20"/>
                <w:lang w:val="es-ES"/>
              </w:rPr>
              <w:t>, 378-389. https://doi.org/10.1016/j.enbuild.2012.08.035</w:t>
            </w:r>
          </w:p>
          <w:p w14:paraId="1B9F6555" w14:textId="77777777" w:rsidR="00531C87" w:rsidRPr="00531C87" w:rsidRDefault="00531C87" w:rsidP="00531C87">
            <w:pPr>
              <w:pStyle w:val="Bibliografa1"/>
              <w:rPr>
                <w:color w:val="000000"/>
                <w:sz w:val="20"/>
                <w:lang w:val="es-ES"/>
              </w:rPr>
            </w:pPr>
            <w:r w:rsidRPr="00531C87">
              <w:rPr>
                <w:color w:val="000000"/>
                <w:sz w:val="20"/>
                <w:lang w:val="es-ES"/>
              </w:rPr>
              <w:t xml:space="preserve">Lam, S.-P. (2006). Predicting Intention to Save Water: Theory of Planned Behavior, Response Efficacy, Vulnerability, and Perceived Efficiency of Alternative Solutions1. </w:t>
            </w:r>
            <w:r w:rsidRPr="00531C87">
              <w:rPr>
                <w:i/>
                <w:iCs/>
                <w:color w:val="000000"/>
                <w:sz w:val="20"/>
                <w:lang w:val="es-ES"/>
              </w:rPr>
              <w:t>Journal of Applied Social Psychology</w:t>
            </w:r>
            <w:r w:rsidRPr="00531C87">
              <w:rPr>
                <w:color w:val="000000"/>
                <w:sz w:val="20"/>
                <w:lang w:val="es-ES"/>
              </w:rPr>
              <w:t xml:space="preserve">, </w:t>
            </w:r>
            <w:r w:rsidRPr="00531C87">
              <w:rPr>
                <w:i/>
                <w:iCs/>
                <w:color w:val="000000"/>
                <w:sz w:val="20"/>
                <w:lang w:val="es-ES"/>
              </w:rPr>
              <w:t>36</w:t>
            </w:r>
            <w:r w:rsidRPr="00531C87">
              <w:rPr>
                <w:color w:val="000000"/>
                <w:sz w:val="20"/>
                <w:lang w:val="es-ES"/>
              </w:rPr>
              <w:t>(11), 2803-2824. https://doi.org/10.1111/j.0021-9029.2006.00129.x</w:t>
            </w:r>
          </w:p>
          <w:p w14:paraId="4CFF26AD" w14:textId="77777777" w:rsidR="00531C87" w:rsidRPr="00531C87" w:rsidRDefault="00531C87" w:rsidP="00531C87">
            <w:pPr>
              <w:pStyle w:val="Bibliografa1"/>
              <w:rPr>
                <w:color w:val="000000"/>
                <w:sz w:val="20"/>
                <w:lang w:val="es-ES"/>
              </w:rPr>
            </w:pPr>
            <w:r w:rsidRPr="00531C87">
              <w:rPr>
                <w:color w:val="000000"/>
                <w:sz w:val="20"/>
                <w:lang w:val="es-ES"/>
              </w:rPr>
              <w:t xml:space="preserve">Landon, A. C., Kyle, G. T., &amp; Kaiser, R. A. (2017). An Augmented Norm Activation Model: The Case of Residential Outdoor Water Use. </w:t>
            </w:r>
            <w:r w:rsidRPr="00531C87">
              <w:rPr>
                <w:i/>
                <w:iCs/>
                <w:color w:val="000000"/>
                <w:sz w:val="20"/>
                <w:lang w:val="es-ES"/>
              </w:rPr>
              <w:t>Society &amp; Natural Resources</w:t>
            </w:r>
            <w:r w:rsidRPr="00531C87">
              <w:rPr>
                <w:color w:val="000000"/>
                <w:sz w:val="20"/>
                <w:lang w:val="es-ES"/>
              </w:rPr>
              <w:t xml:space="preserve">, </w:t>
            </w:r>
            <w:r w:rsidRPr="00531C87">
              <w:rPr>
                <w:i/>
                <w:iCs/>
                <w:color w:val="000000"/>
                <w:sz w:val="20"/>
                <w:lang w:val="es-ES"/>
              </w:rPr>
              <w:t>30</w:t>
            </w:r>
            <w:r w:rsidRPr="00531C87">
              <w:rPr>
                <w:color w:val="000000"/>
                <w:sz w:val="20"/>
                <w:lang w:val="es-ES"/>
              </w:rPr>
              <w:t>(8), 903-918. https://doi.org/10.1080/08941920.2016.1239294</w:t>
            </w:r>
          </w:p>
          <w:p w14:paraId="737B888C" w14:textId="77777777" w:rsidR="00531C87" w:rsidRPr="00531C87" w:rsidRDefault="00531C87" w:rsidP="00531C87">
            <w:pPr>
              <w:pStyle w:val="Bibliografa1"/>
              <w:rPr>
                <w:color w:val="000000"/>
                <w:sz w:val="20"/>
                <w:lang w:val="es-ES"/>
              </w:rPr>
            </w:pPr>
            <w:r w:rsidRPr="00531C87">
              <w:rPr>
                <w:color w:val="000000"/>
                <w:sz w:val="20"/>
                <w:lang w:val="es-ES"/>
              </w:rPr>
              <w:t xml:space="preserve">Newman, P. W. G. (1999). Sustainability and cities: extending the metabolism model. </w:t>
            </w:r>
            <w:r w:rsidRPr="00531C87">
              <w:rPr>
                <w:i/>
                <w:iCs/>
                <w:color w:val="000000"/>
                <w:sz w:val="20"/>
                <w:lang w:val="es-ES"/>
              </w:rPr>
              <w:t>Landscape and Urban Planning</w:t>
            </w:r>
            <w:r w:rsidRPr="00531C87">
              <w:rPr>
                <w:color w:val="000000"/>
                <w:sz w:val="20"/>
                <w:lang w:val="es-ES"/>
              </w:rPr>
              <w:t xml:space="preserve">, </w:t>
            </w:r>
            <w:r w:rsidRPr="00531C87">
              <w:rPr>
                <w:i/>
                <w:iCs/>
                <w:color w:val="000000"/>
                <w:sz w:val="20"/>
                <w:lang w:val="es-ES"/>
              </w:rPr>
              <w:t>44</w:t>
            </w:r>
            <w:r w:rsidRPr="00531C87">
              <w:rPr>
                <w:color w:val="000000"/>
                <w:sz w:val="20"/>
                <w:lang w:val="es-ES"/>
              </w:rPr>
              <w:t>(4), 219-226. https://doi.org/10.1016/S0169-2046(99)00009-2</w:t>
            </w:r>
          </w:p>
          <w:p w14:paraId="65324A8F" w14:textId="77777777" w:rsidR="00531C87" w:rsidRPr="00531C87" w:rsidRDefault="00531C87" w:rsidP="00531C87">
            <w:pPr>
              <w:pStyle w:val="Bibliografa1"/>
              <w:rPr>
                <w:color w:val="000000"/>
                <w:sz w:val="20"/>
                <w:lang w:val="es-ES"/>
              </w:rPr>
            </w:pPr>
            <w:r w:rsidRPr="00531C87">
              <w:rPr>
                <w:color w:val="000000"/>
                <w:sz w:val="20"/>
                <w:lang w:val="es-ES"/>
              </w:rPr>
              <w:lastRenderedPageBreak/>
              <w:t xml:space="preserve">Newton, P., &amp; Meyer, D. (2013). Exploring the Attitudes-Action Gap in Household Resource Consumption: Does “Environmental Lifestyle” Segmentation Align with Consumer Behaviour? </w:t>
            </w:r>
            <w:r w:rsidRPr="00531C87">
              <w:rPr>
                <w:i/>
                <w:iCs/>
                <w:color w:val="000000"/>
                <w:sz w:val="20"/>
                <w:lang w:val="es-ES"/>
              </w:rPr>
              <w:t>Sustainability</w:t>
            </w:r>
            <w:r w:rsidRPr="00531C87">
              <w:rPr>
                <w:color w:val="000000"/>
                <w:sz w:val="20"/>
                <w:lang w:val="es-ES"/>
              </w:rPr>
              <w:t xml:space="preserve">, </w:t>
            </w:r>
            <w:r w:rsidRPr="00531C87">
              <w:rPr>
                <w:i/>
                <w:iCs/>
                <w:color w:val="000000"/>
                <w:sz w:val="20"/>
                <w:lang w:val="es-ES"/>
              </w:rPr>
              <w:t>5</w:t>
            </w:r>
            <w:r w:rsidRPr="00531C87">
              <w:rPr>
                <w:color w:val="000000"/>
                <w:sz w:val="20"/>
                <w:lang w:val="es-ES"/>
              </w:rPr>
              <w:t>(3), 1211-1233. https://doi.org/10.3390/su5031211</w:t>
            </w:r>
          </w:p>
          <w:p w14:paraId="556338C6" w14:textId="77777777" w:rsidR="00531C87" w:rsidRPr="00531C87" w:rsidRDefault="00531C87" w:rsidP="00531C87">
            <w:pPr>
              <w:pStyle w:val="Bibliografa1"/>
              <w:rPr>
                <w:color w:val="000000"/>
                <w:sz w:val="20"/>
                <w:lang w:val="es-ES"/>
              </w:rPr>
            </w:pPr>
            <w:r w:rsidRPr="00531C87">
              <w:rPr>
                <w:color w:val="000000"/>
                <w:sz w:val="20"/>
                <w:lang w:val="es-ES"/>
              </w:rPr>
              <w:t xml:space="preserve">Newton, P., &amp; Meyer, D. (2016). Built Environment and Human Behaviour Challenges to Sustainable Consumption. En </w:t>
            </w:r>
            <w:r w:rsidRPr="00531C87">
              <w:rPr>
                <w:i/>
                <w:iCs/>
                <w:color w:val="000000"/>
                <w:sz w:val="20"/>
                <w:lang w:val="es-ES"/>
              </w:rPr>
              <w:t>Ethics and Morality in Consumption: Interdisciplinary Perspectives</w:t>
            </w:r>
            <w:r w:rsidRPr="00531C87">
              <w:rPr>
                <w:color w:val="000000"/>
                <w:sz w:val="20"/>
                <w:lang w:val="es-ES"/>
              </w:rPr>
              <w:t>. Routledge.</w:t>
            </w:r>
          </w:p>
          <w:p w14:paraId="5A85E230" w14:textId="77777777" w:rsidR="00531C87" w:rsidRPr="00531C87" w:rsidRDefault="00531C87" w:rsidP="00531C87">
            <w:pPr>
              <w:pStyle w:val="Bibliografa1"/>
              <w:rPr>
                <w:color w:val="000000"/>
                <w:sz w:val="20"/>
                <w:lang w:val="es-ES"/>
              </w:rPr>
            </w:pPr>
            <w:r w:rsidRPr="00531C87">
              <w:rPr>
                <w:color w:val="000000"/>
                <w:sz w:val="20"/>
                <w:lang w:val="es-ES"/>
              </w:rPr>
              <w:t xml:space="preserve">Plappally, A. K., &amp; Lienhard V, J. H. (2012). Energy requirements for water production, treatment, end use, reclamation, and disposal. </w:t>
            </w:r>
            <w:r w:rsidRPr="00531C87">
              <w:rPr>
                <w:i/>
                <w:iCs/>
                <w:color w:val="000000"/>
                <w:sz w:val="20"/>
                <w:lang w:val="es-ES"/>
              </w:rPr>
              <w:t>Renewable and Sustainable Energy Reviews</w:t>
            </w:r>
            <w:r w:rsidRPr="00531C87">
              <w:rPr>
                <w:color w:val="000000"/>
                <w:sz w:val="20"/>
                <w:lang w:val="es-ES"/>
              </w:rPr>
              <w:t xml:space="preserve">, </w:t>
            </w:r>
            <w:r w:rsidRPr="00531C87">
              <w:rPr>
                <w:i/>
                <w:iCs/>
                <w:color w:val="000000"/>
                <w:sz w:val="20"/>
                <w:lang w:val="es-ES"/>
              </w:rPr>
              <w:t>16</w:t>
            </w:r>
            <w:r w:rsidRPr="00531C87">
              <w:rPr>
                <w:color w:val="000000"/>
                <w:sz w:val="20"/>
                <w:lang w:val="es-ES"/>
              </w:rPr>
              <w:t>(7), 4818-4848. https://doi.org/10.1016/j.rser.2012.05.022</w:t>
            </w:r>
          </w:p>
          <w:p w14:paraId="5D43389B" w14:textId="77777777" w:rsidR="00531C87" w:rsidRPr="00531C87" w:rsidRDefault="00531C87" w:rsidP="00531C87">
            <w:pPr>
              <w:pStyle w:val="Bibliografa1"/>
              <w:rPr>
                <w:color w:val="000000"/>
                <w:sz w:val="20"/>
                <w:lang w:val="es-ES"/>
              </w:rPr>
            </w:pPr>
            <w:r w:rsidRPr="00531C87">
              <w:rPr>
                <w:color w:val="000000"/>
                <w:sz w:val="20"/>
                <w:lang w:val="es-ES"/>
              </w:rPr>
              <w:t xml:space="preserve">Sahely, H. R., Dudding, S., &amp; Kennedy, C. A. (2003). Estimating the urban metabolism of Canadian cities: Greater Toronto Area case study. </w:t>
            </w:r>
            <w:r w:rsidRPr="00531C87">
              <w:rPr>
                <w:i/>
                <w:iCs/>
                <w:color w:val="000000"/>
                <w:sz w:val="20"/>
                <w:lang w:val="es-ES"/>
              </w:rPr>
              <w:t>Canadian Journal of Civil Engineering</w:t>
            </w:r>
            <w:r w:rsidRPr="00531C87">
              <w:rPr>
                <w:color w:val="000000"/>
                <w:sz w:val="20"/>
                <w:lang w:val="es-ES"/>
              </w:rPr>
              <w:t xml:space="preserve">, </w:t>
            </w:r>
            <w:r w:rsidRPr="00531C87">
              <w:rPr>
                <w:i/>
                <w:iCs/>
                <w:color w:val="000000"/>
                <w:sz w:val="20"/>
                <w:lang w:val="es-ES"/>
              </w:rPr>
              <w:t>30</w:t>
            </w:r>
            <w:r w:rsidRPr="00531C87">
              <w:rPr>
                <w:color w:val="000000"/>
                <w:sz w:val="20"/>
                <w:lang w:val="es-ES"/>
              </w:rPr>
              <w:t>(2), 468-483. https://doi.org/10.1139/l02-105</w:t>
            </w:r>
          </w:p>
          <w:p w14:paraId="76DF8519" w14:textId="77777777" w:rsidR="00531C87" w:rsidRPr="00531C87" w:rsidRDefault="00531C87" w:rsidP="00531C87">
            <w:pPr>
              <w:pStyle w:val="Bibliografa1"/>
              <w:rPr>
                <w:color w:val="000000"/>
                <w:sz w:val="20"/>
                <w:lang w:val="es-ES"/>
              </w:rPr>
            </w:pPr>
            <w:r w:rsidRPr="00531C87">
              <w:rPr>
                <w:color w:val="000000"/>
                <w:sz w:val="20"/>
                <w:lang w:val="es-ES"/>
              </w:rPr>
              <w:t xml:space="preserve">Stokes, J. R., &amp; Horvath, A. (2009). Energy and air emission effects of water supply. </w:t>
            </w:r>
            <w:r w:rsidRPr="00531C87">
              <w:rPr>
                <w:i/>
                <w:iCs/>
                <w:color w:val="000000"/>
                <w:sz w:val="20"/>
                <w:lang w:val="es-ES"/>
              </w:rPr>
              <w:t>Environmental science &amp; technology</w:t>
            </w:r>
            <w:r w:rsidRPr="00531C87">
              <w:rPr>
                <w:color w:val="000000"/>
                <w:sz w:val="20"/>
                <w:lang w:val="es-ES"/>
              </w:rPr>
              <w:t xml:space="preserve">, </w:t>
            </w:r>
            <w:r w:rsidRPr="00531C87">
              <w:rPr>
                <w:i/>
                <w:iCs/>
                <w:color w:val="000000"/>
                <w:sz w:val="20"/>
                <w:lang w:val="es-ES"/>
              </w:rPr>
              <w:t>43</w:t>
            </w:r>
            <w:r w:rsidRPr="00531C87">
              <w:rPr>
                <w:color w:val="000000"/>
                <w:sz w:val="20"/>
                <w:lang w:val="es-ES"/>
              </w:rPr>
              <w:t>(8), 2680–2687.</w:t>
            </w:r>
          </w:p>
          <w:p w14:paraId="7801F468" w14:textId="77777777" w:rsidR="00531C87" w:rsidRPr="00531C87" w:rsidRDefault="00531C87" w:rsidP="00531C87">
            <w:pPr>
              <w:pStyle w:val="Bibliografa1"/>
              <w:rPr>
                <w:color w:val="000000"/>
                <w:sz w:val="20"/>
                <w:lang w:val="es-ES"/>
              </w:rPr>
            </w:pPr>
            <w:r w:rsidRPr="00531C87">
              <w:rPr>
                <w:color w:val="000000"/>
                <w:sz w:val="20"/>
                <w:lang w:val="es-ES"/>
              </w:rPr>
              <w:t xml:space="preserve">United Nations. (2014). World urbanization prospects: The 2014 revision, highlights. department of economic and social affairs. </w:t>
            </w:r>
            <w:r w:rsidRPr="00531C87">
              <w:rPr>
                <w:i/>
                <w:iCs/>
                <w:color w:val="000000"/>
                <w:sz w:val="20"/>
                <w:lang w:val="es-ES"/>
              </w:rPr>
              <w:t>Population Division, United Nations</w:t>
            </w:r>
            <w:r w:rsidRPr="00531C87">
              <w:rPr>
                <w:color w:val="000000"/>
                <w:sz w:val="20"/>
                <w:lang w:val="es-ES"/>
              </w:rPr>
              <w:t xml:space="preserve">, </w:t>
            </w:r>
            <w:r w:rsidRPr="00531C87">
              <w:rPr>
                <w:i/>
                <w:iCs/>
                <w:color w:val="000000"/>
                <w:sz w:val="20"/>
                <w:lang w:val="es-ES"/>
              </w:rPr>
              <w:t>32</w:t>
            </w:r>
            <w:r w:rsidRPr="00531C87">
              <w:rPr>
                <w:color w:val="000000"/>
                <w:sz w:val="20"/>
                <w:lang w:val="es-ES"/>
              </w:rPr>
              <w:t>.</w:t>
            </w:r>
          </w:p>
          <w:p w14:paraId="7E0A425F" w14:textId="77777777" w:rsidR="00531C87" w:rsidRPr="00531C87" w:rsidRDefault="00531C87" w:rsidP="00531C87">
            <w:pPr>
              <w:pStyle w:val="Bibliografa1"/>
              <w:rPr>
                <w:color w:val="000000"/>
                <w:sz w:val="20"/>
                <w:lang w:val="es-ES"/>
              </w:rPr>
            </w:pPr>
            <w:r w:rsidRPr="00531C87">
              <w:rPr>
                <w:color w:val="000000"/>
                <w:sz w:val="20"/>
                <w:lang w:val="es-ES"/>
              </w:rPr>
              <w:t xml:space="preserve">Venkatesh, G., &amp; Brattebø, H. (2011). Energy consumption, costs and environmental impacts for urban water cycle services: Case study of Oslo (Norway). </w:t>
            </w:r>
            <w:r w:rsidRPr="00531C87">
              <w:rPr>
                <w:i/>
                <w:iCs/>
                <w:color w:val="000000"/>
                <w:sz w:val="20"/>
                <w:lang w:val="es-ES"/>
              </w:rPr>
              <w:t>Energy</w:t>
            </w:r>
            <w:r w:rsidRPr="00531C87">
              <w:rPr>
                <w:color w:val="000000"/>
                <w:sz w:val="20"/>
                <w:lang w:val="es-ES"/>
              </w:rPr>
              <w:t xml:space="preserve">, </w:t>
            </w:r>
            <w:r w:rsidRPr="00531C87">
              <w:rPr>
                <w:i/>
                <w:iCs/>
                <w:color w:val="000000"/>
                <w:sz w:val="20"/>
                <w:lang w:val="es-ES"/>
              </w:rPr>
              <w:t>36</w:t>
            </w:r>
            <w:r w:rsidRPr="00531C87">
              <w:rPr>
                <w:color w:val="000000"/>
                <w:sz w:val="20"/>
                <w:lang w:val="es-ES"/>
              </w:rPr>
              <w:t>(2), 792-800. https://doi.org/10.1016/j.energy.2010.12.040</w:t>
            </w:r>
          </w:p>
          <w:p w14:paraId="6AA13BCF" w14:textId="77777777" w:rsidR="00531C87" w:rsidRPr="00531C87" w:rsidRDefault="00531C87" w:rsidP="00531C87">
            <w:pPr>
              <w:pStyle w:val="Bibliografa1"/>
              <w:rPr>
                <w:color w:val="000000"/>
                <w:sz w:val="20"/>
                <w:lang w:val="es-ES"/>
              </w:rPr>
            </w:pPr>
            <w:r w:rsidRPr="00531C87">
              <w:rPr>
                <w:color w:val="000000"/>
                <w:sz w:val="20"/>
                <w:lang w:val="es-ES"/>
              </w:rPr>
              <w:t xml:space="preserve">Willis, R. M., Stewart, R. A., Panuwatwanich, K., Williams, P. R., &amp; Hollingsworth, A. L. (2011). Quantifying the influence of environmental and water conservation attitudes on household end use water consumption. </w:t>
            </w:r>
            <w:r w:rsidRPr="00531C87">
              <w:rPr>
                <w:i/>
                <w:iCs/>
                <w:color w:val="000000"/>
                <w:sz w:val="20"/>
                <w:lang w:val="es-ES"/>
              </w:rPr>
              <w:t>Journal of Environmental Management</w:t>
            </w:r>
            <w:r w:rsidRPr="00531C87">
              <w:rPr>
                <w:color w:val="000000"/>
                <w:sz w:val="20"/>
                <w:lang w:val="es-ES"/>
              </w:rPr>
              <w:t xml:space="preserve">, </w:t>
            </w:r>
            <w:r w:rsidRPr="00531C87">
              <w:rPr>
                <w:i/>
                <w:iCs/>
                <w:color w:val="000000"/>
                <w:sz w:val="20"/>
                <w:lang w:val="es-ES"/>
              </w:rPr>
              <w:t>92</w:t>
            </w:r>
            <w:r w:rsidRPr="00531C87">
              <w:rPr>
                <w:color w:val="000000"/>
                <w:sz w:val="20"/>
                <w:lang w:val="es-ES"/>
              </w:rPr>
              <w:t>(8), 1996-2009. https://doi.org/10.1016/j.jenvman.2011.03.023</w:t>
            </w:r>
          </w:p>
          <w:p w14:paraId="4680536F" w14:textId="77777777" w:rsidR="00531C87" w:rsidRPr="00531C87" w:rsidRDefault="00531C87" w:rsidP="00531C87">
            <w:pPr>
              <w:pStyle w:val="Bibliografa1"/>
              <w:rPr>
                <w:color w:val="000000"/>
                <w:sz w:val="20"/>
                <w:lang w:val="es-ES"/>
              </w:rPr>
            </w:pPr>
            <w:r w:rsidRPr="00531C87">
              <w:rPr>
                <w:color w:val="000000"/>
                <w:sz w:val="20"/>
                <w:lang w:val="es-ES"/>
              </w:rPr>
              <w:t xml:space="preserve">Wolman, A. (1965). The Metabolism of Cities. </w:t>
            </w:r>
            <w:r w:rsidRPr="00531C87">
              <w:rPr>
                <w:i/>
                <w:iCs/>
                <w:color w:val="000000"/>
                <w:sz w:val="20"/>
                <w:lang w:val="es-ES"/>
              </w:rPr>
              <w:t>Scientific American</w:t>
            </w:r>
            <w:r w:rsidRPr="00531C87">
              <w:rPr>
                <w:color w:val="000000"/>
                <w:sz w:val="20"/>
                <w:lang w:val="es-ES"/>
              </w:rPr>
              <w:t xml:space="preserve">, </w:t>
            </w:r>
            <w:r w:rsidRPr="00531C87">
              <w:rPr>
                <w:i/>
                <w:iCs/>
                <w:color w:val="000000"/>
                <w:sz w:val="20"/>
                <w:lang w:val="es-ES"/>
              </w:rPr>
              <w:t>213</w:t>
            </w:r>
            <w:r w:rsidRPr="00531C87">
              <w:rPr>
                <w:color w:val="000000"/>
                <w:sz w:val="20"/>
                <w:lang w:val="es-ES"/>
              </w:rPr>
              <w:t>(3), 178-193. Recuperado de JSTOR.</w:t>
            </w:r>
          </w:p>
          <w:p w14:paraId="5E6DB364" w14:textId="1D61C181" w:rsidR="005A3412" w:rsidRDefault="00D4309D" w:rsidP="00D4309D">
            <w:pPr>
              <w:pStyle w:val="normal0"/>
              <w:pBdr>
                <w:top w:val="nil"/>
                <w:left w:val="nil"/>
                <w:bottom w:val="nil"/>
                <w:right w:val="nil"/>
                <w:between w:val="nil"/>
              </w:pBdr>
              <w:ind w:left="720" w:hanging="578"/>
              <w:jc w:val="both"/>
              <w:rPr>
                <w:rFonts w:ascii="Times New Roman" w:eastAsia="Times New Roman" w:hAnsi="Times New Roman" w:cs="Times New Roman"/>
                <w:b/>
                <w:color w:val="222222"/>
                <w:sz w:val="24"/>
                <w:szCs w:val="24"/>
              </w:rPr>
            </w:pPr>
            <w:r w:rsidRPr="00B811E3">
              <w:rPr>
                <w:rFonts w:ascii="Times New Roman" w:eastAsia="Times New Roman" w:hAnsi="Times New Roman" w:cs="Times New Roman"/>
                <w:color w:val="222222"/>
                <w:sz w:val="20"/>
                <w:szCs w:val="20"/>
              </w:rPr>
              <w:fldChar w:fldCharType="end"/>
            </w:r>
          </w:p>
        </w:tc>
      </w:tr>
      <w:tr w:rsidR="005A3412" w14:paraId="189541B6" w14:textId="77777777">
        <w:tc>
          <w:tcPr>
            <w:tcW w:w="14983" w:type="dxa"/>
            <w:tcBorders>
              <w:top w:val="single" w:sz="6" w:space="0" w:color="DDDDDD"/>
              <w:left w:val="single" w:sz="6" w:space="0" w:color="DDDDDD"/>
              <w:bottom w:val="single" w:sz="6" w:space="0" w:color="DDDDDD"/>
              <w:right w:val="single" w:sz="6" w:space="0" w:color="DDDDDD"/>
            </w:tcBorders>
            <w:tcMar>
              <w:top w:w="15" w:type="dxa"/>
              <w:left w:w="15" w:type="dxa"/>
              <w:bottom w:w="15" w:type="dxa"/>
              <w:right w:w="15" w:type="dxa"/>
            </w:tcMar>
            <w:vAlign w:val="center"/>
          </w:tcPr>
          <w:p w14:paraId="46CBEECE" w14:textId="77777777" w:rsidR="005A3412" w:rsidRDefault="005A3412">
            <w:pPr>
              <w:pStyle w:val="normal0"/>
              <w:spacing w:line="276" w:lineRule="auto"/>
              <w:ind w:left="720" w:hanging="578"/>
              <w:jc w:val="both"/>
              <w:rPr>
                <w:rFonts w:ascii="Times New Roman" w:eastAsia="Times New Roman" w:hAnsi="Times New Roman" w:cs="Times New Roman"/>
                <w:b/>
                <w:color w:val="222222"/>
                <w:sz w:val="24"/>
                <w:szCs w:val="24"/>
              </w:rPr>
            </w:pPr>
          </w:p>
        </w:tc>
      </w:tr>
    </w:tbl>
    <w:p w14:paraId="310693AC" w14:textId="77777777" w:rsidR="005A3412" w:rsidRDefault="005A3412">
      <w:pPr>
        <w:pStyle w:val="normal0"/>
        <w:spacing w:after="0" w:line="276" w:lineRule="auto"/>
        <w:rPr>
          <w:rFonts w:ascii="Times New Roman" w:eastAsia="Times New Roman" w:hAnsi="Times New Roman" w:cs="Times New Roman"/>
          <w:sz w:val="24"/>
          <w:szCs w:val="24"/>
        </w:rPr>
      </w:pPr>
    </w:p>
    <w:tbl>
      <w:tblPr>
        <w:tblStyle w:val="ad"/>
        <w:tblW w:w="768" w:type="dxa"/>
        <w:tblInd w:w="8" w:type="dxa"/>
        <w:tblLayout w:type="fixed"/>
        <w:tblLook w:val="0400" w:firstRow="0" w:lastRow="0" w:firstColumn="0" w:lastColumn="0" w:noHBand="0" w:noVBand="1"/>
      </w:tblPr>
      <w:tblGrid>
        <w:gridCol w:w="768"/>
      </w:tblGrid>
      <w:tr w:rsidR="005A3412" w14:paraId="37DCE07C" w14:textId="77777777">
        <w:tc>
          <w:tcPr>
            <w:tcW w:w="768" w:type="dxa"/>
            <w:tcMar>
              <w:top w:w="15" w:type="dxa"/>
              <w:left w:w="15" w:type="dxa"/>
              <w:bottom w:w="15" w:type="dxa"/>
              <w:right w:w="15" w:type="dxa"/>
            </w:tcMar>
            <w:vAlign w:val="center"/>
          </w:tcPr>
          <w:p w14:paraId="645BFBEF" w14:textId="77777777" w:rsidR="005A3412" w:rsidRDefault="005A3412">
            <w:pPr>
              <w:pStyle w:val="normal0"/>
              <w:spacing w:line="276" w:lineRule="auto"/>
              <w:rPr>
                <w:rFonts w:ascii="Times New Roman" w:eastAsia="Times New Roman" w:hAnsi="Times New Roman" w:cs="Times New Roman"/>
                <w:sz w:val="24"/>
                <w:szCs w:val="24"/>
              </w:rPr>
            </w:pPr>
          </w:p>
        </w:tc>
      </w:tr>
    </w:tbl>
    <w:p w14:paraId="2F9CB4AA" w14:textId="77777777" w:rsidR="005A3412" w:rsidRDefault="005A3412">
      <w:pPr>
        <w:pStyle w:val="normal0"/>
        <w:spacing w:line="276" w:lineRule="auto"/>
        <w:rPr>
          <w:rFonts w:ascii="Times New Roman" w:eastAsia="Times New Roman" w:hAnsi="Times New Roman" w:cs="Times New Roman"/>
          <w:sz w:val="24"/>
          <w:szCs w:val="24"/>
        </w:rPr>
      </w:pPr>
    </w:p>
    <w:p w14:paraId="29CB9967" w14:textId="77777777" w:rsidR="005A3412" w:rsidRDefault="005A3412">
      <w:pPr>
        <w:pStyle w:val="normal0"/>
        <w:spacing w:line="276" w:lineRule="auto"/>
        <w:jc w:val="center"/>
        <w:rPr>
          <w:rFonts w:ascii="Times New Roman" w:eastAsia="Times New Roman" w:hAnsi="Times New Roman" w:cs="Times New Roman"/>
          <w:b/>
          <w:sz w:val="24"/>
          <w:szCs w:val="24"/>
        </w:rPr>
      </w:pPr>
    </w:p>
    <w:p w14:paraId="02C8CE60" w14:textId="77777777" w:rsidR="005A3412" w:rsidRDefault="005A3412">
      <w:pPr>
        <w:pStyle w:val="normal0"/>
        <w:pBdr>
          <w:top w:val="nil"/>
          <w:left w:val="nil"/>
          <w:bottom w:val="nil"/>
          <w:right w:val="nil"/>
          <w:between w:val="nil"/>
        </w:pBdr>
        <w:spacing w:after="0" w:line="276" w:lineRule="auto"/>
        <w:jc w:val="center"/>
        <w:rPr>
          <w:rFonts w:ascii="Times New Roman" w:eastAsia="Times New Roman" w:hAnsi="Times New Roman" w:cs="Times New Roman"/>
          <w:b/>
          <w:sz w:val="24"/>
          <w:szCs w:val="24"/>
        </w:rPr>
      </w:pPr>
    </w:p>
    <w:p w14:paraId="6CA1F710" w14:textId="77777777" w:rsidR="005A3412" w:rsidRDefault="005A3412">
      <w:pPr>
        <w:pStyle w:val="normal0"/>
        <w:pBdr>
          <w:top w:val="nil"/>
          <w:left w:val="nil"/>
          <w:bottom w:val="nil"/>
          <w:right w:val="nil"/>
          <w:between w:val="nil"/>
        </w:pBdr>
        <w:spacing w:after="0" w:line="276" w:lineRule="auto"/>
        <w:jc w:val="center"/>
        <w:rPr>
          <w:rFonts w:ascii="Times New Roman" w:eastAsia="Times New Roman" w:hAnsi="Times New Roman" w:cs="Times New Roman"/>
          <w:b/>
          <w:sz w:val="24"/>
          <w:szCs w:val="24"/>
        </w:rPr>
      </w:pPr>
    </w:p>
    <w:sectPr w:rsidR="005A3412">
      <w:headerReference w:type="even" r:id="rId8"/>
      <w:headerReference w:type="default" r:id="rId9"/>
      <w:footerReference w:type="default" r:id="rId10"/>
      <w:headerReference w:type="first" r:id="rId11"/>
      <w:footerReference w:type="first" r:id="rId12"/>
      <w:pgSz w:w="15840" w:h="12240"/>
      <w:pgMar w:top="567" w:right="567" w:bottom="567" w:left="567" w:header="709" w:footer="709" w:gutter="0"/>
      <w:pgNumType w:start="1"/>
      <w:cols w:space="720"/>
      <w:titlePg/>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DA56A32" w14:textId="77777777" w:rsidR="000A08CB" w:rsidRDefault="000A08CB">
      <w:pPr>
        <w:spacing w:after="0" w:line="240" w:lineRule="auto"/>
      </w:pPr>
      <w:r>
        <w:separator/>
      </w:r>
    </w:p>
  </w:endnote>
  <w:endnote w:type="continuationSeparator" w:id="0">
    <w:p w14:paraId="128C2B13" w14:textId="77777777" w:rsidR="000A08CB" w:rsidRDefault="000A08C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Symbol">
    <w:panose1 w:val="00000000000000000000"/>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10002FF" w:usb1="4000ACFF" w:usb2="00000009" w:usb3="00000000" w:csb0="0000019F" w:csb1="00000000"/>
  </w:font>
  <w:font w:name="Georgia">
    <w:panose1 w:val="02040502050405020303"/>
    <w:charset w:val="00"/>
    <w:family w:val="auto"/>
    <w:pitch w:val="variable"/>
    <w:sig w:usb0="00000287" w:usb1="00000000" w:usb2="00000000" w:usb3="00000000" w:csb0="0000009F"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Palatino Linotype">
    <w:panose1 w:val="02040502050505030304"/>
    <w:charset w:val="00"/>
    <w:family w:val="auto"/>
    <w:pitch w:val="variable"/>
    <w:sig w:usb0="E0000287" w:usb1="40000013" w:usb2="00000000" w:usb3="00000000" w:csb0="0000019F" w:csb1="00000000"/>
  </w:font>
  <w:font w:name="Arial">
    <w:panose1 w:val="020B0604020202020204"/>
    <w:charset w:val="00"/>
    <w:family w:val="auto"/>
    <w:pitch w:val="variable"/>
    <w:sig w:usb0="E0002AFF" w:usb1="C0007843" w:usb2="00000009" w:usb3="00000000" w:csb0="000001FF" w:csb1="00000000"/>
  </w:font>
  <w:font w:name="Times Roman">
    <w:panose1 w:val="00000500000000020000"/>
    <w:charset w:val="00"/>
    <w:family w:val="auto"/>
    <w:pitch w:val="variable"/>
    <w:sig w:usb0="E00002FF" w:usb1="5000205A" w:usb2="00000000" w:usb3="00000000" w:csb0="0000019F" w:csb1="00000000"/>
  </w:font>
  <w:font w:name="ＭＳ ゴシック">
    <w:charset w:val="4E"/>
    <w:family w:val="auto"/>
    <w:pitch w:val="variable"/>
    <w:sig w:usb0="E00002FF" w:usb1="6AC7FDFB" w:usb2="00000012" w:usb3="00000000" w:csb0="0002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AB0FB5D" w14:textId="77777777" w:rsidR="000A08CB" w:rsidRDefault="000A08CB">
    <w:pPr>
      <w:pStyle w:val="normal0"/>
      <w:pBdr>
        <w:top w:val="nil"/>
        <w:left w:val="nil"/>
        <w:bottom w:val="nil"/>
        <w:right w:val="nil"/>
        <w:between w:val="nil"/>
      </w:pBdr>
      <w:tabs>
        <w:tab w:val="center" w:pos="4419"/>
        <w:tab w:val="right" w:pos="8838"/>
      </w:tabs>
      <w:spacing w:after="0" w:line="240" w:lineRule="auto"/>
    </w:pPr>
    <w:r>
      <w:rPr>
        <w:noProof/>
        <w:lang w:val="es-ES"/>
      </w:rPr>
      <w:drawing>
        <wp:anchor distT="0" distB="0" distL="114300" distR="114300" simplePos="0" relativeHeight="251660288" behindDoc="0" locked="0" layoutInCell="1" hidden="0" allowOverlap="1" wp14:anchorId="3D463575" wp14:editId="497D94CE">
          <wp:simplePos x="0" y="0"/>
          <wp:positionH relativeFrom="column">
            <wp:posOffset>1792604</wp:posOffset>
          </wp:positionH>
          <wp:positionV relativeFrom="paragraph">
            <wp:posOffset>0</wp:posOffset>
          </wp:positionV>
          <wp:extent cx="5753100" cy="693102"/>
          <wp:effectExtent l="0" t="0" r="0" b="0"/>
          <wp:wrapNone/>
          <wp:docPr id="4" name="image1.jpg" descr="Comunicaciones:Comunicaciones USTA:3.Comunicaciones Institucionales:1. Comunicacion Interna:2018:Solicitudes:ST548-2018 Hoja Membrete Actualizada:Pieza:ST548–2018 Membrete 23 octubre-01.jpg"/>
          <wp:cNvGraphicFramePr/>
          <a:graphic xmlns:a="http://schemas.openxmlformats.org/drawingml/2006/main">
            <a:graphicData uri="http://schemas.openxmlformats.org/drawingml/2006/picture">
              <pic:pic xmlns:pic="http://schemas.openxmlformats.org/drawingml/2006/picture">
                <pic:nvPicPr>
                  <pic:cNvPr id="0" name="image1.jpg" descr="Comunicaciones:Comunicaciones USTA:3.Comunicaciones Institucionales:1. Comunicacion Interna:2018:Solicitudes:ST548-2018 Hoja Membrete Actualizada:Pieza:ST548–2018 Membrete 23 octubre-01.jpg"/>
                  <pic:cNvPicPr preferRelativeResize="0"/>
                </pic:nvPicPr>
                <pic:blipFill>
                  <a:blip r:embed="rId1"/>
                  <a:srcRect/>
                  <a:stretch>
                    <a:fillRect/>
                  </a:stretch>
                </pic:blipFill>
                <pic:spPr>
                  <a:xfrm>
                    <a:off x="0" y="0"/>
                    <a:ext cx="5753100" cy="693102"/>
                  </a:xfrm>
                  <a:prstGeom prst="rect">
                    <a:avLst/>
                  </a:prstGeom>
                  <a:ln/>
                </pic:spPr>
              </pic:pic>
            </a:graphicData>
          </a:graphic>
        </wp:anchor>
      </w:drawing>
    </w:r>
  </w:p>
  <w:p w14:paraId="12A7E05A" w14:textId="77777777" w:rsidR="000A08CB" w:rsidRDefault="000A08CB">
    <w:pPr>
      <w:pStyle w:val="normal0"/>
      <w:tabs>
        <w:tab w:val="center" w:pos="4419"/>
        <w:tab w:val="right" w:pos="8838"/>
      </w:tabs>
      <w:spacing w:after="0" w:line="240" w:lineRule="auto"/>
      <w:rPr>
        <w:rFonts w:ascii="Times New Roman" w:eastAsia="Times New Roman" w:hAnsi="Times New Roman" w:cs="Times New Roman"/>
        <w:b/>
        <w:sz w:val="24"/>
        <w:szCs w:val="24"/>
      </w:rPr>
    </w:pPr>
  </w:p>
  <w:p w14:paraId="4D568DB3" w14:textId="77777777" w:rsidR="000A08CB" w:rsidRDefault="000A08CB">
    <w:pPr>
      <w:pStyle w:val="normal0"/>
      <w:tabs>
        <w:tab w:val="center" w:pos="4419"/>
        <w:tab w:val="right" w:pos="8838"/>
      </w:tabs>
      <w:spacing w:after="0" w:line="240" w:lineRule="auto"/>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79FD743" w14:textId="77777777" w:rsidR="000A08CB" w:rsidRDefault="000A08CB">
    <w:pPr>
      <w:pStyle w:val="normal0"/>
      <w:pBdr>
        <w:top w:val="nil"/>
        <w:left w:val="nil"/>
        <w:bottom w:val="nil"/>
        <w:right w:val="nil"/>
        <w:between w:val="nil"/>
      </w:pBdr>
      <w:tabs>
        <w:tab w:val="center" w:pos="4419"/>
        <w:tab w:val="right" w:pos="8838"/>
      </w:tabs>
      <w:spacing w:after="0" w:line="240" w:lineRule="auto"/>
      <w:rPr>
        <w:color w:val="000000"/>
      </w:rPr>
    </w:pPr>
    <w:r>
      <w:rPr>
        <w:noProof/>
        <w:lang w:val="es-ES"/>
      </w:rPr>
      <w:drawing>
        <wp:anchor distT="0" distB="0" distL="114300" distR="114300" simplePos="0" relativeHeight="251661312" behindDoc="0" locked="0" layoutInCell="1" hidden="0" allowOverlap="1" wp14:anchorId="2EF1650F" wp14:editId="7DBEBBD3">
          <wp:simplePos x="0" y="0"/>
          <wp:positionH relativeFrom="column">
            <wp:posOffset>2040254</wp:posOffset>
          </wp:positionH>
          <wp:positionV relativeFrom="paragraph">
            <wp:posOffset>-216532</wp:posOffset>
          </wp:positionV>
          <wp:extent cx="5748834" cy="761478"/>
          <wp:effectExtent l="0" t="0" r="0" b="0"/>
          <wp:wrapNone/>
          <wp:docPr id="3" name="image1.jpg" descr="Comunicaciones:Comunicaciones USTA:3.Comunicaciones Institucionales:1. Comunicacion Interna:2018:Solicitudes:ST548-2018 Hoja Membrete Actualizada:Pieza:ST548–2018 Membrete 23 octubre-01.jpg"/>
          <wp:cNvGraphicFramePr/>
          <a:graphic xmlns:a="http://schemas.openxmlformats.org/drawingml/2006/main">
            <a:graphicData uri="http://schemas.openxmlformats.org/drawingml/2006/picture">
              <pic:pic xmlns:pic="http://schemas.openxmlformats.org/drawingml/2006/picture">
                <pic:nvPicPr>
                  <pic:cNvPr id="0" name="image1.jpg" descr="Comunicaciones:Comunicaciones USTA:3.Comunicaciones Institucionales:1. Comunicacion Interna:2018:Solicitudes:ST548-2018 Hoja Membrete Actualizada:Pieza:ST548–2018 Membrete 23 octubre-01.jpg"/>
                  <pic:cNvPicPr preferRelativeResize="0"/>
                </pic:nvPicPr>
                <pic:blipFill>
                  <a:blip r:embed="rId1"/>
                  <a:srcRect/>
                  <a:stretch>
                    <a:fillRect/>
                  </a:stretch>
                </pic:blipFill>
                <pic:spPr>
                  <a:xfrm>
                    <a:off x="0" y="0"/>
                    <a:ext cx="5748834" cy="761478"/>
                  </a:xfrm>
                  <a:prstGeom prst="rect">
                    <a:avLst/>
                  </a:prstGeom>
                  <a:ln/>
                </pic:spPr>
              </pic:pic>
            </a:graphicData>
          </a:graphic>
        </wp:anchor>
      </w:drawing>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C9017E1" w14:textId="77777777" w:rsidR="000A08CB" w:rsidRDefault="000A08CB">
      <w:pPr>
        <w:spacing w:after="0" w:line="240" w:lineRule="auto"/>
      </w:pPr>
      <w:r>
        <w:separator/>
      </w:r>
    </w:p>
  </w:footnote>
  <w:footnote w:type="continuationSeparator" w:id="0">
    <w:p w14:paraId="573E6EA6" w14:textId="77777777" w:rsidR="000A08CB" w:rsidRDefault="000A08CB">
      <w:pPr>
        <w:spacing w:after="0" w:line="240" w:lineRule="auto"/>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E75C3FF" w14:textId="77777777" w:rsidR="000A08CB" w:rsidRDefault="000A08CB">
    <w:pPr>
      <w:pStyle w:val="normal0"/>
      <w:pBdr>
        <w:top w:val="nil"/>
        <w:left w:val="nil"/>
        <w:bottom w:val="nil"/>
        <w:right w:val="nil"/>
        <w:between w:val="nil"/>
      </w:pBdr>
      <w:tabs>
        <w:tab w:val="center" w:pos="4419"/>
        <w:tab w:val="right" w:pos="8838"/>
      </w:tabs>
      <w:spacing w:after="0" w:line="240" w:lineRule="auto"/>
      <w:rPr>
        <w:color w:val="000000"/>
      </w:rPr>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B956CAE" w14:textId="77777777" w:rsidR="000A08CB" w:rsidRDefault="000A08CB">
    <w:pPr>
      <w:pStyle w:val="normal0"/>
      <w:pBdr>
        <w:top w:val="nil"/>
        <w:left w:val="nil"/>
        <w:bottom w:val="nil"/>
        <w:right w:val="nil"/>
        <w:between w:val="nil"/>
      </w:pBdr>
      <w:tabs>
        <w:tab w:val="center" w:pos="4419"/>
        <w:tab w:val="right" w:pos="8838"/>
      </w:tabs>
      <w:spacing w:after="0" w:line="240" w:lineRule="auto"/>
      <w:jc w:val="right"/>
      <w:rPr>
        <w:color w:val="000000"/>
        <w:sz w:val="14"/>
        <w:szCs w:val="14"/>
      </w:rPr>
    </w:pPr>
    <w:r>
      <w:rPr>
        <w:noProof/>
        <w:lang w:val="es-ES"/>
      </w:rPr>
      <w:drawing>
        <wp:anchor distT="0" distB="0" distL="114300" distR="114300" simplePos="0" relativeHeight="251658240" behindDoc="0" locked="0" layoutInCell="1" hidden="0" allowOverlap="1" wp14:anchorId="67197D69" wp14:editId="57ED14DD">
          <wp:simplePos x="0" y="0"/>
          <wp:positionH relativeFrom="column">
            <wp:posOffset>1860331</wp:posOffset>
          </wp:positionH>
          <wp:positionV relativeFrom="paragraph">
            <wp:posOffset>-456388</wp:posOffset>
          </wp:positionV>
          <wp:extent cx="5908040" cy="917196"/>
          <wp:effectExtent l="0" t="0" r="0" b="0"/>
          <wp:wrapNone/>
          <wp:docPr id="1" name="image2.png" descr="Macintosh HD:Users:angelicafernandasierrapolanco:Desktop:membrete4oct-02.png"/>
          <wp:cNvGraphicFramePr/>
          <a:graphic xmlns:a="http://schemas.openxmlformats.org/drawingml/2006/main">
            <a:graphicData uri="http://schemas.openxmlformats.org/drawingml/2006/picture">
              <pic:pic xmlns:pic="http://schemas.openxmlformats.org/drawingml/2006/picture">
                <pic:nvPicPr>
                  <pic:cNvPr id="0" name="image2.png" descr="Macintosh HD:Users:angelicafernandasierrapolanco:Desktop:membrete4oct-02.png"/>
                  <pic:cNvPicPr preferRelativeResize="0"/>
                </pic:nvPicPr>
                <pic:blipFill>
                  <a:blip r:embed="rId1"/>
                  <a:srcRect/>
                  <a:stretch>
                    <a:fillRect/>
                  </a:stretch>
                </pic:blipFill>
                <pic:spPr>
                  <a:xfrm>
                    <a:off x="0" y="0"/>
                    <a:ext cx="5908040" cy="917196"/>
                  </a:xfrm>
                  <a:prstGeom prst="rect">
                    <a:avLst/>
                  </a:prstGeom>
                  <a:ln/>
                </pic:spPr>
              </pic:pic>
            </a:graphicData>
          </a:graphic>
        </wp:anchor>
      </w:drawing>
    </w:r>
  </w:p>
  <w:p w14:paraId="1E77211C" w14:textId="77777777" w:rsidR="000A08CB" w:rsidRDefault="000A08CB">
    <w:pPr>
      <w:pStyle w:val="normal0"/>
      <w:pBdr>
        <w:top w:val="nil"/>
        <w:left w:val="nil"/>
        <w:bottom w:val="nil"/>
        <w:right w:val="nil"/>
        <w:between w:val="nil"/>
      </w:pBdr>
      <w:tabs>
        <w:tab w:val="center" w:pos="4419"/>
        <w:tab w:val="right" w:pos="8838"/>
      </w:tabs>
      <w:spacing w:after="0" w:line="240" w:lineRule="auto"/>
      <w:jc w:val="right"/>
      <w:rPr>
        <w:color w:val="000000"/>
        <w:sz w:val="14"/>
        <w:szCs w:val="14"/>
      </w:rPr>
    </w:pPr>
  </w:p>
  <w:p w14:paraId="5B3DF71A" w14:textId="77777777" w:rsidR="000A08CB" w:rsidRDefault="000A08CB">
    <w:pPr>
      <w:pStyle w:val="normal0"/>
      <w:pBdr>
        <w:top w:val="nil"/>
        <w:left w:val="nil"/>
        <w:bottom w:val="nil"/>
        <w:right w:val="nil"/>
        <w:between w:val="nil"/>
      </w:pBdr>
      <w:tabs>
        <w:tab w:val="center" w:pos="4419"/>
        <w:tab w:val="right" w:pos="8838"/>
      </w:tabs>
      <w:spacing w:after="0" w:line="240" w:lineRule="auto"/>
      <w:jc w:val="right"/>
      <w:rPr>
        <w:color w:val="000000"/>
        <w:sz w:val="14"/>
        <w:szCs w:val="14"/>
      </w:rPr>
    </w:pPr>
    <w:r>
      <w:rPr>
        <w:color w:val="000000"/>
        <w:sz w:val="14"/>
        <w:szCs w:val="14"/>
      </w:rPr>
      <w:t xml:space="preserve">Página </w:t>
    </w:r>
    <w:r>
      <w:rPr>
        <w:b/>
        <w:color w:val="000000"/>
        <w:sz w:val="14"/>
        <w:szCs w:val="14"/>
      </w:rPr>
      <w:fldChar w:fldCharType="begin"/>
    </w:r>
    <w:r>
      <w:rPr>
        <w:b/>
        <w:color w:val="000000"/>
        <w:sz w:val="14"/>
        <w:szCs w:val="14"/>
      </w:rPr>
      <w:instrText>PAGE</w:instrText>
    </w:r>
    <w:r>
      <w:rPr>
        <w:b/>
        <w:color w:val="000000"/>
        <w:sz w:val="14"/>
        <w:szCs w:val="14"/>
      </w:rPr>
      <w:fldChar w:fldCharType="separate"/>
    </w:r>
    <w:r w:rsidR="00A64D29">
      <w:rPr>
        <w:b/>
        <w:noProof/>
        <w:color w:val="000000"/>
        <w:sz w:val="14"/>
        <w:szCs w:val="14"/>
      </w:rPr>
      <w:t>10</w:t>
    </w:r>
    <w:r>
      <w:rPr>
        <w:b/>
        <w:color w:val="000000"/>
        <w:sz w:val="14"/>
        <w:szCs w:val="14"/>
      </w:rPr>
      <w:fldChar w:fldCharType="end"/>
    </w:r>
    <w:r>
      <w:rPr>
        <w:color w:val="000000"/>
        <w:sz w:val="14"/>
        <w:szCs w:val="14"/>
      </w:rPr>
      <w:t xml:space="preserve"> de </w:t>
    </w:r>
    <w:r>
      <w:rPr>
        <w:b/>
        <w:color w:val="000000"/>
        <w:sz w:val="14"/>
        <w:szCs w:val="14"/>
      </w:rPr>
      <w:fldChar w:fldCharType="begin"/>
    </w:r>
    <w:r>
      <w:rPr>
        <w:b/>
        <w:color w:val="000000"/>
        <w:sz w:val="14"/>
        <w:szCs w:val="14"/>
      </w:rPr>
      <w:instrText>NUMPAGES</w:instrText>
    </w:r>
    <w:r>
      <w:rPr>
        <w:b/>
        <w:color w:val="000000"/>
        <w:sz w:val="14"/>
        <w:szCs w:val="14"/>
      </w:rPr>
      <w:fldChar w:fldCharType="separate"/>
    </w:r>
    <w:r w:rsidR="00A64D29">
      <w:rPr>
        <w:b/>
        <w:noProof/>
        <w:color w:val="000000"/>
        <w:sz w:val="14"/>
        <w:szCs w:val="14"/>
      </w:rPr>
      <w:t>18</w:t>
    </w:r>
    <w:r>
      <w:rPr>
        <w:b/>
        <w:color w:val="000000"/>
        <w:sz w:val="14"/>
        <w:szCs w:val="14"/>
      </w:rPr>
      <w:fldChar w:fldCharType="end"/>
    </w: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CFC9508" w14:textId="77777777" w:rsidR="000A08CB" w:rsidRDefault="000A08CB">
    <w:pPr>
      <w:pStyle w:val="normal0"/>
      <w:spacing w:after="0" w:line="240" w:lineRule="auto"/>
      <w:jc w:val="center"/>
    </w:pPr>
    <w:r>
      <w:rPr>
        <w:noProof/>
        <w:lang w:val="es-ES"/>
      </w:rPr>
      <w:drawing>
        <wp:anchor distT="0" distB="0" distL="114300" distR="114300" simplePos="0" relativeHeight="251659264" behindDoc="0" locked="0" layoutInCell="1" hidden="0" allowOverlap="1" wp14:anchorId="71C291BA" wp14:editId="505D862E">
          <wp:simplePos x="0" y="0"/>
          <wp:positionH relativeFrom="column">
            <wp:posOffset>1792604</wp:posOffset>
          </wp:positionH>
          <wp:positionV relativeFrom="paragraph">
            <wp:posOffset>-450213</wp:posOffset>
          </wp:positionV>
          <wp:extent cx="5908040" cy="917196"/>
          <wp:effectExtent l="0" t="0" r="0" b="0"/>
          <wp:wrapNone/>
          <wp:docPr id="2" name="image2.png" descr="Macintosh HD:Users:angelicafernandasierrapolanco:Desktop:membrete4oct-02.png"/>
          <wp:cNvGraphicFramePr/>
          <a:graphic xmlns:a="http://schemas.openxmlformats.org/drawingml/2006/main">
            <a:graphicData uri="http://schemas.openxmlformats.org/drawingml/2006/picture">
              <pic:pic xmlns:pic="http://schemas.openxmlformats.org/drawingml/2006/picture">
                <pic:nvPicPr>
                  <pic:cNvPr id="0" name="image2.png" descr="Macintosh HD:Users:angelicafernandasierrapolanco:Desktop:membrete4oct-02.png"/>
                  <pic:cNvPicPr preferRelativeResize="0"/>
                </pic:nvPicPr>
                <pic:blipFill>
                  <a:blip r:embed="rId1"/>
                  <a:srcRect/>
                  <a:stretch>
                    <a:fillRect/>
                  </a:stretch>
                </pic:blipFill>
                <pic:spPr>
                  <a:xfrm>
                    <a:off x="0" y="0"/>
                    <a:ext cx="5908040" cy="917196"/>
                  </a:xfrm>
                  <a:prstGeom prst="rect">
                    <a:avLst/>
                  </a:prstGeom>
                  <a:ln/>
                </pic:spPr>
              </pic:pic>
            </a:graphicData>
          </a:graphic>
        </wp:anchor>
      </w:drawing>
    </w:r>
  </w:p>
  <w:p w14:paraId="70EE15C4" w14:textId="77777777" w:rsidR="000A08CB" w:rsidRDefault="000A08CB">
    <w:pPr>
      <w:pStyle w:val="normal0"/>
      <w:pBdr>
        <w:top w:val="nil"/>
        <w:left w:val="nil"/>
        <w:bottom w:val="nil"/>
        <w:right w:val="nil"/>
        <w:between w:val="nil"/>
      </w:pBdr>
      <w:tabs>
        <w:tab w:val="center" w:pos="4419"/>
        <w:tab w:val="right" w:pos="8838"/>
      </w:tabs>
      <w:spacing w:after="0" w:line="240" w:lineRule="auto"/>
      <w:jc w:val="right"/>
      <w:rPr>
        <w:b/>
        <w:color w:val="000000"/>
      </w:rPr>
    </w:pPr>
    <w:r>
      <w:rPr>
        <w:color w:val="000000"/>
        <w:sz w:val="14"/>
        <w:szCs w:val="14"/>
      </w:rPr>
      <w:t xml:space="preserve">Página </w:t>
    </w:r>
    <w:r>
      <w:rPr>
        <w:b/>
        <w:color w:val="000000"/>
        <w:sz w:val="14"/>
        <w:szCs w:val="14"/>
      </w:rPr>
      <w:fldChar w:fldCharType="begin"/>
    </w:r>
    <w:r>
      <w:rPr>
        <w:b/>
        <w:color w:val="000000"/>
        <w:sz w:val="14"/>
        <w:szCs w:val="14"/>
      </w:rPr>
      <w:instrText>PAGE</w:instrText>
    </w:r>
    <w:r>
      <w:rPr>
        <w:b/>
        <w:color w:val="000000"/>
        <w:sz w:val="14"/>
        <w:szCs w:val="14"/>
      </w:rPr>
      <w:fldChar w:fldCharType="separate"/>
    </w:r>
    <w:r w:rsidR="00A64D29">
      <w:rPr>
        <w:b/>
        <w:noProof/>
        <w:color w:val="000000"/>
        <w:sz w:val="14"/>
        <w:szCs w:val="14"/>
      </w:rPr>
      <w:t>1</w:t>
    </w:r>
    <w:r>
      <w:rPr>
        <w:b/>
        <w:color w:val="000000"/>
        <w:sz w:val="14"/>
        <w:szCs w:val="14"/>
      </w:rPr>
      <w:fldChar w:fldCharType="end"/>
    </w:r>
    <w:r>
      <w:rPr>
        <w:color w:val="000000"/>
        <w:sz w:val="14"/>
        <w:szCs w:val="14"/>
      </w:rPr>
      <w:t xml:space="preserve"> de </w:t>
    </w:r>
    <w:r>
      <w:rPr>
        <w:b/>
        <w:color w:val="000000"/>
        <w:sz w:val="14"/>
        <w:szCs w:val="14"/>
      </w:rPr>
      <w:fldChar w:fldCharType="begin"/>
    </w:r>
    <w:r>
      <w:rPr>
        <w:b/>
        <w:color w:val="000000"/>
        <w:sz w:val="14"/>
        <w:szCs w:val="14"/>
      </w:rPr>
      <w:instrText>NUMPAGES</w:instrText>
    </w:r>
    <w:r>
      <w:rPr>
        <w:b/>
        <w:color w:val="000000"/>
        <w:sz w:val="14"/>
        <w:szCs w:val="14"/>
      </w:rPr>
      <w:fldChar w:fldCharType="separate"/>
    </w:r>
    <w:r w:rsidR="00A64D29">
      <w:rPr>
        <w:b/>
        <w:noProof/>
        <w:color w:val="000000"/>
        <w:sz w:val="14"/>
        <w:szCs w:val="14"/>
      </w:rPr>
      <w:t>18</w:t>
    </w:r>
    <w:r>
      <w:rPr>
        <w:b/>
        <w:color w:val="000000"/>
        <w:sz w:val="14"/>
        <w:szCs w:val="14"/>
      </w:rPr>
      <w:fldChar w:fldCharType="end"/>
    </w:r>
  </w:p>
  <w:p w14:paraId="78C5F371" w14:textId="77777777" w:rsidR="000A08CB" w:rsidRDefault="000A08CB">
    <w:pPr>
      <w:pStyle w:val="normal0"/>
      <w:pBdr>
        <w:top w:val="nil"/>
        <w:left w:val="nil"/>
        <w:bottom w:val="nil"/>
        <w:right w:val="nil"/>
        <w:between w:val="nil"/>
      </w:pBdr>
      <w:tabs>
        <w:tab w:val="center" w:pos="4419"/>
        <w:tab w:val="right" w:pos="8838"/>
      </w:tabs>
      <w:spacing w:after="0" w:line="240" w:lineRule="auto"/>
      <w:jc w:val="right"/>
      <w:rPr>
        <w:color w:val="000000"/>
        <w:sz w:val="14"/>
        <w:szCs w:val="14"/>
      </w:rP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8C2636"/>
    <w:multiLevelType w:val="multilevel"/>
    <w:tmpl w:val="5922D0E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nsid w:val="3A5506B4"/>
    <w:multiLevelType w:val="hybridMultilevel"/>
    <w:tmpl w:val="A63CD730"/>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nsid w:val="45464797"/>
    <w:multiLevelType w:val="hybridMultilevel"/>
    <w:tmpl w:val="52B08D6A"/>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nsid w:val="4CD259A6"/>
    <w:multiLevelType w:val="multilevel"/>
    <w:tmpl w:val="F176E82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nsid w:val="4E59605D"/>
    <w:multiLevelType w:val="hybridMultilevel"/>
    <w:tmpl w:val="CA5492B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nsid w:val="505878E9"/>
    <w:multiLevelType w:val="multilevel"/>
    <w:tmpl w:val="CFDCDA5C"/>
    <w:lvl w:ilvl="0">
      <w:start w:val="1"/>
      <w:numFmt w:val="lowerLetter"/>
      <w:lvlText w:val="%1."/>
      <w:lvlJc w:val="left"/>
      <w:pPr>
        <w:ind w:left="1440" w:hanging="360"/>
      </w:pPr>
      <w:rPr>
        <w:u w:val="none"/>
      </w:rPr>
    </w:lvl>
    <w:lvl w:ilvl="1">
      <w:start w:val="1"/>
      <w:numFmt w:val="lowerRoman"/>
      <w:lvlText w:val="%2."/>
      <w:lvlJc w:val="right"/>
      <w:pPr>
        <w:ind w:left="2160" w:hanging="360"/>
      </w:pPr>
      <w:rPr>
        <w:u w:val="none"/>
      </w:rPr>
    </w:lvl>
    <w:lvl w:ilvl="2">
      <w:start w:val="1"/>
      <w:numFmt w:val="decimal"/>
      <w:lvlText w:val="%3."/>
      <w:lvlJc w:val="left"/>
      <w:pPr>
        <w:ind w:left="2880" w:hanging="360"/>
      </w:pPr>
      <w:rPr>
        <w:u w:val="none"/>
      </w:rPr>
    </w:lvl>
    <w:lvl w:ilvl="3">
      <w:start w:val="1"/>
      <w:numFmt w:val="lowerLetter"/>
      <w:lvlText w:val="%4."/>
      <w:lvlJc w:val="left"/>
      <w:pPr>
        <w:ind w:left="3600" w:hanging="360"/>
      </w:pPr>
      <w:rPr>
        <w:u w:val="none"/>
      </w:rPr>
    </w:lvl>
    <w:lvl w:ilvl="4">
      <w:start w:val="1"/>
      <w:numFmt w:val="lowerRoman"/>
      <w:lvlText w:val="%5."/>
      <w:lvlJc w:val="right"/>
      <w:pPr>
        <w:ind w:left="4320" w:hanging="360"/>
      </w:pPr>
      <w:rPr>
        <w:u w:val="none"/>
      </w:rPr>
    </w:lvl>
    <w:lvl w:ilvl="5">
      <w:start w:val="1"/>
      <w:numFmt w:val="decimal"/>
      <w:lvlText w:val="%6."/>
      <w:lvlJc w:val="left"/>
      <w:pPr>
        <w:ind w:left="5040" w:hanging="360"/>
      </w:pPr>
      <w:rPr>
        <w:u w:val="none"/>
      </w:rPr>
    </w:lvl>
    <w:lvl w:ilvl="6">
      <w:start w:val="1"/>
      <w:numFmt w:val="lowerLetter"/>
      <w:lvlText w:val="%7."/>
      <w:lvlJc w:val="left"/>
      <w:pPr>
        <w:ind w:left="5760" w:hanging="360"/>
      </w:pPr>
      <w:rPr>
        <w:u w:val="none"/>
      </w:rPr>
    </w:lvl>
    <w:lvl w:ilvl="7">
      <w:start w:val="1"/>
      <w:numFmt w:val="lowerRoman"/>
      <w:lvlText w:val="%8."/>
      <w:lvlJc w:val="right"/>
      <w:pPr>
        <w:ind w:left="6480" w:hanging="360"/>
      </w:pPr>
      <w:rPr>
        <w:u w:val="none"/>
      </w:rPr>
    </w:lvl>
    <w:lvl w:ilvl="8">
      <w:start w:val="1"/>
      <w:numFmt w:val="decimal"/>
      <w:lvlText w:val="%9."/>
      <w:lvlJc w:val="left"/>
      <w:pPr>
        <w:ind w:left="7200" w:hanging="360"/>
      </w:pPr>
      <w:rPr>
        <w:u w:val="none"/>
      </w:rPr>
    </w:lvl>
  </w:abstractNum>
  <w:abstractNum w:abstractNumId="6">
    <w:nsid w:val="5E843A88"/>
    <w:multiLevelType w:val="multilevel"/>
    <w:tmpl w:val="75FEFE2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
    <w:nsid w:val="72446BD5"/>
    <w:multiLevelType w:val="multilevel"/>
    <w:tmpl w:val="17DE1EC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
    <w:nsid w:val="7B7F1650"/>
    <w:multiLevelType w:val="hybridMultilevel"/>
    <w:tmpl w:val="4620C00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3"/>
  </w:num>
  <w:num w:numId="2">
    <w:abstractNumId w:val="7"/>
  </w:num>
  <w:num w:numId="3">
    <w:abstractNumId w:val="0"/>
  </w:num>
  <w:num w:numId="4">
    <w:abstractNumId w:val="2"/>
  </w:num>
  <w:num w:numId="5">
    <w:abstractNumId w:val="4"/>
  </w:num>
  <w:num w:numId="6">
    <w:abstractNumId w:val="1"/>
  </w:num>
  <w:num w:numId="7">
    <w:abstractNumId w:val="8"/>
  </w:num>
  <w:num w:numId="8">
    <w:abstractNumId w:val="5"/>
  </w:num>
  <w:num w:numId="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
  <w:rsids>
    <w:rsidRoot w:val="005A3412"/>
    <w:rsid w:val="00016260"/>
    <w:rsid w:val="000A08CB"/>
    <w:rsid w:val="000B443E"/>
    <w:rsid w:val="000B625C"/>
    <w:rsid w:val="00110E44"/>
    <w:rsid w:val="001F423D"/>
    <w:rsid w:val="00294344"/>
    <w:rsid w:val="00350739"/>
    <w:rsid w:val="004027CB"/>
    <w:rsid w:val="00447063"/>
    <w:rsid w:val="004A6380"/>
    <w:rsid w:val="004D2FBD"/>
    <w:rsid w:val="004E655B"/>
    <w:rsid w:val="00531C87"/>
    <w:rsid w:val="005A3412"/>
    <w:rsid w:val="006A4E9B"/>
    <w:rsid w:val="0070432D"/>
    <w:rsid w:val="007C15B9"/>
    <w:rsid w:val="007E5870"/>
    <w:rsid w:val="00896FC9"/>
    <w:rsid w:val="00956F6A"/>
    <w:rsid w:val="00964D7A"/>
    <w:rsid w:val="00A64D29"/>
    <w:rsid w:val="00A875B7"/>
    <w:rsid w:val="00B54FB1"/>
    <w:rsid w:val="00B811E3"/>
    <w:rsid w:val="00BA31E8"/>
    <w:rsid w:val="00BB79E7"/>
    <w:rsid w:val="00BC5BFB"/>
    <w:rsid w:val="00BF44A6"/>
    <w:rsid w:val="00C57D96"/>
    <w:rsid w:val="00D4309D"/>
    <w:rsid w:val="00DD07E2"/>
    <w:rsid w:val="00E71414"/>
    <w:rsid w:val="00E75451"/>
    <w:rsid w:val="00EF0DB9"/>
  </w:rsids>
  <m:mathPr>
    <m:mathFont m:val="Cambria Math"/>
    <m:brkBin m:val="before"/>
    <m:brkBinSub m:val="--"/>
    <m:smallFrac m:val="0"/>
    <m:dispDef/>
    <m:lMargin m:val="0"/>
    <m:rMargin m:val="0"/>
    <m:defJc m:val="centerGroup"/>
    <m:wrapIndent m:val="1440"/>
    <m:intLim m:val="subSup"/>
    <m:naryLim m:val="undOvr"/>
  </m:mathPr>
  <w:themeFontLang w:val="es-CO"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281A2E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Calibri"/>
        <w:sz w:val="22"/>
        <w:szCs w:val="22"/>
        <w:lang w:val="es-CO" w:eastAsia="es-E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0"/>
    <w:next w:val="normal0"/>
    <w:pPr>
      <w:keepNext/>
      <w:keepLines/>
      <w:spacing w:before="480" w:after="120"/>
      <w:outlineLvl w:val="0"/>
    </w:pPr>
    <w:rPr>
      <w:b/>
      <w:sz w:val="48"/>
      <w:szCs w:val="48"/>
    </w:rPr>
  </w:style>
  <w:style w:type="paragraph" w:styleId="Ttulo2">
    <w:name w:val="heading 2"/>
    <w:basedOn w:val="normal0"/>
    <w:next w:val="normal0"/>
    <w:pPr>
      <w:keepNext/>
      <w:keepLines/>
      <w:spacing w:before="360" w:after="80"/>
      <w:outlineLvl w:val="1"/>
    </w:pPr>
    <w:rPr>
      <w:b/>
      <w:sz w:val="36"/>
      <w:szCs w:val="36"/>
    </w:rPr>
  </w:style>
  <w:style w:type="paragraph" w:styleId="Ttulo3">
    <w:name w:val="heading 3"/>
    <w:basedOn w:val="normal0"/>
    <w:next w:val="normal0"/>
    <w:pPr>
      <w:keepNext/>
      <w:keepLines/>
      <w:spacing w:before="280" w:after="80"/>
      <w:outlineLvl w:val="2"/>
    </w:pPr>
    <w:rPr>
      <w:b/>
      <w:sz w:val="28"/>
      <w:szCs w:val="28"/>
    </w:rPr>
  </w:style>
  <w:style w:type="paragraph" w:styleId="Ttulo4">
    <w:name w:val="heading 4"/>
    <w:basedOn w:val="normal0"/>
    <w:next w:val="normal0"/>
    <w:pPr>
      <w:keepNext/>
      <w:keepLines/>
      <w:spacing w:before="240" w:after="40"/>
      <w:outlineLvl w:val="3"/>
    </w:pPr>
    <w:rPr>
      <w:b/>
      <w:sz w:val="24"/>
      <w:szCs w:val="24"/>
    </w:rPr>
  </w:style>
  <w:style w:type="paragraph" w:styleId="Ttulo5">
    <w:name w:val="heading 5"/>
    <w:basedOn w:val="normal0"/>
    <w:next w:val="normal0"/>
    <w:pPr>
      <w:keepNext/>
      <w:keepLines/>
      <w:spacing w:before="220" w:after="40"/>
      <w:outlineLvl w:val="4"/>
    </w:pPr>
    <w:rPr>
      <w:b/>
    </w:rPr>
  </w:style>
  <w:style w:type="paragraph" w:styleId="Ttulo6">
    <w:name w:val="heading 6"/>
    <w:basedOn w:val="normal0"/>
    <w:next w:val="normal0"/>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normal0">
    <w:name w:val="normal"/>
  </w:style>
  <w:style w:type="table" w:customStyle="1" w:styleId="TableNormal">
    <w:name w:val="Table Normal"/>
    <w:tblPr>
      <w:tblCellMar>
        <w:top w:w="0" w:type="dxa"/>
        <w:left w:w="0" w:type="dxa"/>
        <w:bottom w:w="0" w:type="dxa"/>
        <w:right w:w="0" w:type="dxa"/>
      </w:tblCellMar>
    </w:tblPr>
  </w:style>
  <w:style w:type="paragraph" w:styleId="Ttulo">
    <w:name w:val="Title"/>
    <w:basedOn w:val="normal0"/>
    <w:next w:val="normal0"/>
    <w:pPr>
      <w:keepNext/>
      <w:keepLines/>
      <w:spacing w:before="480" w:after="120"/>
    </w:pPr>
    <w:rPr>
      <w:b/>
      <w:sz w:val="72"/>
      <w:szCs w:val="72"/>
    </w:rPr>
  </w:style>
  <w:style w:type="paragraph" w:styleId="Subttulo">
    <w:name w:val="Subtitle"/>
    <w:basedOn w:val="normal0"/>
    <w:next w:val="normal0"/>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CellMar>
        <w:top w:w="0" w:type="dxa"/>
        <w:left w:w="115" w:type="dxa"/>
        <w:bottom w:w="0" w:type="dxa"/>
        <w:right w:w="115" w:type="dxa"/>
      </w:tblCellMar>
    </w:tblPr>
    <w:tcPr>
      <w:shd w:val="clear" w:color="auto" w:fill="FFFFFF"/>
    </w:tcPr>
  </w:style>
  <w:style w:type="table" w:customStyle="1" w:styleId="a0">
    <w:basedOn w:val="TableNormal"/>
    <w:pPr>
      <w:spacing w:after="0" w:line="240" w:lineRule="auto"/>
    </w:pPr>
    <w:tblPr>
      <w:tblStyleRowBandSize w:val="1"/>
      <w:tblStyleColBandSize w:val="1"/>
      <w:tblCellMar>
        <w:top w:w="0" w:type="dxa"/>
        <w:left w:w="115" w:type="dxa"/>
        <w:bottom w:w="0" w:type="dxa"/>
        <w:right w:w="115" w:type="dxa"/>
      </w:tblCellMar>
    </w:tblPr>
    <w:tcPr>
      <w:shd w:val="clear" w:color="auto" w:fill="FFFFFF"/>
    </w:tcPr>
  </w:style>
  <w:style w:type="table" w:customStyle="1" w:styleId="a1">
    <w:basedOn w:val="TableNormal"/>
    <w:pPr>
      <w:spacing w:after="0" w:line="240" w:lineRule="auto"/>
    </w:pPr>
    <w:tblPr>
      <w:tblStyleRowBandSize w:val="1"/>
      <w:tblStyleColBandSize w:val="1"/>
      <w:tblCellMar>
        <w:top w:w="0" w:type="dxa"/>
        <w:left w:w="115" w:type="dxa"/>
        <w:bottom w:w="0" w:type="dxa"/>
        <w:right w:w="115" w:type="dxa"/>
      </w:tblCellMar>
    </w:tblPr>
    <w:tcPr>
      <w:shd w:val="clear" w:color="auto" w:fill="FFFFFF"/>
    </w:tcPr>
  </w:style>
  <w:style w:type="table" w:customStyle="1" w:styleId="a2">
    <w:basedOn w:val="TableNormal"/>
    <w:pPr>
      <w:spacing w:after="0" w:line="240" w:lineRule="auto"/>
    </w:pPr>
    <w:tblPr>
      <w:tblStyleRowBandSize w:val="1"/>
      <w:tblStyleColBandSize w:val="1"/>
      <w:tblCellMar>
        <w:top w:w="0" w:type="dxa"/>
        <w:left w:w="115" w:type="dxa"/>
        <w:bottom w:w="0" w:type="dxa"/>
        <w:right w:w="115" w:type="dxa"/>
      </w:tblCellMar>
    </w:tblPr>
    <w:tcPr>
      <w:shd w:val="clear" w:color="auto" w:fill="FFFFFF"/>
    </w:tcPr>
  </w:style>
  <w:style w:type="table" w:customStyle="1" w:styleId="a3">
    <w:basedOn w:val="TableNormal"/>
    <w:pPr>
      <w:spacing w:after="0" w:line="240" w:lineRule="auto"/>
    </w:pPr>
    <w:tblPr>
      <w:tblStyleRowBandSize w:val="1"/>
      <w:tblStyleColBandSize w:val="1"/>
      <w:tblCellMar>
        <w:top w:w="0" w:type="dxa"/>
        <w:left w:w="115" w:type="dxa"/>
        <w:bottom w:w="0" w:type="dxa"/>
        <w:right w:w="115" w:type="dxa"/>
      </w:tblCellMar>
    </w:tblPr>
    <w:tcPr>
      <w:shd w:val="clear" w:color="auto" w:fill="FFFFFF"/>
    </w:tcPr>
  </w:style>
  <w:style w:type="table" w:customStyle="1" w:styleId="a4">
    <w:basedOn w:val="TableNormal"/>
    <w:pPr>
      <w:spacing w:after="0" w:line="240" w:lineRule="auto"/>
    </w:pPr>
    <w:tblPr>
      <w:tblStyleRowBandSize w:val="1"/>
      <w:tblStyleColBandSize w:val="1"/>
      <w:tblCellMar>
        <w:top w:w="0" w:type="dxa"/>
        <w:left w:w="115" w:type="dxa"/>
        <w:bottom w:w="0" w:type="dxa"/>
        <w:right w:w="115" w:type="dxa"/>
      </w:tblCellMar>
    </w:tblPr>
    <w:tcPr>
      <w:shd w:val="clear" w:color="auto" w:fill="FFFFFF"/>
    </w:tcPr>
  </w:style>
  <w:style w:type="table" w:customStyle="1" w:styleId="a5">
    <w:basedOn w:val="TableNormal"/>
    <w:pPr>
      <w:spacing w:after="0" w:line="240" w:lineRule="auto"/>
    </w:pPr>
    <w:tblPr>
      <w:tblStyleRowBandSize w:val="1"/>
      <w:tblStyleColBandSize w:val="1"/>
      <w:tblCellMar>
        <w:top w:w="0" w:type="dxa"/>
        <w:left w:w="115" w:type="dxa"/>
        <w:bottom w:w="0" w:type="dxa"/>
        <w:right w:w="115" w:type="dxa"/>
      </w:tblCellMar>
    </w:tblPr>
    <w:tcPr>
      <w:shd w:val="clear" w:color="auto" w:fill="FFFFFF"/>
    </w:tcPr>
  </w:style>
  <w:style w:type="table" w:customStyle="1" w:styleId="a6">
    <w:basedOn w:val="TableNormal"/>
    <w:pPr>
      <w:spacing w:after="0" w:line="240" w:lineRule="auto"/>
    </w:pPr>
    <w:tblPr>
      <w:tblStyleRowBandSize w:val="1"/>
      <w:tblStyleColBandSize w:val="1"/>
      <w:tblCellMar>
        <w:top w:w="0" w:type="dxa"/>
        <w:left w:w="115" w:type="dxa"/>
        <w:bottom w:w="0" w:type="dxa"/>
        <w:right w:w="115" w:type="dxa"/>
      </w:tblCellMar>
    </w:tblPr>
    <w:tcPr>
      <w:shd w:val="clear" w:color="auto" w:fill="FFFFFF"/>
    </w:tcPr>
  </w:style>
  <w:style w:type="table" w:customStyle="1" w:styleId="a7">
    <w:basedOn w:val="TableNormal"/>
    <w:pPr>
      <w:spacing w:after="0" w:line="240" w:lineRule="auto"/>
    </w:pPr>
    <w:tblPr>
      <w:tblStyleRowBandSize w:val="1"/>
      <w:tblStyleColBandSize w:val="1"/>
      <w:tblCellMar>
        <w:top w:w="0" w:type="dxa"/>
        <w:left w:w="115" w:type="dxa"/>
        <w:bottom w:w="0" w:type="dxa"/>
        <w:right w:w="115" w:type="dxa"/>
      </w:tblCellMar>
    </w:tblPr>
    <w:tcPr>
      <w:shd w:val="clear" w:color="auto" w:fill="FFFFFF"/>
    </w:tcPr>
  </w:style>
  <w:style w:type="table" w:customStyle="1" w:styleId="a8">
    <w:basedOn w:val="TableNormal"/>
    <w:pPr>
      <w:spacing w:after="0" w:line="240" w:lineRule="auto"/>
    </w:pPr>
    <w:tblPr>
      <w:tblStyleRowBandSize w:val="1"/>
      <w:tblStyleColBandSize w:val="1"/>
      <w:tblCellMar>
        <w:top w:w="0" w:type="dxa"/>
        <w:left w:w="115" w:type="dxa"/>
        <w:bottom w:w="0" w:type="dxa"/>
        <w:right w:w="115" w:type="dxa"/>
      </w:tblCellMar>
    </w:tblPr>
    <w:tcPr>
      <w:shd w:val="clear" w:color="auto" w:fill="FFFFFF"/>
    </w:tcPr>
  </w:style>
  <w:style w:type="table" w:customStyle="1" w:styleId="a9">
    <w:basedOn w:val="TableNormal"/>
    <w:pPr>
      <w:spacing w:after="0" w:line="240" w:lineRule="auto"/>
    </w:pPr>
    <w:tblPr>
      <w:tblStyleRowBandSize w:val="1"/>
      <w:tblStyleColBandSize w:val="1"/>
      <w:tblCellMar>
        <w:top w:w="0" w:type="dxa"/>
        <w:left w:w="115" w:type="dxa"/>
        <w:bottom w:w="0" w:type="dxa"/>
        <w:right w:w="115" w:type="dxa"/>
      </w:tblCellMar>
    </w:tblPr>
    <w:tcPr>
      <w:shd w:val="clear" w:color="auto" w:fill="FFFFFF"/>
    </w:tcPr>
  </w:style>
  <w:style w:type="table" w:customStyle="1" w:styleId="aa">
    <w:basedOn w:val="TableNormal"/>
    <w:pPr>
      <w:spacing w:after="0" w:line="240" w:lineRule="auto"/>
    </w:pPr>
    <w:tblPr>
      <w:tblStyleRowBandSize w:val="1"/>
      <w:tblStyleColBandSize w:val="1"/>
      <w:tblCellMar>
        <w:top w:w="0" w:type="dxa"/>
        <w:left w:w="115" w:type="dxa"/>
        <w:bottom w:w="0" w:type="dxa"/>
        <w:right w:w="115" w:type="dxa"/>
      </w:tblCellMar>
    </w:tblPr>
    <w:tcPr>
      <w:shd w:val="clear" w:color="auto" w:fill="FFFFFF"/>
    </w:tcPr>
  </w:style>
  <w:style w:type="table" w:customStyle="1" w:styleId="ab">
    <w:basedOn w:val="TableNormal"/>
    <w:pPr>
      <w:spacing w:after="0" w:line="240" w:lineRule="auto"/>
    </w:pPr>
    <w:tblPr>
      <w:tblStyleRowBandSize w:val="1"/>
      <w:tblStyleColBandSize w:val="1"/>
      <w:tblCellMar>
        <w:top w:w="0" w:type="dxa"/>
        <w:left w:w="115" w:type="dxa"/>
        <w:bottom w:w="0" w:type="dxa"/>
        <w:right w:w="115" w:type="dxa"/>
      </w:tblCellMar>
    </w:tblPr>
    <w:tcPr>
      <w:shd w:val="clear" w:color="auto" w:fill="FFFFFF"/>
    </w:tcPr>
  </w:style>
  <w:style w:type="table" w:customStyle="1" w:styleId="ac">
    <w:basedOn w:val="TableNormal"/>
    <w:pPr>
      <w:spacing w:after="0" w:line="240" w:lineRule="auto"/>
    </w:pPr>
    <w:tblPr>
      <w:tblStyleRowBandSize w:val="1"/>
      <w:tblStyleColBandSize w:val="1"/>
      <w:tblCellMar>
        <w:top w:w="0" w:type="dxa"/>
        <w:left w:w="115" w:type="dxa"/>
        <w:bottom w:w="0" w:type="dxa"/>
        <w:right w:w="115" w:type="dxa"/>
      </w:tblCellMar>
    </w:tblPr>
    <w:tcPr>
      <w:shd w:val="clear" w:color="auto" w:fill="FFFFFF"/>
    </w:tcPr>
  </w:style>
  <w:style w:type="table" w:customStyle="1" w:styleId="ad">
    <w:basedOn w:val="TableNormal"/>
    <w:pPr>
      <w:spacing w:after="0" w:line="240" w:lineRule="auto"/>
    </w:pPr>
    <w:tblPr>
      <w:tblStyleRowBandSize w:val="1"/>
      <w:tblStyleColBandSize w:val="1"/>
      <w:tblCellMar>
        <w:top w:w="0" w:type="dxa"/>
        <w:left w:w="115" w:type="dxa"/>
        <w:bottom w:w="0" w:type="dxa"/>
        <w:right w:w="115" w:type="dxa"/>
      </w:tblCellMar>
    </w:tblPr>
    <w:tcPr>
      <w:shd w:val="clear" w:color="auto" w:fill="FFFFFF"/>
    </w:tcPr>
  </w:style>
  <w:style w:type="paragraph" w:customStyle="1" w:styleId="Bibliografa1">
    <w:name w:val="Bibliografía1"/>
    <w:basedOn w:val="Normal"/>
    <w:rsid w:val="007E5870"/>
    <w:pPr>
      <w:spacing w:after="0" w:line="480" w:lineRule="auto"/>
      <w:ind w:left="720" w:hanging="720"/>
      <w:jc w:val="both"/>
    </w:pPr>
    <w:rPr>
      <w:rFonts w:ascii="Times New Roman" w:hAnsi="Times New Roman"/>
      <w:sz w:val="24"/>
      <w:szCs w:val="24"/>
    </w:rPr>
  </w:style>
  <w:style w:type="paragraph" w:styleId="Prrafodelista">
    <w:name w:val="List Paragraph"/>
    <w:basedOn w:val="Normal"/>
    <w:uiPriority w:val="34"/>
    <w:qFormat/>
    <w:rsid w:val="00294344"/>
    <w:pPr>
      <w:spacing w:after="200" w:line="276" w:lineRule="auto"/>
      <w:ind w:left="720"/>
      <w:contextualSpacing/>
    </w:pPr>
    <w:rPr>
      <w:rFonts w:asciiTheme="minorHAnsi" w:eastAsiaTheme="minorEastAsia" w:hAnsiTheme="minorHAnsi" w:cstheme="minorBidi"/>
      <w:lang w:eastAsia="es-CO"/>
    </w:rPr>
  </w:style>
  <w:style w:type="character" w:styleId="Hipervnculo">
    <w:name w:val="Hyperlink"/>
    <w:basedOn w:val="Fuentedeprrafopredeter"/>
    <w:uiPriority w:val="99"/>
    <w:unhideWhenUsed/>
    <w:rsid w:val="00016260"/>
    <w:rPr>
      <w:color w:val="0000FF" w:themeColor="hyperlink"/>
      <w:u w:val="single"/>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Calibri"/>
        <w:sz w:val="22"/>
        <w:szCs w:val="22"/>
        <w:lang w:val="es-CO" w:eastAsia="es-E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0"/>
    <w:next w:val="normal0"/>
    <w:pPr>
      <w:keepNext/>
      <w:keepLines/>
      <w:spacing w:before="480" w:after="120"/>
      <w:outlineLvl w:val="0"/>
    </w:pPr>
    <w:rPr>
      <w:b/>
      <w:sz w:val="48"/>
      <w:szCs w:val="48"/>
    </w:rPr>
  </w:style>
  <w:style w:type="paragraph" w:styleId="Ttulo2">
    <w:name w:val="heading 2"/>
    <w:basedOn w:val="normal0"/>
    <w:next w:val="normal0"/>
    <w:pPr>
      <w:keepNext/>
      <w:keepLines/>
      <w:spacing w:before="360" w:after="80"/>
      <w:outlineLvl w:val="1"/>
    </w:pPr>
    <w:rPr>
      <w:b/>
      <w:sz w:val="36"/>
      <w:szCs w:val="36"/>
    </w:rPr>
  </w:style>
  <w:style w:type="paragraph" w:styleId="Ttulo3">
    <w:name w:val="heading 3"/>
    <w:basedOn w:val="normal0"/>
    <w:next w:val="normal0"/>
    <w:pPr>
      <w:keepNext/>
      <w:keepLines/>
      <w:spacing w:before="280" w:after="80"/>
      <w:outlineLvl w:val="2"/>
    </w:pPr>
    <w:rPr>
      <w:b/>
      <w:sz w:val="28"/>
      <w:szCs w:val="28"/>
    </w:rPr>
  </w:style>
  <w:style w:type="paragraph" w:styleId="Ttulo4">
    <w:name w:val="heading 4"/>
    <w:basedOn w:val="normal0"/>
    <w:next w:val="normal0"/>
    <w:pPr>
      <w:keepNext/>
      <w:keepLines/>
      <w:spacing w:before="240" w:after="40"/>
      <w:outlineLvl w:val="3"/>
    </w:pPr>
    <w:rPr>
      <w:b/>
      <w:sz w:val="24"/>
      <w:szCs w:val="24"/>
    </w:rPr>
  </w:style>
  <w:style w:type="paragraph" w:styleId="Ttulo5">
    <w:name w:val="heading 5"/>
    <w:basedOn w:val="normal0"/>
    <w:next w:val="normal0"/>
    <w:pPr>
      <w:keepNext/>
      <w:keepLines/>
      <w:spacing w:before="220" w:after="40"/>
      <w:outlineLvl w:val="4"/>
    </w:pPr>
    <w:rPr>
      <w:b/>
    </w:rPr>
  </w:style>
  <w:style w:type="paragraph" w:styleId="Ttulo6">
    <w:name w:val="heading 6"/>
    <w:basedOn w:val="normal0"/>
    <w:next w:val="normal0"/>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normal0">
    <w:name w:val="normal"/>
  </w:style>
  <w:style w:type="table" w:customStyle="1" w:styleId="TableNormal">
    <w:name w:val="Table Normal"/>
    <w:tblPr>
      <w:tblCellMar>
        <w:top w:w="0" w:type="dxa"/>
        <w:left w:w="0" w:type="dxa"/>
        <w:bottom w:w="0" w:type="dxa"/>
        <w:right w:w="0" w:type="dxa"/>
      </w:tblCellMar>
    </w:tblPr>
  </w:style>
  <w:style w:type="paragraph" w:styleId="Ttulo">
    <w:name w:val="Title"/>
    <w:basedOn w:val="normal0"/>
    <w:next w:val="normal0"/>
    <w:pPr>
      <w:keepNext/>
      <w:keepLines/>
      <w:spacing w:before="480" w:after="120"/>
    </w:pPr>
    <w:rPr>
      <w:b/>
      <w:sz w:val="72"/>
      <w:szCs w:val="72"/>
    </w:rPr>
  </w:style>
  <w:style w:type="paragraph" w:styleId="Subttulo">
    <w:name w:val="Subtitle"/>
    <w:basedOn w:val="normal0"/>
    <w:next w:val="normal0"/>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CellMar>
        <w:top w:w="0" w:type="dxa"/>
        <w:left w:w="115" w:type="dxa"/>
        <w:bottom w:w="0" w:type="dxa"/>
        <w:right w:w="115" w:type="dxa"/>
      </w:tblCellMar>
    </w:tblPr>
    <w:tcPr>
      <w:shd w:val="clear" w:color="auto" w:fill="FFFFFF"/>
    </w:tcPr>
  </w:style>
  <w:style w:type="table" w:customStyle="1" w:styleId="a0">
    <w:basedOn w:val="TableNormal"/>
    <w:pPr>
      <w:spacing w:after="0" w:line="240" w:lineRule="auto"/>
    </w:pPr>
    <w:tblPr>
      <w:tblStyleRowBandSize w:val="1"/>
      <w:tblStyleColBandSize w:val="1"/>
      <w:tblCellMar>
        <w:top w:w="0" w:type="dxa"/>
        <w:left w:w="115" w:type="dxa"/>
        <w:bottom w:w="0" w:type="dxa"/>
        <w:right w:w="115" w:type="dxa"/>
      </w:tblCellMar>
    </w:tblPr>
    <w:tcPr>
      <w:shd w:val="clear" w:color="auto" w:fill="FFFFFF"/>
    </w:tcPr>
  </w:style>
  <w:style w:type="table" w:customStyle="1" w:styleId="a1">
    <w:basedOn w:val="TableNormal"/>
    <w:pPr>
      <w:spacing w:after="0" w:line="240" w:lineRule="auto"/>
    </w:pPr>
    <w:tblPr>
      <w:tblStyleRowBandSize w:val="1"/>
      <w:tblStyleColBandSize w:val="1"/>
      <w:tblCellMar>
        <w:top w:w="0" w:type="dxa"/>
        <w:left w:w="115" w:type="dxa"/>
        <w:bottom w:w="0" w:type="dxa"/>
        <w:right w:w="115" w:type="dxa"/>
      </w:tblCellMar>
    </w:tblPr>
    <w:tcPr>
      <w:shd w:val="clear" w:color="auto" w:fill="FFFFFF"/>
    </w:tcPr>
  </w:style>
  <w:style w:type="table" w:customStyle="1" w:styleId="a2">
    <w:basedOn w:val="TableNormal"/>
    <w:pPr>
      <w:spacing w:after="0" w:line="240" w:lineRule="auto"/>
    </w:pPr>
    <w:tblPr>
      <w:tblStyleRowBandSize w:val="1"/>
      <w:tblStyleColBandSize w:val="1"/>
      <w:tblCellMar>
        <w:top w:w="0" w:type="dxa"/>
        <w:left w:w="115" w:type="dxa"/>
        <w:bottom w:w="0" w:type="dxa"/>
        <w:right w:w="115" w:type="dxa"/>
      </w:tblCellMar>
    </w:tblPr>
    <w:tcPr>
      <w:shd w:val="clear" w:color="auto" w:fill="FFFFFF"/>
    </w:tcPr>
  </w:style>
  <w:style w:type="table" w:customStyle="1" w:styleId="a3">
    <w:basedOn w:val="TableNormal"/>
    <w:pPr>
      <w:spacing w:after="0" w:line="240" w:lineRule="auto"/>
    </w:pPr>
    <w:tblPr>
      <w:tblStyleRowBandSize w:val="1"/>
      <w:tblStyleColBandSize w:val="1"/>
      <w:tblCellMar>
        <w:top w:w="0" w:type="dxa"/>
        <w:left w:w="115" w:type="dxa"/>
        <w:bottom w:w="0" w:type="dxa"/>
        <w:right w:w="115" w:type="dxa"/>
      </w:tblCellMar>
    </w:tblPr>
    <w:tcPr>
      <w:shd w:val="clear" w:color="auto" w:fill="FFFFFF"/>
    </w:tcPr>
  </w:style>
  <w:style w:type="table" w:customStyle="1" w:styleId="a4">
    <w:basedOn w:val="TableNormal"/>
    <w:pPr>
      <w:spacing w:after="0" w:line="240" w:lineRule="auto"/>
    </w:pPr>
    <w:tblPr>
      <w:tblStyleRowBandSize w:val="1"/>
      <w:tblStyleColBandSize w:val="1"/>
      <w:tblCellMar>
        <w:top w:w="0" w:type="dxa"/>
        <w:left w:w="115" w:type="dxa"/>
        <w:bottom w:w="0" w:type="dxa"/>
        <w:right w:w="115" w:type="dxa"/>
      </w:tblCellMar>
    </w:tblPr>
    <w:tcPr>
      <w:shd w:val="clear" w:color="auto" w:fill="FFFFFF"/>
    </w:tcPr>
  </w:style>
  <w:style w:type="table" w:customStyle="1" w:styleId="a5">
    <w:basedOn w:val="TableNormal"/>
    <w:pPr>
      <w:spacing w:after="0" w:line="240" w:lineRule="auto"/>
    </w:pPr>
    <w:tblPr>
      <w:tblStyleRowBandSize w:val="1"/>
      <w:tblStyleColBandSize w:val="1"/>
      <w:tblCellMar>
        <w:top w:w="0" w:type="dxa"/>
        <w:left w:w="115" w:type="dxa"/>
        <w:bottom w:w="0" w:type="dxa"/>
        <w:right w:w="115" w:type="dxa"/>
      </w:tblCellMar>
    </w:tblPr>
    <w:tcPr>
      <w:shd w:val="clear" w:color="auto" w:fill="FFFFFF"/>
    </w:tcPr>
  </w:style>
  <w:style w:type="table" w:customStyle="1" w:styleId="a6">
    <w:basedOn w:val="TableNormal"/>
    <w:pPr>
      <w:spacing w:after="0" w:line="240" w:lineRule="auto"/>
    </w:pPr>
    <w:tblPr>
      <w:tblStyleRowBandSize w:val="1"/>
      <w:tblStyleColBandSize w:val="1"/>
      <w:tblCellMar>
        <w:top w:w="0" w:type="dxa"/>
        <w:left w:w="115" w:type="dxa"/>
        <w:bottom w:w="0" w:type="dxa"/>
        <w:right w:w="115" w:type="dxa"/>
      </w:tblCellMar>
    </w:tblPr>
    <w:tcPr>
      <w:shd w:val="clear" w:color="auto" w:fill="FFFFFF"/>
    </w:tcPr>
  </w:style>
  <w:style w:type="table" w:customStyle="1" w:styleId="a7">
    <w:basedOn w:val="TableNormal"/>
    <w:pPr>
      <w:spacing w:after="0" w:line="240" w:lineRule="auto"/>
    </w:pPr>
    <w:tblPr>
      <w:tblStyleRowBandSize w:val="1"/>
      <w:tblStyleColBandSize w:val="1"/>
      <w:tblCellMar>
        <w:top w:w="0" w:type="dxa"/>
        <w:left w:w="115" w:type="dxa"/>
        <w:bottom w:w="0" w:type="dxa"/>
        <w:right w:w="115" w:type="dxa"/>
      </w:tblCellMar>
    </w:tblPr>
    <w:tcPr>
      <w:shd w:val="clear" w:color="auto" w:fill="FFFFFF"/>
    </w:tcPr>
  </w:style>
  <w:style w:type="table" w:customStyle="1" w:styleId="a8">
    <w:basedOn w:val="TableNormal"/>
    <w:pPr>
      <w:spacing w:after="0" w:line="240" w:lineRule="auto"/>
    </w:pPr>
    <w:tblPr>
      <w:tblStyleRowBandSize w:val="1"/>
      <w:tblStyleColBandSize w:val="1"/>
      <w:tblCellMar>
        <w:top w:w="0" w:type="dxa"/>
        <w:left w:w="115" w:type="dxa"/>
        <w:bottom w:w="0" w:type="dxa"/>
        <w:right w:w="115" w:type="dxa"/>
      </w:tblCellMar>
    </w:tblPr>
    <w:tcPr>
      <w:shd w:val="clear" w:color="auto" w:fill="FFFFFF"/>
    </w:tcPr>
  </w:style>
  <w:style w:type="table" w:customStyle="1" w:styleId="a9">
    <w:basedOn w:val="TableNormal"/>
    <w:pPr>
      <w:spacing w:after="0" w:line="240" w:lineRule="auto"/>
    </w:pPr>
    <w:tblPr>
      <w:tblStyleRowBandSize w:val="1"/>
      <w:tblStyleColBandSize w:val="1"/>
      <w:tblCellMar>
        <w:top w:w="0" w:type="dxa"/>
        <w:left w:w="115" w:type="dxa"/>
        <w:bottom w:w="0" w:type="dxa"/>
        <w:right w:w="115" w:type="dxa"/>
      </w:tblCellMar>
    </w:tblPr>
    <w:tcPr>
      <w:shd w:val="clear" w:color="auto" w:fill="FFFFFF"/>
    </w:tcPr>
  </w:style>
  <w:style w:type="table" w:customStyle="1" w:styleId="aa">
    <w:basedOn w:val="TableNormal"/>
    <w:pPr>
      <w:spacing w:after="0" w:line="240" w:lineRule="auto"/>
    </w:pPr>
    <w:tblPr>
      <w:tblStyleRowBandSize w:val="1"/>
      <w:tblStyleColBandSize w:val="1"/>
      <w:tblCellMar>
        <w:top w:w="0" w:type="dxa"/>
        <w:left w:w="115" w:type="dxa"/>
        <w:bottom w:w="0" w:type="dxa"/>
        <w:right w:w="115" w:type="dxa"/>
      </w:tblCellMar>
    </w:tblPr>
    <w:tcPr>
      <w:shd w:val="clear" w:color="auto" w:fill="FFFFFF"/>
    </w:tcPr>
  </w:style>
  <w:style w:type="table" w:customStyle="1" w:styleId="ab">
    <w:basedOn w:val="TableNormal"/>
    <w:pPr>
      <w:spacing w:after="0" w:line="240" w:lineRule="auto"/>
    </w:pPr>
    <w:tblPr>
      <w:tblStyleRowBandSize w:val="1"/>
      <w:tblStyleColBandSize w:val="1"/>
      <w:tblCellMar>
        <w:top w:w="0" w:type="dxa"/>
        <w:left w:w="115" w:type="dxa"/>
        <w:bottom w:w="0" w:type="dxa"/>
        <w:right w:w="115" w:type="dxa"/>
      </w:tblCellMar>
    </w:tblPr>
    <w:tcPr>
      <w:shd w:val="clear" w:color="auto" w:fill="FFFFFF"/>
    </w:tcPr>
  </w:style>
  <w:style w:type="table" w:customStyle="1" w:styleId="ac">
    <w:basedOn w:val="TableNormal"/>
    <w:pPr>
      <w:spacing w:after="0" w:line="240" w:lineRule="auto"/>
    </w:pPr>
    <w:tblPr>
      <w:tblStyleRowBandSize w:val="1"/>
      <w:tblStyleColBandSize w:val="1"/>
      <w:tblCellMar>
        <w:top w:w="0" w:type="dxa"/>
        <w:left w:w="115" w:type="dxa"/>
        <w:bottom w:w="0" w:type="dxa"/>
        <w:right w:w="115" w:type="dxa"/>
      </w:tblCellMar>
    </w:tblPr>
    <w:tcPr>
      <w:shd w:val="clear" w:color="auto" w:fill="FFFFFF"/>
    </w:tcPr>
  </w:style>
  <w:style w:type="table" w:customStyle="1" w:styleId="ad">
    <w:basedOn w:val="TableNormal"/>
    <w:pPr>
      <w:spacing w:after="0" w:line="240" w:lineRule="auto"/>
    </w:pPr>
    <w:tblPr>
      <w:tblStyleRowBandSize w:val="1"/>
      <w:tblStyleColBandSize w:val="1"/>
      <w:tblCellMar>
        <w:top w:w="0" w:type="dxa"/>
        <w:left w:w="115" w:type="dxa"/>
        <w:bottom w:w="0" w:type="dxa"/>
        <w:right w:w="115" w:type="dxa"/>
      </w:tblCellMar>
    </w:tblPr>
    <w:tcPr>
      <w:shd w:val="clear" w:color="auto" w:fill="FFFFFF"/>
    </w:tcPr>
  </w:style>
  <w:style w:type="paragraph" w:customStyle="1" w:styleId="Bibliografa1">
    <w:name w:val="Bibliografía1"/>
    <w:basedOn w:val="Normal"/>
    <w:rsid w:val="007E5870"/>
    <w:pPr>
      <w:spacing w:after="0" w:line="480" w:lineRule="auto"/>
      <w:ind w:left="720" w:hanging="720"/>
      <w:jc w:val="both"/>
    </w:pPr>
    <w:rPr>
      <w:rFonts w:ascii="Times New Roman" w:hAnsi="Times New Roman"/>
      <w:sz w:val="24"/>
      <w:szCs w:val="24"/>
    </w:rPr>
  </w:style>
  <w:style w:type="paragraph" w:styleId="Prrafodelista">
    <w:name w:val="List Paragraph"/>
    <w:basedOn w:val="Normal"/>
    <w:uiPriority w:val="34"/>
    <w:qFormat/>
    <w:rsid w:val="00294344"/>
    <w:pPr>
      <w:spacing w:after="200" w:line="276" w:lineRule="auto"/>
      <w:ind w:left="720"/>
      <w:contextualSpacing/>
    </w:pPr>
    <w:rPr>
      <w:rFonts w:asciiTheme="minorHAnsi" w:eastAsiaTheme="minorEastAsia" w:hAnsiTheme="minorHAnsi" w:cstheme="minorBidi"/>
      <w:lang w:eastAsia="es-CO"/>
    </w:rPr>
  </w:style>
  <w:style w:type="character" w:styleId="Hipervnculo">
    <w:name w:val="Hyperlink"/>
    <w:basedOn w:val="Fuentedeprrafopredeter"/>
    <w:uiPriority w:val="99"/>
    <w:unhideWhenUsed/>
    <w:rsid w:val="00016260"/>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105500">
      <w:bodyDiv w:val="1"/>
      <w:marLeft w:val="0"/>
      <w:marRight w:val="0"/>
      <w:marTop w:val="0"/>
      <w:marBottom w:val="0"/>
      <w:divBdr>
        <w:top w:val="none" w:sz="0" w:space="0" w:color="auto"/>
        <w:left w:val="none" w:sz="0" w:space="0" w:color="auto"/>
        <w:bottom w:val="none" w:sz="0" w:space="0" w:color="auto"/>
        <w:right w:val="none" w:sz="0" w:space="0" w:color="auto"/>
      </w:divBdr>
    </w:div>
    <w:div w:id="1656253212">
      <w:bodyDiv w:val="1"/>
      <w:marLeft w:val="0"/>
      <w:marRight w:val="0"/>
      <w:marTop w:val="0"/>
      <w:marBottom w:val="0"/>
      <w:divBdr>
        <w:top w:val="none" w:sz="0" w:space="0" w:color="auto"/>
        <w:left w:val="none" w:sz="0" w:space="0" w:color="auto"/>
        <w:bottom w:val="none" w:sz="0" w:space="0" w:color="auto"/>
        <w:right w:val="none" w:sz="0" w:space="0" w:color="auto"/>
      </w:divBdr>
    </w:div>
    <w:div w:id="1931887345">
      <w:bodyDiv w:val="1"/>
      <w:marLeft w:val="0"/>
      <w:marRight w:val="0"/>
      <w:marTop w:val="0"/>
      <w:marBottom w:val="0"/>
      <w:divBdr>
        <w:top w:val="none" w:sz="0" w:space="0" w:color="auto"/>
        <w:left w:val="none" w:sz="0" w:space="0" w:color="auto"/>
        <w:bottom w:val="none" w:sz="0" w:space="0" w:color="auto"/>
        <w:right w:val="none" w:sz="0" w:space="0" w:color="auto"/>
      </w:divBdr>
    </w:div>
    <w:div w:id="1953778945">
      <w:bodyDiv w:val="1"/>
      <w:marLeft w:val="0"/>
      <w:marRight w:val="0"/>
      <w:marTop w:val="0"/>
      <w:marBottom w:val="0"/>
      <w:divBdr>
        <w:top w:val="none" w:sz="0" w:space="0" w:color="auto"/>
        <w:left w:val="none" w:sz="0" w:space="0" w:color="auto"/>
        <w:bottom w:val="none" w:sz="0" w:space="0" w:color="auto"/>
        <w:right w:val="none" w:sz="0" w:space="0" w:color="auto"/>
      </w:divBdr>
    </w:div>
  </w:divs>
  <w:doNotSaveAsSingleFile/>
</w:webSettings>
</file>

<file path=word/_rels/document.xml.rels><?xml version="1.0" encoding="UTF-8" standalone="yes"?>
<Relationships xmlns="http://schemas.openxmlformats.org/package/2006/relationships"><Relationship Id="rId11" Type="http://schemas.openxmlformats.org/officeDocument/2006/relationships/header" Target="header3.xml"/><Relationship Id="rId12" Type="http://schemas.openxmlformats.org/officeDocument/2006/relationships/footer" Target="footer2.xml"/><Relationship Id="rId13" Type="http://schemas.openxmlformats.org/officeDocument/2006/relationships/fontTable" Target="fontTable.xml"/><Relationship Id="rId14"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eader" Target="header1.xml"/><Relationship Id="rId9" Type="http://schemas.openxmlformats.org/officeDocument/2006/relationships/header" Target="header2.xml"/><Relationship Id="rId10"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g"/></Relationships>
</file>

<file path=word/_rels/footer2.xml.rels><?xml version="1.0" encoding="UTF-8" standalone="yes"?>
<Relationships xmlns="http://schemas.openxmlformats.org/package/2006/relationships"><Relationship Id="rId1" Type="http://schemas.openxmlformats.org/officeDocument/2006/relationships/image" Target="media/image2.jp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131</TotalTime>
  <Pages>18</Pages>
  <Words>16330</Words>
  <Characters>89819</Characters>
  <Application>Microsoft Macintosh Word</Application>
  <DocSecurity>0</DocSecurity>
  <Lines>748</Lines>
  <Paragraphs>211</Paragraphs>
  <ScaleCrop>false</ScaleCrop>
  <Company/>
  <LinksUpToDate>false</LinksUpToDate>
  <CharactersWithSpaces>105938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Carlos Andres Peña</cp:lastModifiedBy>
  <cp:revision>21</cp:revision>
  <dcterms:created xsi:type="dcterms:W3CDTF">2019-07-30T03:43:00Z</dcterms:created>
  <dcterms:modified xsi:type="dcterms:W3CDTF">2019-08-09T18:35:00Z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zotero-version="4.0.29.23"&gt;&lt;session id="tPZilewO"/&gt;&lt;style id="http://www.zotero.org/styles/apa" locale="es-ES" hasBibliography="1" bibliographyStyleHasBeenSet="1"/&gt;&lt;prefs&gt;&lt;pref name="fieldType" value="Field"/&gt;&lt;pref name="storeRefere</vt:lpwstr>
  </property>
  <property fmtid="{D5CDD505-2E9C-101B-9397-08002B2CF9AE}" pid="3" name="ZOTERO_PREF_2">
    <vt:lpwstr>nces" value="true"/&gt;&lt;pref name="automaticJournalAbbreviations" value="true"/&gt;&lt;pref name="noteType" value=""/&gt;&lt;/prefs&gt;&lt;/data&gt;</vt:lpwstr>
  </property>
</Properties>
</file>