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24EDB2" w14:textId="77777777" w:rsidR="003C0279" w:rsidRPr="00A2258D" w:rsidRDefault="003C0279" w:rsidP="003C0279">
      <w:pPr>
        <w:pStyle w:val="Captulos"/>
      </w:pPr>
      <w:bookmarkStart w:id="0" w:name="_Toc21376991"/>
      <w:r w:rsidRPr="00A2258D">
        <w:t>CAPÍTULO 9: Las teorías de la argumentación y la contabilidad. Algunos acercamientos</w:t>
      </w:r>
      <w:r w:rsidRPr="00A2258D">
        <w:rPr>
          <w:rStyle w:val="Refdenotaalpie"/>
          <w:b w:val="0"/>
        </w:rPr>
        <w:footnoteReference w:id="1"/>
      </w:r>
      <w:r w:rsidRPr="00A2258D">
        <w:t>.</w:t>
      </w:r>
      <w:bookmarkEnd w:id="0"/>
    </w:p>
    <w:p w14:paraId="4DBF9D08" w14:textId="77777777" w:rsidR="003C0279" w:rsidRPr="00A2258D" w:rsidRDefault="003C0279" w:rsidP="003C0279">
      <w:pPr>
        <w:pStyle w:val="Normal1"/>
        <w:jc w:val="right"/>
        <w:rPr>
          <w:rFonts w:ascii="Times New Roman" w:hAnsi="Times New Roman" w:cs="Times New Roman"/>
          <w:sz w:val="24"/>
          <w:szCs w:val="24"/>
        </w:rPr>
      </w:pPr>
      <w:r w:rsidRPr="00A2258D">
        <w:rPr>
          <w:rFonts w:ascii="Times New Roman" w:hAnsi="Times New Roman" w:cs="Times New Roman"/>
          <w:i/>
          <w:sz w:val="24"/>
          <w:szCs w:val="24"/>
        </w:rPr>
        <w:t>Gustavo Alberto Ruiz Rojas</w:t>
      </w:r>
      <w:r w:rsidRPr="00A2258D">
        <w:rPr>
          <w:rStyle w:val="Refdenotaalpie"/>
          <w:rFonts w:ascii="Times New Roman" w:hAnsi="Times New Roman" w:cs="Times New Roman"/>
          <w:sz w:val="24"/>
          <w:szCs w:val="24"/>
        </w:rPr>
        <w:footnoteReference w:id="2"/>
      </w:r>
    </w:p>
    <w:p w14:paraId="4AF80DCD" w14:textId="77777777" w:rsidR="003C0279" w:rsidRPr="00A2258D" w:rsidRDefault="003C0279" w:rsidP="003C0279">
      <w:pPr>
        <w:pStyle w:val="Normal1"/>
        <w:rPr>
          <w:rFonts w:ascii="Times New Roman" w:hAnsi="Times New Roman" w:cs="Times New Roman"/>
          <w:sz w:val="24"/>
          <w:szCs w:val="24"/>
        </w:rPr>
      </w:pPr>
    </w:p>
    <w:p w14:paraId="29365FC5" w14:textId="77777777" w:rsidR="003C0279" w:rsidRPr="00A2258D" w:rsidRDefault="003C0279" w:rsidP="003C0279">
      <w:pPr>
        <w:pStyle w:val="Normal1"/>
        <w:rPr>
          <w:rFonts w:ascii="Times New Roman" w:hAnsi="Times New Roman" w:cs="Times New Roman"/>
          <w:sz w:val="24"/>
          <w:szCs w:val="24"/>
        </w:rPr>
      </w:pPr>
    </w:p>
    <w:p w14:paraId="2604CA6E" w14:textId="77777777" w:rsidR="003C0279" w:rsidRPr="00A2258D" w:rsidRDefault="003C0279" w:rsidP="003C0279">
      <w:pPr>
        <w:pStyle w:val="Normal1"/>
        <w:rPr>
          <w:rFonts w:ascii="Times New Roman" w:hAnsi="Times New Roman" w:cs="Times New Roman"/>
          <w:sz w:val="24"/>
          <w:szCs w:val="24"/>
        </w:rPr>
      </w:pPr>
    </w:p>
    <w:p w14:paraId="20D6AAD7" w14:textId="77777777" w:rsidR="003C0279" w:rsidRPr="00A2258D" w:rsidRDefault="003C0279" w:rsidP="003C0279">
      <w:pPr>
        <w:pStyle w:val="Normal1"/>
        <w:rPr>
          <w:rFonts w:ascii="Times New Roman" w:hAnsi="Times New Roman" w:cs="Times New Roman"/>
          <w:sz w:val="24"/>
          <w:szCs w:val="24"/>
        </w:rPr>
      </w:pPr>
    </w:p>
    <w:p w14:paraId="6664BB84" w14:textId="77777777" w:rsidR="003C0279" w:rsidRPr="00A2258D" w:rsidRDefault="003C0279" w:rsidP="003C0279">
      <w:pPr>
        <w:pStyle w:val="Normal1"/>
        <w:rPr>
          <w:rFonts w:ascii="Times New Roman" w:hAnsi="Times New Roman" w:cs="Times New Roman"/>
          <w:sz w:val="24"/>
          <w:szCs w:val="24"/>
        </w:rPr>
      </w:pPr>
    </w:p>
    <w:p w14:paraId="417AA6BF" w14:textId="77777777" w:rsidR="003C0279" w:rsidRPr="00A2258D" w:rsidRDefault="003C0279" w:rsidP="003C0279">
      <w:pPr>
        <w:pStyle w:val="Normal1"/>
        <w:rPr>
          <w:rFonts w:ascii="Times New Roman" w:hAnsi="Times New Roman" w:cs="Times New Roman"/>
          <w:sz w:val="24"/>
          <w:szCs w:val="24"/>
        </w:rPr>
      </w:pPr>
    </w:p>
    <w:p w14:paraId="195BC787" w14:textId="77777777" w:rsidR="003C0279" w:rsidRPr="00A2258D" w:rsidRDefault="003C0279" w:rsidP="003C0279">
      <w:pPr>
        <w:pStyle w:val="Normal1"/>
        <w:rPr>
          <w:rFonts w:ascii="Times New Roman" w:hAnsi="Times New Roman" w:cs="Times New Roman"/>
          <w:sz w:val="24"/>
          <w:szCs w:val="24"/>
        </w:rPr>
      </w:pPr>
    </w:p>
    <w:p w14:paraId="71024D39" w14:textId="77777777" w:rsidR="003C0279" w:rsidRPr="00A2258D" w:rsidRDefault="003C0279" w:rsidP="003C0279">
      <w:pPr>
        <w:pStyle w:val="Normal1"/>
        <w:rPr>
          <w:rFonts w:ascii="Times New Roman" w:hAnsi="Times New Roman" w:cs="Times New Roman"/>
          <w:sz w:val="24"/>
          <w:szCs w:val="24"/>
        </w:rPr>
      </w:pPr>
    </w:p>
    <w:p w14:paraId="005972FB" w14:textId="77777777" w:rsidR="003C0279" w:rsidRPr="00A2258D" w:rsidRDefault="003C0279" w:rsidP="003C0279">
      <w:pPr>
        <w:pStyle w:val="Normal1"/>
        <w:rPr>
          <w:rFonts w:ascii="Times New Roman" w:hAnsi="Times New Roman" w:cs="Times New Roman"/>
          <w:sz w:val="24"/>
          <w:szCs w:val="24"/>
        </w:rPr>
      </w:pPr>
    </w:p>
    <w:p w14:paraId="029CB09F" w14:textId="77777777" w:rsidR="003C0279" w:rsidRPr="00A2258D" w:rsidRDefault="003C0279" w:rsidP="003C0279">
      <w:pPr>
        <w:pStyle w:val="Normal1"/>
        <w:rPr>
          <w:rFonts w:ascii="Times New Roman" w:hAnsi="Times New Roman" w:cs="Times New Roman"/>
          <w:sz w:val="24"/>
          <w:szCs w:val="24"/>
        </w:rPr>
      </w:pPr>
    </w:p>
    <w:p w14:paraId="50308866" w14:textId="77777777" w:rsidR="003C0279" w:rsidRPr="00A2258D" w:rsidRDefault="003C0279" w:rsidP="003C0279">
      <w:pPr>
        <w:pStyle w:val="Normal1"/>
        <w:rPr>
          <w:rFonts w:ascii="Times New Roman" w:hAnsi="Times New Roman" w:cs="Times New Roman"/>
          <w:sz w:val="24"/>
          <w:szCs w:val="24"/>
        </w:rPr>
      </w:pPr>
    </w:p>
    <w:p w14:paraId="70ED8197" w14:textId="77777777" w:rsidR="003C0279" w:rsidRPr="00A2258D" w:rsidRDefault="003C0279" w:rsidP="003C0279">
      <w:pPr>
        <w:pStyle w:val="Normal1"/>
        <w:rPr>
          <w:rFonts w:ascii="Times New Roman" w:hAnsi="Times New Roman" w:cs="Times New Roman"/>
          <w:sz w:val="24"/>
          <w:szCs w:val="24"/>
        </w:rPr>
      </w:pPr>
    </w:p>
    <w:p w14:paraId="629161E2" w14:textId="77777777" w:rsidR="003C0279" w:rsidRPr="00A2258D" w:rsidRDefault="003C0279" w:rsidP="003C0279">
      <w:pPr>
        <w:pStyle w:val="Normal1"/>
        <w:rPr>
          <w:rFonts w:ascii="Times New Roman" w:hAnsi="Times New Roman" w:cs="Times New Roman"/>
          <w:sz w:val="24"/>
          <w:szCs w:val="24"/>
        </w:rPr>
      </w:pPr>
    </w:p>
    <w:p w14:paraId="7E6507D2" w14:textId="77777777" w:rsidR="003C0279" w:rsidRPr="00A2258D" w:rsidRDefault="003C0279" w:rsidP="003C0279">
      <w:pPr>
        <w:pStyle w:val="Normal1"/>
        <w:rPr>
          <w:rFonts w:ascii="Times New Roman" w:hAnsi="Times New Roman" w:cs="Times New Roman"/>
          <w:sz w:val="24"/>
          <w:szCs w:val="24"/>
        </w:rPr>
      </w:pPr>
    </w:p>
    <w:p w14:paraId="04E9F2A3" w14:textId="77777777" w:rsidR="003C0279" w:rsidRPr="00A2258D" w:rsidRDefault="003C0279" w:rsidP="003C0279">
      <w:pPr>
        <w:pStyle w:val="Normal1"/>
        <w:rPr>
          <w:rFonts w:ascii="Times New Roman" w:hAnsi="Times New Roman" w:cs="Times New Roman"/>
          <w:sz w:val="24"/>
          <w:szCs w:val="24"/>
        </w:rPr>
      </w:pPr>
    </w:p>
    <w:p w14:paraId="1E0E07B2" w14:textId="77777777" w:rsidR="003C0279" w:rsidRPr="00A2258D" w:rsidRDefault="003C0279" w:rsidP="003C0279">
      <w:pPr>
        <w:pStyle w:val="Normal1"/>
        <w:rPr>
          <w:rFonts w:ascii="Times New Roman" w:hAnsi="Times New Roman" w:cs="Times New Roman"/>
          <w:sz w:val="24"/>
          <w:szCs w:val="24"/>
        </w:rPr>
      </w:pPr>
    </w:p>
    <w:p w14:paraId="1B49FF26" w14:textId="77777777" w:rsidR="003C0279" w:rsidRPr="00A2258D" w:rsidRDefault="003C0279" w:rsidP="003C0279">
      <w:pPr>
        <w:pStyle w:val="Normal1"/>
        <w:rPr>
          <w:rFonts w:ascii="Times New Roman" w:hAnsi="Times New Roman" w:cs="Times New Roman"/>
          <w:sz w:val="24"/>
          <w:szCs w:val="24"/>
        </w:rPr>
      </w:pPr>
    </w:p>
    <w:p w14:paraId="00CE1339" w14:textId="77777777" w:rsidR="003C0279" w:rsidRPr="00A2258D" w:rsidRDefault="003C0279" w:rsidP="003C0279">
      <w:pPr>
        <w:pStyle w:val="Normal1"/>
        <w:ind w:hanging="360"/>
        <w:rPr>
          <w:rFonts w:ascii="Times New Roman" w:hAnsi="Times New Roman" w:cs="Times New Roman"/>
          <w:b/>
          <w:sz w:val="24"/>
          <w:szCs w:val="24"/>
        </w:rPr>
      </w:pPr>
      <w:r w:rsidRPr="00A2258D">
        <w:rPr>
          <w:rFonts w:ascii="Times New Roman" w:hAnsi="Times New Roman" w:cs="Times New Roman"/>
          <w:b/>
          <w:sz w:val="24"/>
          <w:szCs w:val="24"/>
        </w:rPr>
        <w:lastRenderedPageBreak/>
        <w:t xml:space="preserve">INTRODUCCIÓN </w:t>
      </w:r>
    </w:p>
    <w:p w14:paraId="7CC430F1"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Para Habermas, el problema central de la teoría de la argumentación es “reconstruir las presuposiciones y condiciones pragmático-formales del comportamiento explícitamente racional”</w:t>
      </w:r>
      <w:sdt>
        <w:sdtPr>
          <w:rPr>
            <w:rFonts w:ascii="Times New Roman" w:hAnsi="Times New Roman" w:cs="Times New Roman"/>
            <w:sz w:val="24"/>
            <w:szCs w:val="24"/>
          </w:rPr>
          <w:id w:val="1960157"/>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Hab99 \p 16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 xml:space="preserve"> (Habermas, 1999, p. 16)</w:t>
          </w:r>
          <w:r w:rsidRPr="00A2258D">
            <w:rPr>
              <w:rFonts w:ascii="Times New Roman" w:hAnsi="Times New Roman" w:cs="Times New Roman"/>
              <w:noProof/>
              <w:sz w:val="24"/>
              <w:szCs w:val="24"/>
            </w:rPr>
            <w:fldChar w:fldCharType="end"/>
          </w:r>
        </w:sdtContent>
      </w:sdt>
      <w:r w:rsidRPr="00A2258D">
        <w:rPr>
          <w:rFonts w:ascii="Times New Roman" w:hAnsi="Times New Roman" w:cs="Times New Roman"/>
          <w:sz w:val="24"/>
          <w:szCs w:val="24"/>
        </w:rPr>
        <w:t>. Esto connota que cada teoría reclama para sí y sustenta los criterios de validez que garantizan la racionalidad de cualquier punto de vista, lo cual niega la posibilidad de constituir una teoría última que de forma universal y apriorística determine los criterios de validez al margen de las condiciones sociales de enunciación.</w:t>
      </w:r>
    </w:p>
    <w:p w14:paraId="0D969972"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El concepto de racionalidad en Habermas presupone una estrecha vinculación con el saber.  Desde este punto de vista “La estrecha relación que existe entre saber y racionalidad permite sospechar que la racionalidad de una emisión o de una manifestación depende de la fiabilidad del saber que encarnan”</w:t>
      </w:r>
      <w:sdt>
        <w:sdtPr>
          <w:rPr>
            <w:rFonts w:ascii="Times New Roman" w:hAnsi="Times New Roman" w:cs="Times New Roman"/>
            <w:sz w:val="24"/>
            <w:szCs w:val="24"/>
          </w:rPr>
          <w:id w:val="4554986"/>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Hab99 \p 24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 xml:space="preserve"> (Habermas, 1999, p. 24)</w:t>
          </w:r>
          <w:r w:rsidRPr="00A2258D">
            <w:rPr>
              <w:rFonts w:ascii="Times New Roman" w:hAnsi="Times New Roman" w:cs="Times New Roman"/>
              <w:noProof/>
              <w:sz w:val="24"/>
              <w:szCs w:val="24"/>
            </w:rPr>
            <w:fldChar w:fldCharType="end"/>
          </w:r>
        </w:sdtContent>
      </w:sdt>
      <w:r w:rsidRPr="00A2258D">
        <w:rPr>
          <w:rFonts w:ascii="Times New Roman" w:hAnsi="Times New Roman" w:cs="Times New Roman"/>
          <w:sz w:val="24"/>
          <w:szCs w:val="24"/>
        </w:rPr>
        <w:t xml:space="preserve"> Esta premisa opera tanto para las intenciones comunicativas que pretenden sustentar una opinión, como para las intenciones teleológicas orientadas a lograr un determinado fin.  Ambas son fiables, pero también susceptibles de crítica. </w:t>
      </w:r>
    </w:p>
    <w:p w14:paraId="65896E39"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Así como en la intención comunicativa la pretensión de validez se sustenta en la posibilidad de fundamentar el enunciado, en la intención teleológica la pretensión de validez se sustenta en las perspectivas de éxito del plan de acción, o en la eficacia de las reglas de acción con base en la adecuación de los medios elegidos para lograr el fin.</w:t>
      </w:r>
    </w:p>
    <w:p w14:paraId="6456694E" w14:textId="77777777" w:rsidR="003C0279" w:rsidRPr="00A2258D" w:rsidRDefault="003C0279" w:rsidP="003C0279">
      <w:pPr>
        <w:ind w:left="680"/>
        <w:jc w:val="both"/>
        <w:rPr>
          <w:rFonts w:ascii="Times New Roman" w:hAnsi="Times New Roman" w:cs="Times New Roman"/>
          <w:sz w:val="24"/>
          <w:szCs w:val="24"/>
        </w:rPr>
      </w:pPr>
      <w:r w:rsidRPr="00A2258D">
        <w:rPr>
          <w:rFonts w:ascii="Times New Roman" w:hAnsi="Times New Roman" w:cs="Times New Roman"/>
        </w:rPr>
        <w:t xml:space="preserve">Así como la verdad se refiere a la existencia de estados de cosas en el mundo, la eficacia se refiere a intervenciones en el mundo con ayuda de las cuales  pueden producirse los estados de cosas deseados. </w:t>
      </w:r>
      <w:sdt>
        <w:sdtPr>
          <w:rPr>
            <w:rFonts w:ascii="Times New Roman" w:hAnsi="Times New Roman" w:cs="Times New Roman"/>
          </w:rPr>
          <w:id w:val="4554987"/>
          <w:citation/>
        </w:sdtPr>
        <w:sdtContent>
          <w:r w:rsidRPr="00A2258D">
            <w:rPr>
              <w:rFonts w:ascii="Times New Roman" w:hAnsi="Times New Roman" w:cs="Times New Roman"/>
            </w:rPr>
            <w:fldChar w:fldCharType="begin"/>
          </w:r>
          <w:r w:rsidRPr="00A2258D">
            <w:rPr>
              <w:rFonts w:ascii="Times New Roman" w:hAnsi="Times New Roman" w:cs="Times New Roman"/>
            </w:rPr>
            <w:instrText xml:space="preserve"> CITATION Hab99 \p 25 \l 9226  </w:instrText>
          </w:r>
          <w:r w:rsidRPr="00A2258D">
            <w:rPr>
              <w:rFonts w:ascii="Times New Roman" w:hAnsi="Times New Roman" w:cs="Times New Roman"/>
            </w:rPr>
            <w:fldChar w:fldCharType="separate"/>
          </w:r>
          <w:r w:rsidRPr="00A2258D">
            <w:rPr>
              <w:rFonts w:ascii="Times New Roman" w:hAnsi="Times New Roman" w:cs="Times New Roman"/>
              <w:noProof/>
            </w:rPr>
            <w:t>(Habermas, 1999, p. 25)</w:t>
          </w:r>
          <w:r w:rsidRPr="00A2258D">
            <w:rPr>
              <w:rFonts w:ascii="Times New Roman" w:hAnsi="Times New Roman" w:cs="Times New Roman"/>
            </w:rPr>
            <w:fldChar w:fldCharType="end"/>
          </w:r>
        </w:sdtContent>
      </w:sdt>
      <w:r w:rsidRPr="00A2258D">
        <w:rPr>
          <w:rFonts w:ascii="Times New Roman" w:hAnsi="Times New Roman" w:cs="Times New Roman"/>
          <w:sz w:val="24"/>
          <w:szCs w:val="24"/>
        </w:rPr>
        <w:t>.</w:t>
      </w:r>
    </w:p>
    <w:p w14:paraId="6212C50D"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Sin embargo, el propio Habermas acusa la limitación de esta doble caracterización, ya que “la racionalidad inmanente a la práctica comunicativa abarca un espectro más amplio. Remite a diversas formas de argumentación como otras tantas formas de proseguir la acción comunicativa con otros medios reflexivos”</w:t>
      </w:r>
      <w:sdt>
        <w:sdtPr>
          <w:rPr>
            <w:rFonts w:ascii="Times New Roman" w:hAnsi="Times New Roman" w:cs="Times New Roman"/>
            <w:sz w:val="24"/>
            <w:szCs w:val="24"/>
          </w:rPr>
          <w:id w:val="4554989"/>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Hab99 \p 26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 xml:space="preserve"> (Habermas, 1999, p. 26)</w:t>
          </w:r>
          <w:r w:rsidRPr="00A2258D">
            <w:rPr>
              <w:rFonts w:ascii="Times New Roman" w:hAnsi="Times New Roman" w:cs="Times New Roman"/>
              <w:noProof/>
              <w:sz w:val="24"/>
              <w:szCs w:val="24"/>
            </w:rPr>
            <w:fldChar w:fldCharType="end"/>
          </w:r>
        </w:sdtContent>
      </w:sdt>
      <w:r w:rsidRPr="00A2258D">
        <w:rPr>
          <w:rFonts w:ascii="Times New Roman" w:hAnsi="Times New Roman" w:cs="Times New Roman"/>
          <w:sz w:val="24"/>
          <w:szCs w:val="24"/>
        </w:rPr>
        <w:t xml:space="preserve">.  No obstante  en esta primera  parte se dedica a esta doble visión, la cual llama cognitiva, ya que ambas se distinguen por el uso que hacen del saber proposicional. El </w:t>
      </w:r>
      <w:r w:rsidRPr="00A2258D">
        <w:rPr>
          <w:rFonts w:ascii="Times New Roman" w:hAnsi="Times New Roman" w:cs="Times New Roman"/>
          <w:i/>
          <w:sz w:val="24"/>
          <w:szCs w:val="24"/>
        </w:rPr>
        <w:t>thelos</w:t>
      </w:r>
      <w:r w:rsidRPr="00A2258D">
        <w:rPr>
          <w:rFonts w:ascii="Times New Roman" w:hAnsi="Times New Roman" w:cs="Times New Roman"/>
          <w:sz w:val="24"/>
          <w:szCs w:val="24"/>
        </w:rPr>
        <w:t xml:space="preserve"> del primero se relaciona con la manipulación instrumental, en tanto el del segundo se orienta al entendimiento comunicativo. </w:t>
      </w:r>
    </w:p>
    <w:p w14:paraId="051E7D43" w14:textId="77777777" w:rsidR="003C0279" w:rsidRPr="00A2258D" w:rsidRDefault="003C0279" w:rsidP="003C0279">
      <w:pPr>
        <w:jc w:val="both"/>
        <w:rPr>
          <w:rFonts w:ascii="Times New Roman" w:hAnsi="Times New Roman" w:cs="Times New Roman"/>
          <w:noProof/>
          <w:sz w:val="24"/>
          <w:szCs w:val="24"/>
        </w:rPr>
      </w:pPr>
      <w:r w:rsidRPr="00A2258D">
        <w:rPr>
          <w:rFonts w:ascii="Times New Roman" w:hAnsi="Times New Roman" w:cs="Times New Roman"/>
          <w:sz w:val="24"/>
          <w:szCs w:val="24"/>
        </w:rPr>
        <w:t xml:space="preserve">Sobre la base de la contrastación entre el supuesto ontológico realista, directamente vinculado con la intención instrumental y el supuesto ontológico fenomenológico, en relación con la acción comunicativa, Habermas indica que solo puede ser considerado responsable dentro del contexto de la acción comunicativa, aquel que sea capaz de orientar su acción por pretensiones de validez construidas intersubjetivamente.  Ambas posturas ofrecen diversos grados de autonomía, un mayor grado de racionalidad cognitiva permite mayor autonomía frente a las restricciones del entorno, en tanto un mayor grado de racionalidad comunicativa permite </w:t>
      </w:r>
      <w:r w:rsidRPr="00A2258D">
        <w:rPr>
          <w:rFonts w:ascii="Times New Roman" w:hAnsi="Times New Roman" w:cs="Times New Roman"/>
          <w:noProof/>
          <w:sz w:val="24"/>
          <w:szCs w:val="24"/>
        </w:rPr>
        <w:t xml:space="preserve">una mayor coordinación de las acciones sin recurrir a la coerción. </w:t>
      </w:r>
    </w:p>
    <w:p w14:paraId="7DB81847"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noProof/>
          <w:sz w:val="24"/>
          <w:szCs w:val="24"/>
        </w:rPr>
        <w:lastRenderedPageBreak/>
        <w:t xml:space="preserve">Esta diferencia es abordada por Edgard Gracia en el contexto de la Contabilidad.   Para tal efecto, establece la diferencia entre las verdades de naturaleza racional (logos) y las de naturaleza dialógica(noética); las primeras se manifiestan en una formalidad  expresada en términos lógicos y abstractos(2018). Se sustentan  </w:t>
      </w:r>
      <w:r w:rsidRPr="00A2258D">
        <w:rPr>
          <w:rFonts w:ascii="Times New Roman" w:hAnsi="Times New Roman" w:cs="Times New Roman"/>
          <w:sz w:val="24"/>
          <w:szCs w:val="24"/>
        </w:rPr>
        <w:t>en posturas objetivistas del conocimiento y  plantean que la contabilidad entraría a representar una serie de hechos económicos y financieros propios de la realidad; desconociendo con ello que la contabilidad como práctica social e institucional “no simplemente representa la realidad, sino que la interviene y la “construye” por medio de un intrincado proceso lingüístico, semiótico, institucional y sociológico”</w:t>
      </w:r>
      <w:r w:rsidRPr="00A2258D">
        <w:rPr>
          <w:rFonts w:ascii="Times New Roman" w:hAnsi="Times New Roman" w:cs="Times New Roman"/>
          <w:noProof/>
          <w:sz w:val="24"/>
          <w:szCs w:val="24"/>
        </w:rPr>
        <w:t xml:space="preserve"> (Gómez, 2009, pág. 148)</w:t>
      </w:r>
      <w:r w:rsidRPr="00A2258D">
        <w:rPr>
          <w:rFonts w:ascii="Times New Roman" w:hAnsi="Times New Roman" w:cs="Times New Roman"/>
          <w:sz w:val="24"/>
          <w:szCs w:val="24"/>
        </w:rPr>
        <w:t xml:space="preserve">. </w:t>
      </w:r>
    </w:p>
    <w:p w14:paraId="1A884AB0"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 xml:space="preserve"> De acuerdo con Mauricio Gómez Villegas, el enfoque de la regulación contable internacional, adopta una mirada limitada y muy simplificada del papel de la información, al exacerbar el objetivo de valoración, y desconoce la capacidad y funciones de la contabilidad como estructura y “proceso” para la consolidación de arquetipos de control internos y externos a las organizaciones. Este desconocimiento y simplificación, repercute en: a) la implementación de una débil estructura de gobierno corporativo por la adopción de una idea muy “abstracta” de la firma y del rol de la información a su interior, b) el retorno al enfoque de la contabilidad para “el propietario-persona” o —teoría del propietario (Vatter, 1974, Citado por Gómez, 2009), retomando criterios controvertibles para la medición del “capital”, el ingreso y el beneficio, c) la utilización ineficiente de las normas contables, en cuanto a su objetivo de control público, ya que su espíritu se enfoca en la homogeneización del criterio de valoración para tornar a tales normas en un instrumento de representación del valor de la empresa. Como consecuencia de lo anterior, se satisfacen los objetivos de información para la toma de decisiones del inversor en los mercados financieros, pero se relega la potencialidad y capacidad de la información financiera y de la contabilidad para otros fines (2009). </w:t>
      </w:r>
    </w:p>
    <w:p w14:paraId="79A6152E"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Wittgenstein (1958) argumentó que todo seguimiento de reglas, y de hecho el aprendizaje del lenguaje en sí mismo, implica un acceso interminable de elementos  de juicio.  La gente necesita juzgar la intención de las reglas, si un caso es similar suficiente en la forma prevista para otros casos, y pronto (citado por Brown et al, 1993). El resultado de esta línea de investigación es que las categorías que elegimos crear son necesariamente influenciadas por nuestras razones para crear ellos, por nuestros intereses (Lyas, 1984, p.102, citado Brown et al, 1993, pág. 281).</w:t>
      </w:r>
    </w:p>
    <w:p w14:paraId="73877E58"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Estos, a su vez, están influenciados por factores culturales o variables individuales.  Por lo tanto, es importante para entender esos intereses en la contabilidad.  Hacer eso permitirá crear categorías más adecuadas y lo haremos danos guía para decidir sobre casos difíciles” (Brown et al, 1993, pág. 281).</w:t>
      </w:r>
    </w:p>
    <w:p w14:paraId="3006E0E5"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 xml:space="preserve">En ese sentido, se abre la posibilidad de las verdades noéticas, las cuales trascienden el sentido estrictamente lógico de la contabilidad y enfatiza en el aspecto comunicacional y dialógico de la misma </w:t>
      </w:r>
      <w:sdt>
        <w:sdtPr>
          <w:rPr>
            <w:rFonts w:ascii="Times New Roman" w:hAnsi="Times New Roman" w:cs="Times New Roman"/>
            <w:sz w:val="24"/>
            <w:szCs w:val="24"/>
          </w:rPr>
          <w:id w:val="2718470"/>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Gra181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(Gracia López, 2018)</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Al respecto  es necesario enfatizar  de acuerdo </w:t>
      </w:r>
      <w:r w:rsidRPr="00A2258D">
        <w:rPr>
          <w:rFonts w:ascii="Times New Roman" w:hAnsi="Times New Roman" w:cs="Times New Roman"/>
          <w:sz w:val="24"/>
          <w:szCs w:val="24"/>
        </w:rPr>
        <w:lastRenderedPageBreak/>
        <w:t>con Brown et al- en la  necesidad de desarrollar el juicio profesional, el cual más allá de un juicio semántico asociado a las condiciones necesarias para definir un hecho conceptualmente, demanda la aplicación de un juicio pragmático el cual considera la imposibilidad e inutilidad de establecer juicios semánticos exhaustivos, dada la necesaria condición de incompletitud de las normas, lo cual permite realizar inferencias válidas a partir de ciertos juicios</w:t>
      </w:r>
      <w:sdt>
        <w:sdtPr>
          <w:rPr>
            <w:rFonts w:ascii="Times New Roman" w:hAnsi="Times New Roman" w:cs="Times New Roman"/>
            <w:sz w:val="24"/>
            <w:szCs w:val="24"/>
          </w:rPr>
          <w:id w:val="2718480"/>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Tho93 \n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 xml:space="preserve"> (1993)</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Ello demanda el desarrollo de competencias comunicativas para acotar los márgenes de inferencia, y argumentativas para sustentar los juicios</w:t>
      </w:r>
      <w:sdt>
        <w:sdtPr>
          <w:rPr>
            <w:rFonts w:ascii="Times New Roman" w:hAnsi="Times New Roman" w:cs="Times New Roman"/>
            <w:sz w:val="24"/>
            <w:szCs w:val="24"/>
          </w:rPr>
          <w:id w:val="2718481"/>
          <w:citation/>
        </w:sdtPr>
        <w:sdtContent>
          <w:r w:rsidRPr="00A2258D">
            <w:rPr>
              <w:rFonts w:ascii="Times New Roman" w:hAnsi="Times New Roman" w:cs="Times New Roman"/>
              <w:sz w:val="24"/>
              <w:szCs w:val="24"/>
            </w:rPr>
            <w:fldChar w:fldCharType="begin"/>
          </w:r>
          <w:r w:rsidRPr="00A2258D">
            <w:rPr>
              <w:rFonts w:ascii="Times New Roman" w:hAnsi="Times New Roman" w:cs="Times New Roman"/>
              <w:sz w:val="24"/>
              <w:szCs w:val="24"/>
            </w:rPr>
            <w:instrText xml:space="preserve"> CITATION Tho93 \l 9226 </w:instrText>
          </w:r>
          <w:r w:rsidRPr="00A2258D">
            <w:rPr>
              <w:rFonts w:ascii="Times New Roman" w:hAnsi="Times New Roman" w:cs="Times New Roman"/>
              <w:sz w:val="24"/>
              <w:szCs w:val="24"/>
            </w:rPr>
            <w:fldChar w:fldCharType="separate"/>
          </w:r>
          <w:r w:rsidRPr="00A2258D">
            <w:rPr>
              <w:rFonts w:ascii="Times New Roman" w:hAnsi="Times New Roman" w:cs="Times New Roman"/>
              <w:noProof/>
              <w:sz w:val="24"/>
              <w:szCs w:val="24"/>
            </w:rPr>
            <w:t xml:space="preserve"> (Brown, et al., 1993)</w:t>
          </w:r>
          <w:r w:rsidRPr="00A2258D">
            <w:rPr>
              <w:rFonts w:ascii="Times New Roman" w:hAnsi="Times New Roman" w:cs="Times New Roman"/>
              <w:sz w:val="24"/>
              <w:szCs w:val="24"/>
            </w:rPr>
            <w:fldChar w:fldCharType="end"/>
          </w:r>
        </w:sdtContent>
      </w:sdt>
      <w:r w:rsidRPr="00A2258D">
        <w:rPr>
          <w:rFonts w:ascii="Times New Roman" w:hAnsi="Times New Roman" w:cs="Times New Roman"/>
          <w:sz w:val="24"/>
          <w:szCs w:val="24"/>
        </w:rPr>
        <w:t xml:space="preserve">. Además surge la necesidad de sustentar otras posibilidades de representación e interpretación para superar  la unicidad de la homogeneización financiera que refuerza el pensamiento único en contabilidad, a través de una resignificación relacional de los conceptos de riqueza, valor y utilidad (Gómez, 2007). En ese sentido el juicio institucional radica en la posibilidad de expandir los horizontes conceptuales dando reconocimiento a ciertas formas novedosas no contempladas previamente, con lo cual se debe estar alerta a la posibilidad de cambios "revolucionarios" en contabilidad y darles la bienvenida cuando las realidades subyacentes o oportunidades para lograr economía teórica garantiza que lo haga” (Brown et al 1993, pág. 284). Lo cual no puede ser asumido individualmente, sino que debe hacerse como un incremento de conocimiento que se adopta institucionalmente. Por tal razón, la argumentación se presenta como un dominio fundamental en los diversos ámbitos de la contabilidad  desde el punto de vista académico, normativo y profesional.  Pero en cada contexto cumple diversas funciones, se guía por propósitos e interacciones diferentes dependiendo de los contextos. Así, existirán contextos marcados por el debate, otros por la necesidad de convencer a un auditorio y otros por las exigencias propias de la toma de decisiones, razón por la cual la justificación de las acciones se torna vital.  </w:t>
      </w:r>
    </w:p>
    <w:p w14:paraId="12EE6C76" w14:textId="77777777" w:rsidR="003C0279" w:rsidRPr="00A2258D"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 xml:space="preserve">Todo lo anterior demanda el reconocimiento de algunas teorías de la argumentación, con el fin de comprender  sus posibles vínculos con la contabilidad.  En este caso se revisan algunos aportes para establecer esos vínculos en torno a tres teorías fundamentales: La retórica de Chaim Perellman, la pragmadialéctica de Franz Van Emeren y la Lógica Factual de Stephen Toulmin. </w:t>
      </w:r>
    </w:p>
    <w:p w14:paraId="17636DAE" w14:textId="28C067A3" w:rsidR="0036010A" w:rsidRDefault="003C0279" w:rsidP="003C0279">
      <w:pPr>
        <w:jc w:val="both"/>
        <w:rPr>
          <w:rFonts w:ascii="Times New Roman" w:hAnsi="Times New Roman" w:cs="Times New Roman"/>
          <w:sz w:val="24"/>
          <w:szCs w:val="24"/>
        </w:rPr>
      </w:pPr>
      <w:r w:rsidRPr="00A2258D">
        <w:rPr>
          <w:rFonts w:ascii="Times New Roman" w:hAnsi="Times New Roman" w:cs="Times New Roman"/>
          <w:sz w:val="24"/>
          <w:szCs w:val="24"/>
        </w:rPr>
        <w:t>El texto se organiza de la siguiente manera: en primer lugar se revisa la discusión acerca del carácter representativo de la contabilidad y sus implicaciones como disciplina social.  Posteriormente se desarrollan tres capítulos cada uno de los cuales aborda una de las teorías de la argumentación, partiendo de una descripción general de la misma, siguiendo con sus implicaciones para la contabilidad, para después revisar algunos acercamientos que se han hecho entre la contabilidad y la respectiva teoría de la argumentación. Finalmente se concluye.</w:t>
      </w:r>
    </w:p>
    <w:p w14:paraId="7854A144" w14:textId="40EEA633" w:rsidR="003C0279" w:rsidRDefault="003C0279">
      <w:pPr>
        <w:spacing w:after="160" w:line="259" w:lineRule="auto"/>
      </w:pPr>
      <w:r>
        <w:br w:type="page"/>
      </w:r>
    </w:p>
    <w:p w14:paraId="4283E7C9" w14:textId="77777777" w:rsidR="003C0279" w:rsidRPr="00A2258D" w:rsidRDefault="003C0279" w:rsidP="003C0279">
      <w:pPr>
        <w:pStyle w:val="Normal1"/>
        <w:rPr>
          <w:rFonts w:ascii="Times New Roman" w:hAnsi="Times New Roman" w:cs="Times New Roman"/>
          <w:b/>
          <w:sz w:val="24"/>
          <w:szCs w:val="24"/>
        </w:rPr>
      </w:pPr>
      <w:r w:rsidRPr="00A2258D">
        <w:rPr>
          <w:rFonts w:ascii="Times New Roman" w:hAnsi="Times New Roman" w:cs="Times New Roman"/>
          <w:b/>
          <w:sz w:val="24"/>
          <w:szCs w:val="24"/>
        </w:rPr>
        <w:lastRenderedPageBreak/>
        <w:t>BIBLIOGRAFÍA</w:t>
      </w:r>
    </w:p>
    <w:p w14:paraId="595FD41F"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Alvear, S. Tello, J. (2014). El discurso directivo en la comunicación de los estados financieros, el caso de dos empresas chilenas. </w:t>
      </w:r>
      <w:r w:rsidRPr="00A2258D">
        <w:rPr>
          <w:rFonts w:ascii="Times New Roman" w:hAnsi="Times New Roman" w:cs="Times New Roman"/>
          <w:sz w:val="24"/>
          <w:szCs w:val="24"/>
          <w:lang w:val="en-US"/>
        </w:rPr>
        <w:t>R</w:t>
      </w:r>
      <w:r w:rsidRPr="00A2258D">
        <w:rPr>
          <w:rFonts w:ascii="Times New Roman" w:hAnsi="Times New Roman" w:cs="Times New Roman"/>
          <w:i/>
          <w:sz w:val="24"/>
          <w:szCs w:val="24"/>
          <w:lang w:val="en-US"/>
        </w:rPr>
        <w:t xml:space="preserve">evista Contaduría y Administración </w:t>
      </w:r>
      <w:r w:rsidRPr="00A2258D">
        <w:rPr>
          <w:rFonts w:ascii="Times New Roman" w:hAnsi="Times New Roman" w:cs="Times New Roman"/>
          <w:sz w:val="24"/>
          <w:szCs w:val="24"/>
          <w:lang w:val="en-US"/>
        </w:rPr>
        <w:t>59 (3), 261-283.</w:t>
      </w:r>
    </w:p>
    <w:p w14:paraId="4C599BC0"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Agyemang, G. &amp; Lehman, C. (2013). Adding critical accounting voices to migration studies. </w:t>
      </w:r>
      <w:r w:rsidRPr="00A2258D">
        <w:rPr>
          <w:rFonts w:ascii="Times New Roman" w:hAnsi="Times New Roman" w:cs="Times New Roman"/>
          <w:i/>
          <w:sz w:val="24"/>
          <w:szCs w:val="24"/>
        </w:rPr>
        <w:t>Critical Perspectives on Accounting</w:t>
      </w:r>
      <w:r w:rsidRPr="00A2258D">
        <w:rPr>
          <w:rFonts w:ascii="Times New Roman" w:hAnsi="Times New Roman" w:cs="Times New Roman"/>
          <w:sz w:val="24"/>
          <w:szCs w:val="24"/>
        </w:rPr>
        <w:t>, 24, 261-272.</w:t>
      </w:r>
    </w:p>
    <w:p w14:paraId="24B90392"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Archel, P. (2007). Discurso contable, ideología e informes anuales: un enfoque interpretativo. </w:t>
      </w:r>
      <w:r w:rsidRPr="00A2258D">
        <w:rPr>
          <w:rFonts w:ascii="Times New Roman" w:hAnsi="Times New Roman" w:cs="Times New Roman"/>
          <w:i/>
          <w:sz w:val="24"/>
          <w:szCs w:val="24"/>
        </w:rPr>
        <w:t>Contaduría Universidad de Antioquia</w:t>
      </w:r>
      <w:r w:rsidRPr="00A2258D">
        <w:rPr>
          <w:rFonts w:ascii="Times New Roman" w:hAnsi="Times New Roman" w:cs="Times New Roman"/>
          <w:sz w:val="24"/>
          <w:szCs w:val="24"/>
        </w:rPr>
        <w:t>, 51, 41-64.</w:t>
      </w:r>
    </w:p>
    <w:p w14:paraId="68CAC450"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Gil, J.M.(2013). Expectativas sobre el desarrollo de la escuela crítica en el marco de la diseminación de las NiiF. </w:t>
      </w:r>
      <w:r w:rsidRPr="00A2258D">
        <w:rPr>
          <w:rFonts w:ascii="Times New Roman" w:hAnsi="Times New Roman" w:cs="Times New Roman"/>
          <w:i/>
          <w:sz w:val="24"/>
          <w:szCs w:val="24"/>
          <w:lang w:val="en-US"/>
        </w:rPr>
        <w:t>Lumina</w:t>
      </w:r>
      <w:r w:rsidRPr="00A2258D">
        <w:rPr>
          <w:rFonts w:ascii="Times New Roman" w:hAnsi="Times New Roman" w:cs="Times New Roman"/>
          <w:sz w:val="24"/>
          <w:szCs w:val="24"/>
          <w:lang w:val="en-US"/>
        </w:rPr>
        <w:t>, 14, p.p 8-40.</w:t>
      </w:r>
    </w:p>
    <w:p w14:paraId="45DA2DD1"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s-ES"/>
        </w:rPr>
      </w:pPr>
      <w:r w:rsidRPr="00A2258D">
        <w:rPr>
          <w:rFonts w:ascii="Times New Roman" w:hAnsi="Times New Roman" w:cs="Times New Roman"/>
          <w:sz w:val="24"/>
          <w:szCs w:val="24"/>
          <w:lang w:val="en-US"/>
        </w:rPr>
        <w:t xml:space="preserve">Arrington, E. &amp; Schweiker, W. (1992). The rhetoric and rationality of accounting research. </w:t>
      </w:r>
      <w:r w:rsidRPr="00A2258D">
        <w:rPr>
          <w:rFonts w:ascii="Times New Roman" w:hAnsi="Times New Roman" w:cs="Times New Roman"/>
          <w:i/>
          <w:sz w:val="24"/>
          <w:szCs w:val="24"/>
          <w:lang w:val="es-ES"/>
        </w:rPr>
        <w:t>Accounting Organizations and Society</w:t>
      </w:r>
      <w:r w:rsidRPr="00A2258D">
        <w:rPr>
          <w:rFonts w:ascii="Times New Roman" w:hAnsi="Times New Roman" w:cs="Times New Roman"/>
          <w:sz w:val="24"/>
          <w:szCs w:val="24"/>
          <w:lang w:val="es-ES"/>
        </w:rPr>
        <w:t>, 17(6), 511-533.</w:t>
      </w:r>
    </w:p>
    <w:p w14:paraId="5E1C9553"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s-ES"/>
        </w:rPr>
      </w:pPr>
      <w:r w:rsidRPr="00A2258D">
        <w:rPr>
          <w:rFonts w:ascii="Times New Roman" w:hAnsi="Times New Roman" w:cs="Times New Roman"/>
          <w:sz w:val="24"/>
          <w:szCs w:val="24"/>
          <w:lang w:val="es-ES"/>
        </w:rPr>
        <w:t xml:space="preserve">Atienza, M. (2005). </w:t>
      </w:r>
      <w:r w:rsidRPr="00A2258D">
        <w:rPr>
          <w:rFonts w:ascii="Times New Roman" w:hAnsi="Times New Roman" w:cs="Times New Roman"/>
          <w:i/>
          <w:sz w:val="24"/>
          <w:szCs w:val="24"/>
          <w:lang w:val="es-ES"/>
        </w:rPr>
        <w:t>Las razones del derecho: teorias de la argumentación jurídica</w:t>
      </w:r>
      <w:r w:rsidRPr="00A2258D">
        <w:rPr>
          <w:rFonts w:ascii="Times New Roman" w:hAnsi="Times New Roman" w:cs="Times New Roman"/>
          <w:sz w:val="24"/>
          <w:szCs w:val="24"/>
          <w:lang w:val="es-ES"/>
        </w:rPr>
        <w:t xml:space="preserve">. México: Universidad Autónoma de México. </w:t>
      </w:r>
    </w:p>
    <w:p w14:paraId="0999684C"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s-ES"/>
        </w:rPr>
        <w:t xml:space="preserve">Brown, G., Collins, R. &amp; Thorton, D., 1993. </w:t>
      </w:r>
      <w:r w:rsidRPr="00A2258D">
        <w:rPr>
          <w:rFonts w:ascii="Times New Roman" w:hAnsi="Times New Roman" w:cs="Times New Roman"/>
          <w:sz w:val="24"/>
          <w:szCs w:val="24"/>
          <w:lang w:val="en-US"/>
        </w:rPr>
        <w:t>Professional judgment and accounting standards. Accounting Organizations and Society, 18(4), pp. 275-289.</w:t>
      </w:r>
    </w:p>
    <w:p w14:paraId="5D42E899"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Craig, R. &amp; Amernic, J.(2004). Enron discourse: The rhetoric of a resilient capitalism. </w:t>
      </w:r>
      <w:r w:rsidRPr="00A2258D">
        <w:rPr>
          <w:rFonts w:ascii="Times New Roman" w:hAnsi="Times New Roman" w:cs="Times New Roman"/>
          <w:i/>
          <w:sz w:val="24"/>
          <w:szCs w:val="24"/>
          <w:lang w:val="en-US"/>
        </w:rPr>
        <w:t>Critical Perspectives on Accounting</w:t>
      </w:r>
      <w:r w:rsidRPr="00A2258D">
        <w:rPr>
          <w:rFonts w:ascii="Times New Roman" w:hAnsi="Times New Roman" w:cs="Times New Roman"/>
          <w:sz w:val="24"/>
          <w:szCs w:val="24"/>
          <w:lang w:val="en-US"/>
        </w:rPr>
        <w:t>, 15, 813-851.</w:t>
      </w:r>
    </w:p>
    <w:p w14:paraId="6AE2303D"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Craig, R. &amp; Amernic, J. (2006). The mobilization of accounting in preening for privatization. </w:t>
      </w:r>
      <w:r w:rsidRPr="00A2258D">
        <w:rPr>
          <w:rFonts w:ascii="Times New Roman" w:hAnsi="Times New Roman" w:cs="Times New Roman"/>
          <w:i/>
          <w:sz w:val="24"/>
          <w:szCs w:val="24"/>
          <w:lang w:val="en-US"/>
        </w:rPr>
        <w:t>Accounting, Auditing and Accountability Journal</w:t>
      </w:r>
      <w:r w:rsidRPr="00A2258D">
        <w:rPr>
          <w:rFonts w:ascii="Times New Roman" w:hAnsi="Times New Roman" w:cs="Times New Roman"/>
          <w:sz w:val="24"/>
          <w:szCs w:val="24"/>
          <w:lang w:val="en-US"/>
        </w:rPr>
        <w:t>, 19(1), 82-95.</w:t>
      </w:r>
    </w:p>
    <w:p w14:paraId="02617B44"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Craig, R. &amp; Armenic, J. (2008). A privatization success story: Accounting and narrative expression over time. </w:t>
      </w:r>
      <w:r w:rsidRPr="00A2258D">
        <w:rPr>
          <w:rFonts w:ascii="Times New Roman" w:hAnsi="Times New Roman" w:cs="Times New Roman"/>
          <w:i/>
          <w:sz w:val="24"/>
          <w:szCs w:val="24"/>
          <w:lang w:val="en-US"/>
        </w:rPr>
        <w:t>Accounting, Auditing and Accountability Journal</w:t>
      </w:r>
      <w:r w:rsidRPr="00A2258D">
        <w:rPr>
          <w:rFonts w:ascii="Times New Roman" w:hAnsi="Times New Roman" w:cs="Times New Roman"/>
          <w:sz w:val="24"/>
          <w:szCs w:val="24"/>
          <w:lang w:val="en-US"/>
        </w:rPr>
        <w:t>, 21(8), 1085-111.</w:t>
      </w:r>
    </w:p>
    <w:p w14:paraId="70C290C7"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Davidson, J. (2008). Rhetoric, repetition, reporting and the “dot. Com” era: Words, pictures, intangibles. </w:t>
      </w:r>
      <w:r w:rsidRPr="00A2258D">
        <w:rPr>
          <w:rFonts w:ascii="Times New Roman" w:hAnsi="Times New Roman" w:cs="Times New Roman"/>
          <w:i/>
          <w:sz w:val="24"/>
          <w:szCs w:val="24"/>
          <w:lang w:val="en-US"/>
        </w:rPr>
        <w:t>Accounting, Auditing and Accountability Journal,</w:t>
      </w:r>
      <w:r w:rsidRPr="00A2258D">
        <w:rPr>
          <w:rFonts w:ascii="Times New Roman" w:hAnsi="Times New Roman" w:cs="Times New Roman"/>
          <w:sz w:val="24"/>
          <w:szCs w:val="24"/>
          <w:lang w:val="en-US"/>
        </w:rPr>
        <w:t xml:space="preserve"> 21(6), 791-826.</w:t>
      </w:r>
    </w:p>
    <w:p w14:paraId="73392185"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lastRenderedPageBreak/>
        <w:t xml:space="preserve">Davidson, J. (2010). [In] visible [in] tangibles: Visual portraits of the business élite. </w:t>
      </w:r>
      <w:r w:rsidRPr="00A2258D">
        <w:rPr>
          <w:rFonts w:ascii="Times New Roman" w:hAnsi="Times New Roman" w:cs="Times New Roman"/>
          <w:i/>
          <w:sz w:val="24"/>
          <w:szCs w:val="24"/>
          <w:lang w:val="en-US"/>
        </w:rPr>
        <w:t>Accounting, Organizations and Society</w:t>
      </w:r>
      <w:r w:rsidRPr="00A2258D">
        <w:rPr>
          <w:rFonts w:ascii="Times New Roman" w:hAnsi="Times New Roman" w:cs="Times New Roman"/>
          <w:sz w:val="24"/>
          <w:szCs w:val="24"/>
          <w:lang w:val="en-US"/>
        </w:rPr>
        <w:t>, 35(2), 165-183.</w:t>
      </w:r>
    </w:p>
    <w:p w14:paraId="71C7EC91"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Davidson, J. (2014). Visual rhetoric and the case of intellectual capital. </w:t>
      </w:r>
      <w:r w:rsidRPr="00A2258D">
        <w:rPr>
          <w:rFonts w:ascii="Times New Roman" w:hAnsi="Times New Roman" w:cs="Times New Roman"/>
          <w:i/>
          <w:sz w:val="24"/>
          <w:szCs w:val="24"/>
          <w:lang w:val="en-US"/>
        </w:rPr>
        <w:t>Accounting, Organizations and Society</w:t>
      </w:r>
      <w:r w:rsidRPr="00A2258D">
        <w:rPr>
          <w:rFonts w:ascii="Times New Roman" w:hAnsi="Times New Roman" w:cs="Times New Roman"/>
          <w:sz w:val="24"/>
          <w:szCs w:val="24"/>
          <w:lang w:val="en-US"/>
        </w:rPr>
        <w:t>, 12(6), 763-795.</w:t>
      </w:r>
    </w:p>
    <w:p w14:paraId="1DCB5D41"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 Davidson, J. (2015). Visualizing accounting: An interdisciplinary review and synthesis. </w:t>
      </w:r>
      <w:r w:rsidRPr="00A2258D">
        <w:rPr>
          <w:rFonts w:ascii="Times New Roman" w:hAnsi="Times New Roman" w:cs="Times New Roman"/>
          <w:i/>
          <w:sz w:val="24"/>
          <w:szCs w:val="24"/>
        </w:rPr>
        <w:t>Accounting and Business Research</w:t>
      </w:r>
      <w:r w:rsidRPr="00A2258D">
        <w:rPr>
          <w:rFonts w:ascii="Times New Roman" w:hAnsi="Times New Roman" w:cs="Times New Roman"/>
          <w:sz w:val="24"/>
          <w:szCs w:val="24"/>
        </w:rPr>
        <w:t>, 45(2), 121-165.</w:t>
      </w:r>
    </w:p>
    <w:p w14:paraId="1DC553B8"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Doury, M y Moirand, S. (2004). </w:t>
      </w:r>
      <w:r w:rsidRPr="00A2258D">
        <w:rPr>
          <w:rFonts w:ascii="Times New Roman" w:hAnsi="Times New Roman" w:cs="Times New Roman"/>
          <w:i/>
          <w:sz w:val="24"/>
          <w:szCs w:val="24"/>
        </w:rPr>
        <w:t xml:space="preserve">La argumentación hoy: Encuentro entre </w:t>
      </w:r>
      <w:r w:rsidRPr="00A2258D">
        <w:rPr>
          <w:rFonts w:ascii="Times New Roman" w:hAnsi="Times New Roman" w:cs="Times New Roman"/>
          <w:sz w:val="24"/>
          <w:szCs w:val="24"/>
        </w:rPr>
        <w:t xml:space="preserve">perspectivas </w:t>
      </w:r>
      <w:r w:rsidRPr="00A2258D">
        <w:rPr>
          <w:rFonts w:ascii="Times New Roman" w:hAnsi="Times New Roman" w:cs="Times New Roman"/>
          <w:i/>
          <w:sz w:val="24"/>
          <w:szCs w:val="24"/>
        </w:rPr>
        <w:t>teóricas</w:t>
      </w:r>
      <w:r w:rsidRPr="00A2258D">
        <w:rPr>
          <w:rFonts w:ascii="Times New Roman" w:hAnsi="Times New Roman" w:cs="Times New Roman"/>
          <w:sz w:val="24"/>
          <w:szCs w:val="24"/>
        </w:rPr>
        <w:t xml:space="preserve">. Madrid: Editorial Montesinos. </w:t>
      </w:r>
    </w:p>
    <w:p w14:paraId="362969CC"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 Erlich, F. y Caimi, G.(2007). Interacción argumentaría y falacias en el debate: Perspectiva pragmadialéctica</w:t>
      </w:r>
      <w:r w:rsidRPr="00A2258D">
        <w:rPr>
          <w:rFonts w:ascii="Times New Roman" w:hAnsi="Times New Roman" w:cs="Times New Roman"/>
          <w:i/>
          <w:sz w:val="24"/>
          <w:szCs w:val="24"/>
        </w:rPr>
        <w:t>.  Oralia</w:t>
      </w:r>
      <w:r w:rsidRPr="00A2258D">
        <w:rPr>
          <w:rFonts w:ascii="Times New Roman" w:hAnsi="Times New Roman" w:cs="Times New Roman"/>
          <w:sz w:val="24"/>
          <w:szCs w:val="24"/>
        </w:rPr>
        <w:t>, 10, pág. 135-160.</w:t>
      </w:r>
    </w:p>
    <w:p w14:paraId="6DCC9A89"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Francis, J. (1990). Tras la virtud: la contabilidad como una práctica moral y discursiva.  </w:t>
      </w:r>
      <w:r w:rsidRPr="00A2258D">
        <w:rPr>
          <w:rFonts w:ascii="Times New Roman" w:hAnsi="Times New Roman" w:cs="Times New Roman"/>
          <w:i/>
          <w:sz w:val="24"/>
          <w:szCs w:val="24"/>
          <w:lang w:val="en-US"/>
        </w:rPr>
        <w:t>Accounting, Auditing and Accountability Journal</w:t>
      </w:r>
      <w:r w:rsidRPr="00A2258D">
        <w:rPr>
          <w:rFonts w:ascii="Times New Roman" w:hAnsi="Times New Roman" w:cs="Times New Roman"/>
          <w:sz w:val="24"/>
          <w:szCs w:val="24"/>
          <w:lang w:val="en-US"/>
        </w:rPr>
        <w:t xml:space="preserve">, 3(3), p.p 5-17. (F. Quinché, trad.).   </w:t>
      </w:r>
    </w:p>
    <w:p w14:paraId="5D517B65"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Franco, R. (2013). La polémica Macintosh-Mattessich sobre la realidad de los conceptos de ingreso y capital en contabilidad. </w:t>
      </w:r>
      <w:r w:rsidRPr="00A2258D">
        <w:rPr>
          <w:rFonts w:ascii="Times New Roman" w:hAnsi="Times New Roman" w:cs="Times New Roman"/>
          <w:i/>
          <w:sz w:val="24"/>
          <w:szCs w:val="24"/>
        </w:rPr>
        <w:t>Revista Científica General José María Córdova</w:t>
      </w:r>
      <w:r w:rsidRPr="00A2258D">
        <w:rPr>
          <w:rFonts w:ascii="Times New Roman" w:hAnsi="Times New Roman" w:cs="Times New Roman"/>
          <w:sz w:val="24"/>
          <w:szCs w:val="24"/>
        </w:rPr>
        <w:t xml:space="preserve">, 11(11), 209-226. </w:t>
      </w:r>
    </w:p>
    <w:p w14:paraId="19F7B4D3"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s-ES"/>
        </w:rPr>
      </w:pPr>
      <w:r w:rsidRPr="00A2258D">
        <w:rPr>
          <w:rFonts w:ascii="Times New Roman" w:hAnsi="Times New Roman" w:cs="Times New Roman"/>
          <w:sz w:val="24"/>
          <w:szCs w:val="24"/>
        </w:rPr>
        <w:t xml:space="preserve">Franco, R. (2014). El problema de la verdad y la contabilidad. </w:t>
      </w:r>
      <w:r w:rsidRPr="00A2258D">
        <w:rPr>
          <w:rFonts w:ascii="Times New Roman" w:hAnsi="Times New Roman" w:cs="Times New Roman"/>
          <w:i/>
          <w:sz w:val="24"/>
          <w:szCs w:val="24"/>
          <w:lang w:val="es-ES"/>
        </w:rPr>
        <w:t>Criterio libre</w:t>
      </w:r>
      <w:r w:rsidRPr="00A2258D">
        <w:rPr>
          <w:rFonts w:ascii="Times New Roman" w:hAnsi="Times New Roman" w:cs="Times New Roman"/>
          <w:sz w:val="24"/>
          <w:szCs w:val="24"/>
          <w:lang w:val="es-ES"/>
        </w:rPr>
        <w:t>, 12(20), 43-71.</w:t>
      </w:r>
    </w:p>
    <w:p w14:paraId="4EE0C20B"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lang w:val="es-ES"/>
        </w:rPr>
        <w:t xml:space="preserve">Gallofer, S. &amp; Haslam, J. (2006). </w:t>
      </w:r>
      <w:r w:rsidRPr="00A2258D">
        <w:rPr>
          <w:rFonts w:ascii="Times New Roman" w:hAnsi="Times New Roman" w:cs="Times New Roman"/>
          <w:sz w:val="24"/>
          <w:szCs w:val="24"/>
          <w:lang w:val="en-US"/>
        </w:rPr>
        <w:t xml:space="preserve">Mobilising accounting in the radical media during the First World War and its aftermath: The case of Forward in the context of Red Clydeside. </w:t>
      </w:r>
      <w:r w:rsidRPr="00A2258D">
        <w:rPr>
          <w:rFonts w:ascii="Times New Roman" w:hAnsi="Times New Roman" w:cs="Times New Roman"/>
          <w:i/>
          <w:sz w:val="24"/>
          <w:szCs w:val="24"/>
        </w:rPr>
        <w:t>Critical Perspectives on Accounting</w:t>
      </w:r>
      <w:r w:rsidRPr="00A2258D">
        <w:rPr>
          <w:rFonts w:ascii="Times New Roman" w:hAnsi="Times New Roman" w:cs="Times New Roman"/>
          <w:sz w:val="24"/>
          <w:szCs w:val="24"/>
        </w:rPr>
        <w:t>, 17, 224-252.</w:t>
      </w:r>
    </w:p>
    <w:p w14:paraId="1F80ED1A"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Gil, J.M. (2014). Expectativas sobre el desarrollo de la escuela critica en contabilidad en el marco de la diseminación de las Niif. </w:t>
      </w:r>
      <w:r w:rsidRPr="00A2258D">
        <w:rPr>
          <w:rFonts w:ascii="Times New Roman" w:hAnsi="Times New Roman" w:cs="Times New Roman"/>
          <w:i/>
          <w:sz w:val="24"/>
          <w:szCs w:val="24"/>
        </w:rPr>
        <w:t>Revista Lúmina</w:t>
      </w:r>
      <w:r w:rsidRPr="00A2258D">
        <w:rPr>
          <w:rFonts w:ascii="Times New Roman" w:hAnsi="Times New Roman" w:cs="Times New Roman"/>
          <w:sz w:val="24"/>
          <w:szCs w:val="24"/>
        </w:rPr>
        <w:t>, 14,  8-38.</w:t>
      </w:r>
    </w:p>
    <w:p w14:paraId="3014AE67"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Gracia, E;   Franco Ruiz R. y  Agudelo Vargas, M. V. (2013).   Una crítica de la representación contable en perspectiva histórica: del reflejo de la realidad profunda al “puro simulacro”.  </w:t>
      </w:r>
      <w:r w:rsidRPr="00A2258D">
        <w:rPr>
          <w:rFonts w:ascii="Times New Roman" w:hAnsi="Times New Roman" w:cs="Times New Roman"/>
          <w:i/>
          <w:sz w:val="24"/>
          <w:szCs w:val="24"/>
        </w:rPr>
        <w:t>Revista Científica General José María Córdova</w:t>
      </w:r>
      <w:r w:rsidRPr="00A2258D">
        <w:rPr>
          <w:rFonts w:ascii="Times New Roman" w:hAnsi="Times New Roman" w:cs="Times New Roman"/>
          <w:sz w:val="24"/>
          <w:szCs w:val="24"/>
        </w:rPr>
        <w:t>, 11(12), 79-104.</w:t>
      </w:r>
    </w:p>
    <w:p w14:paraId="2473627D"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Gracia, E. (2014). Contabilidad Política: un campo para estudiar y proponer. Horizontes identitarios para recrear el pensamiento de la contabilidad: </w:t>
      </w:r>
      <w:r w:rsidRPr="00A2258D">
        <w:rPr>
          <w:rFonts w:ascii="Times New Roman" w:hAnsi="Times New Roman" w:cs="Times New Roman"/>
          <w:i/>
          <w:sz w:val="24"/>
          <w:szCs w:val="24"/>
        </w:rPr>
        <w:t xml:space="preserve">IX Simposio Nacional y </w:t>
      </w:r>
      <w:r w:rsidRPr="00A2258D">
        <w:rPr>
          <w:rFonts w:ascii="Times New Roman" w:hAnsi="Times New Roman" w:cs="Times New Roman"/>
          <w:i/>
          <w:sz w:val="24"/>
          <w:szCs w:val="24"/>
        </w:rPr>
        <w:lastRenderedPageBreak/>
        <w:t>VII Internacional de Investigación Contable y Docencia.</w:t>
      </w:r>
      <w:r w:rsidRPr="00A2258D">
        <w:rPr>
          <w:rFonts w:ascii="Times New Roman" w:hAnsi="Times New Roman" w:cs="Times New Roman"/>
          <w:sz w:val="24"/>
          <w:szCs w:val="24"/>
        </w:rPr>
        <w:t xml:space="preserve"> (pp. 59-69). Armenia: Centro Colombiano de Investigaciones Contable: C-Cinco.</w:t>
      </w:r>
    </w:p>
    <w:p w14:paraId="79960A4E"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Gracia, E. (2014). Habermas y su incidencia en la contabilidad.  </w:t>
      </w:r>
      <w:r w:rsidRPr="00A2258D">
        <w:rPr>
          <w:rFonts w:ascii="Times New Roman" w:hAnsi="Times New Roman" w:cs="Times New Roman"/>
          <w:i/>
          <w:sz w:val="24"/>
          <w:szCs w:val="24"/>
        </w:rPr>
        <w:t>Lúmina</w:t>
      </w:r>
      <w:r w:rsidRPr="00A2258D">
        <w:rPr>
          <w:rFonts w:ascii="Times New Roman" w:hAnsi="Times New Roman" w:cs="Times New Roman"/>
          <w:sz w:val="24"/>
          <w:szCs w:val="24"/>
        </w:rPr>
        <w:t>, 14, 88-115.</w:t>
      </w:r>
    </w:p>
    <w:p w14:paraId="0C165BAF" w14:textId="77777777" w:rsidR="003C0279" w:rsidRPr="00A2258D" w:rsidRDefault="003C0279" w:rsidP="003C0279">
      <w:pPr>
        <w:pStyle w:val="Normal1"/>
        <w:spacing w:line="352" w:lineRule="auto"/>
        <w:ind w:left="700" w:hanging="700"/>
      </w:pPr>
      <w:r w:rsidRPr="00A2258D">
        <w:rPr>
          <w:rFonts w:ascii="Times New Roman" w:hAnsi="Times New Roman" w:cs="Times New Roman"/>
          <w:sz w:val="24"/>
          <w:szCs w:val="24"/>
        </w:rPr>
        <w:t xml:space="preserve">Gracia, E. (sf). </w:t>
      </w:r>
      <w:r w:rsidRPr="00A2258D">
        <w:rPr>
          <w:rFonts w:ascii="Times New Roman" w:hAnsi="Times New Roman" w:cs="Times New Roman"/>
          <w:i/>
          <w:sz w:val="24"/>
          <w:szCs w:val="24"/>
        </w:rPr>
        <w:t>A propósito del debate Mattessich – Macintosh: Un desafío a la realidad</w:t>
      </w:r>
      <w:r w:rsidRPr="00A2258D">
        <w:rPr>
          <w:rFonts w:ascii="Times New Roman" w:hAnsi="Times New Roman" w:cs="Times New Roman"/>
          <w:sz w:val="24"/>
          <w:szCs w:val="24"/>
        </w:rPr>
        <w:t>. [En línea]. Disponible en:</w:t>
      </w:r>
      <w:r w:rsidRPr="00A2258D">
        <w:t xml:space="preserve"> </w:t>
      </w:r>
      <w:hyperlink r:id="rId7" w:tgtFrame="_blank" w:history="1">
        <w:r w:rsidRPr="00A2258D">
          <w:rPr>
            <w:rFonts w:ascii="Times New Roman" w:hAnsi="Times New Roman" w:cs="Times New Roman"/>
            <w:sz w:val="24"/>
            <w:szCs w:val="24"/>
          </w:rPr>
          <w:t>https://bit.ly/2KU19Jq</w:t>
        </w:r>
      </w:hyperlink>
    </w:p>
    <w:p w14:paraId="50C7FA1A" w14:textId="77777777" w:rsidR="003C0279" w:rsidRPr="00A2258D" w:rsidRDefault="003C0279" w:rsidP="003C0279">
      <w:pPr>
        <w:pStyle w:val="Normal1"/>
        <w:spacing w:line="352" w:lineRule="auto"/>
        <w:ind w:left="700" w:hanging="700"/>
        <w:rPr>
          <w:rFonts w:ascii="Times New Roman" w:hAnsi="Times New Roman" w:cs="Times New Roman"/>
          <w:sz w:val="24"/>
          <w:szCs w:val="24"/>
          <w:lang w:val="en-US"/>
        </w:rPr>
      </w:pPr>
      <w:r w:rsidRPr="00A2258D">
        <w:rPr>
          <w:rFonts w:ascii="Times New Roman" w:hAnsi="Times New Roman" w:cs="Times New Roman"/>
          <w:sz w:val="24"/>
          <w:szCs w:val="24"/>
        </w:rPr>
        <w:t xml:space="preserve">Gracia, E., 2018. Horizontes argumentales en la Contabilidad. </w:t>
      </w:r>
      <w:r w:rsidRPr="00A2258D">
        <w:rPr>
          <w:rFonts w:ascii="Times New Roman" w:hAnsi="Times New Roman" w:cs="Times New Roman"/>
          <w:i/>
          <w:sz w:val="24"/>
          <w:szCs w:val="24"/>
          <w:lang w:val="en-US"/>
        </w:rPr>
        <w:t>Teukem Bidikay</w:t>
      </w:r>
      <w:r w:rsidRPr="00A2258D">
        <w:rPr>
          <w:rFonts w:ascii="Times New Roman" w:hAnsi="Times New Roman" w:cs="Times New Roman"/>
          <w:sz w:val="24"/>
          <w:szCs w:val="24"/>
          <w:lang w:val="en-US"/>
        </w:rPr>
        <w:t>, 9(13), pp. 45-60.</w:t>
      </w:r>
    </w:p>
    <w:p w14:paraId="22D293C2"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 Gómez, M. (2003). </w:t>
      </w:r>
      <w:r w:rsidRPr="00A2258D">
        <w:rPr>
          <w:rFonts w:ascii="Times New Roman" w:hAnsi="Times New Roman" w:cs="Times New Roman"/>
          <w:sz w:val="24"/>
          <w:szCs w:val="24"/>
        </w:rPr>
        <w:t xml:space="preserve">Contabilidad: comentarios sobre el discurso científico y los determinantes morales. </w:t>
      </w:r>
      <w:r w:rsidRPr="00A2258D">
        <w:rPr>
          <w:rFonts w:ascii="Times New Roman" w:hAnsi="Times New Roman" w:cs="Times New Roman"/>
          <w:i/>
          <w:sz w:val="24"/>
          <w:szCs w:val="24"/>
        </w:rPr>
        <w:t>Innovar, Revista de Ciencias administrativas y Sociales</w:t>
      </w:r>
      <w:r w:rsidRPr="00A2258D">
        <w:rPr>
          <w:rFonts w:ascii="Times New Roman" w:hAnsi="Times New Roman" w:cs="Times New Roman"/>
          <w:sz w:val="24"/>
          <w:szCs w:val="24"/>
        </w:rPr>
        <w:t>, (22), 109-120.</w:t>
      </w:r>
    </w:p>
    <w:p w14:paraId="037B4AED"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 Gómez, M. (2007). Pensamiento único y contabilidad: la posibilidad de la contabilidad como disciplina moral. </w:t>
      </w:r>
      <w:r w:rsidRPr="00A2258D">
        <w:rPr>
          <w:rFonts w:ascii="Times New Roman" w:hAnsi="Times New Roman" w:cs="Times New Roman"/>
          <w:i/>
          <w:sz w:val="24"/>
          <w:szCs w:val="24"/>
        </w:rPr>
        <w:t>Revista Facultad de Ciencias Económicas: Investigación y Reflexión</w:t>
      </w:r>
      <w:r w:rsidRPr="00A2258D">
        <w:rPr>
          <w:rFonts w:ascii="Times New Roman" w:hAnsi="Times New Roman" w:cs="Times New Roman"/>
          <w:sz w:val="24"/>
          <w:szCs w:val="24"/>
        </w:rPr>
        <w:t>, 25 (2), 29-43.</w:t>
      </w:r>
    </w:p>
    <w:p w14:paraId="2BF62A95"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Gómez, M. (2009). Los informes contables externos y la legitimidad organizacional con el entorno: estudio de un caso en Colombia. Innovar, 19(34), pp. 147-166.</w:t>
      </w:r>
    </w:p>
    <w:p w14:paraId="1DCC70B8"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Habermas, J. (1999). </w:t>
      </w:r>
      <w:r w:rsidRPr="00A2258D">
        <w:rPr>
          <w:rFonts w:ascii="Times New Roman" w:hAnsi="Times New Roman" w:cs="Times New Roman"/>
          <w:i/>
          <w:sz w:val="24"/>
          <w:szCs w:val="24"/>
        </w:rPr>
        <w:t>Teoría de la acción comunicativa I: racionalidad de la acción y racionalización social</w:t>
      </w:r>
      <w:r w:rsidRPr="00A2258D">
        <w:rPr>
          <w:rFonts w:ascii="Times New Roman" w:hAnsi="Times New Roman" w:cs="Times New Roman"/>
          <w:sz w:val="24"/>
          <w:szCs w:val="24"/>
        </w:rPr>
        <w:t xml:space="preserve">. </w:t>
      </w:r>
      <w:r w:rsidRPr="00A2258D">
        <w:rPr>
          <w:rFonts w:ascii="Times New Roman" w:hAnsi="Times New Roman" w:cs="Times New Roman"/>
          <w:sz w:val="24"/>
          <w:szCs w:val="24"/>
          <w:lang w:val="en-US"/>
        </w:rPr>
        <w:t>(M. Jiménez Redondo, Trad.) Buenos Aires: Taurus.</w:t>
      </w:r>
    </w:p>
    <w:p w14:paraId="470D0D79"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Hursti, K. (2011). Managementes earnings: Could an Investor Reliably Detect an Unduly Positive Bias on the Basis of the Strength of the Argumentation? </w:t>
      </w:r>
      <w:r w:rsidRPr="00A2258D">
        <w:rPr>
          <w:rFonts w:ascii="Times New Roman" w:hAnsi="Times New Roman" w:cs="Times New Roman"/>
          <w:i/>
          <w:sz w:val="24"/>
          <w:szCs w:val="24"/>
          <w:lang w:val="en-US"/>
        </w:rPr>
        <w:t>Journal of Business Communication</w:t>
      </w:r>
      <w:r w:rsidRPr="00A2258D">
        <w:rPr>
          <w:rFonts w:ascii="Times New Roman" w:hAnsi="Times New Roman" w:cs="Times New Roman"/>
          <w:sz w:val="24"/>
          <w:szCs w:val="24"/>
          <w:lang w:val="en-US"/>
        </w:rPr>
        <w:t>, 10(10), pp. 1-16.</w:t>
      </w:r>
    </w:p>
    <w:p w14:paraId="5ACAB17F"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Lehman, C. (2006). The bottom line. Critical Perspectives on Accounting, 17 (2-3), 305-22. Lehman, C. (2012). We’ve come a long way! Maybe! Re-imagining gender and accounting. </w:t>
      </w:r>
      <w:r w:rsidRPr="00A2258D">
        <w:rPr>
          <w:rFonts w:ascii="Times New Roman" w:hAnsi="Times New Roman" w:cs="Times New Roman"/>
          <w:i/>
          <w:sz w:val="24"/>
          <w:szCs w:val="24"/>
          <w:lang w:val="en-US"/>
        </w:rPr>
        <w:t>Accounting, Auditing and Accountability Journal,</w:t>
      </w:r>
      <w:r w:rsidRPr="00A2258D">
        <w:rPr>
          <w:rFonts w:ascii="Times New Roman" w:hAnsi="Times New Roman" w:cs="Times New Roman"/>
          <w:sz w:val="24"/>
          <w:szCs w:val="24"/>
          <w:lang w:val="en-US"/>
        </w:rPr>
        <w:t xml:space="preserve"> 25(2), 256-294.</w:t>
      </w:r>
    </w:p>
    <w:p w14:paraId="2D084D79"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Lehman, C. &amp; Tinker, T. (1987). The “real” cultural significance of accounts. </w:t>
      </w:r>
      <w:r w:rsidRPr="00A2258D">
        <w:rPr>
          <w:rFonts w:ascii="Times New Roman" w:hAnsi="Times New Roman" w:cs="Times New Roman"/>
          <w:i/>
          <w:sz w:val="24"/>
          <w:szCs w:val="24"/>
          <w:lang w:val="en-US"/>
        </w:rPr>
        <w:t>Accounting, Organizations and Society</w:t>
      </w:r>
      <w:r w:rsidRPr="00A2258D">
        <w:rPr>
          <w:rFonts w:ascii="Times New Roman" w:hAnsi="Times New Roman" w:cs="Times New Roman"/>
          <w:sz w:val="24"/>
          <w:szCs w:val="24"/>
          <w:lang w:val="en-US"/>
        </w:rPr>
        <w:t>, 12(5), 503-522.</w:t>
      </w:r>
    </w:p>
    <w:p w14:paraId="3290E9DC"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3C0279">
        <w:rPr>
          <w:rFonts w:ascii="Times New Roman" w:hAnsi="Times New Roman" w:cs="Times New Roman"/>
          <w:sz w:val="24"/>
          <w:szCs w:val="24"/>
          <w:lang w:val="es-CO"/>
        </w:rPr>
        <w:t xml:space="preserve">Londoño, D.; López D. y Moreno, C.( 2014).  </w:t>
      </w:r>
      <w:r w:rsidRPr="00A2258D">
        <w:rPr>
          <w:rFonts w:ascii="Times New Roman" w:hAnsi="Times New Roman" w:cs="Times New Roman"/>
          <w:sz w:val="24"/>
          <w:szCs w:val="24"/>
        </w:rPr>
        <w:t xml:space="preserve">La contabilidad y las teorías de la argumentación: una taxonomía para el devenir formativo. En: </w:t>
      </w:r>
      <w:r w:rsidRPr="00A2258D">
        <w:rPr>
          <w:rFonts w:ascii="Times New Roman" w:hAnsi="Times New Roman" w:cs="Times New Roman"/>
          <w:i/>
          <w:sz w:val="24"/>
          <w:szCs w:val="24"/>
        </w:rPr>
        <w:t xml:space="preserve">Fenecop.  Memorias </w:t>
      </w:r>
      <w:r w:rsidRPr="00A2258D">
        <w:rPr>
          <w:rFonts w:ascii="Times New Roman" w:hAnsi="Times New Roman" w:cs="Times New Roman"/>
          <w:i/>
          <w:sz w:val="24"/>
          <w:szCs w:val="24"/>
        </w:rPr>
        <w:lastRenderedPageBreak/>
        <w:t>del XXV Encuentro Nacional de Estudiantes de Contaduría Pública y el V Congreso Latinoamericano de Estudiantes de la Disciplina Contable.</w:t>
      </w:r>
      <w:r w:rsidRPr="00A2258D">
        <w:rPr>
          <w:rFonts w:ascii="Times New Roman" w:hAnsi="Times New Roman" w:cs="Times New Roman"/>
          <w:sz w:val="24"/>
          <w:szCs w:val="24"/>
        </w:rPr>
        <w:t xml:space="preserve"> ASECOP UFPS/FENECOP, p.145 - 172 </w:t>
      </w:r>
    </w:p>
    <w:p w14:paraId="7C685AA9"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López, V., y Rodríguez, L. (2001). Aplicación del enfoque cognitivo a la metodología contable. </w:t>
      </w:r>
      <w:r w:rsidRPr="00A2258D">
        <w:rPr>
          <w:rFonts w:ascii="Times New Roman" w:hAnsi="Times New Roman" w:cs="Times New Roman"/>
          <w:i/>
          <w:sz w:val="24"/>
          <w:szCs w:val="24"/>
        </w:rPr>
        <w:t>Revista española de financiación y contabilidad</w:t>
      </w:r>
      <w:r w:rsidRPr="00A2258D">
        <w:rPr>
          <w:rFonts w:ascii="Times New Roman" w:hAnsi="Times New Roman" w:cs="Times New Roman"/>
          <w:sz w:val="24"/>
          <w:szCs w:val="24"/>
        </w:rPr>
        <w:t>. vol. XXXI, N° 112. Abril-junio pp. 461-493.</w:t>
      </w:r>
    </w:p>
    <w:p w14:paraId="4A6AF902"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López, V., y Rodríguez, L. (2003). Un caso de interdisciplinariedad en Teoría de la Contabilidad: los cambios contables desde el enfoque cognitivo-lingüístico. </w:t>
      </w:r>
      <w:r w:rsidRPr="00A2258D">
        <w:rPr>
          <w:rFonts w:ascii="Times New Roman" w:hAnsi="Times New Roman" w:cs="Times New Roman"/>
          <w:i/>
          <w:sz w:val="24"/>
          <w:szCs w:val="24"/>
        </w:rPr>
        <w:t>Revista de encuentros multidisciplinares</w:t>
      </w:r>
      <w:r w:rsidRPr="00A2258D">
        <w:rPr>
          <w:rFonts w:ascii="Times New Roman" w:hAnsi="Times New Roman" w:cs="Times New Roman"/>
          <w:sz w:val="24"/>
          <w:szCs w:val="24"/>
        </w:rPr>
        <w:t xml:space="preserve"> N°15, P.P. 1-15.</w:t>
      </w:r>
    </w:p>
    <w:p w14:paraId="04DFA60F"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Machado R, M. A. (2009). Contabilidad y realidad: Una relación crítica bajo el enfoque de la representación. </w:t>
      </w:r>
      <w:r w:rsidRPr="00A2258D">
        <w:rPr>
          <w:rFonts w:ascii="Times New Roman" w:hAnsi="Times New Roman" w:cs="Times New Roman"/>
          <w:i/>
          <w:sz w:val="24"/>
          <w:szCs w:val="24"/>
        </w:rPr>
        <w:t>Actualidad contable FACES</w:t>
      </w:r>
      <w:r w:rsidRPr="00A2258D">
        <w:rPr>
          <w:rFonts w:ascii="Times New Roman" w:hAnsi="Times New Roman" w:cs="Times New Roman"/>
          <w:sz w:val="24"/>
          <w:szCs w:val="24"/>
        </w:rPr>
        <w:t>, 38-55.</w:t>
      </w:r>
    </w:p>
    <w:p w14:paraId="12F2493F"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 Machado R., M. (2011). Representación contable: de la revelación de los hechos a la construcción de la realidad</w:t>
      </w:r>
      <w:r w:rsidRPr="00A2258D">
        <w:rPr>
          <w:rFonts w:ascii="Times New Roman" w:hAnsi="Times New Roman" w:cs="Times New Roman"/>
          <w:i/>
          <w:sz w:val="24"/>
          <w:szCs w:val="24"/>
        </w:rPr>
        <w:t xml:space="preserve">. </w:t>
      </w:r>
      <w:r w:rsidRPr="00A2258D">
        <w:rPr>
          <w:rFonts w:ascii="Times New Roman" w:hAnsi="Times New Roman" w:cs="Times New Roman"/>
          <w:i/>
          <w:sz w:val="24"/>
          <w:szCs w:val="24"/>
          <w:lang w:val="en-US"/>
        </w:rPr>
        <w:t>Revista Lúmina,</w:t>
      </w:r>
      <w:r w:rsidRPr="00A2258D">
        <w:rPr>
          <w:rFonts w:ascii="Times New Roman" w:hAnsi="Times New Roman" w:cs="Times New Roman"/>
          <w:sz w:val="24"/>
          <w:szCs w:val="24"/>
          <w:lang w:val="en-US"/>
        </w:rPr>
        <w:t xml:space="preserve"> 12, 152 – 171.</w:t>
      </w:r>
    </w:p>
    <w:p w14:paraId="73F0A769"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Macintosh, N; Shearer, T.; Thorton, D. &amp; Welkwe, M. (2000).  Accounting as simulacrum and hyperreality: perspectives on income and capital.  </w:t>
      </w:r>
      <w:r w:rsidRPr="00A2258D">
        <w:rPr>
          <w:rFonts w:ascii="Times New Roman" w:hAnsi="Times New Roman" w:cs="Times New Roman"/>
          <w:i/>
          <w:sz w:val="24"/>
          <w:szCs w:val="24"/>
          <w:lang w:val="en-US"/>
        </w:rPr>
        <w:t>Accounting, organization and society</w:t>
      </w:r>
      <w:r w:rsidRPr="00A2258D">
        <w:rPr>
          <w:rFonts w:ascii="Times New Roman" w:hAnsi="Times New Roman" w:cs="Times New Roman"/>
          <w:sz w:val="24"/>
          <w:szCs w:val="24"/>
          <w:lang w:val="en-US"/>
        </w:rPr>
        <w:t>, 25, 13-50.</w:t>
      </w:r>
    </w:p>
    <w:p w14:paraId="725369D1" w14:textId="77777777" w:rsidR="003C0279" w:rsidRPr="00A2258D" w:rsidRDefault="003C0279" w:rsidP="003C0279">
      <w:pPr>
        <w:pStyle w:val="Normal1"/>
        <w:spacing w:line="352" w:lineRule="auto"/>
        <w:ind w:left="700" w:hanging="700"/>
        <w:jc w:val="both"/>
        <w:rPr>
          <w:rFonts w:ascii="Times New Roman" w:hAnsi="Times New Roman" w:cs="Times New Roman"/>
          <w:lang w:val="en-US"/>
        </w:rPr>
      </w:pPr>
      <w:r w:rsidRPr="00A2258D">
        <w:rPr>
          <w:rFonts w:ascii="Times New Roman" w:hAnsi="Times New Roman" w:cs="Times New Roman"/>
          <w:sz w:val="24"/>
          <w:szCs w:val="24"/>
          <w:lang w:val="en-US"/>
        </w:rPr>
        <w:t xml:space="preserve">McPhail, K. (2004). An emotional response to the state of accounting. </w:t>
      </w:r>
      <w:r w:rsidRPr="00A2258D">
        <w:rPr>
          <w:rFonts w:ascii="Times New Roman" w:hAnsi="Times New Roman" w:cs="Times New Roman"/>
          <w:i/>
          <w:sz w:val="24"/>
          <w:szCs w:val="24"/>
          <w:lang w:val="en-US"/>
        </w:rPr>
        <w:t xml:space="preserve">Critical Perspectives on Accounting </w:t>
      </w:r>
      <w:r w:rsidRPr="00A2258D">
        <w:rPr>
          <w:rFonts w:ascii="Times New Roman" w:hAnsi="Times New Roman" w:cs="Times New Roman"/>
          <w:sz w:val="24"/>
          <w:szCs w:val="24"/>
          <w:lang w:val="en-US"/>
        </w:rPr>
        <w:t>(15), 629-648</w:t>
      </w:r>
      <w:r w:rsidRPr="00A2258D">
        <w:rPr>
          <w:rFonts w:ascii="Times New Roman" w:hAnsi="Times New Roman" w:cs="Times New Roman"/>
          <w:lang w:val="en-US"/>
        </w:rPr>
        <w:t>.</w:t>
      </w:r>
    </w:p>
    <w:p w14:paraId="050F6EBD"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Muñoz, S y Sarmiento, H.J. (2010). </w:t>
      </w:r>
      <w:r w:rsidRPr="00A2258D">
        <w:rPr>
          <w:rFonts w:ascii="Times New Roman" w:hAnsi="Times New Roman" w:cs="Times New Roman"/>
          <w:sz w:val="24"/>
          <w:szCs w:val="24"/>
        </w:rPr>
        <w:t xml:space="preserve">La Formación del Sujeto Político en la Educación Contable. Un reto para la Universidad y una provocación para el Pensamiento. </w:t>
      </w:r>
      <w:r w:rsidRPr="00A2258D">
        <w:rPr>
          <w:rFonts w:ascii="Times New Roman" w:hAnsi="Times New Roman" w:cs="Times New Roman"/>
          <w:i/>
          <w:sz w:val="24"/>
          <w:szCs w:val="24"/>
          <w:lang w:val="en-US"/>
        </w:rPr>
        <w:t>Teuken Bidikay</w:t>
      </w:r>
      <w:r w:rsidRPr="00A2258D">
        <w:rPr>
          <w:rFonts w:ascii="Times New Roman" w:hAnsi="Times New Roman" w:cs="Times New Roman"/>
          <w:sz w:val="24"/>
          <w:szCs w:val="24"/>
          <w:lang w:val="en-US"/>
        </w:rPr>
        <w:t>, 1, .165-183.</w:t>
      </w:r>
    </w:p>
    <w:p w14:paraId="3C180D38"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 Niamh, B. &amp; Merckl Davis, D. (2014). Rhetoric and Argument in Social and Environmental Reporting: A</w:t>
      </w:r>
      <w:r w:rsidRPr="00A2258D">
        <w:rPr>
          <w:rFonts w:ascii="Times New Roman" w:hAnsi="Times New Roman" w:cs="Times New Roman"/>
          <w:i/>
          <w:sz w:val="24"/>
          <w:szCs w:val="24"/>
          <w:lang w:val="en-US"/>
        </w:rPr>
        <w:t>ccounting, Auditing and Accountability Journal</w:t>
      </w:r>
      <w:r w:rsidRPr="00A2258D">
        <w:rPr>
          <w:rFonts w:ascii="Times New Roman" w:hAnsi="Times New Roman" w:cs="Times New Roman"/>
          <w:sz w:val="24"/>
          <w:szCs w:val="24"/>
          <w:lang w:val="en-US"/>
        </w:rPr>
        <w:t xml:space="preserve">, 4, 602-639 </w:t>
      </w:r>
    </w:p>
    <w:p w14:paraId="01BFFEE8"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Ospina, C. M.  (2006). Tramas de la Contabilidad, trazos para quienes empiezan su formación en Contaduría Pública. </w:t>
      </w:r>
      <w:r w:rsidRPr="00A2258D">
        <w:rPr>
          <w:rFonts w:ascii="Times New Roman" w:hAnsi="Times New Roman" w:cs="Times New Roman"/>
          <w:i/>
          <w:sz w:val="24"/>
          <w:szCs w:val="24"/>
        </w:rPr>
        <w:t xml:space="preserve">Contaduría  Universidad </w:t>
      </w:r>
      <w:r w:rsidRPr="00A2258D">
        <w:rPr>
          <w:rFonts w:ascii="Times New Roman" w:hAnsi="Times New Roman" w:cs="Times New Roman"/>
          <w:sz w:val="24"/>
          <w:szCs w:val="24"/>
        </w:rPr>
        <w:t>de Antioquia, 48, p.p. 155-186.</w:t>
      </w:r>
    </w:p>
    <w:p w14:paraId="3DA2AA6D"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Perellman, &amp; Olbrechts Tyteca, L. (1989). </w:t>
      </w:r>
      <w:r w:rsidRPr="00A2258D">
        <w:rPr>
          <w:rFonts w:ascii="Times New Roman" w:hAnsi="Times New Roman" w:cs="Times New Roman"/>
          <w:i/>
          <w:sz w:val="24"/>
          <w:szCs w:val="24"/>
        </w:rPr>
        <w:t>Tratado de la argumentación. La nueva retórica.</w:t>
      </w:r>
      <w:r w:rsidRPr="00A2258D">
        <w:rPr>
          <w:rFonts w:ascii="Times New Roman" w:hAnsi="Times New Roman" w:cs="Times New Roman"/>
          <w:sz w:val="24"/>
          <w:szCs w:val="24"/>
        </w:rPr>
        <w:t xml:space="preserve"> Traducción D. Alonso, Ed., &amp; J. Sevilla Muñoz. Madrid: Editorial Gredos.</w:t>
      </w:r>
    </w:p>
    <w:p w14:paraId="2470EE85"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lastRenderedPageBreak/>
        <w:t xml:space="preserve">Quinche, F. (2011). Perspectivas de investigación, retórica y contabilidad: una invitación. </w:t>
      </w:r>
      <w:r w:rsidRPr="00A2258D">
        <w:rPr>
          <w:rFonts w:ascii="Times New Roman" w:hAnsi="Times New Roman" w:cs="Times New Roman"/>
          <w:i/>
          <w:sz w:val="24"/>
          <w:szCs w:val="24"/>
        </w:rPr>
        <w:t>Lúmina</w:t>
      </w:r>
      <w:r w:rsidRPr="00A2258D">
        <w:rPr>
          <w:rFonts w:ascii="Times New Roman" w:hAnsi="Times New Roman" w:cs="Times New Roman"/>
          <w:sz w:val="24"/>
          <w:szCs w:val="24"/>
        </w:rPr>
        <w:t>, 12, 216-239.</w:t>
      </w:r>
    </w:p>
    <w:p w14:paraId="1B7B2369"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 Quinche, F. (2012). El potencial de los estudios retóricos en la investigación contable. </w:t>
      </w:r>
      <w:r w:rsidRPr="00A2258D">
        <w:rPr>
          <w:rFonts w:ascii="Times New Roman" w:hAnsi="Times New Roman" w:cs="Times New Roman"/>
          <w:i/>
          <w:sz w:val="24"/>
          <w:szCs w:val="24"/>
        </w:rPr>
        <w:t>Revista Facultad de Ciencias Económicas: Investigación y Reflexión</w:t>
      </w:r>
      <w:r w:rsidRPr="00A2258D">
        <w:rPr>
          <w:rFonts w:ascii="Times New Roman" w:hAnsi="Times New Roman" w:cs="Times New Roman"/>
          <w:sz w:val="24"/>
          <w:szCs w:val="24"/>
        </w:rPr>
        <w:t>, XX (1), 247-268.</w:t>
      </w:r>
    </w:p>
    <w:p w14:paraId="5E0A245F"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Quinche, F. (2014). Desresponsabilización mediante la ‘responsabilidad social’: una evaluación retórica a las ‘cartas de los presidentes’ presentes en tres informes de responsabilidad social empresarial en Colombia. </w:t>
      </w:r>
      <w:r w:rsidRPr="00A2258D">
        <w:rPr>
          <w:rFonts w:ascii="Times New Roman" w:hAnsi="Times New Roman" w:cs="Times New Roman"/>
          <w:i/>
          <w:sz w:val="24"/>
          <w:szCs w:val="24"/>
        </w:rPr>
        <w:t>Cuadernos de Contabilidad</w:t>
      </w:r>
      <w:r w:rsidRPr="00A2258D">
        <w:rPr>
          <w:rFonts w:ascii="Times New Roman" w:hAnsi="Times New Roman" w:cs="Times New Roman"/>
          <w:sz w:val="24"/>
          <w:szCs w:val="24"/>
        </w:rPr>
        <w:t>, 15(37), 153-185.</w:t>
      </w:r>
    </w:p>
    <w:p w14:paraId="46223750"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Reygadas, P. (2001). Hacia una teoría Integrada de la argumentación. </w:t>
      </w:r>
      <w:r w:rsidRPr="00A2258D">
        <w:rPr>
          <w:rFonts w:ascii="Times New Roman" w:hAnsi="Times New Roman" w:cs="Times New Roman"/>
          <w:i/>
          <w:sz w:val="24"/>
          <w:szCs w:val="24"/>
        </w:rPr>
        <w:t>Estudios sobre las culturas contemporáneas</w:t>
      </w:r>
      <w:r w:rsidRPr="00A2258D">
        <w:rPr>
          <w:rFonts w:ascii="Times New Roman" w:hAnsi="Times New Roman" w:cs="Times New Roman"/>
          <w:sz w:val="24"/>
          <w:szCs w:val="24"/>
        </w:rPr>
        <w:t>, 7,13, 107-139.</w:t>
      </w:r>
    </w:p>
    <w:p w14:paraId="29B0D9FF"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Ricoeur, P. (1997). Retórica, poética y hermenéutica. </w:t>
      </w:r>
      <w:r w:rsidRPr="00A2258D">
        <w:rPr>
          <w:rFonts w:ascii="Times New Roman" w:hAnsi="Times New Roman" w:cs="Times New Roman"/>
          <w:i/>
          <w:sz w:val="24"/>
          <w:szCs w:val="24"/>
        </w:rPr>
        <w:t>Cuaderno Gris</w:t>
      </w:r>
      <w:r w:rsidRPr="00A2258D">
        <w:rPr>
          <w:rFonts w:ascii="Times New Roman" w:hAnsi="Times New Roman" w:cs="Times New Roman"/>
          <w:sz w:val="24"/>
          <w:szCs w:val="24"/>
        </w:rPr>
        <w:t xml:space="preserve">, 2,  79-90. </w:t>
      </w:r>
    </w:p>
    <w:p w14:paraId="00A7CEA0"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Rodríguez, L. (2004). El modelo argumentativo de Toulmin en la escritura de artículos de investigación educativa. </w:t>
      </w:r>
      <w:r w:rsidRPr="00A2258D">
        <w:rPr>
          <w:rFonts w:ascii="Times New Roman" w:hAnsi="Times New Roman" w:cs="Times New Roman"/>
          <w:i/>
          <w:sz w:val="24"/>
          <w:szCs w:val="24"/>
        </w:rPr>
        <w:t>Revista Digital Universitaria</w:t>
      </w:r>
      <w:r w:rsidRPr="00A2258D">
        <w:rPr>
          <w:rFonts w:ascii="Times New Roman" w:hAnsi="Times New Roman" w:cs="Times New Roman"/>
          <w:sz w:val="24"/>
          <w:szCs w:val="24"/>
        </w:rPr>
        <w:t>, 5(1), 1-18.</w:t>
      </w:r>
    </w:p>
    <w:p w14:paraId="40AE9270"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Rueda, G. (2010). Contabilidad para la dignidad social. Los aportes de la teoría crítica para la construcción de una nueva dimensión internacional para la Contabilidad. </w:t>
      </w:r>
      <w:r w:rsidRPr="00A2258D">
        <w:rPr>
          <w:rFonts w:ascii="Times New Roman" w:hAnsi="Times New Roman" w:cs="Times New Roman"/>
          <w:i/>
          <w:sz w:val="24"/>
          <w:szCs w:val="24"/>
        </w:rPr>
        <w:t>Contaduría Universidad de Antioquia</w:t>
      </w:r>
      <w:r w:rsidRPr="00A2258D">
        <w:rPr>
          <w:rFonts w:ascii="Times New Roman" w:hAnsi="Times New Roman" w:cs="Times New Roman"/>
          <w:sz w:val="24"/>
          <w:szCs w:val="24"/>
        </w:rPr>
        <w:t>, 57, 203-219.</w:t>
      </w:r>
    </w:p>
    <w:p w14:paraId="0434A304"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Rueda, G. (2011a). Contabilidad para la inclusión social. Propuesta para una investigación interdisciplinar a largo plazo. </w:t>
      </w:r>
      <w:r w:rsidRPr="00A2258D">
        <w:rPr>
          <w:rFonts w:ascii="Times New Roman" w:hAnsi="Times New Roman" w:cs="Times New Roman"/>
          <w:i/>
          <w:sz w:val="24"/>
          <w:szCs w:val="24"/>
        </w:rPr>
        <w:t>Revista Facultad de Ciencias Económicas: Investigación y Reflexión,</w:t>
      </w:r>
      <w:r w:rsidRPr="00A2258D">
        <w:rPr>
          <w:rFonts w:ascii="Times New Roman" w:hAnsi="Times New Roman" w:cs="Times New Roman"/>
          <w:sz w:val="24"/>
          <w:szCs w:val="24"/>
        </w:rPr>
        <w:t xml:space="preserve"> XIX (1), 159-171.</w:t>
      </w:r>
    </w:p>
    <w:p w14:paraId="725E849A"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Rueda, G. (2011b). Democracia, emancipación y Contabilidad. </w:t>
      </w:r>
      <w:r w:rsidRPr="00A2258D">
        <w:rPr>
          <w:rFonts w:ascii="Times New Roman" w:hAnsi="Times New Roman" w:cs="Times New Roman"/>
          <w:i/>
          <w:sz w:val="24"/>
          <w:szCs w:val="24"/>
        </w:rPr>
        <w:t>Papel Político</w:t>
      </w:r>
      <w:r w:rsidRPr="00A2258D">
        <w:rPr>
          <w:rFonts w:ascii="Times New Roman" w:hAnsi="Times New Roman" w:cs="Times New Roman"/>
          <w:sz w:val="24"/>
          <w:szCs w:val="24"/>
        </w:rPr>
        <w:t>, 16 (1), 163-184.</w:t>
      </w:r>
    </w:p>
    <w:p w14:paraId="2F11F1F8" w14:textId="77777777" w:rsidR="003C0279" w:rsidRPr="00A2258D" w:rsidRDefault="003C0279" w:rsidP="003C0279">
      <w:pPr>
        <w:pStyle w:val="Bibliografa"/>
        <w:rPr>
          <w:rFonts w:ascii="Times New Roman" w:hAnsi="Times New Roman"/>
          <w:color w:val="000000"/>
          <w:sz w:val="24"/>
          <w:szCs w:val="24"/>
          <w:lang w:eastAsia="es-CO"/>
        </w:rPr>
      </w:pPr>
      <w:r w:rsidRPr="00A2258D">
        <w:rPr>
          <w:rFonts w:ascii="Times New Roman" w:hAnsi="Times New Roman"/>
          <w:color w:val="000000"/>
          <w:sz w:val="24"/>
          <w:szCs w:val="24"/>
          <w:lang w:eastAsia="es-CO"/>
        </w:rPr>
        <w:t xml:space="preserve">Ruiz, G. (2014). </w:t>
      </w:r>
      <w:r w:rsidRPr="00A2258D">
        <w:rPr>
          <w:rFonts w:ascii="Times New Roman" w:hAnsi="Times New Roman"/>
          <w:i/>
          <w:color w:val="000000"/>
          <w:sz w:val="24"/>
          <w:szCs w:val="24"/>
          <w:lang w:eastAsia="es-CO"/>
        </w:rPr>
        <w:t>Hacia la comprensión de la retórica como contenido para la formación de un sujeto deliberativo</w:t>
      </w:r>
      <w:r w:rsidRPr="00A2258D">
        <w:rPr>
          <w:rFonts w:ascii="Times New Roman" w:hAnsi="Times New Roman"/>
          <w:color w:val="000000"/>
          <w:sz w:val="24"/>
          <w:szCs w:val="24"/>
          <w:lang w:eastAsia="es-CO"/>
        </w:rPr>
        <w:t xml:space="preserve">. Tesis de Grado. Maestría en Educación Universidad San Buenaventura, Medellín. Descargado de </w:t>
      </w:r>
      <w:hyperlink r:id="rId8" w:tgtFrame="_blank" w:history="1">
        <w:r w:rsidRPr="00A2258D">
          <w:rPr>
            <w:rFonts w:ascii="Times New Roman" w:hAnsi="Times New Roman"/>
            <w:color w:val="000000"/>
            <w:sz w:val="24"/>
            <w:szCs w:val="24"/>
            <w:lang w:eastAsia="es-CO"/>
          </w:rPr>
          <w:t>https://bit.ly/2J5RnBE</w:t>
        </w:r>
      </w:hyperlink>
    </w:p>
    <w:p w14:paraId="5E7C91D5" w14:textId="77777777" w:rsidR="003C0279" w:rsidRPr="00A2258D" w:rsidRDefault="003C0279" w:rsidP="003C0279">
      <w:pPr>
        <w:pStyle w:val="Bibliografa"/>
        <w:rPr>
          <w:rFonts w:ascii="Times New Roman" w:hAnsi="Times New Roman"/>
          <w:sz w:val="24"/>
          <w:szCs w:val="24"/>
        </w:rPr>
      </w:pPr>
      <w:r w:rsidRPr="00A2258D">
        <w:rPr>
          <w:rFonts w:ascii="Times New Roman" w:hAnsi="Times New Roman"/>
          <w:sz w:val="24"/>
          <w:szCs w:val="24"/>
        </w:rPr>
        <w:t xml:space="preserve">Ruiz, G y López, D. (2016). La retórica como fundamento de lo social en los procesos de deliberación social.  </w:t>
      </w:r>
      <w:r w:rsidRPr="00A2258D">
        <w:rPr>
          <w:rFonts w:ascii="Times New Roman" w:hAnsi="Times New Roman"/>
          <w:i/>
          <w:sz w:val="24"/>
          <w:szCs w:val="24"/>
        </w:rPr>
        <w:t>Contaduría Universidad de Antioquia</w:t>
      </w:r>
      <w:r w:rsidRPr="00A2258D">
        <w:rPr>
          <w:rFonts w:ascii="Times New Roman" w:hAnsi="Times New Roman"/>
          <w:sz w:val="24"/>
          <w:szCs w:val="24"/>
        </w:rPr>
        <w:t xml:space="preserve">, 69, 33-49. </w:t>
      </w:r>
    </w:p>
    <w:p w14:paraId="6BF370F1"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lastRenderedPageBreak/>
        <w:t xml:space="preserve">Ruiz, G. (2017). Retórica y contabilidad: de la crítica retórica a la retórica crítica.  </w:t>
      </w:r>
      <w:r w:rsidRPr="00A2258D">
        <w:rPr>
          <w:rFonts w:ascii="Times New Roman" w:hAnsi="Times New Roman" w:cs="Times New Roman"/>
          <w:i/>
          <w:sz w:val="24"/>
          <w:szCs w:val="24"/>
        </w:rPr>
        <w:t xml:space="preserve">Revista Facultad de Ciencias Económicas, Investigación y </w:t>
      </w:r>
      <w:r w:rsidRPr="00A2258D">
        <w:rPr>
          <w:rFonts w:ascii="Times New Roman" w:hAnsi="Times New Roman" w:cs="Times New Roman"/>
          <w:sz w:val="24"/>
          <w:szCs w:val="24"/>
        </w:rPr>
        <w:t>Reflexión, 25(1), p.p 243-268.</w:t>
      </w:r>
    </w:p>
    <w:p w14:paraId="7540C236"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Santibáñez, C. (2008). La argumentación: variables y ejemplos. Recuperado el noviembre de 2010, de Cátedra Unesco para la lectura y la escritura: </w:t>
      </w:r>
      <w:hyperlink r:id="rId9" w:history="1">
        <w:r w:rsidRPr="00A2258D">
          <w:rPr>
            <w:rFonts w:ascii="Times New Roman" w:hAnsi="Times New Roman" w:cs="Times New Roman"/>
            <w:sz w:val="24"/>
            <w:szCs w:val="24"/>
          </w:rPr>
          <w:t>http://www.unesco-lectura.univalle.edu.co/</w:t>
        </w:r>
      </w:hyperlink>
    </w:p>
    <w:p w14:paraId="50678AC7"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Shapiro, B. (1998). Toward a normative model of rational argumentation for critical accounting discussions. </w:t>
      </w:r>
      <w:r w:rsidRPr="00A2258D">
        <w:rPr>
          <w:rFonts w:ascii="Times New Roman" w:hAnsi="Times New Roman" w:cs="Times New Roman"/>
          <w:i/>
          <w:sz w:val="24"/>
          <w:szCs w:val="24"/>
          <w:lang w:val="en-US"/>
        </w:rPr>
        <w:t>Accounting, organizations and society</w:t>
      </w:r>
      <w:r w:rsidRPr="00A2258D">
        <w:rPr>
          <w:rFonts w:ascii="Times New Roman" w:hAnsi="Times New Roman" w:cs="Times New Roman"/>
          <w:sz w:val="24"/>
          <w:szCs w:val="24"/>
          <w:lang w:val="en-US"/>
        </w:rPr>
        <w:t>, 641-663. (G. Ruiz, Trad.).</w:t>
      </w:r>
    </w:p>
    <w:p w14:paraId="2F43C332"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Toulmin, S., Rieke, R y Janick, A (1984). </w:t>
      </w:r>
      <w:r w:rsidRPr="00A2258D">
        <w:rPr>
          <w:rFonts w:ascii="Times New Roman" w:hAnsi="Times New Roman" w:cs="Times New Roman"/>
          <w:i/>
          <w:sz w:val="24"/>
          <w:szCs w:val="24"/>
          <w:lang w:val="en-US"/>
        </w:rPr>
        <w:t>An introduce to reasoning</w:t>
      </w:r>
      <w:r w:rsidRPr="00A2258D">
        <w:rPr>
          <w:rFonts w:ascii="Times New Roman" w:hAnsi="Times New Roman" w:cs="Times New Roman"/>
          <w:sz w:val="24"/>
          <w:szCs w:val="24"/>
          <w:lang w:val="en-US"/>
        </w:rPr>
        <w:t xml:space="preserve">. New York: Macmillan, Publising Company. </w:t>
      </w:r>
    </w:p>
    <w:p w14:paraId="55A412E7"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Toulmin, S. (2007). </w:t>
      </w:r>
      <w:r w:rsidRPr="00A2258D">
        <w:rPr>
          <w:rFonts w:ascii="Times New Roman" w:hAnsi="Times New Roman" w:cs="Times New Roman"/>
          <w:i/>
          <w:sz w:val="24"/>
          <w:szCs w:val="24"/>
        </w:rPr>
        <w:t>Los usos de la argumentación</w:t>
      </w:r>
      <w:r w:rsidRPr="00A2258D">
        <w:rPr>
          <w:rFonts w:ascii="Times New Roman" w:hAnsi="Times New Roman" w:cs="Times New Roman"/>
          <w:sz w:val="24"/>
          <w:szCs w:val="24"/>
        </w:rPr>
        <w:t>. Barcelona: Ediciones Península.</w:t>
      </w:r>
    </w:p>
    <w:p w14:paraId="12761B89"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rPr>
        <w:t xml:space="preserve">Van Emeren, F.  Y  Grootendorst, R.  (1992).  </w:t>
      </w:r>
      <w:r w:rsidRPr="00A2258D">
        <w:rPr>
          <w:rFonts w:ascii="Times New Roman" w:hAnsi="Times New Roman" w:cs="Times New Roman"/>
          <w:i/>
          <w:sz w:val="24"/>
          <w:szCs w:val="24"/>
        </w:rPr>
        <w:t>Comunicación, argumentación, falacias.</w:t>
      </w:r>
      <w:r w:rsidRPr="00A2258D">
        <w:rPr>
          <w:rFonts w:ascii="Times New Roman" w:hAnsi="Times New Roman" w:cs="Times New Roman"/>
          <w:sz w:val="24"/>
          <w:szCs w:val="24"/>
        </w:rPr>
        <w:t xml:space="preserve"> Una perspectiva pragmadialéctica. </w:t>
      </w:r>
      <w:r w:rsidRPr="00A2258D">
        <w:rPr>
          <w:rFonts w:ascii="Times New Roman" w:hAnsi="Times New Roman" w:cs="Times New Roman"/>
          <w:sz w:val="24"/>
          <w:szCs w:val="24"/>
          <w:lang w:val="es-ES"/>
        </w:rPr>
        <w:t>Santiago: Universidad Católica de Chile.</w:t>
      </w:r>
      <w:r w:rsidRPr="00A2258D">
        <w:rPr>
          <w:rFonts w:ascii="Times New Roman" w:hAnsi="Times New Roman" w:cs="Times New Roman"/>
          <w:sz w:val="24"/>
          <w:szCs w:val="24"/>
        </w:rPr>
        <w:t xml:space="preserve"> </w:t>
      </w:r>
    </w:p>
    <w:p w14:paraId="580B14A9" w14:textId="77777777" w:rsidR="003C0279" w:rsidRPr="00A2258D" w:rsidRDefault="003C0279" w:rsidP="003C0279">
      <w:pPr>
        <w:pStyle w:val="Normal1"/>
        <w:spacing w:line="352" w:lineRule="auto"/>
        <w:ind w:left="700" w:hanging="700"/>
        <w:jc w:val="both"/>
        <w:rPr>
          <w:rFonts w:ascii="Times New Roman" w:hAnsi="Times New Roman" w:cs="Times New Roman"/>
          <w:i/>
          <w:sz w:val="24"/>
          <w:szCs w:val="24"/>
        </w:rPr>
      </w:pPr>
      <w:r w:rsidRPr="00A2258D">
        <w:rPr>
          <w:rFonts w:ascii="Times New Roman" w:hAnsi="Times New Roman" w:cs="Times New Roman"/>
          <w:i/>
          <w:sz w:val="24"/>
          <w:szCs w:val="24"/>
        </w:rPr>
        <w:t xml:space="preserve">Van Emeren, F. (2013) Maniobras estratégicas en el discurso argumentativo. </w:t>
      </w:r>
      <w:r w:rsidRPr="00A2258D">
        <w:rPr>
          <w:rFonts w:ascii="Times New Roman" w:hAnsi="Times New Roman" w:cs="Times New Roman"/>
          <w:sz w:val="24"/>
          <w:szCs w:val="24"/>
        </w:rPr>
        <w:t>Madrid: Plaza y Valdez.</w:t>
      </w:r>
      <w:r w:rsidRPr="00A2258D">
        <w:rPr>
          <w:rFonts w:ascii="Times New Roman" w:hAnsi="Times New Roman" w:cs="Times New Roman"/>
          <w:i/>
          <w:sz w:val="24"/>
          <w:szCs w:val="24"/>
        </w:rPr>
        <w:t xml:space="preserve"> </w:t>
      </w:r>
    </w:p>
    <w:p w14:paraId="3C247295"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Vargas Guillén, G. y Cárdenas Mejía, D. (2005).  </w:t>
      </w:r>
      <w:r w:rsidRPr="00A2258D">
        <w:rPr>
          <w:rFonts w:ascii="Times New Roman" w:hAnsi="Times New Roman" w:cs="Times New Roman"/>
          <w:i/>
          <w:sz w:val="24"/>
          <w:szCs w:val="24"/>
        </w:rPr>
        <w:t>Retórica, poética y formación. De las pasiones al entimema</w:t>
      </w:r>
      <w:r w:rsidRPr="00A2258D">
        <w:rPr>
          <w:rFonts w:ascii="Times New Roman" w:hAnsi="Times New Roman" w:cs="Times New Roman"/>
          <w:sz w:val="24"/>
          <w:szCs w:val="24"/>
        </w:rPr>
        <w:t xml:space="preserve">. </w:t>
      </w:r>
      <w:r w:rsidRPr="00A2258D">
        <w:rPr>
          <w:rFonts w:ascii="Times New Roman" w:hAnsi="Times New Roman" w:cs="Times New Roman"/>
          <w:sz w:val="24"/>
          <w:szCs w:val="24"/>
          <w:lang w:val="en-US"/>
        </w:rPr>
        <w:t xml:space="preserve">Bogotá: Universidad Pedagógica Nacional.  </w:t>
      </w:r>
    </w:p>
    <w:p w14:paraId="5D4C9A24" w14:textId="77777777" w:rsidR="003C0279" w:rsidRPr="00A2258D" w:rsidRDefault="003C0279" w:rsidP="003C0279">
      <w:pPr>
        <w:pStyle w:val="Normal1"/>
        <w:spacing w:line="352" w:lineRule="auto"/>
        <w:ind w:left="700" w:hanging="700"/>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Werder, A. (1999). Argumentation rationality of management decitions. </w:t>
      </w:r>
      <w:r w:rsidRPr="00A2258D">
        <w:rPr>
          <w:rFonts w:ascii="Times New Roman" w:hAnsi="Times New Roman" w:cs="Times New Roman"/>
          <w:i/>
          <w:sz w:val="24"/>
          <w:szCs w:val="24"/>
        </w:rPr>
        <w:t>Organization Science</w:t>
      </w:r>
      <w:r w:rsidRPr="00A2258D">
        <w:rPr>
          <w:rFonts w:ascii="Times New Roman" w:hAnsi="Times New Roman" w:cs="Times New Roman"/>
          <w:sz w:val="24"/>
          <w:szCs w:val="24"/>
        </w:rPr>
        <w:t>, 10(5), pp. 672-690.</w:t>
      </w:r>
    </w:p>
    <w:p w14:paraId="1E6ABBF6" w14:textId="77777777" w:rsidR="003C0279" w:rsidRDefault="003C0279" w:rsidP="003C0279">
      <w:pPr>
        <w:jc w:val="both"/>
      </w:pPr>
    </w:p>
    <w:sectPr w:rsidR="003C027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483465" w14:textId="77777777" w:rsidR="00D97DBC" w:rsidRDefault="00D97DBC" w:rsidP="003C0279">
      <w:pPr>
        <w:spacing w:after="0" w:line="240" w:lineRule="auto"/>
      </w:pPr>
      <w:r>
        <w:separator/>
      </w:r>
    </w:p>
  </w:endnote>
  <w:endnote w:type="continuationSeparator" w:id="0">
    <w:p w14:paraId="1D12F8B3" w14:textId="77777777" w:rsidR="00D97DBC" w:rsidRDefault="00D97DBC" w:rsidP="003C0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B74E41" w14:textId="77777777" w:rsidR="00D97DBC" w:rsidRDefault="00D97DBC" w:rsidP="003C0279">
      <w:pPr>
        <w:spacing w:after="0" w:line="240" w:lineRule="auto"/>
      </w:pPr>
      <w:r>
        <w:separator/>
      </w:r>
    </w:p>
  </w:footnote>
  <w:footnote w:type="continuationSeparator" w:id="0">
    <w:p w14:paraId="35362AAC" w14:textId="77777777" w:rsidR="00D97DBC" w:rsidRDefault="00D97DBC" w:rsidP="003C0279">
      <w:pPr>
        <w:spacing w:after="0" w:line="240" w:lineRule="auto"/>
      </w:pPr>
      <w:r>
        <w:continuationSeparator/>
      </w:r>
    </w:p>
  </w:footnote>
  <w:footnote w:id="1">
    <w:p w14:paraId="7283DAC3" w14:textId="77777777" w:rsidR="003C0279" w:rsidRPr="00C5561F" w:rsidRDefault="003C0279" w:rsidP="003C0279">
      <w:pPr>
        <w:pStyle w:val="Textonotapie"/>
        <w:jc w:val="both"/>
        <w:rPr>
          <w:rFonts w:ascii="Times New Roman" w:hAnsi="Times New Roman" w:cs="Times New Roman"/>
          <w:sz w:val="18"/>
          <w:szCs w:val="18"/>
        </w:rPr>
      </w:pPr>
      <w:r w:rsidRPr="00C5561F">
        <w:rPr>
          <w:rStyle w:val="Refdenotaalpie"/>
          <w:rFonts w:ascii="Times New Roman" w:hAnsi="Times New Roman" w:cs="Times New Roman"/>
        </w:rPr>
        <w:footnoteRef/>
      </w:r>
      <w:r w:rsidRPr="00C5561F">
        <w:rPr>
          <w:rFonts w:ascii="Times New Roman" w:hAnsi="Times New Roman" w:cs="Times New Roman"/>
        </w:rPr>
        <w:t xml:space="preserve"> </w:t>
      </w:r>
      <w:r w:rsidRPr="00C5561F">
        <w:rPr>
          <w:rFonts w:ascii="Times New Roman" w:hAnsi="Times New Roman" w:cs="Times New Roman"/>
          <w:sz w:val="18"/>
          <w:szCs w:val="18"/>
        </w:rPr>
        <w:t>Este capítulo es un producto derivado del proyecto de investigación titulado: “</w:t>
      </w:r>
      <w:r w:rsidRPr="00C5561F">
        <w:rPr>
          <w:rFonts w:ascii="Times New Roman" w:eastAsia="Times New Roman" w:hAnsi="Times New Roman" w:cs="Times New Roman"/>
          <w:sz w:val="18"/>
          <w:szCs w:val="18"/>
        </w:rPr>
        <w:t>La teoría de la argumentación de Toulmin en el escenario de los informes contables”.  A</w:t>
      </w:r>
      <w:r w:rsidRPr="00C5561F">
        <w:rPr>
          <w:rFonts w:ascii="Times New Roman" w:hAnsi="Times New Roman" w:cs="Times New Roman"/>
          <w:sz w:val="18"/>
          <w:szCs w:val="18"/>
        </w:rPr>
        <w:t xml:space="preserve">probado en la convocatoria 01 de 2015, código 23-000014.  </w:t>
      </w:r>
    </w:p>
  </w:footnote>
  <w:footnote w:id="2">
    <w:p w14:paraId="476C6007" w14:textId="77777777" w:rsidR="003C0279" w:rsidRPr="00C5561F" w:rsidRDefault="003C0279" w:rsidP="003C0279">
      <w:pPr>
        <w:pStyle w:val="Textonotapie"/>
        <w:jc w:val="both"/>
        <w:rPr>
          <w:rFonts w:ascii="Times New Roman" w:hAnsi="Times New Roman" w:cs="Times New Roman"/>
          <w:sz w:val="18"/>
          <w:szCs w:val="18"/>
        </w:rPr>
      </w:pPr>
      <w:r w:rsidRPr="00C5561F">
        <w:rPr>
          <w:rStyle w:val="Refdenotaalpie"/>
          <w:rFonts w:ascii="Times New Roman" w:hAnsi="Times New Roman" w:cs="Times New Roman"/>
          <w:sz w:val="18"/>
          <w:szCs w:val="18"/>
        </w:rPr>
        <w:footnoteRef/>
      </w:r>
      <w:r w:rsidRPr="00C5561F">
        <w:rPr>
          <w:rFonts w:ascii="Times New Roman" w:hAnsi="Times New Roman" w:cs="Times New Roman"/>
          <w:sz w:val="18"/>
          <w:szCs w:val="18"/>
        </w:rPr>
        <w:t xml:space="preserve"> Licenciado en Español y Literatura Universidad de Antioquia, Magíster en Educación de la Universidad de San Buenaventura, Medellín. Docente Investigador de la Facultad de Contaduría de la Universidad Autónoma Latinoamericana, Medellín.  Adscrito al Grupo de Investigaciones en Contabilidad y Organizaciones. GICOR.</w:t>
      </w:r>
      <w:r w:rsidRPr="00C5561F">
        <w:rPr>
          <w:rFonts w:ascii="Times New Roman" w:hAnsi="Times New Roman" w:cs="Times New Roman"/>
        </w:rPr>
        <w:t xml:space="preserve"> </w:t>
      </w:r>
      <w:r w:rsidRPr="00C5561F">
        <w:rPr>
          <w:rFonts w:ascii="Times New Roman" w:hAnsi="Times New Roman" w:cs="Times New Roman"/>
        </w:rPr>
        <w:br/>
      </w:r>
      <w:r w:rsidRPr="00A2258D">
        <w:rPr>
          <w:rFonts w:ascii="Times New Roman" w:hAnsi="Times New Roman" w:cs="Times New Roman"/>
          <w:color w:val="auto"/>
          <w:sz w:val="18"/>
          <w:szCs w:val="18"/>
          <w:shd w:val="clear" w:color="auto" w:fill="FFFFFF"/>
        </w:rPr>
        <w:t>gustavo.ruiz@unaula.edu.co</w:t>
      </w:r>
    </w:p>
    <w:p w14:paraId="23ACC9AE" w14:textId="77777777" w:rsidR="003C0279" w:rsidRDefault="003C0279" w:rsidP="003C0279">
      <w:pPr>
        <w:pStyle w:val="Textonotapie"/>
        <w:jc w:val="both"/>
        <w:rPr>
          <w:sz w:val="18"/>
          <w:szCs w:val="18"/>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0279"/>
    <w:rsid w:val="002B42FB"/>
    <w:rsid w:val="0036010A"/>
    <w:rsid w:val="003C0279"/>
    <w:rsid w:val="00503218"/>
    <w:rsid w:val="00883B3B"/>
    <w:rsid w:val="00D97DBC"/>
    <w:rsid w:val="00E10473"/>
    <w:rsid w:val="00EF5BB2"/>
    <w:rsid w:val="00FF7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F099E"/>
  <w15:chartTrackingRefBased/>
  <w15:docId w15:val="{EBEC4FE4-A499-4F49-8D51-704EF8205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0279"/>
    <w:pPr>
      <w:spacing w:after="200" w:line="276" w:lineRule="auto"/>
    </w:pPr>
    <w:rPr>
      <w:rFonts w:ascii="Arial" w:hAnsi="Arial" w:cs="Arial"/>
      <w:u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3C0279"/>
    <w:pPr>
      <w:spacing w:after="200" w:line="276" w:lineRule="auto"/>
    </w:pPr>
    <w:rPr>
      <w:rFonts w:ascii="Calibri" w:eastAsia="Calibri" w:hAnsi="Calibri" w:cs="Calibri"/>
      <w:color w:val="000000"/>
      <w:lang w:val="es-ES_tradnl" w:eastAsia="es-ES"/>
    </w:rPr>
  </w:style>
  <w:style w:type="paragraph" w:styleId="Textonotapie">
    <w:name w:val="footnote text"/>
    <w:basedOn w:val="Normal"/>
    <w:link w:val="TextonotapieCar"/>
    <w:uiPriority w:val="99"/>
    <w:unhideWhenUsed/>
    <w:qFormat/>
    <w:rsid w:val="003C0279"/>
    <w:rPr>
      <w:rFonts w:ascii="Calibri" w:eastAsia="Calibri" w:hAnsi="Calibri" w:cs="Calibri"/>
      <w:color w:val="000000"/>
      <w:sz w:val="24"/>
      <w:szCs w:val="24"/>
      <w:lang w:val="es-ES_tradnl" w:eastAsia="es-ES"/>
    </w:rPr>
  </w:style>
  <w:style w:type="character" w:customStyle="1" w:styleId="TextonotapieCar">
    <w:name w:val="Texto nota pie Car"/>
    <w:basedOn w:val="Fuentedeprrafopredeter"/>
    <w:link w:val="Textonotapie"/>
    <w:uiPriority w:val="99"/>
    <w:qFormat/>
    <w:rsid w:val="003C0279"/>
    <w:rPr>
      <w:rFonts w:ascii="Calibri" w:eastAsia="Calibri" w:hAnsi="Calibri" w:cs="Calibri"/>
      <w:color w:val="000000"/>
      <w:sz w:val="24"/>
      <w:szCs w:val="24"/>
      <w:u w:color="000000"/>
      <w:lang w:val="es-ES_tradnl" w:eastAsia="es-ES"/>
    </w:rPr>
  </w:style>
  <w:style w:type="character" w:styleId="Refdenotaalpie">
    <w:name w:val="footnote reference"/>
    <w:uiPriority w:val="99"/>
    <w:unhideWhenUsed/>
    <w:qFormat/>
    <w:rsid w:val="003C0279"/>
    <w:rPr>
      <w:vertAlign w:val="superscript"/>
    </w:rPr>
  </w:style>
  <w:style w:type="paragraph" w:customStyle="1" w:styleId="Captulos">
    <w:name w:val="Capítulos"/>
    <w:basedOn w:val="Normal1"/>
    <w:qFormat/>
    <w:rsid w:val="003C0279"/>
    <w:pPr>
      <w:spacing w:after="0"/>
      <w:jc w:val="right"/>
      <w:outlineLvl w:val="0"/>
    </w:pPr>
    <w:rPr>
      <w:rFonts w:ascii="Times New Roman" w:hAnsi="Times New Roman" w:cs="Times New Roman"/>
      <w:b/>
      <w:sz w:val="36"/>
      <w:szCs w:val="24"/>
    </w:rPr>
  </w:style>
  <w:style w:type="paragraph" w:styleId="Bibliografa">
    <w:name w:val="Bibliography"/>
    <w:basedOn w:val="Normal"/>
    <w:next w:val="Normal"/>
    <w:uiPriority w:val="37"/>
    <w:semiHidden/>
    <w:unhideWhenUsed/>
    <w:rsid w:val="003C02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J5RnBE" TargetMode="External"/><Relationship Id="rId3" Type="http://schemas.openxmlformats.org/officeDocument/2006/relationships/settings" Target="settings.xml"/><Relationship Id="rId7" Type="http://schemas.openxmlformats.org/officeDocument/2006/relationships/hyperlink" Target="https://bit.ly/2KU19Jq"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unesco-lectura.univalle.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Hab99</b:Tag>
    <b:SourceType>Book</b:SourceType>
    <b:Guid>{19B41580-5E7D-4D38-8AE4-C31169FF98C8}</b:Guid>
    <b:Author>
      <b:Author>
        <b:NameList>
          <b:Person>
            <b:Last>Habermas</b:Last>
            <b:First>Junger</b:First>
          </b:Person>
        </b:NameList>
      </b:Author>
      <b:Translator>
        <b:NameList>
          <b:Person>
            <b:Last>Jiménez Redondo</b:Last>
            <b:First>Manuel</b:First>
          </b:Person>
        </b:NameList>
      </b:Translator>
    </b:Author>
    <b:Title>Teoría de la acción comunicativa I: racionalidad de la acción y racionalización social.</b:Title>
    <b:Year>1999</b:Year>
    <b:City>Buenos Aires</b:City>
    <b:Publisher>Taurus</b:Publisher>
    <b:RefOrder>1</b:RefOrder>
  </b:Source>
  <b:Source>
    <b:Tag>Gra181</b:Tag>
    <b:SourceType>JournalArticle</b:SourceType>
    <b:Guid>{F09E03CC-6AF9-40D9-9BF7-C14FEAC4AFB5}</b:Guid>
    <b:Author>
      <b:Author>
        <b:NameList>
          <b:Person>
            <b:Last>Gracia López</b:Last>
            <b:First>Edgar</b:First>
          </b:Person>
        </b:NameList>
      </b:Author>
    </b:Author>
    <b:Title>Horizontes argumentales en la Contabilidad</b:Title>
    <b:JournalName>Teukem Bidikay</b:JournalName>
    <b:Year>2018</b:Year>
    <b:Pages>45-60</b:Pages>
    <b:Volume>9</b:Volume>
    <b:Issue>13</b:Issue>
    <b:RefOrder>2</b:RefOrder>
  </b:Source>
  <b:Source>
    <b:Tag>Tho93</b:Tag>
    <b:SourceType>JournalArticle</b:SourceType>
    <b:Guid>{7A0EB2D3-8614-4E74-8D25-9A25F0A8A132}</b:Guid>
    <b:Author>
      <b:Author>
        <b:NameList>
          <b:Person>
            <b:Last>Brown</b:Last>
            <b:First>Grand</b:First>
          </b:Person>
          <b:Person>
            <b:Last>Collins</b:Last>
            <b:First>Roger</b:First>
          </b:Person>
          <b:Person>
            <b:Last>Thorton</b:Last>
            <b:First>Daniel</b:First>
          </b:Person>
        </b:NameList>
      </b:Author>
    </b:Author>
    <b:Title>Professional judgment and accounting standards</b:Title>
    <b:JournalName>Accounting Organizations and Society</b:JournalName>
    <b:Year>1993</b:Year>
    <b:Pages>275-289</b:Pages>
    <b:Volume>18</b:Volume>
    <b:Issue>4</b:Issue>
    <b:RefOrder>3</b:RefOrder>
  </b:Source>
</b:Sources>
</file>

<file path=customXml/itemProps1.xml><?xml version="1.0" encoding="utf-8"?>
<ds:datastoreItem xmlns:ds="http://schemas.openxmlformats.org/officeDocument/2006/customXml" ds:itemID="{1460FCDB-0786-4D49-8477-1776FD9B1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3118</Words>
  <Characters>17150</Characters>
  <Application>Microsoft Office Word</Application>
  <DocSecurity>0</DocSecurity>
  <Lines>142</Lines>
  <Paragraphs>40</Paragraphs>
  <ScaleCrop>false</ScaleCrop>
  <Company/>
  <LinksUpToDate>false</LinksUpToDate>
  <CharactersWithSpaces>20228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Andrés Díaz Jiménez</dc:creator>
  <cp:keywords/>
  <dc:description/>
  <cp:lastModifiedBy>Michael Andrés Díaz Jiménez</cp:lastModifiedBy>
  <cp:revision>1</cp:revision>
  <dcterms:created xsi:type="dcterms:W3CDTF">2020-07-06T22:57:00Z</dcterms:created>
  <dcterms:modified xsi:type="dcterms:W3CDTF">2020-07-06T22:59:00Z</dcterms:modified>
</cp:coreProperties>
</file>