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709D95B" wp14:paraId="5DB5E393" wp14:textId="3A7336E0">
      <w:pPr>
        <w:pStyle w:val="Heading1"/>
        <w:jc w:val="center"/>
        <w:rPr>
          <w:rFonts w:ascii="Times New Roman" w:hAnsi="Times New Roman" w:eastAsia="Times New Roman" w:cs="Times New Roman"/>
          <w:b w:val="1"/>
          <w:bCs w:val="1"/>
          <w:noProof w:val="0"/>
          <w:color w:val="000000" w:themeColor="text1" w:themeTint="FF" w:themeShade="FF"/>
          <w:sz w:val="24"/>
          <w:szCs w:val="24"/>
          <w:lang w:val="es-ES"/>
        </w:rPr>
      </w:pPr>
      <w:r w:rsidRPr="3709D95B" w:rsidR="12A5C23A">
        <w:rPr>
          <w:rFonts w:ascii="Times New Roman" w:hAnsi="Times New Roman" w:eastAsia="Times New Roman" w:cs="Times New Roman"/>
          <w:b w:val="1"/>
          <w:bCs w:val="1"/>
          <w:noProof w:val="0"/>
          <w:color w:val="000000" w:themeColor="text1" w:themeTint="FF" w:themeShade="FF"/>
          <w:sz w:val="24"/>
          <w:szCs w:val="24"/>
          <w:lang w:val="es-ES"/>
        </w:rPr>
        <w:t>Informe de triangulación de la información</w:t>
      </w:r>
    </w:p>
    <w:p xmlns:wp14="http://schemas.microsoft.com/office/word/2010/wordml" w:rsidP="3709D95B" wp14:paraId="366E87CD" wp14:textId="24BA7C86">
      <w:pPr>
        <w:rPr>
          <w:rFonts w:ascii="Times New Roman" w:hAnsi="Times New Roman" w:eastAsia="Times New Roman" w:cs="Times New Roman"/>
          <w:noProof w:val="0"/>
          <w:color w:val="000000" w:themeColor="text1" w:themeTint="FF" w:themeShade="FF"/>
          <w:sz w:val="24"/>
          <w:szCs w:val="24"/>
          <w:lang w:val="es-ES"/>
        </w:rPr>
      </w:pPr>
      <w:r w:rsidRPr="3709D95B" w:rsidR="12A5C23A">
        <w:rPr>
          <w:rFonts w:ascii="Times New Roman" w:hAnsi="Times New Roman" w:eastAsia="Times New Roman" w:cs="Times New Roman"/>
          <w:noProof w:val="0"/>
          <w:color w:val="000000" w:themeColor="text1" w:themeTint="FF" w:themeShade="FF"/>
          <w:sz w:val="24"/>
          <w:szCs w:val="24"/>
          <w:lang w:val="es-ES"/>
        </w:rPr>
        <w:t>El pr</w:t>
      </w:r>
      <w:r w:rsidRPr="3709D95B" w:rsidR="790323CE">
        <w:rPr>
          <w:rFonts w:ascii="Times New Roman" w:hAnsi="Times New Roman" w:eastAsia="Times New Roman" w:cs="Times New Roman"/>
          <w:noProof w:val="0"/>
          <w:color w:val="000000" w:themeColor="text1" w:themeTint="FF" w:themeShade="FF"/>
          <w:sz w:val="24"/>
          <w:szCs w:val="24"/>
          <w:lang w:val="es-ES"/>
        </w:rPr>
        <w:t>esente informe pretende</w:t>
      </w:r>
      <w:r w:rsidRPr="3709D95B" w:rsidR="12A5C23A">
        <w:rPr>
          <w:rFonts w:ascii="Times New Roman" w:hAnsi="Times New Roman" w:eastAsia="Times New Roman" w:cs="Times New Roman"/>
          <w:noProof w:val="0"/>
          <w:color w:val="000000" w:themeColor="text1" w:themeTint="FF" w:themeShade="FF"/>
          <w:sz w:val="24"/>
          <w:szCs w:val="24"/>
          <w:lang w:val="es-ES"/>
        </w:rPr>
        <w:t xml:space="preserve"> contrastar diferentes fuentes cualitativas y cuantitativas relacionadas con el desarrollo de habilidades de interpretación y argumentación jurídica en estudiantes del programa de Derecho en modalidad virtual de la Universidad Autónoma de Bucaramanga (UNAB). Para ello, se integraron los hallazgos obtenidos mediante entrevistas semiestructuradas a docentes del programa, el análisis de estadísticas académicas institucionales y los registros de seguimiento y acompañamiento estudiantil correspondientes al segundo semestre académico.</w:t>
      </w:r>
    </w:p>
    <w:p xmlns:wp14="http://schemas.microsoft.com/office/word/2010/wordml" w:rsidP="3709D95B" wp14:paraId="6FC96179" wp14:textId="56B92430">
      <w:pPr>
        <w:rPr>
          <w:rFonts w:ascii="Times New Roman" w:hAnsi="Times New Roman" w:eastAsia="Times New Roman" w:cs="Times New Roman"/>
          <w:noProof w:val="0"/>
          <w:color w:val="000000" w:themeColor="text1" w:themeTint="FF" w:themeShade="FF"/>
          <w:sz w:val="24"/>
          <w:szCs w:val="24"/>
          <w:lang w:val="es-ES"/>
        </w:rPr>
      </w:pPr>
      <w:r w:rsidRPr="3709D95B" w:rsidR="12A5C23A">
        <w:rPr>
          <w:rFonts w:ascii="Times New Roman" w:hAnsi="Times New Roman" w:eastAsia="Times New Roman" w:cs="Times New Roman"/>
          <w:noProof w:val="0"/>
          <w:color w:val="000000" w:themeColor="text1" w:themeTint="FF" w:themeShade="FF"/>
          <w:sz w:val="24"/>
          <w:szCs w:val="24"/>
          <w:lang w:val="es-ES"/>
        </w:rPr>
        <w:t>La triangulación evidenció coincidencias significativas entre las percepciones docentes, los registros académicos y las dinámicas identificadas en los procesos de acompañamiento estudiantil, permitiendo identificar limitaciones asociadas a la escasa incorporación de estrategias pedagógicas orientadas a la aplicación práctica del conocimiento jurídico en entornos virtuales.</w:t>
      </w:r>
    </w:p>
    <w:p xmlns:wp14="http://schemas.microsoft.com/office/word/2010/wordml" w:rsidP="3709D95B" wp14:paraId="0742E1D6" wp14:textId="66F57D52">
      <w:pPr>
        <w:rPr>
          <w:rFonts w:ascii="Times New Roman" w:hAnsi="Times New Roman" w:eastAsia="Times New Roman" w:cs="Times New Roman"/>
          <w:noProof w:val="0"/>
          <w:color w:val="000000" w:themeColor="text1" w:themeTint="FF" w:themeShade="FF"/>
          <w:sz w:val="24"/>
          <w:szCs w:val="24"/>
          <w:lang w:val="es-ES"/>
        </w:rPr>
      </w:pPr>
      <w:r w:rsidRPr="3709D95B" w:rsidR="12A5C23A">
        <w:rPr>
          <w:rFonts w:ascii="Times New Roman" w:hAnsi="Times New Roman" w:eastAsia="Times New Roman" w:cs="Times New Roman"/>
          <w:noProof w:val="0"/>
          <w:color w:val="000000" w:themeColor="text1" w:themeTint="FF" w:themeShade="FF"/>
          <w:sz w:val="24"/>
          <w:szCs w:val="24"/>
          <w:lang w:val="es-ES"/>
        </w:rPr>
        <w:t>En primer lugar, las entrevistas realizadas a docentes del programa evidencian que, aunque los estudiantes acceden a recursos académicos suficientes y alcanzan determinados niveles de comprensión teórica, persisten dificultades relacionadas con la aplicación práctica del conocimiento jurídico, particularmente en actividades que requieren análisis de casos, interpretación normativa y construcción argumentativa.</w:t>
      </w:r>
    </w:p>
    <w:p xmlns:wp14="http://schemas.microsoft.com/office/word/2010/wordml" w:rsidP="3709D95B" wp14:paraId="0FC10284" wp14:textId="5498A973">
      <w:pPr>
        <w:rPr>
          <w:rFonts w:ascii="Times New Roman" w:hAnsi="Times New Roman" w:eastAsia="Times New Roman" w:cs="Times New Roman"/>
          <w:noProof w:val="0"/>
          <w:color w:val="000000" w:themeColor="text1" w:themeTint="FF" w:themeShade="FF"/>
          <w:sz w:val="24"/>
          <w:szCs w:val="24"/>
          <w:lang w:val="es-ES"/>
        </w:rPr>
      </w:pPr>
      <w:r w:rsidRPr="3709D95B" w:rsidR="12A5C23A">
        <w:rPr>
          <w:rFonts w:ascii="Times New Roman" w:hAnsi="Times New Roman" w:eastAsia="Times New Roman" w:cs="Times New Roman"/>
          <w:noProof w:val="0"/>
          <w:color w:val="000000" w:themeColor="text1" w:themeTint="FF" w:themeShade="FF"/>
          <w:sz w:val="24"/>
          <w:szCs w:val="24"/>
          <w:lang w:val="es-ES"/>
        </w:rPr>
        <w:t>El docente Adrián Ortiz señala que los estudiantes tienden a buscar respuestas inmediatas orientadas únicamente al cumplimiento de actividades, lo cual limita el razonamiento crítico y la comprensión profunda del propósito jurídico de las normas. Asimismo, identifica dificultades relacionadas con la interpretación superficial de la ley y la incapacidad para construir argumentos coherentes que articulen las normas con los hechos jurídicos. De igual manera, destaca que gran parte de la participación estudiantil se limita al cumplimiento mínimo de las actividades propuestas, evidenciando dinámicas de aprendizaje predominantemente lineales y pasivas.</w:t>
      </w:r>
    </w:p>
    <w:p xmlns:wp14="http://schemas.microsoft.com/office/word/2010/wordml" wp14:paraId="0610A0B8" wp14:textId="5B194B62">
      <w:r w:rsidRPr="3709D95B" w:rsidR="12A5C23A">
        <w:rPr>
          <w:rFonts w:ascii="Times New Roman" w:hAnsi="Times New Roman" w:eastAsia="Times New Roman" w:cs="Times New Roman"/>
          <w:noProof w:val="0"/>
          <w:color w:val="000000" w:themeColor="text1" w:themeTint="FF" w:themeShade="FF"/>
          <w:sz w:val="24"/>
          <w:szCs w:val="24"/>
          <w:lang w:val="es-ES"/>
        </w:rPr>
        <w:t>Por su parte, la docente Natalia Granados identifica dificultades especialmente en actividades que requieren resolver casos complejos, analizar conflictos entre principios jurídicos y argumentar soluciones frente a situaciones concretas. La docente reconoce que, aunque la metodología busca superar la simple memorización normativa, muchos estudiantes recurren al uso instrumental de herramientas de inteligencia artificial para delegar procesos de interpretación y argumentación, situación que afecta el desarrollo autónomo del pensamiento crítico y la capacidad de sustentar oralmente las decisiones jurídicas.</w:t>
      </w:r>
    </w:p>
    <w:p xmlns:wp14="http://schemas.microsoft.com/office/word/2010/wordml" wp14:paraId="1BBC2B19" wp14:textId="4C4CCD1A">
      <w:r w:rsidRPr="3709D95B" w:rsidR="38C3351C">
        <w:rPr>
          <w:rFonts w:ascii="Times New Roman" w:hAnsi="Times New Roman" w:eastAsia="Times New Roman" w:cs="Times New Roman"/>
          <w:noProof w:val="0"/>
          <w:color w:val="000000" w:themeColor="text1" w:themeTint="FF" w:themeShade="FF"/>
          <w:sz w:val="24"/>
          <w:szCs w:val="24"/>
          <w:lang w:val="es-ES"/>
        </w:rPr>
        <w:t>De igual manera, la docente Nydian Contreras señala que los estudiantes alcanzan distintos niveles de aprehensión teórica dentro de la modalidad virtual. Según su percepción, los estudiantes logran apropiarse de los contenidos teóricos e incluso memorizarlos; sin embargo, presentan dificultades cuando deben comprender, interpretar y aplicar el conocimiento jurídico en situaciones prácticas. La docente indica que muchos estudiantes realizan interpretaciones excesivamente literales de las normas, lo que limita su capacidad de análisis jurídico y dificulta la comprensión contextual de los casos.</w:t>
      </w:r>
    </w:p>
    <w:p xmlns:wp14="http://schemas.microsoft.com/office/word/2010/wordml" wp14:paraId="6EF73105" wp14:textId="21C5A836">
      <w:r w:rsidRPr="3709D95B" w:rsidR="38C3351C">
        <w:rPr>
          <w:rFonts w:ascii="Times New Roman" w:hAnsi="Times New Roman" w:eastAsia="Times New Roman" w:cs="Times New Roman"/>
          <w:noProof w:val="0"/>
          <w:color w:val="000000" w:themeColor="text1" w:themeTint="FF" w:themeShade="FF"/>
          <w:sz w:val="24"/>
          <w:szCs w:val="24"/>
          <w:lang w:val="es-ES"/>
        </w:rPr>
        <w:t>Asimismo, identifica debilidades relacionadas con la comprensión lectora y la capacidad de explicar o argumentar ideas de manera crítica, señalando que algunos estudiantes presentan dificultades para leer, comprender y desarrollar análisis propios a partir de los textos jurídicos. En este sentido, destaca que, cuando se solicita el análisis de un documento, los estudiantes suelen limitarse a resumir la información, evidenciando confusiones frente al verdadero proceso analítico, entendido como la descomposición, interpretación y construcción de aportes críticos sobre el contenido estudiado. La docente resalta además que el fortalecimiento de la habilidad lectora requiere procesos constantes de lectura, comparación y reflexión crítica.</w:t>
      </w:r>
    </w:p>
    <w:p xmlns:wp14="http://schemas.microsoft.com/office/word/2010/wordml" wp14:paraId="09301109" wp14:textId="59050085">
      <w:r w:rsidRPr="3709D95B" w:rsidR="38C3351C">
        <w:rPr>
          <w:rFonts w:ascii="Times New Roman" w:hAnsi="Times New Roman" w:eastAsia="Times New Roman" w:cs="Times New Roman"/>
          <w:noProof w:val="0"/>
          <w:color w:val="000000" w:themeColor="text1" w:themeTint="FF" w:themeShade="FF"/>
          <w:sz w:val="24"/>
          <w:szCs w:val="24"/>
          <w:lang w:val="es-ES"/>
        </w:rPr>
        <w:t>En relación con la modalidad virtual, considera que la plataforma utilizada es amigable e intuitiva y que existen múltiples herramientas para realizar procesos de retroalimentación y acompañamiento académico. Incluso, señala que en algunos aspectos la virtualidad ofrece más recursos que la educación presencial; no obstante, enfatiza que el aprendizaje depende en gran medida de la disposición y autonomía del estudiante para profundizar más allá de los recursos mínimos proporcionados en los cursos.</w:t>
      </w:r>
    </w:p>
    <w:p xmlns:wp14="http://schemas.microsoft.com/office/word/2010/wordml" wp14:paraId="558ABB82" wp14:textId="5AE31042">
      <w:r w:rsidRPr="3709D95B" w:rsidR="38C3351C">
        <w:rPr>
          <w:rFonts w:ascii="Times New Roman" w:hAnsi="Times New Roman" w:eastAsia="Times New Roman" w:cs="Times New Roman"/>
          <w:noProof w:val="0"/>
          <w:color w:val="000000" w:themeColor="text1" w:themeTint="FF" w:themeShade="FF"/>
          <w:sz w:val="24"/>
          <w:szCs w:val="24"/>
          <w:lang w:val="es-ES"/>
        </w:rPr>
        <w:t>La docente plantea que podrían incorporarse estrategias más prácticas e interactivas, como simulaciones apoyadas en avatares o herramientas tecnológicas inmersivas. Respecto al uso de inteligencia artificial, considera que esta representa una oportunidad de acceso a tecnologías emergentes; sin embargo, advierte que muchos estudiantes hacen un uso inadecuado de estas herramientas, limitándose a copiar y pegar información sin realizar procesos de análisis crítico o apropiación real del conocimiento jurídico. Por ello, recomienda fomentar en los estudiantes una actitud más autónoma, crítica y reflexiva frente al aprendizaje y el uso de tecnologías digitales.</w:t>
      </w:r>
    </w:p>
    <w:p xmlns:wp14="http://schemas.microsoft.com/office/word/2010/wordml" w:rsidP="3709D95B" wp14:paraId="2A4BD4A5" wp14:textId="329837DA">
      <w:pPr>
        <w:rPr>
          <w:rFonts w:ascii="Times New Roman" w:hAnsi="Times New Roman" w:eastAsia="Times New Roman" w:cs="Times New Roman"/>
          <w:noProof w:val="0"/>
          <w:color w:val="000000" w:themeColor="text1" w:themeTint="FF" w:themeShade="FF"/>
          <w:sz w:val="24"/>
          <w:szCs w:val="24"/>
          <w:lang w:val="es-ES"/>
        </w:rPr>
      </w:pPr>
      <w:r w:rsidRPr="3709D95B" w:rsidR="12A5C23A">
        <w:rPr>
          <w:rFonts w:ascii="Times New Roman" w:hAnsi="Times New Roman" w:eastAsia="Times New Roman" w:cs="Times New Roman"/>
          <w:noProof w:val="0"/>
          <w:color w:val="000000" w:themeColor="text1" w:themeTint="FF" w:themeShade="FF"/>
          <w:sz w:val="24"/>
          <w:szCs w:val="24"/>
          <w:lang w:val="es-ES"/>
        </w:rPr>
        <w:t>En relación con las metodologías implementadas en la modalidad virtual, ambos docentes coinciden en que la plataforma favorece principalmente dinámicas lineales de aprendizaje y presenta limitaciones para generar espacios dialógicos, críticos y experienciales. Aunque reconocen la existencia de recursos académicos variados, identifican insuficiencias en la incorporación de estrategias que promuevan la oralidad, la simulación de audiencias, el análisis colaborativo de casos y la interacción práctica con situaciones cercanas al ejercicio profesional.</w:t>
      </w:r>
    </w:p>
    <w:p xmlns:wp14="http://schemas.microsoft.com/office/word/2010/wordml" w:rsidP="3709D95B" wp14:paraId="7A96E914" wp14:textId="42EC04CE">
      <w:pPr>
        <w:rPr>
          <w:rFonts w:ascii="Times New Roman" w:hAnsi="Times New Roman" w:eastAsia="Times New Roman" w:cs="Times New Roman"/>
          <w:noProof w:val="0"/>
          <w:color w:val="000000" w:themeColor="text1" w:themeTint="FF" w:themeShade="FF"/>
          <w:sz w:val="24"/>
          <w:szCs w:val="24"/>
          <w:lang w:val="es-ES"/>
        </w:rPr>
      </w:pPr>
      <w:r w:rsidRPr="3709D95B" w:rsidR="12A5C23A">
        <w:rPr>
          <w:rFonts w:ascii="Times New Roman" w:hAnsi="Times New Roman" w:eastAsia="Times New Roman" w:cs="Times New Roman"/>
          <w:noProof w:val="0"/>
          <w:color w:val="000000" w:themeColor="text1" w:themeTint="FF" w:themeShade="FF"/>
          <w:sz w:val="24"/>
          <w:szCs w:val="24"/>
          <w:lang w:val="es-ES"/>
        </w:rPr>
        <w:t>Estas percepciones se articulan con la información obtenida a través de los registros institucionales de seguimiento estudiantil y el análisis de las estadísticas académicas del programa. En el archivo “Seguimiento a estudiantes - 2º semestre (2026-I)” se identificaron observaciones recurrentes relacionadas con incumplimiento de actividades, ausencia de participación, necesidad constante de acompañamiento académico, falta de respuesta a procesos de seguimiento y dificultades para mantener continuidad en el proceso formativo. Dentro de los registros institucionales se evidencian anotaciones como “No presentó la última actividad”, “Se realizaron varias llamadas telefónicas, sin obtener respuesta”, “Ingresó por última vez el 12 de febrero” y “Se le sugirió revisar la programación de actividades para mantenerse al día”, elementos que permiten identificar dinámicas de participación centradas principalmente en el cumplimiento de actividades y dificultades en los procesos de apropiación autónoma del aprendizaje jurídico. En dichos registros se evidencian constantes procesos de acompañamiento relacionados con incumplimiento de actividades, dificultades de participación, bajo nivel de interacción académica y necesidad recurrente de seguimiento por parte de docentes consejeros y acompañantes virtuales. Asimismo, se identifican observaciones relacionadas con estudiantes que presentan dificultades para mantener continuidad en el proceso formativo, situaciones de inasistencia a espacios académicos y limitaciones en la apropiación de los contenidos desarrollados en las asignaturas.</w:t>
      </w:r>
    </w:p>
    <w:p xmlns:wp14="http://schemas.microsoft.com/office/word/2010/wordml" w:rsidP="3709D95B" wp14:paraId="7E6CCC16" wp14:textId="754C2BA0">
      <w:pPr>
        <w:rPr>
          <w:rFonts w:ascii="Times New Roman" w:hAnsi="Times New Roman" w:eastAsia="Times New Roman" w:cs="Times New Roman"/>
          <w:noProof w:val="0"/>
          <w:color w:val="000000" w:themeColor="text1" w:themeTint="FF" w:themeShade="FF"/>
          <w:sz w:val="24"/>
          <w:szCs w:val="24"/>
          <w:lang w:val="es-ES"/>
        </w:rPr>
      </w:pPr>
      <w:r w:rsidRPr="3709D95B" w:rsidR="12A5C23A">
        <w:rPr>
          <w:rFonts w:ascii="Times New Roman" w:hAnsi="Times New Roman" w:eastAsia="Times New Roman" w:cs="Times New Roman"/>
          <w:noProof w:val="0"/>
          <w:color w:val="000000" w:themeColor="text1" w:themeTint="FF" w:themeShade="FF"/>
          <w:sz w:val="24"/>
          <w:szCs w:val="24"/>
          <w:lang w:val="es-ES"/>
        </w:rPr>
        <w:t>La información contenida en los registros de seguimiento también evidencia que gran parte de las estrategias institucionales se orientan al acompañamiento administrativo y al cumplimiento de actividades, más que al fortalecimiento de experiencias prácticas de aprendizaje jurídico. Esto permite inferir que, aunque existen mecanismos de monitoreo y apoyo estudiantil, persisten limitaciones en la incorporación de estrategias pedagógicas centradas en la resolución de problemas jurídicos, la argumentación contextualizada y el desarrollo de competencias propias del ejercicio profesional.</w:t>
      </w:r>
    </w:p>
    <w:p xmlns:wp14="http://schemas.microsoft.com/office/word/2010/wordml" w:rsidP="3709D95B" wp14:paraId="18C69805" wp14:textId="46AC85AA">
      <w:pPr>
        <w:rPr>
          <w:rFonts w:ascii="Times New Roman" w:hAnsi="Times New Roman" w:eastAsia="Times New Roman" w:cs="Times New Roman"/>
          <w:noProof w:val="0"/>
          <w:color w:val="000000" w:themeColor="text1" w:themeTint="FF" w:themeShade="FF"/>
          <w:sz w:val="24"/>
          <w:szCs w:val="24"/>
          <w:lang w:val="es-ES"/>
        </w:rPr>
      </w:pPr>
      <w:r w:rsidRPr="3709D95B" w:rsidR="12A5C23A">
        <w:rPr>
          <w:rFonts w:ascii="Times New Roman" w:hAnsi="Times New Roman" w:eastAsia="Times New Roman" w:cs="Times New Roman"/>
          <w:noProof w:val="0"/>
          <w:color w:val="000000" w:themeColor="text1" w:themeTint="FF" w:themeShade="FF"/>
          <w:sz w:val="24"/>
          <w:szCs w:val="24"/>
          <w:lang w:val="es-ES"/>
        </w:rPr>
        <w:t>Por otra parte, el análisis del archivo “ESTADISTICAS DERECHO VIRTUAL-1.xls” permitió identificar diferencias significativas en el desempeño académico entre los distintos grupos del programa, así como registros de pérdida de asignaturas, reconocimientos, cancelaciones y casos de no matrícula. En los diferentes grupos analizados se evidencian estudiantes con desempeños altos y promedios superiores a 4.5, pero también registros de notas bajas, pérdida de múltiples asignaturas y casos con calificaciones de 0.0 o reportes de “no matriculó”, lo cual evidencia dificultades de permanencia, continuidad y apropiación del proceso formativo. Asimismo, el consolidado institucional registra estudiantes con una o más materias perdidas, así como variaciones importantes en el rendimiento académico, aspectos que permiten relacionar las dificultades académicas con limitaciones en los procesos de aplicación práctica del conocimiento jurídico dentro de la modalidad virtual.</w:t>
      </w:r>
    </w:p>
    <w:p xmlns:wp14="http://schemas.microsoft.com/office/word/2010/wordml" w:rsidP="3709D95B" wp14:paraId="72249F3C" wp14:textId="76A84D0F">
      <w:pPr>
        <w:rPr>
          <w:rFonts w:ascii="Times New Roman" w:hAnsi="Times New Roman" w:eastAsia="Times New Roman" w:cs="Times New Roman"/>
          <w:noProof w:val="0"/>
          <w:color w:val="000000" w:themeColor="text1" w:themeTint="FF" w:themeShade="FF"/>
          <w:sz w:val="24"/>
          <w:szCs w:val="24"/>
          <w:lang w:val="es-ES"/>
        </w:rPr>
      </w:pPr>
      <w:r w:rsidRPr="3709D95B" w:rsidR="12A5C23A">
        <w:rPr>
          <w:rFonts w:ascii="Times New Roman" w:hAnsi="Times New Roman" w:eastAsia="Times New Roman" w:cs="Times New Roman"/>
          <w:noProof w:val="0"/>
          <w:color w:val="000000" w:themeColor="text1" w:themeTint="FF" w:themeShade="FF"/>
          <w:sz w:val="24"/>
          <w:szCs w:val="24"/>
          <w:lang w:val="es-ES"/>
        </w:rPr>
        <w:t>La relación entre los hallazgos cualitativos y cuantitativos permitió identificar que las dificultades no se limitan únicamente al rendimiento académico, sino que se encuentran asociadas a la forma en que los estudiantes interactúan con el conocimiento jurídico dentro de entornos virtuales predominantemente asincrónicos. En este sentido, la limitada presencia de actividades experienciales, ejercicios de oralidad, simulaciones jurídicas y escenarios de interacción práctica reduce las posibilidades de fortalecer habilidades de interpretación, argumentación y aplicación contextualizada del Derecho.</w:t>
      </w:r>
    </w:p>
    <w:p xmlns:wp14="http://schemas.microsoft.com/office/word/2010/wordml" w:rsidP="3709D95B" wp14:paraId="2241B373" wp14:textId="15A4A366">
      <w:pPr>
        <w:rPr>
          <w:rFonts w:ascii="Times New Roman" w:hAnsi="Times New Roman" w:eastAsia="Times New Roman" w:cs="Times New Roman"/>
          <w:noProof w:val="0"/>
          <w:color w:val="000000" w:themeColor="text1" w:themeTint="FF" w:themeShade="FF"/>
          <w:sz w:val="24"/>
          <w:szCs w:val="24"/>
          <w:lang w:val="es-ES"/>
        </w:rPr>
      </w:pPr>
      <w:r w:rsidRPr="3709D95B" w:rsidR="12A5C23A">
        <w:rPr>
          <w:rFonts w:ascii="Times New Roman" w:hAnsi="Times New Roman" w:eastAsia="Times New Roman" w:cs="Times New Roman"/>
          <w:noProof w:val="0"/>
          <w:color w:val="000000" w:themeColor="text1" w:themeTint="FF" w:themeShade="FF"/>
          <w:sz w:val="24"/>
          <w:szCs w:val="24"/>
          <w:lang w:val="es-ES"/>
        </w:rPr>
        <w:t>Asimismo, la triangulación evidencia que las estrategias pedagógicas que los docentes reconocen como más efectivas corresponden precisamente a aquellas orientadas al aprendizaje activo y experiencial, tales como las simulaciones de audiencias, el estudio de casos, las sustentaciones orales, los talleres prácticos y los espacios de interacción sincrónica. Estas actividades son identificadas como mecanismos que favorecen la apropiación significativa del conocimiento jurídico y el fortalecimiento del razonamiento crítico.</w:t>
      </w:r>
    </w:p>
    <w:p xmlns:wp14="http://schemas.microsoft.com/office/word/2010/wordml" w:rsidP="3709D95B" wp14:paraId="6E608B17" wp14:textId="7B7C7DFD">
      <w:pPr>
        <w:rPr>
          <w:rFonts w:ascii="Times New Roman" w:hAnsi="Times New Roman" w:eastAsia="Times New Roman" w:cs="Times New Roman"/>
          <w:noProof w:val="0"/>
          <w:color w:val="000000" w:themeColor="text1" w:themeTint="FF" w:themeShade="FF"/>
          <w:sz w:val="24"/>
          <w:szCs w:val="24"/>
          <w:lang w:val="es-ES"/>
        </w:rPr>
      </w:pPr>
      <w:r w:rsidRPr="3709D95B" w:rsidR="12A5C23A">
        <w:rPr>
          <w:rFonts w:ascii="Times New Roman" w:hAnsi="Times New Roman" w:eastAsia="Times New Roman" w:cs="Times New Roman"/>
          <w:noProof w:val="0"/>
          <w:color w:val="000000" w:themeColor="text1" w:themeTint="FF" w:themeShade="FF"/>
          <w:sz w:val="24"/>
          <w:szCs w:val="24"/>
          <w:lang w:val="es-ES"/>
        </w:rPr>
        <w:t>En consecuencia, la triangulación de la información permite concluir que en el programa de Derecho en modalidad virtual se evidencian limitaciones asociadas a la escasa incorporación de estrategias pedagógicas orientadas a la aplicación práctica del conocimiento jurídico, particularmente aquellas relacionadas con la simulación de escenarios profesionales, la oralidad, la interacción crítica y la resolución contextualizada de casos jurídicos. Estas limitaciones impactan directamente el desarrollo de habilidades de interpretación y argumentación jurídica, generando la necesidad de implementar estrategias de innovación educativa apoyadas en tecnologías emergentes.</w:t>
      </w:r>
    </w:p>
    <w:p xmlns:wp14="http://schemas.microsoft.com/office/word/2010/wordml" w:rsidP="3709D95B" wp14:paraId="5C1A07E2" wp14:textId="66A786EE">
      <w:pPr>
        <w:rPr>
          <w:rFonts w:ascii="Times New Roman" w:hAnsi="Times New Roman" w:eastAsia="Times New Roman" w:cs="Times New Roman"/>
          <w:noProof w:val="0"/>
          <w:color w:val="000000" w:themeColor="text1" w:themeTint="FF" w:themeShade="FF"/>
          <w:sz w:val="24"/>
          <w:szCs w:val="24"/>
          <w:lang w:val="es-ES"/>
        </w:rPr>
      </w:pPr>
      <w:r w:rsidRPr="3709D95B" w:rsidR="12A5C23A">
        <w:rPr>
          <w:rFonts w:ascii="Times New Roman" w:hAnsi="Times New Roman" w:eastAsia="Times New Roman" w:cs="Times New Roman"/>
          <w:noProof w:val="0"/>
          <w:color w:val="000000" w:themeColor="text1" w:themeTint="FF" w:themeShade="FF"/>
          <w:sz w:val="24"/>
          <w:szCs w:val="24"/>
          <w:lang w:val="es-ES"/>
        </w:rPr>
        <w:t>En este contexto, el diseño de un simulador jurídico con inteligencia artificial se configura como una propuesta pertinente para fortalecer los procesos de enseñanza-aprendizaje en la modalidad virtual, permitiendo a los estudiantes enfrentarse a situaciones cercanas al ejercicio profesional mediante experiencias inmersivas, interactivas y centradas en el análisis, la interpretación y la argumentación jurídica.</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8FC86B"/>
    <w:rsid w:val="00501002"/>
    <w:rsid w:val="0DC2D617"/>
    <w:rsid w:val="1106D598"/>
    <w:rsid w:val="12A5C23A"/>
    <w:rsid w:val="13DC0D3E"/>
    <w:rsid w:val="164A5C35"/>
    <w:rsid w:val="1BF55A30"/>
    <w:rsid w:val="24DA4E84"/>
    <w:rsid w:val="2800E1B4"/>
    <w:rsid w:val="2807FD21"/>
    <w:rsid w:val="28314413"/>
    <w:rsid w:val="2EC9B81A"/>
    <w:rsid w:val="306E274E"/>
    <w:rsid w:val="331A8401"/>
    <w:rsid w:val="3412B327"/>
    <w:rsid w:val="3709D95B"/>
    <w:rsid w:val="38C3351C"/>
    <w:rsid w:val="398FC86B"/>
    <w:rsid w:val="3C50DC88"/>
    <w:rsid w:val="42D17623"/>
    <w:rsid w:val="457DF807"/>
    <w:rsid w:val="47FF3F6E"/>
    <w:rsid w:val="4C8EC1A0"/>
    <w:rsid w:val="4D5FFDFC"/>
    <w:rsid w:val="53F0BE41"/>
    <w:rsid w:val="5415F1BB"/>
    <w:rsid w:val="610685D8"/>
    <w:rsid w:val="623EC16C"/>
    <w:rsid w:val="62B3D437"/>
    <w:rsid w:val="65A867B0"/>
    <w:rsid w:val="66D85D80"/>
    <w:rsid w:val="66FD0879"/>
    <w:rsid w:val="7655051E"/>
    <w:rsid w:val="790323CE"/>
    <w:rsid w:val="79E8C5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425F4"/>
  <w15:chartTrackingRefBased/>
  <w15:docId w15:val="{91506C34-3E94-4D44-B306-33ABE2AD1D6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3709D95B"/>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3709D95B"/>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2026-05-23T13:34:18.7416031Z</dcterms:created>
  <dcterms:modified xsi:type="dcterms:W3CDTF">2026-05-23T13:59:06.9450652Z</dcterms:modified>
  <dc:creator>María Angélica Garzon Alfonso</dc:creator>
  <lastModifiedBy>María Angélica Garzon Alfonso</lastModifiedBy>
</coreProperties>
</file>