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99D" w:rsidRPr="00990E40" w:rsidRDefault="00ED435F" w:rsidP="00ED435F">
      <w:pPr>
        <w:spacing w:after="0" w:line="360" w:lineRule="auto"/>
        <w:jc w:val="center"/>
        <w:rPr>
          <w:rFonts w:ascii="Times New Roman" w:hAnsi="Times New Roman" w:cs="Times New Roman"/>
          <w:b/>
          <w:sz w:val="24"/>
          <w:szCs w:val="24"/>
        </w:rPr>
      </w:pPr>
      <w:r w:rsidRPr="00990E40">
        <w:rPr>
          <w:rFonts w:ascii="Times New Roman" w:hAnsi="Times New Roman" w:cs="Times New Roman"/>
          <w:b/>
          <w:sz w:val="24"/>
          <w:szCs w:val="24"/>
        </w:rPr>
        <w:t>El pluralismo teológico</w:t>
      </w:r>
      <w:r w:rsidR="00D91921">
        <w:rPr>
          <w:rFonts w:ascii="Times New Roman" w:hAnsi="Times New Roman" w:cs="Times New Roman"/>
          <w:b/>
          <w:sz w:val="24"/>
          <w:szCs w:val="24"/>
        </w:rPr>
        <w:t>:</w:t>
      </w:r>
    </w:p>
    <w:p w:rsidR="00ED435F" w:rsidRPr="00990E40" w:rsidRDefault="00ED435F" w:rsidP="00ED435F">
      <w:pPr>
        <w:spacing w:after="0" w:line="360" w:lineRule="auto"/>
        <w:jc w:val="center"/>
        <w:rPr>
          <w:rFonts w:ascii="Times New Roman" w:hAnsi="Times New Roman" w:cs="Times New Roman"/>
          <w:b/>
          <w:sz w:val="24"/>
          <w:szCs w:val="24"/>
        </w:rPr>
      </w:pPr>
      <w:r w:rsidRPr="00990E40">
        <w:rPr>
          <w:rFonts w:ascii="Times New Roman" w:hAnsi="Times New Roman" w:cs="Times New Roman"/>
          <w:b/>
          <w:sz w:val="24"/>
          <w:szCs w:val="24"/>
        </w:rPr>
        <w:t>Origen, destino, camino.</w:t>
      </w:r>
    </w:p>
    <w:p w:rsidR="00ED435F" w:rsidRPr="00ED435F" w:rsidRDefault="00D2357A" w:rsidP="00990E40">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José</w:t>
      </w:r>
      <w:r w:rsidR="00990E40">
        <w:rPr>
          <w:rFonts w:ascii="Times New Roman" w:hAnsi="Times New Roman" w:cs="Times New Roman"/>
          <w:sz w:val="24"/>
          <w:szCs w:val="24"/>
        </w:rPr>
        <w:t xml:space="preserve"> Santos Torres</w:t>
      </w:r>
      <w:r>
        <w:rPr>
          <w:rStyle w:val="Refdenotaalpie"/>
          <w:rFonts w:ascii="Times New Roman" w:hAnsi="Times New Roman" w:cs="Times New Roman"/>
          <w:sz w:val="24"/>
          <w:szCs w:val="24"/>
        </w:rPr>
        <w:footnoteReference w:id="1"/>
      </w:r>
      <w:r w:rsidR="00990E40">
        <w:rPr>
          <w:rFonts w:ascii="Times New Roman" w:hAnsi="Times New Roman" w:cs="Times New Roman"/>
          <w:sz w:val="24"/>
          <w:szCs w:val="24"/>
        </w:rPr>
        <w:t xml:space="preserve">, </w:t>
      </w:r>
      <w:proofErr w:type="spellStart"/>
      <w:r w:rsidR="00990E40">
        <w:rPr>
          <w:rFonts w:ascii="Times New Roman" w:hAnsi="Times New Roman" w:cs="Times New Roman"/>
          <w:sz w:val="24"/>
          <w:szCs w:val="24"/>
        </w:rPr>
        <w:t>cmf</w:t>
      </w:r>
      <w:proofErr w:type="spellEnd"/>
      <w:r w:rsidR="00990E40">
        <w:rPr>
          <w:rFonts w:ascii="Times New Roman" w:hAnsi="Times New Roman" w:cs="Times New Roman"/>
          <w:sz w:val="24"/>
          <w:szCs w:val="24"/>
        </w:rPr>
        <w:t>.</w:t>
      </w:r>
    </w:p>
    <w:p w:rsidR="00ED435F" w:rsidRPr="00ED435F" w:rsidRDefault="00ED435F" w:rsidP="00ED435F">
      <w:pPr>
        <w:spacing w:after="0" w:line="360" w:lineRule="auto"/>
        <w:rPr>
          <w:rFonts w:ascii="Times New Roman" w:hAnsi="Times New Roman" w:cs="Times New Roman"/>
          <w:sz w:val="24"/>
          <w:szCs w:val="24"/>
        </w:rPr>
      </w:pPr>
      <w:proofErr w:type="spellStart"/>
      <w:r w:rsidRPr="00CE2392">
        <w:rPr>
          <w:rFonts w:ascii="Times New Roman" w:hAnsi="Times New Roman" w:cs="Times New Roman"/>
          <w:i/>
          <w:sz w:val="24"/>
          <w:szCs w:val="24"/>
        </w:rPr>
        <w:t>Abstract</w:t>
      </w:r>
      <w:proofErr w:type="spellEnd"/>
      <w:r w:rsidRPr="00ED435F">
        <w:rPr>
          <w:rFonts w:ascii="Times New Roman" w:hAnsi="Times New Roman" w:cs="Times New Roman"/>
          <w:sz w:val="24"/>
          <w:szCs w:val="24"/>
        </w:rPr>
        <w:t xml:space="preserve">: </w:t>
      </w:r>
      <w:r w:rsidR="00D50E79">
        <w:rPr>
          <w:rFonts w:ascii="Times New Roman" w:hAnsi="Times New Roman" w:cs="Times New Roman"/>
          <w:sz w:val="24"/>
          <w:szCs w:val="24"/>
        </w:rPr>
        <w:t xml:space="preserve">El pluralismo </w:t>
      </w:r>
      <w:r w:rsidR="00FB50A2">
        <w:rPr>
          <w:rFonts w:ascii="Times New Roman" w:hAnsi="Times New Roman" w:cs="Times New Roman"/>
          <w:sz w:val="24"/>
          <w:szCs w:val="24"/>
        </w:rPr>
        <w:t>teológico</w:t>
      </w:r>
      <w:r w:rsidR="00D50E79">
        <w:rPr>
          <w:rFonts w:ascii="Times New Roman" w:hAnsi="Times New Roman" w:cs="Times New Roman"/>
          <w:sz w:val="24"/>
          <w:szCs w:val="24"/>
        </w:rPr>
        <w:t xml:space="preserve"> tiene, para los cristianos, un primer desafío en sus propias raíces históricas y reveladas. El estudio teológico se ve desafiado constantemente a encarar esta realidad sin negarla</w:t>
      </w:r>
      <w:r w:rsidR="00CE2392">
        <w:rPr>
          <w:rFonts w:ascii="Times New Roman" w:hAnsi="Times New Roman" w:cs="Times New Roman"/>
          <w:sz w:val="24"/>
          <w:szCs w:val="24"/>
        </w:rPr>
        <w:t>,</w:t>
      </w:r>
      <w:r w:rsidR="00D50E79">
        <w:rPr>
          <w:rFonts w:ascii="Times New Roman" w:hAnsi="Times New Roman" w:cs="Times New Roman"/>
          <w:sz w:val="24"/>
          <w:szCs w:val="24"/>
        </w:rPr>
        <w:t xml:space="preserve"> pero tampoco sin perderse en ella</w:t>
      </w:r>
      <w:r w:rsidR="00FB50A2">
        <w:rPr>
          <w:rFonts w:ascii="Times New Roman" w:hAnsi="Times New Roman" w:cs="Times New Roman"/>
          <w:sz w:val="24"/>
          <w:szCs w:val="24"/>
        </w:rPr>
        <w:t>.</w:t>
      </w:r>
    </w:p>
    <w:p w:rsidR="00ED435F" w:rsidRPr="00ED435F" w:rsidRDefault="00ED435F" w:rsidP="00ED435F">
      <w:pPr>
        <w:spacing w:after="0" w:line="360" w:lineRule="auto"/>
        <w:rPr>
          <w:rFonts w:ascii="Times New Roman" w:hAnsi="Times New Roman" w:cs="Times New Roman"/>
          <w:sz w:val="24"/>
          <w:szCs w:val="24"/>
        </w:rPr>
      </w:pPr>
      <w:r w:rsidRPr="00ED435F">
        <w:rPr>
          <w:rFonts w:ascii="Times New Roman" w:hAnsi="Times New Roman" w:cs="Times New Roman"/>
          <w:sz w:val="24"/>
          <w:szCs w:val="24"/>
        </w:rPr>
        <w:t>Palabras clave:</w:t>
      </w:r>
      <w:r w:rsidR="00D50E79">
        <w:rPr>
          <w:rFonts w:ascii="Times New Roman" w:hAnsi="Times New Roman" w:cs="Times New Roman"/>
          <w:sz w:val="24"/>
          <w:szCs w:val="24"/>
        </w:rPr>
        <w:t xml:space="preserve"> pluralismo teológico, lugares teológicos, criterios teológicos.  </w:t>
      </w:r>
    </w:p>
    <w:p w:rsidR="00D50E79" w:rsidRDefault="00D50E79" w:rsidP="00ED435F">
      <w:pPr>
        <w:spacing w:after="0" w:line="360" w:lineRule="auto"/>
        <w:rPr>
          <w:rFonts w:ascii="Times New Roman" w:hAnsi="Times New Roman" w:cs="Times New Roman"/>
          <w:sz w:val="24"/>
          <w:szCs w:val="24"/>
        </w:rPr>
      </w:pPr>
    </w:p>
    <w:p w:rsidR="00ED435F" w:rsidRPr="00D50E79" w:rsidRDefault="00D50E79" w:rsidP="00ED435F">
      <w:pPr>
        <w:spacing w:after="0" w:line="360" w:lineRule="auto"/>
        <w:rPr>
          <w:rFonts w:ascii="Times New Roman" w:hAnsi="Times New Roman" w:cs="Times New Roman"/>
          <w:b/>
          <w:sz w:val="24"/>
          <w:szCs w:val="24"/>
        </w:rPr>
      </w:pPr>
      <w:r w:rsidRPr="00D50E79">
        <w:rPr>
          <w:rFonts w:ascii="Times New Roman" w:hAnsi="Times New Roman" w:cs="Times New Roman"/>
          <w:b/>
          <w:sz w:val="24"/>
          <w:szCs w:val="24"/>
        </w:rPr>
        <w:t>Introducción</w:t>
      </w:r>
    </w:p>
    <w:p w:rsidR="00650CF9" w:rsidRDefault="00ED435F" w:rsidP="00330BFF">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El estudio de la teología, en su enseñanza y aprendizaje, debe aprender a valorar la pluralidad de experiencias religiosas que subyacen a sus propios orígenes, a su desarrollo y al horizonte dentro del cual se mueve. </w:t>
      </w:r>
    </w:p>
    <w:p w:rsidR="00650CF9" w:rsidRDefault="00650CF9" w:rsidP="00330BFF">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El pluralismo se entiende casi como una característica explícita de la cultura contemporánea</w:t>
      </w:r>
      <w:r w:rsidR="00CE2392">
        <w:rPr>
          <w:rFonts w:ascii="Times New Roman" w:hAnsi="Times New Roman" w:cs="Times New Roman"/>
          <w:sz w:val="24"/>
          <w:szCs w:val="24"/>
        </w:rPr>
        <w:t xml:space="preserve"> en contraposición con la cultura del siglo precedente</w:t>
      </w:r>
      <w:r>
        <w:rPr>
          <w:rFonts w:ascii="Times New Roman" w:hAnsi="Times New Roman" w:cs="Times New Roman"/>
          <w:sz w:val="24"/>
          <w:szCs w:val="24"/>
        </w:rPr>
        <w:t xml:space="preserve">. Las </w:t>
      </w:r>
      <w:r w:rsidR="00CE2392">
        <w:rPr>
          <w:rFonts w:ascii="Times New Roman" w:hAnsi="Times New Roman" w:cs="Times New Roman"/>
          <w:sz w:val="24"/>
          <w:szCs w:val="24"/>
        </w:rPr>
        <w:t xml:space="preserve">tres </w:t>
      </w:r>
      <w:r>
        <w:rPr>
          <w:rFonts w:ascii="Times New Roman" w:hAnsi="Times New Roman" w:cs="Times New Roman"/>
          <w:sz w:val="24"/>
          <w:szCs w:val="24"/>
        </w:rPr>
        <w:t xml:space="preserve">grandes guerras mundiales </w:t>
      </w:r>
      <w:r w:rsidR="00CE2392">
        <w:rPr>
          <w:rFonts w:ascii="Times New Roman" w:hAnsi="Times New Roman" w:cs="Times New Roman"/>
          <w:sz w:val="24"/>
          <w:szCs w:val="24"/>
        </w:rPr>
        <w:t xml:space="preserve">(la 1ª, 2ª y la Guerra Fría) que forjaron la identidad </w:t>
      </w:r>
      <w:r>
        <w:rPr>
          <w:rFonts w:ascii="Times New Roman" w:hAnsi="Times New Roman" w:cs="Times New Roman"/>
          <w:sz w:val="24"/>
          <w:szCs w:val="24"/>
        </w:rPr>
        <w:t xml:space="preserve">del siglo pasado fueron la consecuencia directa de nacionalismos decimonónicos que </w:t>
      </w:r>
      <w:r w:rsidR="00CE2392">
        <w:rPr>
          <w:rFonts w:ascii="Times New Roman" w:hAnsi="Times New Roman" w:cs="Times New Roman"/>
          <w:sz w:val="24"/>
          <w:szCs w:val="24"/>
        </w:rPr>
        <w:t xml:space="preserve">se </w:t>
      </w:r>
      <w:r>
        <w:rPr>
          <w:rFonts w:ascii="Times New Roman" w:hAnsi="Times New Roman" w:cs="Times New Roman"/>
          <w:sz w:val="24"/>
          <w:szCs w:val="24"/>
        </w:rPr>
        <w:t xml:space="preserve">constituyeron </w:t>
      </w:r>
      <w:r w:rsidR="00CE2392">
        <w:rPr>
          <w:rFonts w:ascii="Times New Roman" w:hAnsi="Times New Roman" w:cs="Times New Roman"/>
          <w:sz w:val="24"/>
          <w:szCs w:val="24"/>
        </w:rPr>
        <w:t>a partir de auto-comprensiones monolíticas expresadas en</w:t>
      </w:r>
      <w:r>
        <w:rPr>
          <w:rFonts w:ascii="Times New Roman" w:hAnsi="Times New Roman" w:cs="Times New Roman"/>
          <w:sz w:val="24"/>
          <w:szCs w:val="24"/>
        </w:rPr>
        <w:t xml:space="preserve"> formas de gobierno dictatoriales que </w:t>
      </w:r>
      <w:r w:rsidR="00CE2392">
        <w:rPr>
          <w:rFonts w:ascii="Times New Roman" w:hAnsi="Times New Roman" w:cs="Times New Roman"/>
          <w:sz w:val="24"/>
          <w:szCs w:val="24"/>
        </w:rPr>
        <w:t>se agotaron es sus propias pretensiones de dominio</w:t>
      </w:r>
      <w:r>
        <w:rPr>
          <w:rFonts w:ascii="Times New Roman" w:hAnsi="Times New Roman" w:cs="Times New Roman"/>
          <w:sz w:val="24"/>
          <w:szCs w:val="24"/>
        </w:rPr>
        <w:t xml:space="preserve">. </w:t>
      </w:r>
      <w:r w:rsidR="00CE2392">
        <w:rPr>
          <w:rFonts w:ascii="Times New Roman" w:hAnsi="Times New Roman" w:cs="Times New Roman"/>
          <w:sz w:val="24"/>
          <w:szCs w:val="24"/>
        </w:rPr>
        <w:t>A partir de</w:t>
      </w:r>
      <w:r>
        <w:rPr>
          <w:rFonts w:ascii="Times New Roman" w:hAnsi="Times New Roman" w:cs="Times New Roman"/>
          <w:sz w:val="24"/>
          <w:szCs w:val="24"/>
        </w:rPr>
        <w:t xml:space="preserve"> la década del sesenta </w:t>
      </w:r>
      <w:r w:rsidR="00CE2392">
        <w:rPr>
          <w:rFonts w:ascii="Times New Roman" w:hAnsi="Times New Roman" w:cs="Times New Roman"/>
          <w:sz w:val="24"/>
          <w:szCs w:val="24"/>
        </w:rPr>
        <w:t>se afianzó</w:t>
      </w:r>
      <w:r>
        <w:rPr>
          <w:rFonts w:ascii="Times New Roman" w:hAnsi="Times New Roman" w:cs="Times New Roman"/>
          <w:sz w:val="24"/>
          <w:szCs w:val="24"/>
        </w:rPr>
        <w:t xml:space="preserve"> una reflexión explícita sobre </w:t>
      </w:r>
      <w:r w:rsidR="00CE2392">
        <w:rPr>
          <w:rFonts w:ascii="Times New Roman" w:hAnsi="Times New Roman" w:cs="Times New Roman"/>
          <w:sz w:val="24"/>
          <w:szCs w:val="24"/>
        </w:rPr>
        <w:t>esta nueva sensibilidad</w:t>
      </w:r>
      <w:r>
        <w:rPr>
          <w:rFonts w:ascii="Times New Roman" w:hAnsi="Times New Roman" w:cs="Times New Roman"/>
          <w:sz w:val="24"/>
          <w:szCs w:val="24"/>
        </w:rPr>
        <w:t xml:space="preserve"> y las transformaciones que conllevaba, en especial la revolución cultural de 1968</w:t>
      </w:r>
      <w:r w:rsidR="00CE2392">
        <w:rPr>
          <w:rFonts w:ascii="Times New Roman" w:hAnsi="Times New Roman" w:cs="Times New Roman"/>
          <w:sz w:val="24"/>
          <w:szCs w:val="24"/>
        </w:rPr>
        <w:t xml:space="preserve"> y se avanzó hacia la comprensión de un mundo </w:t>
      </w:r>
      <w:proofErr w:type="spellStart"/>
      <w:r w:rsidR="00CE2392">
        <w:rPr>
          <w:rFonts w:ascii="Times New Roman" w:hAnsi="Times New Roman" w:cs="Times New Roman"/>
          <w:sz w:val="24"/>
          <w:szCs w:val="24"/>
        </w:rPr>
        <w:t>pluricéntrico</w:t>
      </w:r>
      <w:proofErr w:type="spellEnd"/>
      <w:r>
        <w:rPr>
          <w:rFonts w:ascii="Times New Roman" w:hAnsi="Times New Roman" w:cs="Times New Roman"/>
          <w:sz w:val="24"/>
          <w:szCs w:val="24"/>
        </w:rPr>
        <w:t xml:space="preserve">. En América Latina, de acuerdo con García </w:t>
      </w:r>
      <w:proofErr w:type="spellStart"/>
      <w:r>
        <w:rPr>
          <w:rFonts w:ascii="Times New Roman" w:hAnsi="Times New Roman" w:cs="Times New Roman"/>
          <w:sz w:val="24"/>
          <w:szCs w:val="24"/>
        </w:rPr>
        <w:t>Canclini</w:t>
      </w:r>
      <w:proofErr w:type="spellEnd"/>
      <w:r w:rsidR="00464A69">
        <w:rPr>
          <w:rFonts w:ascii="Times New Roman" w:hAnsi="Times New Roman" w:cs="Times New Roman"/>
          <w:sz w:val="24"/>
          <w:szCs w:val="24"/>
        </w:rPr>
        <w:t xml:space="preserve"> (1989</w:t>
      </w:r>
      <w:r>
        <w:rPr>
          <w:rFonts w:ascii="Times New Roman" w:hAnsi="Times New Roman" w:cs="Times New Roman"/>
          <w:sz w:val="24"/>
          <w:szCs w:val="24"/>
        </w:rPr>
        <w:t>), esta diversificación ha asumido por varios siglos la forma de un continuo mestizaje y más recientemente</w:t>
      </w:r>
      <w:r w:rsidR="00FB50A2">
        <w:rPr>
          <w:rFonts w:ascii="Times New Roman" w:hAnsi="Times New Roman" w:cs="Times New Roman"/>
          <w:sz w:val="24"/>
          <w:szCs w:val="24"/>
        </w:rPr>
        <w:t>,</w:t>
      </w:r>
      <w:r>
        <w:rPr>
          <w:rFonts w:ascii="Times New Roman" w:hAnsi="Times New Roman" w:cs="Times New Roman"/>
          <w:sz w:val="24"/>
          <w:szCs w:val="24"/>
        </w:rPr>
        <w:t xml:space="preserve"> el de una hibridación cultural. El cristianismo y sus iglesias no </w:t>
      </w:r>
      <w:r w:rsidR="00CE2392">
        <w:rPr>
          <w:rFonts w:ascii="Times New Roman" w:hAnsi="Times New Roman" w:cs="Times New Roman"/>
          <w:sz w:val="24"/>
          <w:szCs w:val="24"/>
        </w:rPr>
        <w:t>son</w:t>
      </w:r>
      <w:r w:rsidR="00FB50A2">
        <w:rPr>
          <w:rFonts w:ascii="Times New Roman" w:hAnsi="Times New Roman" w:cs="Times New Roman"/>
          <w:sz w:val="24"/>
          <w:szCs w:val="24"/>
        </w:rPr>
        <w:t xml:space="preserve"> inmune</w:t>
      </w:r>
      <w:r w:rsidR="00CE2392">
        <w:rPr>
          <w:rFonts w:ascii="Times New Roman" w:hAnsi="Times New Roman" w:cs="Times New Roman"/>
          <w:sz w:val="24"/>
          <w:szCs w:val="24"/>
        </w:rPr>
        <w:t>s</w:t>
      </w:r>
      <w:r>
        <w:rPr>
          <w:rFonts w:ascii="Times New Roman" w:hAnsi="Times New Roman" w:cs="Times New Roman"/>
          <w:sz w:val="24"/>
          <w:szCs w:val="24"/>
        </w:rPr>
        <w:t xml:space="preserve"> a estos procesos que si bien a veces </w:t>
      </w:r>
      <w:r w:rsidR="00FB50A2">
        <w:rPr>
          <w:rFonts w:ascii="Times New Roman" w:hAnsi="Times New Roman" w:cs="Times New Roman"/>
          <w:sz w:val="24"/>
          <w:szCs w:val="24"/>
        </w:rPr>
        <w:t>lo</w:t>
      </w:r>
      <w:r>
        <w:rPr>
          <w:rFonts w:ascii="Times New Roman" w:hAnsi="Times New Roman" w:cs="Times New Roman"/>
          <w:sz w:val="24"/>
          <w:szCs w:val="24"/>
        </w:rPr>
        <w:t xml:space="preserve"> afectan negativamente, también son una oportunidad de evangelización desde nuevos espacios y plataformas.</w:t>
      </w:r>
    </w:p>
    <w:p w:rsidR="00D522FE" w:rsidRDefault="00650CF9" w:rsidP="00330BFF">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Esta diversificación también afecta la actividad teológica de formación, investigación, divulgación. </w:t>
      </w:r>
      <w:r w:rsidR="00D522FE">
        <w:rPr>
          <w:rFonts w:ascii="Times New Roman" w:hAnsi="Times New Roman" w:cs="Times New Roman"/>
          <w:sz w:val="24"/>
          <w:szCs w:val="24"/>
        </w:rPr>
        <w:t>En la actualidad la teología se enseña como disciplina académica en varios ámbitos y en varios niveles, pero en cualquiera de ellos tiene el desafío de aprender a analizar e interpretar sus fuentes</w:t>
      </w:r>
      <w:r w:rsidR="00990E40">
        <w:rPr>
          <w:rFonts w:ascii="Times New Roman" w:hAnsi="Times New Roman" w:cs="Times New Roman"/>
          <w:sz w:val="24"/>
          <w:szCs w:val="24"/>
        </w:rPr>
        <w:t xml:space="preserve"> tan diversas en sus géneros textuales, en la </w:t>
      </w:r>
      <w:r w:rsidR="00990E40">
        <w:rPr>
          <w:rFonts w:ascii="Times New Roman" w:hAnsi="Times New Roman" w:cs="Times New Roman"/>
          <w:sz w:val="24"/>
          <w:szCs w:val="24"/>
        </w:rPr>
        <w:lastRenderedPageBreak/>
        <w:t>cultura subyacente e, incluso, en el idioma original. Tiene por igual el reto de comunicar, como “en su propia lengua” (</w:t>
      </w:r>
      <w:proofErr w:type="spellStart"/>
      <w:r w:rsidR="00990E40">
        <w:rPr>
          <w:rFonts w:ascii="Times New Roman" w:hAnsi="Times New Roman" w:cs="Times New Roman"/>
          <w:sz w:val="24"/>
          <w:szCs w:val="24"/>
        </w:rPr>
        <w:t>Hch</w:t>
      </w:r>
      <w:proofErr w:type="spellEnd"/>
      <w:r w:rsidR="00990E40">
        <w:rPr>
          <w:rFonts w:ascii="Times New Roman" w:hAnsi="Times New Roman" w:cs="Times New Roman"/>
          <w:sz w:val="24"/>
          <w:szCs w:val="24"/>
        </w:rPr>
        <w:t xml:space="preserve"> 2,8), a un público diverso que confluye en estos espacios: varones, mujeres, en diversas etapas de la vida y pertenecientes a grupos, movimientos e iglesias de diversa denominación. </w:t>
      </w:r>
      <w:r w:rsidR="00330BFF">
        <w:rPr>
          <w:rFonts w:ascii="Times New Roman" w:hAnsi="Times New Roman" w:cs="Times New Roman"/>
          <w:sz w:val="24"/>
          <w:szCs w:val="24"/>
        </w:rPr>
        <w:t>Afronta igualmente la teología en este momento varios desafío</w:t>
      </w:r>
      <w:r w:rsidR="0034376D">
        <w:rPr>
          <w:rFonts w:ascii="Times New Roman" w:hAnsi="Times New Roman" w:cs="Times New Roman"/>
          <w:sz w:val="24"/>
          <w:szCs w:val="24"/>
        </w:rPr>
        <w:t>s</w:t>
      </w:r>
      <w:r w:rsidR="00330BFF">
        <w:rPr>
          <w:rFonts w:ascii="Times New Roman" w:hAnsi="Times New Roman" w:cs="Times New Roman"/>
          <w:sz w:val="24"/>
          <w:szCs w:val="24"/>
        </w:rPr>
        <w:t xml:space="preserve">, el principal de ellos la preservación de la integridad de la Creación, así como otros que llevan más tiempo como el pluralismo religioso y la inclusión de la pluralidad de miembros de la iglesia del pueblo cristiano en la acción eclesial. </w:t>
      </w:r>
      <w:r w:rsidR="00990E40">
        <w:rPr>
          <w:rFonts w:ascii="Times New Roman" w:hAnsi="Times New Roman" w:cs="Times New Roman"/>
          <w:sz w:val="24"/>
          <w:szCs w:val="24"/>
        </w:rPr>
        <w:t>Esta pluralidad ha marcado el origen, el desarrollo y el horizonte de la teología.</w:t>
      </w:r>
    </w:p>
    <w:p w:rsidR="0034376D" w:rsidRDefault="0034376D" w:rsidP="00330BFF">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El reconocimiento de una pluralidad y una diversidad es un requerimiento básico del diálogo que nos constituye en personas creyentes del que se debe partir, pero que igualmente es necesario construir y al que se debe aspirar como horizonte de unidad y comunión.</w:t>
      </w:r>
    </w:p>
    <w:p w:rsidR="00990E40" w:rsidRPr="00990E40" w:rsidRDefault="00990E40" w:rsidP="00ED435F">
      <w:pPr>
        <w:spacing w:after="0" w:line="360" w:lineRule="auto"/>
        <w:rPr>
          <w:rFonts w:ascii="Times New Roman" w:hAnsi="Times New Roman" w:cs="Times New Roman"/>
          <w:b/>
          <w:sz w:val="24"/>
          <w:szCs w:val="24"/>
        </w:rPr>
      </w:pPr>
      <w:r w:rsidRPr="00990E40">
        <w:rPr>
          <w:rFonts w:ascii="Times New Roman" w:hAnsi="Times New Roman" w:cs="Times New Roman"/>
          <w:b/>
          <w:sz w:val="24"/>
          <w:szCs w:val="24"/>
        </w:rPr>
        <w:t>La pluralidad del origen</w:t>
      </w:r>
    </w:p>
    <w:p w:rsidR="00330BFF" w:rsidRDefault="00ED435F" w:rsidP="00330BFF">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En el origen del cristianismo, por ejemplo, subyace una pluralidad de experiencias del judaísmo que dan un cuadro amplio de los interlocutores de los primeros evangelizadores y las primeras comunidades cristianas (Aguirre, 2001). Una pluralidad de experiencias se percibe en la Biblia Griega, la Biblia Hebrea y la Biblia Latina. </w:t>
      </w:r>
    </w:p>
    <w:p w:rsidR="00330BFF" w:rsidRDefault="00ED435F" w:rsidP="00330BFF">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La teología a partir del siglo II muestra igualmente unos signos enormes de diversificación, apenas comparable con la que experimenta el cristianismo en la actualidad</w:t>
      </w:r>
      <w:r w:rsidR="000E4D77">
        <w:rPr>
          <w:rFonts w:ascii="Times New Roman" w:hAnsi="Times New Roman" w:cs="Times New Roman"/>
          <w:sz w:val="24"/>
          <w:szCs w:val="24"/>
        </w:rPr>
        <w:t xml:space="preserve">. La iconografía religiosa que acompaña este crecimiento hace aún más patente ese complejo y, con frecuencia, problemático proceso. </w:t>
      </w:r>
    </w:p>
    <w:p w:rsidR="00330BFF" w:rsidRDefault="000E4D77" w:rsidP="00330BFF">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Con la expansión de la Europa cristiana en el siglo XVI esta diversificación se renovó con el influjo de los pueblos amerindios y luego con el estilo de los pueblos africanos y </w:t>
      </w:r>
      <w:r w:rsidR="00330BFF">
        <w:rPr>
          <w:rFonts w:ascii="Times New Roman" w:hAnsi="Times New Roman" w:cs="Times New Roman"/>
          <w:sz w:val="24"/>
          <w:szCs w:val="24"/>
        </w:rPr>
        <w:t>asiáticos</w:t>
      </w:r>
      <w:r>
        <w:rPr>
          <w:rFonts w:ascii="Times New Roman" w:hAnsi="Times New Roman" w:cs="Times New Roman"/>
          <w:sz w:val="24"/>
          <w:szCs w:val="24"/>
        </w:rPr>
        <w:t xml:space="preserve"> que hicieron importantes aportes con su arte iconográfico, arquit</w:t>
      </w:r>
      <w:r w:rsidR="00B43599">
        <w:rPr>
          <w:rFonts w:ascii="Times New Roman" w:hAnsi="Times New Roman" w:cs="Times New Roman"/>
          <w:sz w:val="24"/>
          <w:szCs w:val="24"/>
        </w:rPr>
        <w:t>ectónico y su riqueza cultural.</w:t>
      </w:r>
    </w:p>
    <w:p w:rsidR="00D306D7" w:rsidRDefault="00B43599" w:rsidP="00330BFF">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Si miramos un poco el texto del NT, saltan a la vista la manera diferente de presentar a Jesús en los Sinópticos y Juan; las diferencias en la soteriología de Romanos y Hebreos; las diferencias de escatología entre 1ª de Tesalonicenses y la 2ª de Pedro; la eclesiología de 1ª de Corintios y la de las Cartas pastorales (</w:t>
      </w:r>
      <w:proofErr w:type="spellStart"/>
      <w:r>
        <w:rPr>
          <w:rFonts w:ascii="Times New Roman" w:hAnsi="Times New Roman" w:cs="Times New Roman"/>
          <w:sz w:val="24"/>
          <w:szCs w:val="24"/>
        </w:rPr>
        <w:t>Dunn</w:t>
      </w:r>
      <w:proofErr w:type="spellEnd"/>
      <w:r>
        <w:rPr>
          <w:rFonts w:ascii="Times New Roman" w:hAnsi="Times New Roman" w:cs="Times New Roman"/>
          <w:sz w:val="24"/>
          <w:szCs w:val="24"/>
        </w:rPr>
        <w:t>, 1977). Estas diferencias, notorias y teológicamente enriquecedoras tienen como trasfondo explícito la fe en Jesús.</w:t>
      </w:r>
      <w:r w:rsidR="00F64D03">
        <w:rPr>
          <w:rFonts w:ascii="Times New Roman" w:hAnsi="Times New Roman" w:cs="Times New Roman"/>
          <w:sz w:val="24"/>
          <w:szCs w:val="24"/>
        </w:rPr>
        <w:t xml:space="preserve"> No obstante, las </w:t>
      </w:r>
      <w:r w:rsidR="00027AE1">
        <w:rPr>
          <w:rFonts w:ascii="Times New Roman" w:hAnsi="Times New Roman" w:cs="Times New Roman"/>
          <w:sz w:val="24"/>
          <w:szCs w:val="24"/>
        </w:rPr>
        <w:t>conver</w:t>
      </w:r>
      <w:r w:rsidR="00F64D03">
        <w:rPr>
          <w:rFonts w:ascii="Times New Roman" w:hAnsi="Times New Roman" w:cs="Times New Roman"/>
          <w:sz w:val="24"/>
          <w:szCs w:val="24"/>
        </w:rPr>
        <w:t xml:space="preserve">gencias entre las comunidades destinatarias de los escritos </w:t>
      </w:r>
      <w:proofErr w:type="spellStart"/>
      <w:r w:rsidR="00F64D03">
        <w:rPr>
          <w:rFonts w:ascii="Times New Roman" w:hAnsi="Times New Roman" w:cs="Times New Roman"/>
          <w:sz w:val="24"/>
          <w:szCs w:val="24"/>
        </w:rPr>
        <w:lastRenderedPageBreak/>
        <w:t>neotestamentarias</w:t>
      </w:r>
      <w:proofErr w:type="spellEnd"/>
      <w:r w:rsidR="00F64D03">
        <w:rPr>
          <w:rFonts w:ascii="Times New Roman" w:hAnsi="Times New Roman" w:cs="Times New Roman"/>
          <w:sz w:val="24"/>
          <w:szCs w:val="24"/>
        </w:rPr>
        <w:t>, había igualmente formas divergentes de mantener la misma fe en Jesús.</w:t>
      </w:r>
      <w:r w:rsidR="00027AE1">
        <w:rPr>
          <w:rFonts w:ascii="Times New Roman" w:hAnsi="Times New Roman" w:cs="Times New Roman"/>
          <w:sz w:val="24"/>
          <w:szCs w:val="24"/>
        </w:rPr>
        <w:t xml:space="preserve"> Aunque el rico y plural legado del NT se suela ver como un texto uniforme, lo cierto es que tanto su proceso de redacción relativamente breve. </w:t>
      </w:r>
    </w:p>
    <w:p w:rsidR="00D306D7" w:rsidRPr="00D306D7" w:rsidRDefault="00027AE1" w:rsidP="00D306D7">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El pluralismo teológico que de aquí se deriva nos debe servir de medida prudencial para no convertir </w:t>
      </w:r>
      <w:r w:rsidR="00D306D7">
        <w:rPr>
          <w:rFonts w:ascii="Times New Roman" w:hAnsi="Times New Roman" w:cs="Times New Roman"/>
          <w:sz w:val="24"/>
          <w:szCs w:val="24"/>
        </w:rPr>
        <w:t xml:space="preserve">la diversidad de teologías hoy existentes en versiones contrapuestas, contrarias o antagónicas de la fe en Jesús. El Concilio </w:t>
      </w:r>
      <w:proofErr w:type="spellStart"/>
      <w:r w:rsidR="00D306D7">
        <w:rPr>
          <w:rFonts w:ascii="Times New Roman" w:hAnsi="Times New Roman" w:cs="Times New Roman"/>
          <w:sz w:val="24"/>
          <w:szCs w:val="24"/>
        </w:rPr>
        <w:t>Vat</w:t>
      </w:r>
      <w:proofErr w:type="spellEnd"/>
      <w:r w:rsidR="00D306D7">
        <w:rPr>
          <w:rFonts w:ascii="Times New Roman" w:hAnsi="Times New Roman" w:cs="Times New Roman"/>
          <w:sz w:val="24"/>
          <w:szCs w:val="24"/>
        </w:rPr>
        <w:t xml:space="preserve">. II al proponer una serie de documentos doctrinalmente claros y teológicamente abiertos nos encaminó a vivir el seguimiento de Jesús en el horizonte de la comunión, de la alegría y de la esperanza, eso sí, guardando siempre una actitud clara hacia las realidades negativas de nuestro mundo. </w:t>
      </w:r>
      <w:r w:rsidR="000E4D77">
        <w:rPr>
          <w:rFonts w:ascii="Times New Roman" w:hAnsi="Times New Roman" w:cs="Times New Roman"/>
          <w:sz w:val="24"/>
          <w:szCs w:val="24"/>
        </w:rPr>
        <w:t>El Concilio II con su impulso inicial de actualización (</w:t>
      </w:r>
      <w:proofErr w:type="spellStart"/>
      <w:r w:rsidR="000E4D77">
        <w:rPr>
          <w:rFonts w:ascii="Times New Roman" w:hAnsi="Times New Roman" w:cs="Times New Roman"/>
          <w:i/>
          <w:sz w:val="24"/>
          <w:szCs w:val="24"/>
        </w:rPr>
        <w:t>aggiornamento</w:t>
      </w:r>
      <w:proofErr w:type="spellEnd"/>
      <w:r w:rsidR="000E4D77">
        <w:rPr>
          <w:rFonts w:ascii="Times New Roman" w:hAnsi="Times New Roman" w:cs="Times New Roman"/>
          <w:sz w:val="24"/>
          <w:szCs w:val="24"/>
        </w:rPr>
        <w:t xml:space="preserve">) hizo posible dentro de la Iglesia Católica el progresivo reconocimiento de esa pluralidad, aunque como siempre un proceso no exento de contradicciones y </w:t>
      </w:r>
      <w:r w:rsidR="00B43599">
        <w:rPr>
          <w:rFonts w:ascii="Times New Roman" w:hAnsi="Times New Roman" w:cs="Times New Roman"/>
          <w:sz w:val="24"/>
          <w:szCs w:val="24"/>
        </w:rPr>
        <w:t xml:space="preserve">ambigüedades </w:t>
      </w:r>
      <w:r w:rsidR="000E4D77">
        <w:rPr>
          <w:rFonts w:ascii="Times New Roman" w:hAnsi="Times New Roman" w:cs="Times New Roman"/>
          <w:sz w:val="24"/>
          <w:szCs w:val="24"/>
        </w:rPr>
        <w:t xml:space="preserve">(SC 1). </w:t>
      </w:r>
      <w:r w:rsidR="00D306D7">
        <w:rPr>
          <w:rFonts w:ascii="Times New Roman" w:hAnsi="Times New Roman" w:cs="Times New Roman"/>
          <w:sz w:val="24"/>
          <w:szCs w:val="24"/>
        </w:rPr>
        <w:t xml:space="preserve">Derrotero que se ha desarrollado con mayor claridad en la encíclica programática de Francisco </w:t>
      </w:r>
      <w:proofErr w:type="spellStart"/>
      <w:r w:rsidR="00D306D7">
        <w:rPr>
          <w:rFonts w:ascii="Times New Roman" w:hAnsi="Times New Roman" w:cs="Times New Roman"/>
          <w:i/>
          <w:sz w:val="24"/>
          <w:szCs w:val="24"/>
        </w:rPr>
        <w:t>Evangelii</w:t>
      </w:r>
      <w:proofErr w:type="spellEnd"/>
      <w:r w:rsidR="00D306D7">
        <w:rPr>
          <w:rFonts w:ascii="Times New Roman" w:hAnsi="Times New Roman" w:cs="Times New Roman"/>
          <w:i/>
          <w:sz w:val="24"/>
          <w:szCs w:val="24"/>
        </w:rPr>
        <w:t xml:space="preserve"> </w:t>
      </w:r>
      <w:proofErr w:type="spellStart"/>
      <w:r w:rsidR="00D306D7">
        <w:rPr>
          <w:rFonts w:ascii="Times New Roman" w:hAnsi="Times New Roman" w:cs="Times New Roman"/>
          <w:i/>
          <w:sz w:val="24"/>
          <w:szCs w:val="24"/>
        </w:rPr>
        <w:t>Gaudium</w:t>
      </w:r>
      <w:proofErr w:type="spellEnd"/>
      <w:r w:rsidR="00D306D7">
        <w:rPr>
          <w:rFonts w:ascii="Times New Roman" w:hAnsi="Times New Roman" w:cs="Times New Roman"/>
          <w:sz w:val="24"/>
          <w:szCs w:val="24"/>
        </w:rPr>
        <w:t>.</w:t>
      </w:r>
    </w:p>
    <w:p w:rsidR="00ED435F" w:rsidRDefault="000E4D77" w:rsidP="00330BFF">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De todo ello sale grandemente beneficiada una teología que sea capaz de abrazar el pluralismo de sus orígenes, de sus fuentes, de su</w:t>
      </w:r>
      <w:r w:rsidR="00D522FE">
        <w:rPr>
          <w:rFonts w:ascii="Times New Roman" w:hAnsi="Times New Roman" w:cs="Times New Roman"/>
          <w:sz w:val="24"/>
          <w:szCs w:val="24"/>
        </w:rPr>
        <w:t xml:space="preserve">s expresiones y que, por ende, </w:t>
      </w:r>
      <w:r>
        <w:rPr>
          <w:rFonts w:ascii="Times New Roman" w:hAnsi="Times New Roman" w:cs="Times New Roman"/>
          <w:sz w:val="24"/>
          <w:szCs w:val="24"/>
        </w:rPr>
        <w:t xml:space="preserve">sea más susceptible de ser inclusiva y abierta a los desafíos actuales como </w:t>
      </w:r>
      <w:r w:rsidR="00D522FE">
        <w:rPr>
          <w:rFonts w:ascii="Times New Roman" w:hAnsi="Times New Roman" w:cs="Times New Roman"/>
          <w:sz w:val="24"/>
          <w:szCs w:val="24"/>
        </w:rPr>
        <w:t>la integridad de la creación</w:t>
      </w:r>
      <w:r w:rsidR="00D306D7">
        <w:rPr>
          <w:rFonts w:ascii="Times New Roman" w:hAnsi="Times New Roman" w:cs="Times New Roman"/>
          <w:sz w:val="24"/>
          <w:szCs w:val="24"/>
        </w:rPr>
        <w:t>, la defensa de la justicia y la paz</w:t>
      </w:r>
      <w:r w:rsidR="00D522FE">
        <w:rPr>
          <w:rFonts w:ascii="Times New Roman" w:hAnsi="Times New Roman" w:cs="Times New Roman"/>
          <w:sz w:val="24"/>
          <w:szCs w:val="24"/>
        </w:rPr>
        <w:t xml:space="preserve"> y el diálogo intercultural.</w:t>
      </w:r>
    </w:p>
    <w:p w:rsidR="00330BFF" w:rsidRPr="00330BFF" w:rsidRDefault="00330BFF" w:rsidP="00330BFF">
      <w:pPr>
        <w:spacing w:after="0" w:line="360" w:lineRule="auto"/>
        <w:rPr>
          <w:rFonts w:ascii="Times New Roman" w:hAnsi="Times New Roman" w:cs="Times New Roman"/>
          <w:b/>
          <w:sz w:val="24"/>
          <w:szCs w:val="24"/>
        </w:rPr>
      </w:pPr>
      <w:r w:rsidRPr="00330BFF">
        <w:rPr>
          <w:rFonts w:ascii="Times New Roman" w:hAnsi="Times New Roman" w:cs="Times New Roman"/>
          <w:b/>
          <w:sz w:val="24"/>
          <w:szCs w:val="24"/>
        </w:rPr>
        <w:t>Beber de las fuentes</w:t>
      </w:r>
    </w:p>
    <w:p w:rsidR="00330BFF" w:rsidRDefault="00330BFF" w:rsidP="00E90756">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Las exigencias del pluralismo al interior del cristianismo se hacen patentes ya en el análisis e interpretación de la pluralidad de fuentes. Una aproximación a esta problemática la podemos detectar claramente en el documento “La teología hoy”, publicado por la Comisión Teológica internacional (CTI) en el año 2011. Este documento prolongó y amplio las preocupaciones planteadas cuatro décadas antes en el documento “La unidad de la fe y el pluralismo teológico” de 1972. Lo particular del último documento publicado es la aplicación didáctica que no se limita a proponer unos criterios de </w:t>
      </w:r>
      <w:r w:rsidR="00AA08BC">
        <w:rPr>
          <w:rFonts w:ascii="Times New Roman" w:hAnsi="Times New Roman" w:cs="Times New Roman"/>
          <w:sz w:val="24"/>
          <w:szCs w:val="24"/>
        </w:rPr>
        <w:t xml:space="preserve">formación teológica, sino que replantea explícitamente la metodología de los </w:t>
      </w:r>
      <w:proofErr w:type="spellStart"/>
      <w:r w:rsidR="00AA08BC">
        <w:rPr>
          <w:rFonts w:ascii="Times New Roman" w:hAnsi="Times New Roman" w:cs="Times New Roman"/>
          <w:i/>
          <w:sz w:val="24"/>
          <w:szCs w:val="24"/>
        </w:rPr>
        <w:t>loci</w:t>
      </w:r>
      <w:proofErr w:type="spellEnd"/>
      <w:r w:rsidR="00AA08BC">
        <w:rPr>
          <w:rFonts w:ascii="Times New Roman" w:hAnsi="Times New Roman" w:cs="Times New Roman"/>
          <w:i/>
          <w:sz w:val="24"/>
          <w:szCs w:val="24"/>
        </w:rPr>
        <w:t xml:space="preserve"> </w:t>
      </w:r>
      <w:proofErr w:type="spellStart"/>
      <w:r w:rsidR="00AA08BC">
        <w:rPr>
          <w:rFonts w:ascii="Times New Roman" w:hAnsi="Times New Roman" w:cs="Times New Roman"/>
          <w:i/>
          <w:sz w:val="24"/>
          <w:szCs w:val="24"/>
        </w:rPr>
        <w:t>theologici</w:t>
      </w:r>
      <w:proofErr w:type="spellEnd"/>
      <w:r w:rsidR="00AA08BC">
        <w:rPr>
          <w:rFonts w:ascii="Times New Roman" w:hAnsi="Times New Roman" w:cs="Times New Roman"/>
          <w:sz w:val="24"/>
          <w:szCs w:val="24"/>
        </w:rPr>
        <w:t xml:space="preserve"> ya avanzada en el siglo XVI por Melchor Cano y </w:t>
      </w:r>
      <w:proofErr w:type="spellStart"/>
      <w:r w:rsidR="00AA08BC">
        <w:rPr>
          <w:rFonts w:ascii="Times New Roman" w:hAnsi="Times New Roman" w:cs="Times New Roman"/>
          <w:sz w:val="24"/>
          <w:szCs w:val="24"/>
        </w:rPr>
        <w:t>Melachton</w:t>
      </w:r>
      <w:proofErr w:type="spellEnd"/>
      <w:r w:rsidR="0028192E">
        <w:rPr>
          <w:rFonts w:ascii="Times New Roman" w:hAnsi="Times New Roman" w:cs="Times New Roman"/>
          <w:sz w:val="24"/>
          <w:szCs w:val="24"/>
        </w:rPr>
        <w:t xml:space="preserve"> que sigue la estela de Pedro Lombardo y de la tradición de los tópicos de Cicerón y Aristóteles.</w:t>
      </w:r>
    </w:p>
    <w:p w:rsidR="0028192E" w:rsidRDefault="0028192E" w:rsidP="00E90756">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Lo particular de esta vuelta a la metodología de los tópicos es que</w:t>
      </w:r>
      <w:r w:rsidR="00344EF6">
        <w:rPr>
          <w:rFonts w:ascii="Times New Roman" w:hAnsi="Times New Roman" w:cs="Times New Roman"/>
          <w:sz w:val="24"/>
          <w:szCs w:val="24"/>
        </w:rPr>
        <w:t>,</w:t>
      </w:r>
      <w:r>
        <w:rPr>
          <w:rFonts w:ascii="Times New Roman" w:hAnsi="Times New Roman" w:cs="Times New Roman"/>
          <w:sz w:val="24"/>
          <w:szCs w:val="24"/>
        </w:rPr>
        <w:t xml:space="preserve"> de una parte</w:t>
      </w:r>
      <w:r w:rsidR="00344EF6">
        <w:rPr>
          <w:rFonts w:ascii="Times New Roman" w:hAnsi="Times New Roman" w:cs="Times New Roman"/>
          <w:sz w:val="24"/>
          <w:szCs w:val="24"/>
        </w:rPr>
        <w:t>,</w:t>
      </w:r>
      <w:r>
        <w:rPr>
          <w:rFonts w:ascii="Times New Roman" w:hAnsi="Times New Roman" w:cs="Times New Roman"/>
          <w:sz w:val="24"/>
          <w:szCs w:val="24"/>
        </w:rPr>
        <w:t xml:space="preserve"> encara el desafío de la pluralidad de fuentes y</w:t>
      </w:r>
      <w:r w:rsidR="00344EF6">
        <w:rPr>
          <w:rFonts w:ascii="Times New Roman" w:hAnsi="Times New Roman" w:cs="Times New Roman"/>
          <w:sz w:val="24"/>
          <w:szCs w:val="24"/>
        </w:rPr>
        <w:t>,</w:t>
      </w:r>
      <w:r>
        <w:rPr>
          <w:rFonts w:ascii="Times New Roman" w:hAnsi="Times New Roman" w:cs="Times New Roman"/>
          <w:sz w:val="24"/>
          <w:szCs w:val="24"/>
        </w:rPr>
        <w:t xml:space="preserve"> de otra</w:t>
      </w:r>
      <w:r w:rsidR="00344EF6">
        <w:rPr>
          <w:rFonts w:ascii="Times New Roman" w:hAnsi="Times New Roman" w:cs="Times New Roman"/>
          <w:sz w:val="24"/>
          <w:szCs w:val="24"/>
        </w:rPr>
        <w:t>, asume</w:t>
      </w:r>
      <w:r>
        <w:rPr>
          <w:rFonts w:ascii="Times New Roman" w:hAnsi="Times New Roman" w:cs="Times New Roman"/>
          <w:sz w:val="24"/>
          <w:szCs w:val="24"/>
        </w:rPr>
        <w:t xml:space="preserve"> la posibilidad de tener </w:t>
      </w:r>
      <w:r>
        <w:rPr>
          <w:rFonts w:ascii="Times New Roman" w:hAnsi="Times New Roman" w:cs="Times New Roman"/>
          <w:sz w:val="24"/>
          <w:szCs w:val="24"/>
        </w:rPr>
        <w:lastRenderedPageBreak/>
        <w:t>múltiples discursos que pueden actuar de manera sinérgica</w:t>
      </w:r>
      <w:r w:rsidR="00344EF6">
        <w:rPr>
          <w:rFonts w:ascii="Times New Roman" w:hAnsi="Times New Roman" w:cs="Times New Roman"/>
          <w:sz w:val="24"/>
          <w:szCs w:val="24"/>
        </w:rPr>
        <w:t>,</w:t>
      </w:r>
      <w:r>
        <w:rPr>
          <w:rFonts w:ascii="Times New Roman" w:hAnsi="Times New Roman" w:cs="Times New Roman"/>
          <w:sz w:val="24"/>
          <w:szCs w:val="24"/>
        </w:rPr>
        <w:t xml:space="preserve"> aunque procedan desde diversos puntos de vista.</w:t>
      </w:r>
    </w:p>
    <w:p w:rsidR="00344EF6" w:rsidRDefault="0028192E" w:rsidP="00344EF6">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La pluralidad de fuentes se puede percibir en que aparte de los lugares ‘</w:t>
      </w:r>
      <w:proofErr w:type="spellStart"/>
      <w:r w:rsidRPr="0028192E">
        <w:rPr>
          <w:rFonts w:ascii="Times New Roman" w:hAnsi="Times New Roman" w:cs="Times New Roman"/>
          <w:i/>
          <w:sz w:val="24"/>
          <w:szCs w:val="24"/>
        </w:rPr>
        <w:t>revelationem</w:t>
      </w:r>
      <w:proofErr w:type="spellEnd"/>
      <w:r w:rsidRPr="0028192E">
        <w:rPr>
          <w:rFonts w:ascii="Times New Roman" w:hAnsi="Times New Roman" w:cs="Times New Roman"/>
          <w:i/>
          <w:sz w:val="24"/>
          <w:szCs w:val="24"/>
        </w:rPr>
        <w:t xml:space="preserve"> </w:t>
      </w:r>
      <w:proofErr w:type="spellStart"/>
      <w:r w:rsidRPr="0028192E">
        <w:rPr>
          <w:rFonts w:ascii="Times New Roman" w:hAnsi="Times New Roman" w:cs="Times New Roman"/>
          <w:i/>
          <w:sz w:val="24"/>
          <w:szCs w:val="24"/>
        </w:rPr>
        <w:t>constituentes</w:t>
      </w:r>
      <w:proofErr w:type="spellEnd"/>
      <w:r>
        <w:rPr>
          <w:rFonts w:ascii="Times New Roman" w:hAnsi="Times New Roman" w:cs="Times New Roman"/>
          <w:sz w:val="24"/>
          <w:szCs w:val="24"/>
        </w:rPr>
        <w:t xml:space="preserve">’ bien conocidos (Escritura, Tradición y Magisterio), se asoma a otros que han irrumpido en la actualidad como son el </w:t>
      </w:r>
      <w:proofErr w:type="spellStart"/>
      <w:r>
        <w:rPr>
          <w:rFonts w:ascii="Times New Roman" w:hAnsi="Times New Roman" w:cs="Times New Roman"/>
          <w:i/>
          <w:sz w:val="24"/>
          <w:szCs w:val="24"/>
        </w:rPr>
        <w:t>sensus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fidelium</w:t>
      </w:r>
      <w:proofErr w:type="spellEnd"/>
      <w:r>
        <w:rPr>
          <w:rFonts w:ascii="Times New Roman" w:hAnsi="Times New Roman" w:cs="Times New Roman"/>
          <w:sz w:val="24"/>
          <w:szCs w:val="24"/>
        </w:rPr>
        <w:t>, la comunidad teológica y el diálogo con el mundo. A</w:t>
      </w:r>
      <w:r w:rsidR="00E90756">
        <w:rPr>
          <w:rFonts w:ascii="Times New Roman" w:hAnsi="Times New Roman" w:cs="Times New Roman"/>
          <w:sz w:val="24"/>
          <w:szCs w:val="24"/>
        </w:rPr>
        <w:t>unque</w:t>
      </w:r>
      <w:r>
        <w:rPr>
          <w:rFonts w:ascii="Times New Roman" w:hAnsi="Times New Roman" w:cs="Times New Roman"/>
          <w:sz w:val="24"/>
          <w:szCs w:val="24"/>
        </w:rPr>
        <w:t xml:space="preserve"> </w:t>
      </w:r>
      <w:r w:rsidR="00344EF6">
        <w:rPr>
          <w:rFonts w:ascii="Times New Roman" w:hAnsi="Times New Roman" w:cs="Times New Roman"/>
          <w:sz w:val="24"/>
          <w:szCs w:val="24"/>
        </w:rPr>
        <w:t xml:space="preserve">a </w:t>
      </w:r>
      <w:r>
        <w:rPr>
          <w:rFonts w:ascii="Times New Roman" w:hAnsi="Times New Roman" w:cs="Times New Roman"/>
          <w:sz w:val="24"/>
          <w:szCs w:val="24"/>
        </w:rPr>
        <w:t>los primeros me referiré brevemente más ad</w:t>
      </w:r>
      <w:r w:rsidR="00E90756">
        <w:rPr>
          <w:rFonts w:ascii="Times New Roman" w:hAnsi="Times New Roman" w:cs="Times New Roman"/>
          <w:sz w:val="24"/>
          <w:szCs w:val="24"/>
        </w:rPr>
        <w:t>e</w:t>
      </w:r>
      <w:r>
        <w:rPr>
          <w:rFonts w:ascii="Times New Roman" w:hAnsi="Times New Roman" w:cs="Times New Roman"/>
          <w:sz w:val="24"/>
          <w:szCs w:val="24"/>
        </w:rPr>
        <w:t xml:space="preserve">lante, de los segundos cabe destacar que </w:t>
      </w:r>
      <w:r w:rsidR="00E90756">
        <w:rPr>
          <w:rFonts w:ascii="Times New Roman" w:hAnsi="Times New Roman" w:cs="Times New Roman"/>
          <w:sz w:val="24"/>
          <w:szCs w:val="24"/>
        </w:rPr>
        <w:t xml:space="preserve">son una fuente de riqueza para una reflexión teológica pluralista que con frecuencia no se tiene en cuenta en la formación teológica. </w:t>
      </w:r>
    </w:p>
    <w:p w:rsidR="0028192E" w:rsidRDefault="00344EF6" w:rsidP="00344EF6">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Existen otras fuentes </w:t>
      </w:r>
      <w:r>
        <w:rPr>
          <w:rFonts w:ascii="Times New Roman" w:hAnsi="Times New Roman" w:cs="Times New Roman"/>
          <w:sz w:val="24"/>
          <w:szCs w:val="24"/>
        </w:rPr>
        <w:t xml:space="preserve">como los desafíos del diálogo ecuménico e interreligioso, la experiencia de las iglesias locales (por ejemplo lo que ha hecho el </w:t>
      </w:r>
      <w:proofErr w:type="spellStart"/>
      <w:r>
        <w:rPr>
          <w:rFonts w:ascii="Times New Roman" w:hAnsi="Times New Roman" w:cs="Times New Roman"/>
          <w:sz w:val="24"/>
          <w:szCs w:val="24"/>
        </w:rPr>
        <w:t>CELAM</w:t>
      </w:r>
      <w:proofErr w:type="spellEnd"/>
      <w:r>
        <w:rPr>
          <w:rFonts w:ascii="Times New Roman" w:hAnsi="Times New Roman" w:cs="Times New Roman"/>
          <w:sz w:val="24"/>
          <w:szCs w:val="24"/>
        </w:rPr>
        <w:t xml:space="preserve"> en sus Conferencias), la teología de la liturgia y los rituales con sus respectivas expresiones autóctonas, el arte religioso (icónico y arquitectónico)</w:t>
      </w:r>
      <w:r>
        <w:rPr>
          <w:rFonts w:ascii="Times New Roman" w:hAnsi="Times New Roman" w:cs="Times New Roman"/>
          <w:sz w:val="24"/>
          <w:szCs w:val="24"/>
        </w:rPr>
        <w:t xml:space="preserve"> que, </w:t>
      </w:r>
      <w:r>
        <w:rPr>
          <w:rFonts w:ascii="Times New Roman" w:hAnsi="Times New Roman" w:cs="Times New Roman"/>
          <w:sz w:val="24"/>
          <w:szCs w:val="24"/>
        </w:rPr>
        <w:t>si bien no se mencionan explícitamente</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constituyen fuentes que enriquecen, es decir, pluralizan el discurso teológico</w:t>
      </w:r>
      <w:r w:rsidR="00E90756">
        <w:rPr>
          <w:rFonts w:ascii="Times New Roman" w:hAnsi="Times New Roman" w:cs="Times New Roman"/>
          <w:sz w:val="24"/>
          <w:szCs w:val="24"/>
        </w:rPr>
        <w:t xml:space="preserve">. Un buen ejemplo de ello es la teología pictórica de Maximino Cerezo </w:t>
      </w:r>
      <w:proofErr w:type="spellStart"/>
      <w:r w:rsidR="00E90756">
        <w:rPr>
          <w:rFonts w:ascii="Times New Roman" w:hAnsi="Times New Roman" w:cs="Times New Roman"/>
          <w:sz w:val="24"/>
          <w:szCs w:val="24"/>
        </w:rPr>
        <w:t>Barredo</w:t>
      </w:r>
      <w:proofErr w:type="spellEnd"/>
      <w:r w:rsidR="00E90756">
        <w:rPr>
          <w:rFonts w:ascii="Times New Roman" w:hAnsi="Times New Roman" w:cs="Times New Roman"/>
          <w:sz w:val="24"/>
          <w:szCs w:val="24"/>
        </w:rPr>
        <w:t xml:space="preserve">, </w:t>
      </w:r>
      <w:proofErr w:type="spellStart"/>
      <w:r w:rsidR="00E90756">
        <w:rPr>
          <w:rFonts w:ascii="Times New Roman" w:hAnsi="Times New Roman" w:cs="Times New Roman"/>
          <w:sz w:val="24"/>
          <w:szCs w:val="24"/>
        </w:rPr>
        <w:t>cmf</w:t>
      </w:r>
      <w:proofErr w:type="spellEnd"/>
      <w:r w:rsidR="00E90756">
        <w:rPr>
          <w:rFonts w:ascii="Times New Roman" w:hAnsi="Times New Roman" w:cs="Times New Roman"/>
          <w:sz w:val="24"/>
          <w:szCs w:val="24"/>
        </w:rPr>
        <w:t>, que</w:t>
      </w:r>
      <w:r>
        <w:rPr>
          <w:rFonts w:ascii="Times New Roman" w:hAnsi="Times New Roman" w:cs="Times New Roman"/>
          <w:sz w:val="24"/>
          <w:szCs w:val="24"/>
        </w:rPr>
        <w:t xml:space="preserve">, </w:t>
      </w:r>
      <w:r>
        <w:rPr>
          <w:rFonts w:ascii="Times New Roman" w:hAnsi="Times New Roman" w:cs="Times New Roman"/>
          <w:sz w:val="24"/>
          <w:szCs w:val="24"/>
        </w:rPr>
        <w:t>desde hace cincuenta años</w:t>
      </w:r>
      <w:r>
        <w:rPr>
          <w:rFonts w:ascii="Times New Roman" w:hAnsi="Times New Roman" w:cs="Times New Roman"/>
          <w:sz w:val="24"/>
          <w:szCs w:val="24"/>
        </w:rPr>
        <w:t>,</w:t>
      </w:r>
      <w:r w:rsidR="00E90756">
        <w:rPr>
          <w:rFonts w:ascii="Times New Roman" w:hAnsi="Times New Roman" w:cs="Times New Roman"/>
          <w:sz w:val="24"/>
          <w:szCs w:val="24"/>
        </w:rPr>
        <w:t xml:space="preserve"> ha puesto figura, color y creatividad a la teología latinoamericana.</w:t>
      </w:r>
    </w:p>
    <w:p w:rsidR="00E90756" w:rsidRDefault="009B41F8" w:rsidP="00344EF6">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Otro </w:t>
      </w:r>
      <w:r w:rsidR="00E90756">
        <w:rPr>
          <w:rFonts w:ascii="Times New Roman" w:hAnsi="Times New Roman" w:cs="Times New Roman"/>
          <w:sz w:val="24"/>
          <w:szCs w:val="24"/>
        </w:rPr>
        <w:t xml:space="preserve">ejemplo de ello es el giro hacia teologías contextuales y ecológicas que </w:t>
      </w:r>
      <w:r w:rsidR="009908A0">
        <w:rPr>
          <w:rFonts w:ascii="Times New Roman" w:hAnsi="Times New Roman" w:cs="Times New Roman"/>
          <w:sz w:val="24"/>
          <w:szCs w:val="24"/>
        </w:rPr>
        <w:t xml:space="preserve">se </w:t>
      </w:r>
      <w:r w:rsidR="00E90756">
        <w:rPr>
          <w:rFonts w:ascii="Times New Roman" w:hAnsi="Times New Roman" w:cs="Times New Roman"/>
          <w:sz w:val="24"/>
          <w:szCs w:val="24"/>
        </w:rPr>
        <w:t xml:space="preserve">ha </w:t>
      </w:r>
      <w:r w:rsidR="009908A0">
        <w:rPr>
          <w:rFonts w:ascii="Times New Roman" w:hAnsi="Times New Roman" w:cs="Times New Roman"/>
          <w:sz w:val="24"/>
          <w:szCs w:val="24"/>
        </w:rPr>
        <w:t>dado</w:t>
      </w:r>
      <w:r w:rsidR="00E90756">
        <w:rPr>
          <w:rFonts w:ascii="Times New Roman" w:hAnsi="Times New Roman" w:cs="Times New Roman"/>
          <w:sz w:val="24"/>
          <w:szCs w:val="24"/>
        </w:rPr>
        <w:t xml:space="preserve"> en Latinoamérica y que hoy tiene representantes en las diversas generaciones de la teología (</w:t>
      </w:r>
      <w:proofErr w:type="spellStart"/>
      <w:r w:rsidR="00E90756">
        <w:rPr>
          <w:rFonts w:ascii="Times New Roman" w:hAnsi="Times New Roman" w:cs="Times New Roman"/>
          <w:sz w:val="24"/>
          <w:szCs w:val="24"/>
        </w:rPr>
        <w:t>Boff</w:t>
      </w:r>
      <w:proofErr w:type="spellEnd"/>
      <w:r w:rsidR="00E90756">
        <w:rPr>
          <w:rFonts w:ascii="Times New Roman" w:hAnsi="Times New Roman" w:cs="Times New Roman"/>
          <w:sz w:val="24"/>
          <w:szCs w:val="24"/>
        </w:rPr>
        <w:t>, 1995; 1996; 2013).</w:t>
      </w:r>
    </w:p>
    <w:p w:rsidR="00E90756" w:rsidRDefault="00E90756" w:rsidP="00E90756">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El desafío de beber de las fuentes para una perspectiva pluralista radica en tener en cuenta esta gran diversidad en el estudio de la teología y en no circunscribirla a una sola de ellas, con la exclusión de las otras.</w:t>
      </w:r>
    </w:p>
    <w:p w:rsidR="009B41F8" w:rsidRPr="009B41F8" w:rsidRDefault="009B41F8" w:rsidP="009B41F8">
      <w:pPr>
        <w:spacing w:after="0" w:line="360" w:lineRule="auto"/>
        <w:rPr>
          <w:rFonts w:ascii="Times New Roman" w:hAnsi="Times New Roman" w:cs="Times New Roman"/>
          <w:b/>
          <w:sz w:val="24"/>
          <w:szCs w:val="24"/>
        </w:rPr>
      </w:pPr>
      <w:r w:rsidRPr="009B41F8">
        <w:rPr>
          <w:rFonts w:ascii="Times New Roman" w:hAnsi="Times New Roman" w:cs="Times New Roman"/>
          <w:b/>
          <w:sz w:val="24"/>
          <w:szCs w:val="24"/>
        </w:rPr>
        <w:t>La diversidad de la Fuente de las fuentes</w:t>
      </w:r>
    </w:p>
    <w:p w:rsidR="009B41F8" w:rsidRPr="0028192E" w:rsidRDefault="009B41F8" w:rsidP="00FB50A2">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U</w:t>
      </w:r>
      <w:r w:rsidR="00D2357A">
        <w:rPr>
          <w:rFonts w:ascii="Times New Roman" w:hAnsi="Times New Roman" w:cs="Times New Roman"/>
          <w:sz w:val="24"/>
          <w:szCs w:val="24"/>
        </w:rPr>
        <w:t>n</w:t>
      </w:r>
      <w:r>
        <w:rPr>
          <w:rFonts w:ascii="Times New Roman" w:hAnsi="Times New Roman" w:cs="Times New Roman"/>
          <w:sz w:val="24"/>
          <w:szCs w:val="24"/>
        </w:rPr>
        <w:t xml:space="preserve"> caso emblemático o paradigmático de la pluralidad necesaria en los orígenes de la teología es el concepto de Escritura y el de Biblia. Como es bien sabido, los conceptos de Biblia, Sagrada Escritura y Palabra de Dios aunque se corresponden de manera clara, en el proceso de interpretación ofrecen interesantes aristas en la interpretación de la base documental que subyace a cada uno de ellos.</w:t>
      </w:r>
    </w:p>
    <w:p w:rsidR="00330BFF" w:rsidRPr="00FA5889" w:rsidRDefault="009B41F8" w:rsidP="00FA5889">
      <w:pPr>
        <w:spacing w:after="0" w:line="360" w:lineRule="auto"/>
        <w:rPr>
          <w:rFonts w:ascii="Times New Roman" w:hAnsi="Times New Roman" w:cs="Times New Roman"/>
          <w:sz w:val="24"/>
          <w:szCs w:val="24"/>
        </w:rPr>
      </w:pPr>
      <w:r>
        <w:rPr>
          <w:rFonts w:ascii="Times New Roman" w:hAnsi="Times New Roman" w:cs="Times New Roman"/>
          <w:sz w:val="24"/>
          <w:szCs w:val="24"/>
        </w:rPr>
        <w:tab/>
        <w:t>A manera de ilustración podemos referirnos</w:t>
      </w:r>
      <w:r w:rsidR="00D2357A">
        <w:rPr>
          <w:rFonts w:ascii="Times New Roman" w:hAnsi="Times New Roman" w:cs="Times New Roman"/>
          <w:sz w:val="24"/>
          <w:szCs w:val="24"/>
        </w:rPr>
        <w:t xml:space="preserve"> </w:t>
      </w:r>
      <w:r>
        <w:rPr>
          <w:rFonts w:ascii="Times New Roman" w:hAnsi="Times New Roman" w:cs="Times New Roman"/>
          <w:sz w:val="24"/>
          <w:szCs w:val="24"/>
        </w:rPr>
        <w:t xml:space="preserve">al concepto Biblia y al amplio referente de su denominación. Para comenzar </w:t>
      </w:r>
      <w:r w:rsidR="00E70D70">
        <w:rPr>
          <w:rFonts w:ascii="Times New Roman" w:hAnsi="Times New Roman" w:cs="Times New Roman"/>
          <w:sz w:val="24"/>
          <w:szCs w:val="24"/>
        </w:rPr>
        <w:t>tenemos</w:t>
      </w:r>
      <w:r>
        <w:rPr>
          <w:rFonts w:ascii="Times New Roman" w:hAnsi="Times New Roman" w:cs="Times New Roman"/>
          <w:sz w:val="24"/>
          <w:szCs w:val="24"/>
        </w:rPr>
        <w:t xml:space="preserve"> la </w:t>
      </w:r>
      <w:r w:rsidR="00E70D70">
        <w:rPr>
          <w:rFonts w:ascii="Times New Roman" w:hAnsi="Times New Roman" w:cs="Times New Roman"/>
          <w:sz w:val="24"/>
          <w:szCs w:val="24"/>
        </w:rPr>
        <w:t>Biblia</w:t>
      </w:r>
      <w:r>
        <w:rPr>
          <w:rFonts w:ascii="Times New Roman" w:hAnsi="Times New Roman" w:cs="Times New Roman"/>
          <w:sz w:val="24"/>
          <w:szCs w:val="24"/>
        </w:rPr>
        <w:t xml:space="preserve"> Grieg</w:t>
      </w:r>
      <w:r w:rsidR="00E70D70">
        <w:rPr>
          <w:rFonts w:ascii="Times New Roman" w:hAnsi="Times New Roman" w:cs="Times New Roman"/>
          <w:sz w:val="24"/>
          <w:szCs w:val="24"/>
        </w:rPr>
        <w:t>a,</w:t>
      </w:r>
      <w:r>
        <w:rPr>
          <w:rFonts w:ascii="Times New Roman" w:hAnsi="Times New Roman" w:cs="Times New Roman"/>
          <w:sz w:val="24"/>
          <w:szCs w:val="24"/>
        </w:rPr>
        <w:t xml:space="preserve"> más conocida por su legendario nombre de la Biblia de los LXX</w:t>
      </w:r>
      <w:r w:rsidR="00D2357A">
        <w:rPr>
          <w:rFonts w:ascii="Times New Roman" w:hAnsi="Times New Roman" w:cs="Times New Roman"/>
          <w:sz w:val="24"/>
          <w:szCs w:val="24"/>
        </w:rPr>
        <w:t>,</w:t>
      </w:r>
      <w:r>
        <w:rPr>
          <w:rFonts w:ascii="Times New Roman" w:hAnsi="Times New Roman" w:cs="Times New Roman"/>
          <w:sz w:val="24"/>
          <w:szCs w:val="24"/>
        </w:rPr>
        <w:t xml:space="preserve"> de cuyas múltiples versiones bebió la teología </w:t>
      </w:r>
      <w:r>
        <w:rPr>
          <w:rFonts w:ascii="Times New Roman" w:hAnsi="Times New Roman" w:cs="Times New Roman"/>
          <w:sz w:val="24"/>
          <w:szCs w:val="24"/>
        </w:rPr>
        <w:lastRenderedPageBreak/>
        <w:t>cristiana</w:t>
      </w:r>
      <w:r w:rsidR="009908A0">
        <w:rPr>
          <w:rFonts w:ascii="Times New Roman" w:hAnsi="Times New Roman" w:cs="Times New Roman"/>
          <w:sz w:val="24"/>
          <w:szCs w:val="24"/>
        </w:rPr>
        <w:t>,</w:t>
      </w:r>
      <w:r>
        <w:rPr>
          <w:rFonts w:ascii="Times New Roman" w:hAnsi="Times New Roman" w:cs="Times New Roman"/>
          <w:sz w:val="24"/>
          <w:szCs w:val="24"/>
        </w:rPr>
        <w:t xml:space="preserve"> sobre todo en su primer siglo (</w:t>
      </w:r>
      <w:proofErr w:type="spellStart"/>
      <w:r>
        <w:rPr>
          <w:rFonts w:ascii="Times New Roman" w:hAnsi="Times New Roman" w:cs="Times New Roman"/>
          <w:sz w:val="24"/>
          <w:szCs w:val="24"/>
        </w:rPr>
        <w:t>Trebolle</w:t>
      </w:r>
      <w:proofErr w:type="spellEnd"/>
      <w:r>
        <w:rPr>
          <w:rFonts w:ascii="Times New Roman" w:hAnsi="Times New Roman" w:cs="Times New Roman"/>
          <w:sz w:val="24"/>
          <w:szCs w:val="24"/>
        </w:rPr>
        <w:t>, 1993).</w:t>
      </w:r>
      <w:r w:rsidR="00E70D70">
        <w:rPr>
          <w:rFonts w:ascii="Times New Roman" w:hAnsi="Times New Roman" w:cs="Times New Roman"/>
          <w:sz w:val="24"/>
          <w:szCs w:val="24"/>
        </w:rPr>
        <w:t xml:space="preserve"> Esta </w:t>
      </w:r>
      <w:r w:rsidR="009908A0">
        <w:rPr>
          <w:rFonts w:ascii="Times New Roman" w:hAnsi="Times New Roman" w:cs="Times New Roman"/>
          <w:sz w:val="24"/>
          <w:szCs w:val="24"/>
        </w:rPr>
        <w:t>traducción</w:t>
      </w:r>
      <w:r w:rsidR="00E70D70">
        <w:rPr>
          <w:rFonts w:ascii="Times New Roman" w:hAnsi="Times New Roman" w:cs="Times New Roman"/>
          <w:sz w:val="24"/>
          <w:szCs w:val="24"/>
        </w:rPr>
        <w:t xml:space="preserve"> con todas sus variaciones que hoy todavía son objeto de investigación</w:t>
      </w:r>
      <w:r w:rsidR="00FA5889">
        <w:rPr>
          <w:rFonts w:ascii="Times New Roman" w:hAnsi="Times New Roman" w:cs="Times New Roman"/>
          <w:sz w:val="24"/>
          <w:szCs w:val="24"/>
        </w:rPr>
        <w:t xml:space="preserve">, ha puesto de relieve que la versión que usaron los primeros cristianos era bien conocida en la </w:t>
      </w:r>
      <w:r w:rsidR="00D2357A">
        <w:rPr>
          <w:rFonts w:ascii="Times New Roman" w:hAnsi="Times New Roman" w:cs="Times New Roman"/>
          <w:sz w:val="24"/>
          <w:szCs w:val="24"/>
        </w:rPr>
        <w:t xml:space="preserve">región de </w:t>
      </w:r>
      <w:r w:rsidR="00FA5889">
        <w:rPr>
          <w:rFonts w:ascii="Times New Roman" w:hAnsi="Times New Roman" w:cs="Times New Roman"/>
          <w:sz w:val="24"/>
          <w:szCs w:val="24"/>
        </w:rPr>
        <w:t>Judea del siglo I y su tradición textual se rem</w:t>
      </w:r>
      <w:r w:rsidR="009908A0">
        <w:rPr>
          <w:rFonts w:ascii="Times New Roman" w:hAnsi="Times New Roman" w:cs="Times New Roman"/>
          <w:sz w:val="24"/>
          <w:szCs w:val="24"/>
        </w:rPr>
        <w:t>ontaba al texto masorético del Segundo T</w:t>
      </w:r>
      <w:r w:rsidR="00FA5889">
        <w:rPr>
          <w:rFonts w:ascii="Times New Roman" w:hAnsi="Times New Roman" w:cs="Times New Roman"/>
          <w:sz w:val="24"/>
          <w:szCs w:val="24"/>
        </w:rPr>
        <w:t>emplo</w:t>
      </w:r>
      <w:r w:rsidR="00E70D70">
        <w:rPr>
          <w:rFonts w:ascii="Times New Roman" w:hAnsi="Times New Roman" w:cs="Times New Roman"/>
          <w:sz w:val="24"/>
          <w:szCs w:val="24"/>
        </w:rPr>
        <w:t xml:space="preserve"> (Fernández Marcos, 2008)</w:t>
      </w:r>
      <w:r w:rsidR="00FA5889">
        <w:rPr>
          <w:rFonts w:ascii="Times New Roman" w:hAnsi="Times New Roman" w:cs="Times New Roman"/>
          <w:sz w:val="24"/>
          <w:szCs w:val="24"/>
        </w:rPr>
        <w:t xml:space="preserve">. Esta versión aparece en contraposición </w:t>
      </w:r>
      <w:r w:rsidR="00D2357A">
        <w:rPr>
          <w:rFonts w:ascii="Times New Roman" w:hAnsi="Times New Roman" w:cs="Times New Roman"/>
          <w:sz w:val="24"/>
          <w:szCs w:val="24"/>
        </w:rPr>
        <w:t>con</w:t>
      </w:r>
      <w:r w:rsidR="00FA5889">
        <w:rPr>
          <w:rFonts w:ascii="Times New Roman" w:hAnsi="Times New Roman" w:cs="Times New Roman"/>
          <w:sz w:val="24"/>
          <w:szCs w:val="24"/>
        </w:rPr>
        <w:t xml:space="preserve"> la Biblia Hebrea que tiene una tradición textual ligeramente diversa de la anterior, aunque ha gozado de singular autoridad desde la época de San Jerónimo y su ideal de la ‘</w:t>
      </w:r>
      <w:r w:rsidR="00FA5889">
        <w:rPr>
          <w:rFonts w:ascii="Times New Roman" w:hAnsi="Times New Roman" w:cs="Times New Roman"/>
          <w:i/>
          <w:sz w:val="24"/>
          <w:szCs w:val="24"/>
        </w:rPr>
        <w:t>veritas hebraica</w:t>
      </w:r>
      <w:r w:rsidR="00FA5889">
        <w:rPr>
          <w:rFonts w:ascii="Times New Roman" w:hAnsi="Times New Roman" w:cs="Times New Roman"/>
          <w:sz w:val="24"/>
          <w:szCs w:val="24"/>
        </w:rPr>
        <w:t>’. La contraposición de estas versiones nos ofrece múltiples v</w:t>
      </w:r>
      <w:r w:rsidR="009908A0">
        <w:rPr>
          <w:rFonts w:ascii="Times New Roman" w:hAnsi="Times New Roman" w:cs="Times New Roman"/>
          <w:sz w:val="24"/>
          <w:szCs w:val="24"/>
        </w:rPr>
        <w:t>isiones</w:t>
      </w:r>
      <w:r w:rsidR="00FA5889">
        <w:rPr>
          <w:rFonts w:ascii="Times New Roman" w:hAnsi="Times New Roman" w:cs="Times New Roman"/>
          <w:sz w:val="24"/>
          <w:szCs w:val="24"/>
        </w:rPr>
        <w:t xml:space="preserve"> de una misma tradición y al mismo tiempo nos advierte de no ser demasiado </w:t>
      </w:r>
      <w:proofErr w:type="spellStart"/>
      <w:r w:rsidR="00FA5889">
        <w:rPr>
          <w:rFonts w:ascii="Times New Roman" w:hAnsi="Times New Roman" w:cs="Times New Roman"/>
          <w:sz w:val="24"/>
          <w:szCs w:val="24"/>
        </w:rPr>
        <w:t>literalistas</w:t>
      </w:r>
      <w:proofErr w:type="spellEnd"/>
      <w:r w:rsidR="00FA5889">
        <w:rPr>
          <w:rFonts w:ascii="Times New Roman" w:hAnsi="Times New Roman" w:cs="Times New Roman"/>
          <w:sz w:val="24"/>
          <w:szCs w:val="24"/>
        </w:rPr>
        <w:t xml:space="preserve"> con la lectura intertextual que hicieron los primeros cristianos y que quedó condensada en la máxima agustiniana de </w:t>
      </w:r>
      <w:r w:rsidR="00FA5889" w:rsidRPr="00FA5889">
        <w:rPr>
          <w:rFonts w:ascii="Times New Roman" w:hAnsi="Times New Roman" w:cs="Times New Roman"/>
          <w:sz w:val="24"/>
          <w:szCs w:val="24"/>
        </w:rPr>
        <w:t>"</w:t>
      </w:r>
      <w:r w:rsidR="00FA5889" w:rsidRPr="00FA5889">
        <w:rPr>
          <w:rFonts w:ascii="Times New Roman" w:hAnsi="Times New Roman" w:cs="Times New Roman"/>
          <w:i/>
          <w:sz w:val="24"/>
          <w:szCs w:val="24"/>
        </w:rPr>
        <w:t xml:space="preserve">In </w:t>
      </w:r>
      <w:proofErr w:type="spellStart"/>
      <w:r w:rsidR="00FA5889" w:rsidRPr="00FA5889">
        <w:rPr>
          <w:rFonts w:ascii="Times New Roman" w:hAnsi="Times New Roman" w:cs="Times New Roman"/>
          <w:i/>
          <w:sz w:val="24"/>
          <w:szCs w:val="24"/>
        </w:rPr>
        <w:t>vetere</w:t>
      </w:r>
      <w:proofErr w:type="spellEnd"/>
      <w:r w:rsidR="00FA5889" w:rsidRPr="00FA5889">
        <w:rPr>
          <w:rFonts w:ascii="Times New Roman" w:hAnsi="Times New Roman" w:cs="Times New Roman"/>
          <w:i/>
          <w:sz w:val="24"/>
          <w:szCs w:val="24"/>
        </w:rPr>
        <w:t xml:space="preserve"> Testamento </w:t>
      </w:r>
      <w:proofErr w:type="spellStart"/>
      <w:r w:rsidR="00FA5889" w:rsidRPr="00FA5889">
        <w:rPr>
          <w:rFonts w:ascii="Times New Roman" w:hAnsi="Times New Roman" w:cs="Times New Roman"/>
          <w:i/>
          <w:sz w:val="24"/>
          <w:szCs w:val="24"/>
        </w:rPr>
        <w:t>novum</w:t>
      </w:r>
      <w:proofErr w:type="spellEnd"/>
      <w:r w:rsidR="00D2357A">
        <w:rPr>
          <w:rFonts w:ascii="Times New Roman" w:hAnsi="Times New Roman" w:cs="Times New Roman"/>
          <w:i/>
          <w:sz w:val="24"/>
          <w:szCs w:val="24"/>
        </w:rPr>
        <w:t xml:space="preserve"> </w:t>
      </w:r>
      <w:proofErr w:type="spellStart"/>
      <w:r w:rsidR="00FA5889" w:rsidRPr="00D2357A">
        <w:rPr>
          <w:rFonts w:ascii="Times New Roman" w:hAnsi="Times New Roman" w:cs="Times New Roman"/>
          <w:i/>
          <w:sz w:val="24"/>
          <w:szCs w:val="24"/>
        </w:rPr>
        <w:t>latet</w:t>
      </w:r>
      <w:proofErr w:type="spellEnd"/>
      <w:r w:rsidR="00FA5889" w:rsidRPr="00D2357A">
        <w:rPr>
          <w:rFonts w:ascii="Times New Roman" w:hAnsi="Times New Roman" w:cs="Times New Roman"/>
          <w:i/>
          <w:sz w:val="24"/>
          <w:szCs w:val="24"/>
        </w:rPr>
        <w:t xml:space="preserve">, in </w:t>
      </w:r>
      <w:proofErr w:type="spellStart"/>
      <w:r w:rsidR="00FA5889" w:rsidRPr="00D2357A">
        <w:rPr>
          <w:rFonts w:ascii="Times New Roman" w:hAnsi="Times New Roman" w:cs="Times New Roman"/>
          <w:i/>
          <w:sz w:val="24"/>
          <w:szCs w:val="24"/>
        </w:rPr>
        <w:t>novo</w:t>
      </w:r>
      <w:proofErr w:type="spellEnd"/>
      <w:r w:rsidR="00FA5889" w:rsidRPr="00D2357A">
        <w:rPr>
          <w:rFonts w:ascii="Times New Roman" w:hAnsi="Times New Roman" w:cs="Times New Roman"/>
          <w:i/>
          <w:sz w:val="24"/>
          <w:szCs w:val="24"/>
        </w:rPr>
        <w:t xml:space="preserve"> </w:t>
      </w:r>
      <w:proofErr w:type="spellStart"/>
      <w:r w:rsidR="00FA5889" w:rsidRPr="00D2357A">
        <w:rPr>
          <w:rFonts w:ascii="Times New Roman" w:hAnsi="Times New Roman" w:cs="Times New Roman"/>
          <w:i/>
          <w:sz w:val="24"/>
          <w:szCs w:val="24"/>
        </w:rPr>
        <w:t>vetus</w:t>
      </w:r>
      <w:proofErr w:type="spellEnd"/>
      <w:r w:rsidR="00FA5889" w:rsidRPr="00D2357A">
        <w:rPr>
          <w:rFonts w:ascii="Times New Roman" w:hAnsi="Times New Roman" w:cs="Times New Roman"/>
          <w:i/>
          <w:sz w:val="24"/>
          <w:szCs w:val="24"/>
        </w:rPr>
        <w:t xml:space="preserve"> </w:t>
      </w:r>
      <w:proofErr w:type="spellStart"/>
      <w:r w:rsidR="00FA5889" w:rsidRPr="00D2357A">
        <w:rPr>
          <w:rFonts w:ascii="Times New Roman" w:hAnsi="Times New Roman" w:cs="Times New Roman"/>
          <w:i/>
          <w:sz w:val="24"/>
          <w:szCs w:val="24"/>
        </w:rPr>
        <w:t>patet</w:t>
      </w:r>
      <w:proofErr w:type="spellEnd"/>
      <w:r w:rsidR="00FA5889" w:rsidRPr="00D2357A">
        <w:rPr>
          <w:rFonts w:ascii="Times New Roman" w:hAnsi="Times New Roman" w:cs="Times New Roman"/>
          <w:sz w:val="24"/>
          <w:szCs w:val="24"/>
        </w:rPr>
        <w:t xml:space="preserve">", (cf. </w:t>
      </w:r>
      <w:proofErr w:type="spellStart"/>
      <w:r w:rsidR="00FA5889" w:rsidRPr="00D2357A">
        <w:rPr>
          <w:rFonts w:ascii="Times New Roman" w:hAnsi="Times New Roman" w:cs="Times New Roman"/>
          <w:sz w:val="24"/>
          <w:szCs w:val="24"/>
        </w:rPr>
        <w:t>Quaestiones</w:t>
      </w:r>
      <w:proofErr w:type="spellEnd"/>
      <w:r w:rsidR="00FA5889" w:rsidRPr="00D2357A">
        <w:rPr>
          <w:rFonts w:ascii="Times New Roman" w:hAnsi="Times New Roman" w:cs="Times New Roman"/>
          <w:sz w:val="24"/>
          <w:szCs w:val="24"/>
        </w:rPr>
        <w:t xml:space="preserve"> in </w:t>
      </w:r>
      <w:proofErr w:type="spellStart"/>
      <w:r w:rsidR="00FA5889" w:rsidRPr="00D2357A">
        <w:rPr>
          <w:rFonts w:ascii="Times New Roman" w:hAnsi="Times New Roman" w:cs="Times New Roman"/>
          <w:sz w:val="24"/>
          <w:szCs w:val="24"/>
        </w:rPr>
        <w:t>Heptateucum</w:t>
      </w:r>
      <w:proofErr w:type="spellEnd"/>
      <w:r w:rsidR="00FA5889" w:rsidRPr="00D2357A">
        <w:rPr>
          <w:rFonts w:ascii="Times New Roman" w:hAnsi="Times New Roman" w:cs="Times New Roman"/>
          <w:sz w:val="24"/>
          <w:szCs w:val="24"/>
        </w:rPr>
        <w:t xml:space="preserve">, II, 73). </w:t>
      </w:r>
      <w:r w:rsidR="00FA5889" w:rsidRPr="00FA5889">
        <w:rPr>
          <w:rFonts w:ascii="Times New Roman" w:hAnsi="Times New Roman" w:cs="Times New Roman"/>
          <w:sz w:val="24"/>
          <w:szCs w:val="24"/>
        </w:rPr>
        <w:t>Por donde se mire el pluralism</w:t>
      </w:r>
      <w:r w:rsidR="00FA5889">
        <w:rPr>
          <w:rFonts w:ascii="Times New Roman" w:hAnsi="Times New Roman" w:cs="Times New Roman"/>
          <w:sz w:val="24"/>
          <w:szCs w:val="24"/>
        </w:rPr>
        <w:t>o</w:t>
      </w:r>
      <w:r w:rsidR="00FA5889" w:rsidRPr="00FA5889">
        <w:rPr>
          <w:rFonts w:ascii="Times New Roman" w:hAnsi="Times New Roman" w:cs="Times New Roman"/>
          <w:sz w:val="24"/>
          <w:szCs w:val="24"/>
        </w:rPr>
        <w:t xml:space="preserve"> y la diversidad se cuelan como una realidad de origen que, de ninguna manera, amenaza la unidad.</w:t>
      </w:r>
    </w:p>
    <w:p w:rsidR="009B41F8" w:rsidRDefault="00FA5889" w:rsidP="00330BFF">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Otro tanto podemos decir de la visión plural que los evangelios canónicos nos ofrecen de la figura de Jesús tanto en la tradición </w:t>
      </w:r>
      <w:proofErr w:type="spellStart"/>
      <w:r>
        <w:rPr>
          <w:rFonts w:ascii="Times New Roman" w:hAnsi="Times New Roman" w:cs="Times New Roman"/>
          <w:sz w:val="24"/>
          <w:szCs w:val="24"/>
        </w:rPr>
        <w:t>joánica</w:t>
      </w:r>
      <w:proofErr w:type="spellEnd"/>
      <w:r>
        <w:rPr>
          <w:rFonts w:ascii="Times New Roman" w:hAnsi="Times New Roman" w:cs="Times New Roman"/>
          <w:sz w:val="24"/>
          <w:szCs w:val="24"/>
        </w:rPr>
        <w:t xml:space="preserve"> como en la sinóptica. </w:t>
      </w:r>
      <w:r w:rsidR="00DF1232">
        <w:rPr>
          <w:rFonts w:ascii="Times New Roman" w:hAnsi="Times New Roman" w:cs="Times New Roman"/>
          <w:sz w:val="24"/>
          <w:szCs w:val="24"/>
        </w:rPr>
        <w:t xml:space="preserve">La imagen que cada uno de los evangelistas nos da de Jesús es tan rica que muchos enfoques actuales de cristología se decantan por una presentación pormenorizada que aprovecha la exégesis </w:t>
      </w:r>
      <w:proofErr w:type="spellStart"/>
      <w:r w:rsidR="00DF1232">
        <w:rPr>
          <w:rFonts w:ascii="Times New Roman" w:hAnsi="Times New Roman" w:cs="Times New Roman"/>
          <w:sz w:val="24"/>
          <w:szCs w:val="24"/>
        </w:rPr>
        <w:t>redaccional</w:t>
      </w:r>
      <w:proofErr w:type="spellEnd"/>
      <w:r w:rsidR="00DF1232">
        <w:rPr>
          <w:rFonts w:ascii="Times New Roman" w:hAnsi="Times New Roman" w:cs="Times New Roman"/>
          <w:sz w:val="24"/>
          <w:szCs w:val="24"/>
        </w:rPr>
        <w:t xml:space="preserve"> y el análisis narrativo para dar cuenta de la profundidad de su figura (</w:t>
      </w:r>
      <w:proofErr w:type="spellStart"/>
      <w:r w:rsidR="00DF1232" w:rsidRPr="00DF1232">
        <w:rPr>
          <w:rFonts w:ascii="Times New Roman" w:hAnsi="Times New Roman" w:cs="Times New Roman"/>
          <w:sz w:val="24"/>
          <w:szCs w:val="24"/>
        </w:rPr>
        <w:t>Schnackenburg</w:t>
      </w:r>
      <w:proofErr w:type="spellEnd"/>
      <w:r w:rsidR="00DF1232">
        <w:rPr>
          <w:rFonts w:ascii="Times New Roman" w:hAnsi="Times New Roman" w:cs="Times New Roman"/>
          <w:sz w:val="24"/>
          <w:szCs w:val="24"/>
        </w:rPr>
        <w:t xml:space="preserve">, 1998). En el fondo de esta diversidad están las antiguas soluciones de las harmonías de los evangelios o las más recientes sinopsis de los cuatro evangelios que se usaron tan profusamente hasta hace pocos años. En cualquier caso, la riqueza y diversidad de las tradiciones </w:t>
      </w:r>
      <w:proofErr w:type="spellStart"/>
      <w:r w:rsidR="00DF1232">
        <w:rPr>
          <w:rFonts w:ascii="Times New Roman" w:hAnsi="Times New Roman" w:cs="Times New Roman"/>
          <w:sz w:val="24"/>
          <w:szCs w:val="24"/>
        </w:rPr>
        <w:t>neotestamentarias</w:t>
      </w:r>
      <w:proofErr w:type="spellEnd"/>
      <w:r w:rsidR="00DF1232">
        <w:rPr>
          <w:rFonts w:ascii="Times New Roman" w:hAnsi="Times New Roman" w:cs="Times New Roman"/>
          <w:sz w:val="24"/>
          <w:szCs w:val="24"/>
        </w:rPr>
        <w:t xml:space="preserve"> proporciona una mirada más completa y profunda de la figura de Jesús que se hunde en el misterio de su persona.</w:t>
      </w:r>
    </w:p>
    <w:p w:rsidR="00DF1232" w:rsidRDefault="00DF1232" w:rsidP="00330BFF">
      <w:pPr>
        <w:spacing w:after="0" w:line="360" w:lineRule="auto"/>
        <w:rPr>
          <w:rFonts w:ascii="Times New Roman" w:hAnsi="Times New Roman" w:cs="Times New Roman"/>
          <w:sz w:val="24"/>
          <w:szCs w:val="24"/>
        </w:rPr>
      </w:pPr>
      <w:r>
        <w:rPr>
          <w:rFonts w:ascii="Times New Roman" w:hAnsi="Times New Roman" w:cs="Times New Roman"/>
          <w:sz w:val="24"/>
          <w:szCs w:val="24"/>
        </w:rPr>
        <w:tab/>
        <w:t>El desafío primero de aceptar esta pluralidad y</w:t>
      </w:r>
      <w:r w:rsidR="00894E64">
        <w:rPr>
          <w:rFonts w:ascii="Times New Roman" w:hAnsi="Times New Roman" w:cs="Times New Roman"/>
          <w:sz w:val="24"/>
          <w:szCs w:val="24"/>
        </w:rPr>
        <w:t>,</w:t>
      </w:r>
      <w:r>
        <w:rPr>
          <w:rFonts w:ascii="Times New Roman" w:hAnsi="Times New Roman" w:cs="Times New Roman"/>
          <w:sz w:val="24"/>
          <w:szCs w:val="24"/>
        </w:rPr>
        <w:t xml:space="preserve"> luego</w:t>
      </w:r>
      <w:r w:rsidR="00894E64">
        <w:rPr>
          <w:rFonts w:ascii="Times New Roman" w:hAnsi="Times New Roman" w:cs="Times New Roman"/>
          <w:sz w:val="24"/>
          <w:szCs w:val="24"/>
        </w:rPr>
        <w:t>,</w:t>
      </w:r>
      <w:r>
        <w:rPr>
          <w:rFonts w:ascii="Times New Roman" w:hAnsi="Times New Roman" w:cs="Times New Roman"/>
          <w:sz w:val="24"/>
          <w:szCs w:val="24"/>
        </w:rPr>
        <w:t xml:space="preserve"> de saber aprovecharla redunda en la comprensión más completa de la complejidad de las manifestaciones del cristianismo y de la necesidad de no aplanarlas demasiado con cursos genéricos en el estudio teológico.</w:t>
      </w:r>
    </w:p>
    <w:p w:rsidR="00DF1232" w:rsidRPr="008B45B3" w:rsidRDefault="00DF1232" w:rsidP="00330BFF">
      <w:pPr>
        <w:spacing w:after="0" w:line="360" w:lineRule="auto"/>
        <w:rPr>
          <w:rFonts w:ascii="Times New Roman" w:hAnsi="Times New Roman" w:cs="Times New Roman"/>
          <w:b/>
          <w:sz w:val="24"/>
          <w:szCs w:val="24"/>
        </w:rPr>
      </w:pPr>
      <w:r w:rsidRPr="008B45B3">
        <w:rPr>
          <w:rFonts w:ascii="Times New Roman" w:hAnsi="Times New Roman" w:cs="Times New Roman"/>
          <w:b/>
          <w:sz w:val="24"/>
          <w:szCs w:val="24"/>
        </w:rPr>
        <w:t>La diversidad de lentes</w:t>
      </w:r>
    </w:p>
    <w:p w:rsidR="00DF1232" w:rsidRDefault="00DF1232" w:rsidP="008B45B3">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Esta pluralidad descrita anteriormente se resuelve con mayor riqueza en la pluralidad de métodos, aproximaciones y enfoques que hoy abundan en la interpretación bíblica y que se contraponen a una lectura fundamentalista. El documento de la Pontificia </w:t>
      </w:r>
      <w:r>
        <w:rPr>
          <w:rFonts w:ascii="Times New Roman" w:hAnsi="Times New Roman" w:cs="Times New Roman"/>
          <w:sz w:val="24"/>
          <w:szCs w:val="24"/>
        </w:rPr>
        <w:lastRenderedPageBreak/>
        <w:t>Comisión Bíblica “La interpretación de la Biblia en la Iglesia”</w:t>
      </w:r>
      <w:r w:rsidR="004B72EE">
        <w:rPr>
          <w:rFonts w:ascii="Times New Roman" w:hAnsi="Times New Roman" w:cs="Times New Roman"/>
          <w:sz w:val="24"/>
          <w:szCs w:val="24"/>
        </w:rPr>
        <w:t xml:space="preserve"> (</w:t>
      </w:r>
      <w:r w:rsidR="004B72EE">
        <w:rPr>
          <w:rFonts w:ascii="Times New Roman" w:hAnsi="Times New Roman" w:cs="Times New Roman"/>
          <w:sz w:val="24"/>
          <w:szCs w:val="24"/>
        </w:rPr>
        <w:t>1993</w:t>
      </w:r>
      <w:r w:rsidR="004B72EE">
        <w:rPr>
          <w:rFonts w:ascii="Times New Roman" w:hAnsi="Times New Roman" w:cs="Times New Roman"/>
          <w:sz w:val="24"/>
          <w:szCs w:val="24"/>
        </w:rPr>
        <w:t>)</w:t>
      </w:r>
      <w:r>
        <w:rPr>
          <w:rFonts w:ascii="Times New Roman" w:hAnsi="Times New Roman" w:cs="Times New Roman"/>
          <w:sz w:val="24"/>
          <w:szCs w:val="24"/>
        </w:rPr>
        <w:t>, da una pequeña pero significativa muestra de esta diversidad.</w:t>
      </w:r>
    </w:p>
    <w:p w:rsidR="00DF1232" w:rsidRPr="00FA5889" w:rsidRDefault="00DF1232" w:rsidP="008B45B3">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Este documento en sus cuatro partes da cuenta de la variedad enorme de recursos </w:t>
      </w:r>
      <w:r w:rsidR="008B45B3">
        <w:rPr>
          <w:rFonts w:ascii="Times New Roman" w:hAnsi="Times New Roman" w:cs="Times New Roman"/>
          <w:sz w:val="24"/>
          <w:szCs w:val="24"/>
        </w:rPr>
        <w:t>para leer e interpretar la Biblia y que suele estar ausente en la enseñanza religiosa, en la catequesis o a veces, con mayor preocupación, en la educación teológica académica. Los recursos de este documento se refieren a los métodos y acercamientos exegéticos y en la riqueza de las interpretaciones que recoge la hermenéutica bíblica y la hermenéutica general. Tal variedad no se convierte en un mercado confuso en el que cada quien pondera sus productos, sino que es una auténtica sinfonía en el que se mezclan los más diversos instrumentos en torno a una sola partitura: la Escritura.</w:t>
      </w:r>
    </w:p>
    <w:p w:rsidR="009B41F8" w:rsidRDefault="008B45B3" w:rsidP="00330BFF">
      <w:pPr>
        <w:spacing w:after="0" w:line="360" w:lineRule="auto"/>
        <w:rPr>
          <w:rFonts w:ascii="Times New Roman" w:hAnsi="Times New Roman" w:cs="Times New Roman"/>
          <w:sz w:val="24"/>
          <w:szCs w:val="24"/>
        </w:rPr>
      </w:pPr>
      <w:r>
        <w:rPr>
          <w:rFonts w:ascii="Times New Roman" w:hAnsi="Times New Roman" w:cs="Times New Roman"/>
          <w:sz w:val="24"/>
          <w:szCs w:val="24"/>
        </w:rPr>
        <w:tab/>
        <w:t>Incluso en nuestros contextos esa pluralidad ha producido una riqueza enorme que se ha aprovechado de muchas maneras en la Lectura Comunitaria y Pastoral de la Biblia (LCPB), en la lectura campesina, afroamericana, indígena, femin</w:t>
      </w:r>
      <w:r w:rsidR="004B72EE">
        <w:rPr>
          <w:rFonts w:ascii="Times New Roman" w:hAnsi="Times New Roman" w:cs="Times New Roman"/>
          <w:sz w:val="24"/>
          <w:szCs w:val="24"/>
        </w:rPr>
        <w:t>ista, etc. (</w:t>
      </w:r>
      <w:proofErr w:type="spellStart"/>
      <w:r w:rsidR="004B72EE">
        <w:rPr>
          <w:rFonts w:ascii="Times New Roman" w:hAnsi="Times New Roman" w:cs="Times New Roman"/>
          <w:sz w:val="24"/>
          <w:szCs w:val="24"/>
        </w:rPr>
        <w:t>Levoratti</w:t>
      </w:r>
      <w:proofErr w:type="spellEnd"/>
      <w:r w:rsidR="004B72EE">
        <w:rPr>
          <w:rFonts w:ascii="Times New Roman" w:hAnsi="Times New Roman" w:cs="Times New Roman"/>
          <w:sz w:val="24"/>
          <w:szCs w:val="24"/>
        </w:rPr>
        <w:t xml:space="preserve"> et al., 2</w:t>
      </w:r>
      <w:r>
        <w:rPr>
          <w:rFonts w:ascii="Times New Roman" w:hAnsi="Times New Roman" w:cs="Times New Roman"/>
          <w:sz w:val="24"/>
          <w:szCs w:val="24"/>
        </w:rPr>
        <w:t>017).</w:t>
      </w:r>
      <w:r w:rsidR="00D50E79">
        <w:rPr>
          <w:rFonts w:ascii="Times New Roman" w:hAnsi="Times New Roman" w:cs="Times New Roman"/>
          <w:sz w:val="24"/>
          <w:szCs w:val="24"/>
        </w:rPr>
        <w:t xml:space="preserve"> En torno a ello ha prosperado una nueva línea de interpretación bíblica como la de la </w:t>
      </w:r>
      <w:r w:rsidR="00D50E79" w:rsidRPr="00D50E79">
        <w:rPr>
          <w:rFonts w:ascii="Times New Roman" w:hAnsi="Times New Roman" w:cs="Times New Roman"/>
          <w:sz w:val="24"/>
          <w:szCs w:val="24"/>
        </w:rPr>
        <w:t>Revista de Interpretación Bíblica Latinoamericana</w:t>
      </w:r>
      <w:r w:rsidR="00D50E79">
        <w:rPr>
          <w:rFonts w:ascii="Times New Roman" w:hAnsi="Times New Roman" w:cs="Times New Roman"/>
          <w:sz w:val="24"/>
          <w:szCs w:val="24"/>
        </w:rPr>
        <w:t xml:space="preserve">, que fue precedida en Colombia por la revista Solidaridad y </w:t>
      </w:r>
      <w:r w:rsidR="004B72EE">
        <w:rPr>
          <w:rFonts w:ascii="Times New Roman" w:hAnsi="Times New Roman" w:cs="Times New Roman"/>
          <w:sz w:val="24"/>
          <w:szCs w:val="24"/>
        </w:rPr>
        <w:t xml:space="preserve">luego por la revista </w:t>
      </w:r>
      <w:r w:rsidR="00D50E79">
        <w:rPr>
          <w:rFonts w:ascii="Times New Roman" w:hAnsi="Times New Roman" w:cs="Times New Roman"/>
          <w:sz w:val="24"/>
          <w:szCs w:val="24"/>
        </w:rPr>
        <w:t>Utopías, varias décadas atrás. Todo ello muestra que la diversidad del origen se mezcla con la diversidad de las comunidades lectores y se diversifica aún más por los contextos, resultando en una riqueza apenas describible, como ocurre en la selva amazónica en la que la biodiversidad no extingue nunca la profunda unidad de la vegetación.</w:t>
      </w:r>
    </w:p>
    <w:p w:rsidR="00D50E79" w:rsidRPr="00FA5889" w:rsidRDefault="00D50E79" w:rsidP="00330BFF">
      <w:pPr>
        <w:spacing w:after="0" w:line="360" w:lineRule="auto"/>
        <w:rPr>
          <w:rFonts w:ascii="Times New Roman" w:hAnsi="Times New Roman" w:cs="Times New Roman"/>
          <w:sz w:val="24"/>
          <w:szCs w:val="24"/>
        </w:rPr>
      </w:pPr>
      <w:r>
        <w:rPr>
          <w:rFonts w:ascii="Times New Roman" w:hAnsi="Times New Roman" w:cs="Times New Roman"/>
          <w:sz w:val="24"/>
          <w:szCs w:val="24"/>
        </w:rPr>
        <w:tab/>
        <w:t xml:space="preserve">El desafío para una formación teológica radica en no </w:t>
      </w:r>
      <w:r w:rsidR="00D2357A">
        <w:rPr>
          <w:rFonts w:ascii="Times New Roman" w:hAnsi="Times New Roman" w:cs="Times New Roman"/>
          <w:sz w:val="24"/>
          <w:szCs w:val="24"/>
        </w:rPr>
        <w:t>perder</w:t>
      </w:r>
      <w:r>
        <w:rPr>
          <w:rFonts w:ascii="Times New Roman" w:hAnsi="Times New Roman" w:cs="Times New Roman"/>
          <w:sz w:val="24"/>
          <w:szCs w:val="24"/>
        </w:rPr>
        <w:t xml:space="preserve"> de vista esta diversidad en la interpretación de la fuente de las fuentes y en no perderse en ella, es decir, en sucumbir a especializaciones prematuras o a opciones incomunicadas en la interpretación bíblica.</w:t>
      </w:r>
    </w:p>
    <w:p w:rsidR="009B41F8" w:rsidRPr="00C705A0" w:rsidRDefault="00A9507A" w:rsidP="00330BFF">
      <w:pPr>
        <w:spacing w:after="0" w:line="360" w:lineRule="auto"/>
        <w:rPr>
          <w:rFonts w:ascii="Times New Roman" w:hAnsi="Times New Roman" w:cs="Times New Roman"/>
          <w:b/>
          <w:sz w:val="24"/>
          <w:szCs w:val="24"/>
        </w:rPr>
      </w:pPr>
      <w:r w:rsidRPr="00C705A0">
        <w:rPr>
          <w:rFonts w:ascii="Times New Roman" w:hAnsi="Times New Roman" w:cs="Times New Roman"/>
          <w:b/>
          <w:sz w:val="24"/>
          <w:szCs w:val="24"/>
        </w:rPr>
        <w:t>Conclusión</w:t>
      </w:r>
    </w:p>
    <w:p w:rsidR="006737EB" w:rsidRDefault="006737EB" w:rsidP="00216707">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El pluralismo teológico supone una concepción amplia de la unidad en la fe.</w:t>
      </w:r>
    </w:p>
    <w:p w:rsidR="00A9507A" w:rsidRDefault="006737EB" w:rsidP="00330BF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Una teología que aspira a contemplar la </w:t>
      </w:r>
      <w:r w:rsidR="00C705A0">
        <w:rPr>
          <w:rFonts w:ascii="Times New Roman" w:hAnsi="Times New Roman" w:cs="Times New Roman"/>
          <w:sz w:val="24"/>
          <w:szCs w:val="24"/>
        </w:rPr>
        <w:t xml:space="preserve">rica diversidad </w:t>
      </w:r>
      <w:proofErr w:type="spellStart"/>
      <w:r w:rsidRPr="006737EB">
        <w:rPr>
          <w:rFonts w:ascii="Times New Roman" w:hAnsi="Times New Roman" w:cs="Times New Roman"/>
          <w:i/>
          <w:sz w:val="24"/>
          <w:szCs w:val="24"/>
        </w:rPr>
        <w:t>sapientiae</w:t>
      </w:r>
      <w:proofErr w:type="spellEnd"/>
      <w:r w:rsidRPr="006737EB">
        <w:rPr>
          <w:rFonts w:ascii="Times New Roman" w:hAnsi="Times New Roman" w:cs="Times New Roman"/>
          <w:i/>
          <w:sz w:val="24"/>
          <w:szCs w:val="24"/>
        </w:rPr>
        <w:t xml:space="preserve"> et </w:t>
      </w:r>
      <w:proofErr w:type="spellStart"/>
      <w:r w:rsidRPr="006737EB">
        <w:rPr>
          <w:rFonts w:ascii="Times New Roman" w:hAnsi="Times New Roman" w:cs="Times New Roman"/>
          <w:i/>
          <w:sz w:val="24"/>
          <w:szCs w:val="24"/>
        </w:rPr>
        <w:t>scientiae</w:t>
      </w:r>
      <w:proofErr w:type="spellEnd"/>
      <w:r w:rsidRPr="006737EB">
        <w:rPr>
          <w:rFonts w:ascii="Times New Roman" w:hAnsi="Times New Roman" w:cs="Times New Roman"/>
          <w:i/>
          <w:sz w:val="24"/>
          <w:szCs w:val="24"/>
        </w:rPr>
        <w:t xml:space="preserve"> Dei</w:t>
      </w:r>
      <w:r w:rsidRPr="006737EB">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Rm</w:t>
      </w:r>
      <w:proofErr w:type="spellEnd"/>
      <w:r>
        <w:rPr>
          <w:rFonts w:ascii="Times New Roman" w:hAnsi="Times New Roman" w:cs="Times New Roman"/>
          <w:sz w:val="24"/>
          <w:szCs w:val="24"/>
        </w:rPr>
        <w:t xml:space="preserve"> 11,3</w:t>
      </w:r>
      <w:r w:rsidR="00C705A0">
        <w:rPr>
          <w:rFonts w:ascii="Times New Roman" w:hAnsi="Times New Roman" w:cs="Times New Roman"/>
          <w:sz w:val="24"/>
          <w:szCs w:val="24"/>
        </w:rPr>
        <w:t xml:space="preserve">3; cf. </w:t>
      </w:r>
      <w:proofErr w:type="spellStart"/>
      <w:r w:rsidR="00C705A0">
        <w:rPr>
          <w:rFonts w:ascii="Times New Roman" w:hAnsi="Times New Roman" w:cs="Times New Roman"/>
          <w:sz w:val="24"/>
          <w:szCs w:val="24"/>
        </w:rPr>
        <w:t>Ef</w:t>
      </w:r>
      <w:proofErr w:type="spellEnd"/>
      <w:r w:rsidR="00C705A0">
        <w:rPr>
          <w:rFonts w:ascii="Times New Roman" w:hAnsi="Times New Roman" w:cs="Times New Roman"/>
          <w:sz w:val="24"/>
          <w:szCs w:val="24"/>
        </w:rPr>
        <w:t xml:space="preserve"> 3,8</w:t>
      </w:r>
      <w:r>
        <w:rPr>
          <w:rFonts w:ascii="Times New Roman" w:hAnsi="Times New Roman" w:cs="Times New Roman"/>
          <w:sz w:val="24"/>
          <w:szCs w:val="24"/>
        </w:rPr>
        <w:t>)</w:t>
      </w:r>
      <w:r w:rsidR="00C705A0">
        <w:rPr>
          <w:rFonts w:ascii="Times New Roman" w:hAnsi="Times New Roman" w:cs="Times New Roman"/>
          <w:sz w:val="24"/>
          <w:szCs w:val="24"/>
        </w:rPr>
        <w:t xml:space="preserve"> no puede quedar paralizada ante la diversidad de experiencias de fe, sino que debe acogerlas y dialogar con ellas en tanto apuntan hacia una realidad siempre más grande,</w:t>
      </w:r>
      <w:bookmarkStart w:id="0" w:name="_GoBack"/>
      <w:bookmarkEnd w:id="0"/>
      <w:r w:rsidR="00C705A0">
        <w:rPr>
          <w:rFonts w:ascii="Times New Roman" w:hAnsi="Times New Roman" w:cs="Times New Roman"/>
          <w:sz w:val="24"/>
          <w:szCs w:val="24"/>
        </w:rPr>
        <w:t xml:space="preserve"> como lo señla Tomas de Aquino (</w:t>
      </w:r>
      <w:proofErr w:type="spellStart"/>
      <w:r w:rsidR="00C705A0">
        <w:rPr>
          <w:rFonts w:ascii="Times New Roman" w:hAnsi="Times New Roman" w:cs="Times New Roman"/>
          <w:sz w:val="24"/>
          <w:szCs w:val="24"/>
        </w:rPr>
        <w:t>S.Th</w:t>
      </w:r>
      <w:proofErr w:type="spellEnd"/>
      <w:r w:rsidR="00C705A0">
        <w:rPr>
          <w:rFonts w:ascii="Times New Roman" w:hAnsi="Times New Roman" w:cs="Times New Roman"/>
          <w:sz w:val="24"/>
          <w:szCs w:val="24"/>
        </w:rPr>
        <w:t>. II-II</w:t>
      </w:r>
      <w:proofErr w:type="gramStart"/>
      <w:r w:rsidR="00C705A0">
        <w:rPr>
          <w:rFonts w:ascii="Times New Roman" w:hAnsi="Times New Roman" w:cs="Times New Roman"/>
          <w:sz w:val="24"/>
          <w:szCs w:val="24"/>
        </w:rPr>
        <w:t>,2</w:t>
      </w:r>
      <w:proofErr w:type="gramEnd"/>
      <w:r w:rsidR="00C705A0">
        <w:rPr>
          <w:rFonts w:ascii="Times New Roman" w:hAnsi="Times New Roman" w:cs="Times New Roman"/>
          <w:sz w:val="24"/>
          <w:szCs w:val="24"/>
        </w:rPr>
        <w:t xml:space="preserve">-6, ad 2). Esto mismo lo podemos percibir en la intención del </w:t>
      </w:r>
      <w:proofErr w:type="spellStart"/>
      <w:r w:rsidR="00C705A0">
        <w:rPr>
          <w:rFonts w:ascii="Times New Roman" w:hAnsi="Times New Roman" w:cs="Times New Roman"/>
          <w:sz w:val="24"/>
          <w:szCs w:val="24"/>
        </w:rPr>
        <w:t>Vat</w:t>
      </w:r>
      <w:proofErr w:type="spellEnd"/>
      <w:r w:rsidR="00C705A0">
        <w:rPr>
          <w:rFonts w:ascii="Times New Roman" w:hAnsi="Times New Roman" w:cs="Times New Roman"/>
          <w:sz w:val="24"/>
          <w:szCs w:val="24"/>
        </w:rPr>
        <w:t xml:space="preserve">. II., al subrayar la riqueza de tradiciones cristianas para </w:t>
      </w:r>
      <w:r w:rsidR="00C705A0">
        <w:rPr>
          <w:rFonts w:ascii="Times New Roman" w:hAnsi="Times New Roman" w:cs="Times New Roman"/>
          <w:sz w:val="24"/>
          <w:szCs w:val="24"/>
        </w:rPr>
        <w:lastRenderedPageBreak/>
        <w:t xml:space="preserve">comprender a mayor profundidad la revelación: </w:t>
      </w:r>
      <w:r w:rsidR="00A9507A">
        <w:rPr>
          <w:rFonts w:ascii="Times New Roman" w:hAnsi="Times New Roman" w:cs="Times New Roman"/>
          <w:sz w:val="24"/>
          <w:szCs w:val="24"/>
        </w:rPr>
        <w:t>“</w:t>
      </w:r>
      <w:r w:rsidR="00A9507A" w:rsidRPr="00A9507A">
        <w:rPr>
          <w:rFonts w:ascii="Times New Roman" w:hAnsi="Times New Roman" w:cs="Times New Roman"/>
          <w:sz w:val="24"/>
          <w:szCs w:val="24"/>
        </w:rPr>
        <w:t>las diversas fórmulas teológicas, más que oponerse entre sí, se completan y perfeccionan unas a otras</w:t>
      </w:r>
      <w:r w:rsidR="00A9507A">
        <w:rPr>
          <w:rFonts w:ascii="Times New Roman" w:hAnsi="Times New Roman" w:cs="Times New Roman"/>
          <w:sz w:val="24"/>
          <w:szCs w:val="24"/>
        </w:rPr>
        <w:t>” (UR 17).</w:t>
      </w:r>
    </w:p>
    <w:p w:rsidR="001424D0" w:rsidRDefault="001424D0" w:rsidP="00216707">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El pluralismo teológico es un presupuesto básico cuando se </w:t>
      </w:r>
      <w:r w:rsidR="00D95265">
        <w:rPr>
          <w:rFonts w:ascii="Times New Roman" w:hAnsi="Times New Roman" w:cs="Times New Roman"/>
          <w:sz w:val="24"/>
          <w:szCs w:val="24"/>
        </w:rPr>
        <w:t xml:space="preserve">trata de </w:t>
      </w:r>
      <w:proofErr w:type="spellStart"/>
      <w:r w:rsidR="00D95265">
        <w:rPr>
          <w:rFonts w:ascii="Times New Roman" w:hAnsi="Times New Roman" w:cs="Times New Roman"/>
          <w:sz w:val="24"/>
          <w:szCs w:val="24"/>
        </w:rPr>
        <w:t>inculturar</w:t>
      </w:r>
      <w:proofErr w:type="spellEnd"/>
      <w:r w:rsidR="00D95265">
        <w:rPr>
          <w:rFonts w:ascii="Times New Roman" w:hAnsi="Times New Roman" w:cs="Times New Roman"/>
          <w:sz w:val="24"/>
          <w:szCs w:val="24"/>
        </w:rPr>
        <w:t xml:space="preserve"> el </w:t>
      </w:r>
      <w:proofErr w:type="gramStart"/>
      <w:r w:rsidR="00D95265">
        <w:rPr>
          <w:rFonts w:ascii="Times New Roman" w:hAnsi="Times New Roman" w:cs="Times New Roman"/>
          <w:sz w:val="24"/>
          <w:szCs w:val="24"/>
        </w:rPr>
        <w:t>evangelio</w:t>
      </w:r>
      <w:proofErr w:type="gramEnd"/>
      <w:r w:rsidR="00D95265">
        <w:rPr>
          <w:rFonts w:ascii="Times New Roman" w:hAnsi="Times New Roman" w:cs="Times New Roman"/>
          <w:sz w:val="24"/>
          <w:szCs w:val="24"/>
        </w:rPr>
        <w:t xml:space="preserve">, es decir, de establecer un diálogo entre la doctrina, el magisterio, las costumbres religiosas y las transformaciones sociales, culturales y religiosas. A este respecto el </w:t>
      </w:r>
      <w:proofErr w:type="spellStart"/>
      <w:r w:rsidR="00D95265">
        <w:rPr>
          <w:rFonts w:ascii="Times New Roman" w:hAnsi="Times New Roman" w:cs="Times New Roman"/>
          <w:sz w:val="24"/>
          <w:szCs w:val="24"/>
        </w:rPr>
        <w:t>Vat</w:t>
      </w:r>
      <w:proofErr w:type="spellEnd"/>
      <w:r w:rsidR="00D95265">
        <w:rPr>
          <w:rFonts w:ascii="Times New Roman" w:hAnsi="Times New Roman" w:cs="Times New Roman"/>
          <w:sz w:val="24"/>
          <w:szCs w:val="24"/>
        </w:rPr>
        <w:t>. II., recomendaba que se promovieran estudios teológicos para determinar “</w:t>
      </w:r>
      <w:r w:rsidR="00D95265" w:rsidRPr="00D95265">
        <w:rPr>
          <w:rFonts w:ascii="Times New Roman" w:hAnsi="Times New Roman" w:cs="Times New Roman"/>
          <w:sz w:val="24"/>
          <w:szCs w:val="24"/>
        </w:rPr>
        <w:t>por qué caminos puede llegar la fe a la inteligencia, teniendo en cuenta la filosofía y la sabiduría de los pueblos, y de qué forma pueden compaginarse las costumbres, el sentido de la vida y el orden social con las costumbres manifestadas por la divina revelación</w:t>
      </w:r>
      <w:r w:rsidR="00D95265">
        <w:rPr>
          <w:rFonts w:ascii="Times New Roman" w:hAnsi="Times New Roman" w:cs="Times New Roman"/>
          <w:sz w:val="24"/>
          <w:szCs w:val="24"/>
        </w:rPr>
        <w:t>” (AG 22).</w:t>
      </w:r>
    </w:p>
    <w:p w:rsidR="0034376D" w:rsidRPr="00FA5889" w:rsidRDefault="0034376D" w:rsidP="00216707">
      <w:pPr>
        <w:spacing w:after="0" w:line="360" w:lineRule="auto"/>
        <w:ind w:firstLine="708"/>
        <w:rPr>
          <w:rFonts w:ascii="Times New Roman" w:hAnsi="Times New Roman" w:cs="Times New Roman"/>
          <w:sz w:val="24"/>
          <w:szCs w:val="24"/>
        </w:rPr>
      </w:pPr>
      <w:r>
        <w:rPr>
          <w:rFonts w:ascii="Times New Roman" w:hAnsi="Times New Roman" w:cs="Times New Roman"/>
          <w:sz w:val="24"/>
          <w:szCs w:val="24"/>
        </w:rPr>
        <w:t>Sin el pluralismo sería impensable el diálogo a través del tiempo, del espacio, de la historia. De modo que este podría bien considerarse una pauta hermenéutica que requiere siempre de una mirada atenta, una escucha atenta y un corazón entusiasta.</w:t>
      </w:r>
    </w:p>
    <w:p w:rsidR="009B41F8" w:rsidRPr="00FA5889" w:rsidRDefault="009B41F8" w:rsidP="00330BFF">
      <w:pPr>
        <w:spacing w:after="0" w:line="360" w:lineRule="auto"/>
        <w:rPr>
          <w:rFonts w:ascii="Times New Roman" w:hAnsi="Times New Roman" w:cs="Times New Roman"/>
          <w:sz w:val="24"/>
          <w:szCs w:val="24"/>
        </w:rPr>
      </w:pPr>
    </w:p>
    <w:p w:rsidR="009B41F8" w:rsidRPr="00FA5889" w:rsidRDefault="009B41F8">
      <w:pPr>
        <w:rPr>
          <w:rFonts w:ascii="Times New Roman" w:hAnsi="Times New Roman" w:cs="Times New Roman"/>
          <w:sz w:val="24"/>
          <w:szCs w:val="24"/>
        </w:rPr>
      </w:pPr>
      <w:r w:rsidRPr="00FA5889">
        <w:rPr>
          <w:rFonts w:ascii="Times New Roman" w:hAnsi="Times New Roman" w:cs="Times New Roman"/>
          <w:sz w:val="24"/>
          <w:szCs w:val="24"/>
        </w:rPr>
        <w:br w:type="page"/>
      </w:r>
    </w:p>
    <w:p w:rsidR="00E70D70" w:rsidRPr="00E70D70" w:rsidRDefault="00E70D70" w:rsidP="00E70D70">
      <w:pPr>
        <w:spacing w:after="0" w:line="360" w:lineRule="auto"/>
        <w:rPr>
          <w:rFonts w:ascii="Times New Roman" w:hAnsi="Times New Roman" w:cs="Times New Roman"/>
          <w:b/>
          <w:sz w:val="24"/>
          <w:szCs w:val="24"/>
        </w:rPr>
      </w:pPr>
      <w:r w:rsidRPr="00E70D70">
        <w:rPr>
          <w:rFonts w:ascii="Times New Roman" w:hAnsi="Times New Roman" w:cs="Times New Roman"/>
          <w:b/>
          <w:sz w:val="24"/>
          <w:szCs w:val="24"/>
        </w:rPr>
        <w:lastRenderedPageBreak/>
        <w:t>Bibliografía</w:t>
      </w:r>
    </w:p>
    <w:p w:rsidR="00B43599" w:rsidRPr="00C445A5" w:rsidRDefault="00B43599" w:rsidP="00B43599">
      <w:pPr>
        <w:spacing w:after="0" w:line="360" w:lineRule="auto"/>
        <w:ind w:left="567" w:hanging="567"/>
        <w:rPr>
          <w:rFonts w:ascii="Times New Roman" w:hAnsi="Times New Roman" w:cs="Times New Roman"/>
          <w:sz w:val="24"/>
          <w:szCs w:val="24"/>
        </w:rPr>
      </w:pPr>
      <w:r w:rsidRPr="00B43599">
        <w:rPr>
          <w:rFonts w:ascii="Times New Roman" w:hAnsi="Times New Roman" w:cs="Times New Roman"/>
          <w:sz w:val="24"/>
          <w:szCs w:val="24"/>
          <w:lang w:val="en-US"/>
        </w:rPr>
        <w:t>Dunn, J</w:t>
      </w:r>
      <w:r>
        <w:rPr>
          <w:rFonts w:ascii="Times New Roman" w:hAnsi="Times New Roman" w:cs="Times New Roman"/>
          <w:sz w:val="24"/>
          <w:szCs w:val="24"/>
          <w:lang w:val="en-US"/>
        </w:rPr>
        <w:t>.</w:t>
      </w:r>
      <w:r w:rsidRPr="00B43599">
        <w:rPr>
          <w:rFonts w:ascii="Times New Roman" w:hAnsi="Times New Roman" w:cs="Times New Roman"/>
          <w:sz w:val="24"/>
          <w:szCs w:val="24"/>
          <w:lang w:val="en-US"/>
        </w:rPr>
        <w:t xml:space="preserve"> D. G. </w:t>
      </w:r>
      <w:r w:rsidRPr="00B43599">
        <w:rPr>
          <w:rFonts w:ascii="Times New Roman" w:hAnsi="Times New Roman" w:cs="Times New Roman"/>
          <w:i/>
          <w:sz w:val="24"/>
          <w:szCs w:val="24"/>
          <w:lang w:val="en-US"/>
        </w:rPr>
        <w:t>Unity and Diversity in the New Testament: An Inquiry into the Character of Earliest Christianity</w:t>
      </w:r>
      <w:r w:rsidRPr="00B43599">
        <w:rPr>
          <w:rFonts w:ascii="Times New Roman" w:hAnsi="Times New Roman" w:cs="Times New Roman"/>
          <w:sz w:val="24"/>
          <w:szCs w:val="24"/>
          <w:lang w:val="en-US"/>
        </w:rPr>
        <w:t xml:space="preserve">. </w:t>
      </w:r>
      <w:proofErr w:type="spellStart"/>
      <w:r w:rsidRPr="00C445A5">
        <w:rPr>
          <w:rFonts w:ascii="Times New Roman" w:hAnsi="Times New Roman" w:cs="Times New Roman"/>
          <w:sz w:val="24"/>
          <w:szCs w:val="24"/>
        </w:rPr>
        <w:t>Philadelphia</w:t>
      </w:r>
      <w:proofErr w:type="spellEnd"/>
      <w:r w:rsidRPr="00C445A5">
        <w:rPr>
          <w:rFonts w:ascii="Times New Roman" w:hAnsi="Times New Roman" w:cs="Times New Roman"/>
          <w:sz w:val="24"/>
          <w:szCs w:val="24"/>
        </w:rPr>
        <w:t xml:space="preserve">: Westminster, 1977. </w:t>
      </w:r>
      <w:proofErr w:type="gramStart"/>
      <w:r w:rsidRPr="00C445A5">
        <w:rPr>
          <w:rFonts w:ascii="Times New Roman" w:hAnsi="Times New Roman" w:cs="Times New Roman"/>
          <w:sz w:val="24"/>
          <w:szCs w:val="24"/>
        </w:rPr>
        <w:t>xvii</w:t>
      </w:r>
      <w:proofErr w:type="gramEnd"/>
      <w:r w:rsidRPr="00C445A5">
        <w:rPr>
          <w:rFonts w:ascii="Times New Roman" w:hAnsi="Times New Roman" w:cs="Times New Roman"/>
          <w:sz w:val="24"/>
          <w:szCs w:val="24"/>
        </w:rPr>
        <w:t xml:space="preserve"> + 470 pp.</w:t>
      </w:r>
    </w:p>
    <w:p w:rsidR="00D2357A" w:rsidRDefault="00D2357A" w:rsidP="00D2357A">
      <w:pPr>
        <w:spacing w:after="0" w:line="360" w:lineRule="auto"/>
        <w:ind w:left="567" w:hanging="567"/>
        <w:rPr>
          <w:rFonts w:ascii="Times New Roman" w:hAnsi="Times New Roman" w:cs="Times New Roman"/>
          <w:sz w:val="24"/>
          <w:szCs w:val="24"/>
        </w:rPr>
      </w:pPr>
      <w:proofErr w:type="spellStart"/>
      <w:r w:rsidRPr="00C445A5">
        <w:rPr>
          <w:rFonts w:ascii="Times New Roman" w:hAnsi="Times New Roman" w:cs="Times New Roman"/>
          <w:sz w:val="24"/>
          <w:szCs w:val="24"/>
        </w:rPr>
        <w:t>Fernandez</w:t>
      </w:r>
      <w:proofErr w:type="spellEnd"/>
      <w:r w:rsidRPr="00C445A5">
        <w:rPr>
          <w:rFonts w:ascii="Times New Roman" w:hAnsi="Times New Roman" w:cs="Times New Roman"/>
          <w:sz w:val="24"/>
          <w:szCs w:val="24"/>
        </w:rPr>
        <w:t xml:space="preserve"> Marcos, N. (2008). </w:t>
      </w:r>
      <w:proofErr w:type="spellStart"/>
      <w:r w:rsidRPr="00FA5889">
        <w:rPr>
          <w:rFonts w:ascii="Times New Roman" w:hAnsi="Times New Roman" w:cs="Times New Roman"/>
          <w:i/>
          <w:sz w:val="24"/>
          <w:szCs w:val="24"/>
        </w:rPr>
        <w:t>Septuaginta</w:t>
      </w:r>
      <w:proofErr w:type="spellEnd"/>
      <w:r w:rsidRPr="00FA5889">
        <w:rPr>
          <w:rFonts w:ascii="Times New Roman" w:hAnsi="Times New Roman" w:cs="Times New Roman"/>
          <w:i/>
          <w:sz w:val="24"/>
          <w:szCs w:val="24"/>
        </w:rPr>
        <w:t>: la Biblia griega de judíos y cristianos</w:t>
      </w:r>
      <w:r>
        <w:rPr>
          <w:rFonts w:ascii="Times New Roman" w:hAnsi="Times New Roman" w:cs="Times New Roman"/>
          <w:sz w:val="24"/>
          <w:szCs w:val="24"/>
        </w:rPr>
        <w:t xml:space="preserve">. </w:t>
      </w:r>
      <w:r w:rsidRPr="00FA5889">
        <w:rPr>
          <w:rFonts w:ascii="Times New Roman" w:hAnsi="Times New Roman" w:cs="Times New Roman"/>
          <w:sz w:val="24"/>
          <w:szCs w:val="24"/>
        </w:rPr>
        <w:t>Salamanca: Ediciones Sígueme, 157 pp.</w:t>
      </w:r>
    </w:p>
    <w:p w:rsidR="00926A33" w:rsidRDefault="00926A33" w:rsidP="00D2357A">
      <w:pPr>
        <w:spacing w:after="0" w:line="360" w:lineRule="auto"/>
        <w:ind w:left="567" w:hanging="567"/>
        <w:rPr>
          <w:rFonts w:ascii="Times New Roman" w:hAnsi="Times New Roman" w:cs="Times New Roman"/>
          <w:sz w:val="24"/>
          <w:szCs w:val="24"/>
        </w:rPr>
      </w:pPr>
      <w:r w:rsidRPr="00926A33">
        <w:rPr>
          <w:rFonts w:ascii="Times New Roman" w:hAnsi="Times New Roman" w:cs="Times New Roman"/>
          <w:sz w:val="24"/>
          <w:szCs w:val="24"/>
        </w:rPr>
        <w:t xml:space="preserve">García </w:t>
      </w:r>
      <w:proofErr w:type="spellStart"/>
      <w:r w:rsidRPr="00926A33">
        <w:rPr>
          <w:rFonts w:ascii="Times New Roman" w:hAnsi="Times New Roman" w:cs="Times New Roman"/>
          <w:sz w:val="24"/>
          <w:szCs w:val="24"/>
        </w:rPr>
        <w:t>Canclini</w:t>
      </w:r>
      <w:proofErr w:type="spellEnd"/>
      <w:r w:rsidRPr="00926A33">
        <w:rPr>
          <w:rFonts w:ascii="Times New Roman" w:hAnsi="Times New Roman" w:cs="Times New Roman"/>
          <w:sz w:val="24"/>
          <w:szCs w:val="24"/>
        </w:rPr>
        <w:t>, N</w:t>
      </w:r>
      <w:r>
        <w:rPr>
          <w:rFonts w:ascii="Times New Roman" w:hAnsi="Times New Roman" w:cs="Times New Roman"/>
          <w:sz w:val="24"/>
          <w:szCs w:val="24"/>
        </w:rPr>
        <w:t>.</w:t>
      </w:r>
      <w:r w:rsidRPr="00926A33">
        <w:rPr>
          <w:rFonts w:ascii="Times New Roman" w:hAnsi="Times New Roman" w:cs="Times New Roman"/>
          <w:sz w:val="24"/>
          <w:szCs w:val="24"/>
        </w:rPr>
        <w:t xml:space="preserve"> (1989). </w:t>
      </w:r>
      <w:r w:rsidRPr="00926A33">
        <w:rPr>
          <w:rFonts w:ascii="Times New Roman" w:hAnsi="Times New Roman" w:cs="Times New Roman"/>
          <w:i/>
          <w:sz w:val="24"/>
          <w:szCs w:val="24"/>
        </w:rPr>
        <w:t>Culturas híbridas: Estrategias para entrar y salir de la modernidad</w:t>
      </w:r>
      <w:r w:rsidRPr="00926A33">
        <w:rPr>
          <w:rFonts w:ascii="Times New Roman" w:hAnsi="Times New Roman" w:cs="Times New Roman"/>
          <w:sz w:val="24"/>
          <w:szCs w:val="24"/>
        </w:rPr>
        <w:t>. México: Grijalbo.</w:t>
      </w:r>
    </w:p>
    <w:p w:rsidR="00C445A5" w:rsidRPr="00C445A5" w:rsidRDefault="00C445A5" w:rsidP="00D2357A">
      <w:pPr>
        <w:spacing w:after="0" w:line="360" w:lineRule="auto"/>
        <w:ind w:left="567" w:hanging="567"/>
        <w:rPr>
          <w:rFonts w:ascii="Times New Roman" w:hAnsi="Times New Roman" w:cs="Times New Roman"/>
          <w:sz w:val="24"/>
          <w:szCs w:val="24"/>
        </w:rPr>
      </w:pPr>
      <w:proofErr w:type="spellStart"/>
      <w:r>
        <w:rPr>
          <w:rFonts w:ascii="Times New Roman" w:hAnsi="Times New Roman" w:cs="Times New Roman"/>
          <w:sz w:val="24"/>
          <w:szCs w:val="24"/>
        </w:rPr>
        <w:t>Henn</w:t>
      </w:r>
      <w:proofErr w:type="spellEnd"/>
      <w:r>
        <w:rPr>
          <w:rFonts w:ascii="Times New Roman" w:hAnsi="Times New Roman" w:cs="Times New Roman"/>
          <w:sz w:val="24"/>
          <w:szCs w:val="24"/>
        </w:rPr>
        <w:t xml:space="preserve">, W. Pluralismo teológico. En: R. </w:t>
      </w:r>
      <w:proofErr w:type="spellStart"/>
      <w:r>
        <w:rPr>
          <w:rFonts w:ascii="Times New Roman" w:hAnsi="Times New Roman" w:cs="Times New Roman"/>
          <w:sz w:val="24"/>
          <w:szCs w:val="24"/>
        </w:rPr>
        <w:t>Latourelle</w:t>
      </w:r>
      <w:proofErr w:type="spellEnd"/>
      <w:r>
        <w:rPr>
          <w:rFonts w:ascii="Times New Roman" w:hAnsi="Times New Roman" w:cs="Times New Roman"/>
          <w:sz w:val="24"/>
          <w:szCs w:val="24"/>
        </w:rPr>
        <w:t xml:space="preserve"> y R. </w:t>
      </w:r>
      <w:proofErr w:type="spellStart"/>
      <w:r>
        <w:rPr>
          <w:rFonts w:ascii="Times New Roman" w:hAnsi="Times New Roman" w:cs="Times New Roman"/>
          <w:sz w:val="24"/>
          <w:szCs w:val="24"/>
        </w:rPr>
        <w:t>Fisichella</w:t>
      </w:r>
      <w:proofErr w:type="spellEnd"/>
      <w:r>
        <w:rPr>
          <w:rFonts w:ascii="Times New Roman" w:hAnsi="Times New Roman" w:cs="Times New Roman"/>
          <w:sz w:val="24"/>
          <w:szCs w:val="24"/>
        </w:rPr>
        <w:t xml:space="preserve"> (Dir.), </w:t>
      </w:r>
      <w:r>
        <w:rPr>
          <w:rFonts w:ascii="Times New Roman" w:hAnsi="Times New Roman" w:cs="Times New Roman"/>
          <w:i/>
          <w:sz w:val="24"/>
          <w:szCs w:val="24"/>
        </w:rPr>
        <w:t>Diccionario de teología fundamental</w:t>
      </w:r>
      <w:r>
        <w:rPr>
          <w:rFonts w:ascii="Times New Roman" w:hAnsi="Times New Roman" w:cs="Times New Roman"/>
          <w:sz w:val="24"/>
          <w:szCs w:val="24"/>
        </w:rPr>
        <w:t>. (</w:t>
      </w:r>
      <w:proofErr w:type="gramStart"/>
      <w:r>
        <w:rPr>
          <w:rFonts w:ascii="Times New Roman" w:hAnsi="Times New Roman" w:cs="Times New Roman"/>
          <w:sz w:val="24"/>
          <w:szCs w:val="24"/>
        </w:rPr>
        <w:t>pp</w:t>
      </w:r>
      <w:proofErr w:type="gramEnd"/>
      <w:r>
        <w:rPr>
          <w:rFonts w:ascii="Times New Roman" w:hAnsi="Times New Roman" w:cs="Times New Roman"/>
          <w:sz w:val="24"/>
          <w:szCs w:val="24"/>
        </w:rPr>
        <w:t>. 1059-1063). Madrid: Paulinas, 1992.</w:t>
      </w:r>
    </w:p>
    <w:p w:rsidR="00D2357A" w:rsidRPr="00ED435F" w:rsidRDefault="00D2357A" w:rsidP="00D2357A">
      <w:pPr>
        <w:spacing w:after="0" w:line="360" w:lineRule="auto"/>
        <w:ind w:left="567" w:hanging="567"/>
        <w:rPr>
          <w:rFonts w:ascii="Times New Roman" w:hAnsi="Times New Roman" w:cs="Times New Roman"/>
          <w:sz w:val="24"/>
          <w:szCs w:val="24"/>
        </w:rPr>
      </w:pPr>
      <w:proofErr w:type="spellStart"/>
      <w:r>
        <w:rPr>
          <w:rFonts w:ascii="Times New Roman" w:hAnsi="Times New Roman" w:cs="Times New Roman"/>
          <w:sz w:val="24"/>
          <w:szCs w:val="24"/>
        </w:rPr>
        <w:t>Levoratti</w:t>
      </w:r>
      <w:proofErr w:type="spellEnd"/>
      <w:r>
        <w:rPr>
          <w:rFonts w:ascii="Times New Roman" w:hAnsi="Times New Roman" w:cs="Times New Roman"/>
          <w:sz w:val="24"/>
          <w:szCs w:val="24"/>
        </w:rPr>
        <w:t xml:space="preserve"> et al., (20017). </w:t>
      </w:r>
      <w:r>
        <w:rPr>
          <w:rFonts w:ascii="Times New Roman" w:hAnsi="Times New Roman" w:cs="Times New Roman"/>
          <w:i/>
          <w:sz w:val="24"/>
          <w:szCs w:val="24"/>
        </w:rPr>
        <w:t>Comentario bíblico latinoamericano. Nuevo Testamento</w:t>
      </w:r>
      <w:r>
        <w:rPr>
          <w:rFonts w:ascii="Times New Roman" w:hAnsi="Times New Roman" w:cs="Times New Roman"/>
          <w:sz w:val="24"/>
          <w:szCs w:val="24"/>
        </w:rPr>
        <w:t xml:space="preserve">. </w:t>
      </w:r>
      <w:proofErr w:type="spellStart"/>
      <w:r>
        <w:rPr>
          <w:rFonts w:ascii="Times New Roman" w:hAnsi="Times New Roman" w:cs="Times New Roman"/>
          <w:sz w:val="24"/>
          <w:szCs w:val="24"/>
        </w:rPr>
        <w:t>Estella</w:t>
      </w:r>
      <w:proofErr w:type="spellEnd"/>
      <w:r>
        <w:rPr>
          <w:rFonts w:ascii="Times New Roman" w:hAnsi="Times New Roman" w:cs="Times New Roman"/>
          <w:sz w:val="24"/>
          <w:szCs w:val="24"/>
        </w:rPr>
        <w:t>: Verbo Divino.</w:t>
      </w:r>
    </w:p>
    <w:p w:rsidR="00D2357A" w:rsidRDefault="00D2357A" w:rsidP="00D2357A">
      <w:pPr>
        <w:spacing w:after="0" w:line="360" w:lineRule="auto"/>
        <w:ind w:left="567" w:hanging="567"/>
        <w:rPr>
          <w:rFonts w:ascii="Times New Roman" w:hAnsi="Times New Roman" w:cs="Times New Roman"/>
          <w:sz w:val="24"/>
          <w:szCs w:val="24"/>
        </w:rPr>
      </w:pPr>
      <w:proofErr w:type="spellStart"/>
      <w:r w:rsidRPr="00DF1232">
        <w:rPr>
          <w:rFonts w:ascii="Times New Roman" w:hAnsi="Times New Roman" w:cs="Times New Roman"/>
          <w:sz w:val="24"/>
          <w:szCs w:val="24"/>
        </w:rPr>
        <w:t>Schnackenburg</w:t>
      </w:r>
      <w:proofErr w:type="spellEnd"/>
      <w:r w:rsidRPr="00DF1232">
        <w:rPr>
          <w:rFonts w:ascii="Times New Roman" w:hAnsi="Times New Roman" w:cs="Times New Roman"/>
          <w:sz w:val="24"/>
          <w:szCs w:val="24"/>
        </w:rPr>
        <w:t xml:space="preserve">, </w:t>
      </w:r>
      <w:r w:rsidRPr="00DF1232">
        <w:rPr>
          <w:rFonts w:ascii="Times New Roman" w:hAnsi="Times New Roman" w:cs="Times New Roman"/>
          <w:i/>
          <w:sz w:val="24"/>
          <w:szCs w:val="24"/>
        </w:rPr>
        <w:t>La persona de Jesucristo reflejada en los cuatro Evangelios</w:t>
      </w:r>
      <w:r>
        <w:rPr>
          <w:rFonts w:ascii="Times New Roman" w:hAnsi="Times New Roman" w:cs="Times New Roman"/>
          <w:sz w:val="24"/>
          <w:szCs w:val="24"/>
        </w:rPr>
        <w:t xml:space="preserve">. </w:t>
      </w:r>
      <w:r w:rsidRPr="00DF1232">
        <w:rPr>
          <w:rFonts w:ascii="Times New Roman" w:hAnsi="Times New Roman" w:cs="Times New Roman"/>
          <w:sz w:val="24"/>
          <w:szCs w:val="24"/>
        </w:rPr>
        <w:t>Barcelona 1998, 459 pp., 14 x 22,</w:t>
      </w:r>
      <w:r>
        <w:rPr>
          <w:rFonts w:ascii="Times New Roman" w:hAnsi="Times New Roman" w:cs="Times New Roman"/>
          <w:sz w:val="24"/>
          <w:szCs w:val="24"/>
        </w:rPr>
        <w:t xml:space="preserve"> </w:t>
      </w:r>
      <w:r w:rsidRPr="00DF1232">
        <w:rPr>
          <w:rFonts w:ascii="Times New Roman" w:hAnsi="Times New Roman" w:cs="Times New Roman"/>
          <w:sz w:val="24"/>
          <w:szCs w:val="24"/>
        </w:rPr>
        <w:t>ISBN 84-254-2021-0.</w:t>
      </w:r>
    </w:p>
    <w:p w:rsidR="00D2357A" w:rsidRDefault="00D2357A" w:rsidP="00D2357A">
      <w:pPr>
        <w:spacing w:after="0" w:line="360" w:lineRule="auto"/>
        <w:ind w:left="567" w:hanging="567"/>
        <w:rPr>
          <w:rFonts w:ascii="Times New Roman" w:hAnsi="Times New Roman" w:cs="Times New Roman"/>
          <w:sz w:val="24"/>
          <w:szCs w:val="24"/>
        </w:rPr>
      </w:pPr>
      <w:proofErr w:type="spellStart"/>
      <w:r w:rsidRPr="00FA5889">
        <w:rPr>
          <w:rFonts w:ascii="Times New Roman" w:hAnsi="Times New Roman" w:cs="Times New Roman"/>
          <w:sz w:val="24"/>
          <w:szCs w:val="24"/>
        </w:rPr>
        <w:t>Trebolle</w:t>
      </w:r>
      <w:proofErr w:type="spellEnd"/>
      <w:r w:rsidRPr="00FA5889">
        <w:rPr>
          <w:rFonts w:ascii="Times New Roman" w:hAnsi="Times New Roman" w:cs="Times New Roman"/>
          <w:sz w:val="24"/>
          <w:szCs w:val="24"/>
        </w:rPr>
        <w:t xml:space="preserve"> Barrera, J. (1993). </w:t>
      </w:r>
      <w:r w:rsidRPr="00DF1232">
        <w:rPr>
          <w:rFonts w:ascii="Times New Roman" w:hAnsi="Times New Roman" w:cs="Times New Roman"/>
          <w:i/>
          <w:sz w:val="24"/>
          <w:szCs w:val="24"/>
        </w:rPr>
        <w:t>La Biblia judía y la Biblia Cristiana. Introducción a la historia de la Biblia</w:t>
      </w:r>
      <w:r w:rsidRPr="00FA5889">
        <w:rPr>
          <w:rFonts w:ascii="Times New Roman" w:hAnsi="Times New Roman" w:cs="Times New Roman"/>
          <w:sz w:val="24"/>
          <w:szCs w:val="24"/>
        </w:rPr>
        <w:t xml:space="preserve">. Editorial </w:t>
      </w:r>
      <w:proofErr w:type="spellStart"/>
      <w:r w:rsidRPr="00FA5889">
        <w:rPr>
          <w:rFonts w:ascii="Times New Roman" w:hAnsi="Times New Roman" w:cs="Times New Roman"/>
          <w:sz w:val="24"/>
          <w:szCs w:val="24"/>
        </w:rPr>
        <w:t>Trotta</w:t>
      </w:r>
      <w:proofErr w:type="spellEnd"/>
      <w:r w:rsidRPr="00FA5889">
        <w:rPr>
          <w:rFonts w:ascii="Times New Roman" w:hAnsi="Times New Roman" w:cs="Times New Roman"/>
          <w:sz w:val="24"/>
          <w:szCs w:val="24"/>
        </w:rPr>
        <w:t>. Madrid;</w:t>
      </w:r>
      <w:r>
        <w:rPr>
          <w:rFonts w:ascii="Times New Roman" w:hAnsi="Times New Roman" w:cs="Times New Roman"/>
          <w:sz w:val="24"/>
          <w:szCs w:val="24"/>
        </w:rPr>
        <w:t xml:space="preserve"> </w:t>
      </w:r>
      <w:r w:rsidRPr="00FA5889">
        <w:rPr>
          <w:rFonts w:ascii="Times New Roman" w:hAnsi="Times New Roman" w:cs="Times New Roman"/>
          <w:sz w:val="24"/>
          <w:szCs w:val="24"/>
        </w:rPr>
        <w:t xml:space="preserve">670 pp. </w:t>
      </w:r>
      <w:proofErr w:type="gramStart"/>
      <w:r w:rsidRPr="00FA5889">
        <w:rPr>
          <w:rFonts w:ascii="Times New Roman" w:hAnsi="Times New Roman" w:cs="Times New Roman"/>
          <w:sz w:val="24"/>
          <w:szCs w:val="24"/>
        </w:rPr>
        <w:t>ISBN :</w:t>
      </w:r>
      <w:proofErr w:type="gramEnd"/>
      <w:r w:rsidRPr="00FA5889">
        <w:rPr>
          <w:rFonts w:ascii="Times New Roman" w:hAnsi="Times New Roman" w:cs="Times New Roman"/>
          <w:sz w:val="24"/>
          <w:szCs w:val="24"/>
        </w:rPr>
        <w:t xml:space="preserve"> 84-87699-55-3.</w:t>
      </w:r>
    </w:p>
    <w:p w:rsidR="00A9507A" w:rsidRDefault="00A9507A" w:rsidP="00D2357A">
      <w:pPr>
        <w:spacing w:after="0" w:line="360" w:lineRule="auto"/>
        <w:ind w:left="567" w:hanging="567"/>
        <w:rPr>
          <w:rFonts w:ascii="Times New Roman" w:hAnsi="Times New Roman" w:cs="Times New Roman"/>
          <w:sz w:val="24"/>
          <w:szCs w:val="24"/>
        </w:rPr>
      </w:pPr>
      <w:r>
        <w:rPr>
          <w:rFonts w:ascii="Times New Roman" w:hAnsi="Times New Roman" w:cs="Times New Roman"/>
          <w:sz w:val="24"/>
          <w:szCs w:val="24"/>
        </w:rPr>
        <w:t xml:space="preserve">Concilio Vaticano II. (1964). </w:t>
      </w:r>
      <w:proofErr w:type="spellStart"/>
      <w:r>
        <w:rPr>
          <w:rFonts w:ascii="Times New Roman" w:hAnsi="Times New Roman" w:cs="Times New Roman"/>
          <w:i/>
          <w:sz w:val="24"/>
          <w:szCs w:val="24"/>
        </w:rPr>
        <w:t>Unitatis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Redintegratio</w:t>
      </w:r>
      <w:proofErr w:type="spellEnd"/>
      <w:r>
        <w:rPr>
          <w:rFonts w:ascii="Times New Roman" w:hAnsi="Times New Roman" w:cs="Times New Roman"/>
          <w:i/>
          <w:sz w:val="24"/>
          <w:szCs w:val="24"/>
        </w:rPr>
        <w:t>. Decreto sobre el ecumenismo</w:t>
      </w:r>
      <w:r>
        <w:rPr>
          <w:rFonts w:ascii="Times New Roman" w:hAnsi="Times New Roman" w:cs="Times New Roman"/>
          <w:sz w:val="24"/>
          <w:szCs w:val="24"/>
        </w:rPr>
        <w:t xml:space="preserve">. </w:t>
      </w:r>
    </w:p>
    <w:p w:rsidR="005E37B0" w:rsidRPr="00A9507A" w:rsidRDefault="005E37B0" w:rsidP="00D2357A">
      <w:pPr>
        <w:spacing w:after="0" w:line="360" w:lineRule="auto"/>
        <w:ind w:left="567" w:hanging="567"/>
        <w:rPr>
          <w:rFonts w:ascii="Times New Roman" w:hAnsi="Times New Roman" w:cs="Times New Roman"/>
          <w:sz w:val="24"/>
          <w:szCs w:val="24"/>
        </w:rPr>
      </w:pPr>
    </w:p>
    <w:sectPr w:rsidR="005E37B0" w:rsidRPr="00A9507A">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DE2" w:rsidRDefault="00105DE2" w:rsidP="00D522FE">
      <w:pPr>
        <w:spacing w:after="0" w:line="240" w:lineRule="auto"/>
      </w:pPr>
      <w:r>
        <w:separator/>
      </w:r>
    </w:p>
  </w:endnote>
  <w:endnote w:type="continuationSeparator" w:id="0">
    <w:p w:rsidR="00105DE2" w:rsidRDefault="00105DE2" w:rsidP="00D52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DE2" w:rsidRDefault="00105DE2" w:rsidP="00D522FE">
      <w:pPr>
        <w:spacing w:after="0" w:line="240" w:lineRule="auto"/>
      </w:pPr>
      <w:r>
        <w:separator/>
      </w:r>
    </w:p>
  </w:footnote>
  <w:footnote w:type="continuationSeparator" w:id="0">
    <w:p w:rsidR="00105DE2" w:rsidRDefault="00105DE2" w:rsidP="00D522FE">
      <w:pPr>
        <w:spacing w:after="0" w:line="240" w:lineRule="auto"/>
      </w:pPr>
      <w:r>
        <w:continuationSeparator/>
      </w:r>
    </w:p>
  </w:footnote>
  <w:footnote w:id="1">
    <w:p w:rsidR="00D95265" w:rsidRDefault="00D95265" w:rsidP="00D2357A">
      <w:pPr>
        <w:pStyle w:val="Textonotapie"/>
      </w:pPr>
      <w:r>
        <w:rPr>
          <w:rStyle w:val="Refdenotaalpie"/>
        </w:rPr>
        <w:footnoteRef/>
      </w:r>
      <w:r>
        <w:t xml:space="preserve"> Misionero claretiano; Doctor en teología PUJ-Bogotá 2014; Magister en Exégesis Bíblica, PIB-Roma 2002; Licenciado en Teología PUJ-Bogotá 1996. Docente en la Facultad de Teología de la Universidad Santo Tomás Bogotá. Correo electrónico: jostomu@yahoo.com; josetorresm@usantotomas.edu.co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521919"/>
      <w:docPartObj>
        <w:docPartGallery w:val="Page Numbers (Top of Page)"/>
        <w:docPartUnique/>
      </w:docPartObj>
    </w:sdtPr>
    <w:sdtEndPr/>
    <w:sdtContent>
      <w:p w:rsidR="00D95265" w:rsidRDefault="00D95265">
        <w:pPr>
          <w:pStyle w:val="Encabezado"/>
          <w:jc w:val="right"/>
        </w:pPr>
        <w:r>
          <w:fldChar w:fldCharType="begin"/>
        </w:r>
        <w:r>
          <w:instrText>PAGE   \* MERGEFORMAT</w:instrText>
        </w:r>
        <w:r>
          <w:fldChar w:fldCharType="separate"/>
        </w:r>
        <w:r w:rsidR="00216707" w:rsidRPr="00216707">
          <w:rPr>
            <w:noProof/>
            <w:lang w:val="es-ES"/>
          </w:rPr>
          <w:t>7</w:t>
        </w:r>
        <w:r>
          <w:fldChar w:fldCharType="end"/>
        </w:r>
      </w:p>
    </w:sdtContent>
  </w:sdt>
  <w:p w:rsidR="00D95265" w:rsidRDefault="00D9526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35F"/>
    <w:rsid w:val="00025F69"/>
    <w:rsid w:val="00027AE1"/>
    <w:rsid w:val="000429DD"/>
    <w:rsid w:val="000D3A61"/>
    <w:rsid w:val="000E4D77"/>
    <w:rsid w:val="00105DE2"/>
    <w:rsid w:val="001424D0"/>
    <w:rsid w:val="00166210"/>
    <w:rsid w:val="002056F8"/>
    <w:rsid w:val="00216707"/>
    <w:rsid w:val="0023299D"/>
    <w:rsid w:val="0028192E"/>
    <w:rsid w:val="002C0FE9"/>
    <w:rsid w:val="002C78A3"/>
    <w:rsid w:val="00330BFF"/>
    <w:rsid w:val="0034376D"/>
    <w:rsid w:val="00344EF6"/>
    <w:rsid w:val="003456D7"/>
    <w:rsid w:val="003F7C1B"/>
    <w:rsid w:val="00437022"/>
    <w:rsid w:val="00464A69"/>
    <w:rsid w:val="004B72EE"/>
    <w:rsid w:val="005E37B0"/>
    <w:rsid w:val="00611393"/>
    <w:rsid w:val="00650CF9"/>
    <w:rsid w:val="006737EB"/>
    <w:rsid w:val="00685689"/>
    <w:rsid w:val="00693D20"/>
    <w:rsid w:val="00894E64"/>
    <w:rsid w:val="008B45B3"/>
    <w:rsid w:val="00926A33"/>
    <w:rsid w:val="009908A0"/>
    <w:rsid w:val="00990E40"/>
    <w:rsid w:val="009A5350"/>
    <w:rsid w:val="009B41F8"/>
    <w:rsid w:val="009D4E98"/>
    <w:rsid w:val="00A21087"/>
    <w:rsid w:val="00A43B27"/>
    <w:rsid w:val="00A74D88"/>
    <w:rsid w:val="00A9507A"/>
    <w:rsid w:val="00AA08BC"/>
    <w:rsid w:val="00B43599"/>
    <w:rsid w:val="00BB50F8"/>
    <w:rsid w:val="00BC24A2"/>
    <w:rsid w:val="00C37B4A"/>
    <w:rsid w:val="00C445A5"/>
    <w:rsid w:val="00C46E89"/>
    <w:rsid w:val="00C705A0"/>
    <w:rsid w:val="00CE2392"/>
    <w:rsid w:val="00D2357A"/>
    <w:rsid w:val="00D306D7"/>
    <w:rsid w:val="00D50E79"/>
    <w:rsid w:val="00D522FE"/>
    <w:rsid w:val="00D91921"/>
    <w:rsid w:val="00D95265"/>
    <w:rsid w:val="00D954E7"/>
    <w:rsid w:val="00DF1232"/>
    <w:rsid w:val="00E70D70"/>
    <w:rsid w:val="00E90756"/>
    <w:rsid w:val="00ED435F"/>
    <w:rsid w:val="00F64D03"/>
    <w:rsid w:val="00FA503A"/>
    <w:rsid w:val="00FA5889"/>
    <w:rsid w:val="00FB50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22F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22FE"/>
  </w:style>
  <w:style w:type="paragraph" w:styleId="Piedepgina">
    <w:name w:val="footer"/>
    <w:basedOn w:val="Normal"/>
    <w:link w:val="PiedepginaCar"/>
    <w:uiPriority w:val="99"/>
    <w:unhideWhenUsed/>
    <w:rsid w:val="00D522F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22FE"/>
  </w:style>
  <w:style w:type="paragraph" w:styleId="Textonotapie">
    <w:name w:val="footnote text"/>
    <w:basedOn w:val="Normal"/>
    <w:link w:val="TextonotapieCar"/>
    <w:uiPriority w:val="99"/>
    <w:semiHidden/>
    <w:unhideWhenUsed/>
    <w:rsid w:val="00990E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90E40"/>
    <w:rPr>
      <w:sz w:val="20"/>
      <w:szCs w:val="20"/>
    </w:rPr>
  </w:style>
  <w:style w:type="character" w:styleId="Refdenotaalpie">
    <w:name w:val="footnote reference"/>
    <w:basedOn w:val="Fuentedeprrafopredeter"/>
    <w:uiPriority w:val="99"/>
    <w:semiHidden/>
    <w:unhideWhenUsed/>
    <w:rsid w:val="00990E40"/>
    <w:rPr>
      <w:vertAlign w:val="superscript"/>
    </w:rPr>
  </w:style>
  <w:style w:type="character" w:styleId="Hipervnculo">
    <w:name w:val="Hyperlink"/>
    <w:basedOn w:val="Fuentedeprrafopredeter"/>
    <w:uiPriority w:val="99"/>
    <w:unhideWhenUsed/>
    <w:rsid w:val="00990E4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22F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22FE"/>
  </w:style>
  <w:style w:type="paragraph" w:styleId="Piedepgina">
    <w:name w:val="footer"/>
    <w:basedOn w:val="Normal"/>
    <w:link w:val="PiedepginaCar"/>
    <w:uiPriority w:val="99"/>
    <w:unhideWhenUsed/>
    <w:rsid w:val="00D522F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22FE"/>
  </w:style>
  <w:style w:type="paragraph" w:styleId="Textonotapie">
    <w:name w:val="footnote text"/>
    <w:basedOn w:val="Normal"/>
    <w:link w:val="TextonotapieCar"/>
    <w:uiPriority w:val="99"/>
    <w:semiHidden/>
    <w:unhideWhenUsed/>
    <w:rsid w:val="00990E4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90E40"/>
    <w:rPr>
      <w:sz w:val="20"/>
      <w:szCs w:val="20"/>
    </w:rPr>
  </w:style>
  <w:style w:type="character" w:styleId="Refdenotaalpie">
    <w:name w:val="footnote reference"/>
    <w:basedOn w:val="Fuentedeprrafopredeter"/>
    <w:uiPriority w:val="99"/>
    <w:semiHidden/>
    <w:unhideWhenUsed/>
    <w:rsid w:val="00990E40"/>
    <w:rPr>
      <w:vertAlign w:val="superscript"/>
    </w:rPr>
  </w:style>
  <w:style w:type="character" w:styleId="Hipervnculo">
    <w:name w:val="Hyperlink"/>
    <w:basedOn w:val="Fuentedeprrafopredeter"/>
    <w:uiPriority w:val="99"/>
    <w:unhideWhenUsed/>
    <w:rsid w:val="00990E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76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C65F0-D61C-45D1-95A8-7F200BAAC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1</Pages>
  <Words>2514</Words>
  <Characters>13831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Usta</dc:creator>
  <cp:keywords/>
  <dc:description/>
  <cp:lastModifiedBy>Jose</cp:lastModifiedBy>
  <cp:revision>6</cp:revision>
  <dcterms:created xsi:type="dcterms:W3CDTF">2019-08-20T19:21:00Z</dcterms:created>
  <dcterms:modified xsi:type="dcterms:W3CDTF">2019-10-17T18:05:00Z</dcterms:modified>
</cp:coreProperties>
</file>