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2.xml" ContentType="application/vnd.openxmlformats-officedocument.themeOverride+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221BB" w:rsidRPr="00653097" w:rsidRDefault="008821A5" w:rsidP="00A221BB">
      <w:pPr>
        <w:pStyle w:val="TituloURSI"/>
        <w:ind w:left="0" w:right="0"/>
      </w:pPr>
      <w:r w:rsidRPr="00653097">
        <w:tab/>
      </w:r>
      <w:r w:rsidR="00A221BB">
        <w:t>Impacto en el apagado de la tecnología 2G en Colombia</w:t>
      </w:r>
    </w:p>
    <w:tbl>
      <w:tblPr>
        <w:tblW w:w="0" w:type="auto"/>
        <w:jc w:val="center"/>
        <w:tblLayout w:type="fixed"/>
        <w:tblLook w:val="0000" w:firstRow="0" w:lastRow="0" w:firstColumn="0" w:lastColumn="0" w:noHBand="0" w:noVBand="0"/>
      </w:tblPr>
      <w:tblGrid>
        <w:gridCol w:w="9066"/>
      </w:tblGrid>
      <w:tr w:rsidR="00A221BB" w:rsidRPr="00653097" w:rsidTr="00263567">
        <w:trPr>
          <w:trHeight w:val="549"/>
          <w:jc w:val="center"/>
        </w:trPr>
        <w:tc>
          <w:tcPr>
            <w:tcW w:w="9066" w:type="dxa"/>
          </w:tcPr>
          <w:p w:rsidR="00A221BB" w:rsidRPr="00653097" w:rsidRDefault="00A221BB" w:rsidP="00263567">
            <w:pPr>
              <w:pStyle w:val="AutoresURSI"/>
              <w:rPr>
                <w:sz w:val="22"/>
              </w:rPr>
            </w:pPr>
            <w:r>
              <w:rPr>
                <w:sz w:val="22"/>
              </w:rPr>
              <w:t>Gustavo Alonso Chica Pedraza, Andrés David Rodríguez Daza</w:t>
            </w:r>
          </w:p>
        </w:tc>
      </w:tr>
      <w:tr w:rsidR="00A221BB" w:rsidRPr="00653097" w:rsidTr="00263567">
        <w:trPr>
          <w:jc w:val="center"/>
        </w:trPr>
        <w:tc>
          <w:tcPr>
            <w:tcW w:w="9066" w:type="dxa"/>
          </w:tcPr>
          <w:p w:rsidR="00A221BB" w:rsidRPr="00653097" w:rsidRDefault="00A221BB" w:rsidP="00263567">
            <w:pPr>
              <w:jc w:val="center"/>
              <w:rPr>
                <w:szCs w:val="18"/>
                <w:lang w:val="es-ES"/>
              </w:rPr>
            </w:pPr>
            <w:r w:rsidRPr="00653097">
              <w:rPr>
                <w:rStyle w:val="AfiliacinUniversidad"/>
                <w:lang w:val="es-ES"/>
              </w:rPr>
              <w:t>Uni</w:t>
            </w:r>
            <w:r>
              <w:rPr>
                <w:rStyle w:val="AfiliacinUniversidad"/>
                <w:lang w:val="es-ES"/>
              </w:rPr>
              <w:t>versidad Santo Tomás</w:t>
            </w:r>
          </w:p>
        </w:tc>
      </w:tr>
      <w:tr w:rsidR="00A221BB" w:rsidRPr="00653097" w:rsidTr="00A221BB">
        <w:trPr>
          <w:trHeight w:val="70"/>
          <w:jc w:val="center"/>
        </w:trPr>
        <w:tc>
          <w:tcPr>
            <w:tcW w:w="9066" w:type="dxa"/>
          </w:tcPr>
          <w:p w:rsidR="00A221BB" w:rsidRPr="002346BD" w:rsidRDefault="00A221BB" w:rsidP="00263567">
            <w:pPr>
              <w:jc w:val="center"/>
              <w:rPr>
                <w:i/>
                <w:color w:val="000000"/>
                <w:szCs w:val="18"/>
                <w:lang w:val="es-ES"/>
              </w:rPr>
            </w:pPr>
            <w:r w:rsidRPr="002346BD">
              <w:rPr>
                <w:rStyle w:val="AfiliacinUniversidad"/>
                <w:i/>
                <w:color w:val="000000"/>
                <w:lang w:val="es-ES"/>
              </w:rPr>
              <w:t xml:space="preserve">gustavochica@usantotomas.edu.co, </w:t>
            </w:r>
            <w:hyperlink r:id="rId8" w:history="1">
              <w:r w:rsidR="006A78BD" w:rsidRPr="002346BD">
                <w:rPr>
                  <w:rStyle w:val="AfiliacinUniversidad"/>
                  <w:i/>
                  <w:color w:val="000000"/>
                  <w:lang w:val="es-ES"/>
                </w:rPr>
                <w:t>andres.rodriguezd</w:t>
              </w:r>
            </w:hyperlink>
            <w:r w:rsidRPr="002346BD">
              <w:rPr>
                <w:rStyle w:val="AfiliacinUniversidad"/>
                <w:i/>
                <w:color w:val="000000"/>
                <w:lang w:val="es-ES"/>
              </w:rPr>
              <w:t>@usantotomas.edu.co</w:t>
            </w:r>
          </w:p>
        </w:tc>
      </w:tr>
      <w:tr w:rsidR="00A221BB" w:rsidRPr="00653097" w:rsidTr="00263567">
        <w:trPr>
          <w:trHeight w:val="157"/>
          <w:jc w:val="center"/>
        </w:trPr>
        <w:tc>
          <w:tcPr>
            <w:tcW w:w="9066" w:type="dxa"/>
          </w:tcPr>
          <w:p w:rsidR="00A221BB" w:rsidRPr="005F7224" w:rsidRDefault="00A221BB" w:rsidP="00263567">
            <w:pPr>
              <w:jc w:val="center"/>
              <w:rPr>
                <w:color w:val="000000"/>
                <w:szCs w:val="18"/>
                <w:u w:val="single"/>
                <w:lang w:val="es-ES"/>
              </w:rPr>
            </w:pPr>
          </w:p>
        </w:tc>
      </w:tr>
    </w:tbl>
    <w:p w:rsidR="00A221BB" w:rsidRDefault="00A221BB" w:rsidP="008821A5">
      <w:pPr>
        <w:spacing w:after="240"/>
        <w:rPr>
          <w:lang w:val="es-ES"/>
        </w:rPr>
        <w:sectPr w:rsidR="00A221BB" w:rsidSect="00A221BB">
          <w:headerReference w:type="default" r:id="rId9"/>
          <w:footerReference w:type="even" r:id="rId10"/>
          <w:footerReference w:type="default" r:id="rId11"/>
          <w:footnotePr>
            <w:numRestart w:val="eachPage"/>
          </w:footnotePr>
          <w:type w:val="continuous"/>
          <w:pgSz w:w="11907" w:h="16840" w:code="9"/>
          <w:pgMar w:top="1134" w:right="680" w:bottom="1418" w:left="1021" w:header="720" w:footer="720" w:gutter="0"/>
          <w:pgNumType w:start="1"/>
          <w:cols w:space="720"/>
        </w:sectPr>
      </w:pPr>
      <w:bookmarkStart w:id="0" w:name="_GoBack"/>
      <w:bookmarkEnd w:id="0"/>
    </w:p>
    <w:p w:rsidR="00712D85" w:rsidRDefault="00712D85" w:rsidP="008821A5">
      <w:pPr>
        <w:pStyle w:val="AbstractURSI"/>
        <w:rPr>
          <w:i/>
        </w:rPr>
      </w:pPr>
    </w:p>
    <w:p w:rsidR="008821A5" w:rsidRPr="00C909B5" w:rsidRDefault="008821A5" w:rsidP="008821A5">
      <w:pPr>
        <w:pStyle w:val="AbstractURSI"/>
      </w:pPr>
      <w:r w:rsidRPr="00C909B5">
        <w:rPr>
          <w:i/>
        </w:rPr>
        <w:t>Resumen</w:t>
      </w:r>
      <w:r w:rsidRPr="00C909B5">
        <w:t>- Este artículo se describe y analiza la situación actual de las</w:t>
      </w:r>
      <w:r>
        <w:t xml:space="preserve"> redes de nueva generación enfocándolo en la</w:t>
      </w:r>
      <w:r w:rsidRPr="00C909B5">
        <w:t xml:space="preserve"> tecnología de segunda generación y el posible impacto social, comercial y regulatorio que tendría en caso de que se aprobara el proyecto de modernización de las tecnologías de comunicación que se encuentra realizando la Comisión de Regulación de Comunicaciones (CR</w:t>
      </w:r>
      <w:r>
        <w:t>C</w:t>
      </w:r>
      <w:r w:rsidRPr="00C909B5">
        <w:t xml:space="preserve">) en Colombia, el cual está enfocado en la penetración y acceso a las redes móviles, optimización del espectro, regulación vigente y las recomendaciones para realizar el apagado o la viabilidad de realizar una migración como lo plantean algunos operadores. </w:t>
      </w:r>
    </w:p>
    <w:p w:rsidR="008821A5" w:rsidRDefault="008821A5" w:rsidP="008821A5">
      <w:pPr>
        <w:pStyle w:val="AbstractURSI"/>
        <w:rPr>
          <w:highlight w:val="yellow"/>
        </w:rPr>
      </w:pPr>
    </w:p>
    <w:p w:rsidR="008821A5" w:rsidRPr="00FD0021" w:rsidRDefault="008821A5" w:rsidP="008821A5">
      <w:pPr>
        <w:pStyle w:val="AbstractURSI"/>
      </w:pPr>
      <w:r w:rsidRPr="00C909B5">
        <w:rPr>
          <w:i/>
        </w:rPr>
        <w:t>Palabras Clave</w:t>
      </w:r>
      <w:r w:rsidRPr="00C909B5">
        <w:t>- Comisión de Regulación de Comunicaciones (CR</w:t>
      </w:r>
      <w:r>
        <w:t>C</w:t>
      </w:r>
      <w:r w:rsidRPr="00C909B5">
        <w:t>)</w:t>
      </w:r>
      <w:r>
        <w:t>, Redes de Nueva Generación (NGN)</w:t>
      </w:r>
    </w:p>
    <w:p w:rsidR="008821A5" w:rsidRPr="00DD3886" w:rsidRDefault="008821A5" w:rsidP="008821A5">
      <w:pPr>
        <w:pStyle w:val="ursititulo1"/>
        <w:tabs>
          <w:tab w:val="clear" w:pos="360"/>
          <w:tab w:val="num" w:pos="284"/>
        </w:tabs>
        <w:rPr>
          <w:lang w:val="es-ES"/>
        </w:rPr>
      </w:pPr>
      <w:r w:rsidRPr="00DD3886">
        <w:rPr>
          <w:lang w:val="es-ES"/>
        </w:rPr>
        <w:t>Introducción</w:t>
      </w:r>
    </w:p>
    <w:p w:rsidR="008821A5" w:rsidRDefault="008821A5" w:rsidP="008821A5">
      <w:pPr>
        <w:pStyle w:val="PrrafoURSI"/>
      </w:pPr>
      <w:r>
        <w:t>Desde la aparición mundial de las redes móviles de comunicación que tuvo inicio en la década de los años 70 con la tecnología 1G donde por primera vez se estableció una comunicación sin necesidad de la utilización de un medio guiado para la interconexión de dispositivos, dando así apertura a la nueva era de las comunicaciones, enmarcadas en los servicios de voz y datos, este último con baja capacidad de transmisión de 1kbps a 2,4kbps para 1G. Sin embargo, hacia la década de los 90s se incorpora la red 2G por medio de la cual se integró en una misma señal servicios de voz, datos móviles y mensajes de texto con velocidad de hasta 64Kbps, esta tecnología más tarde fue reemplazada por redes 3G y 4G más avanzadas en velocidad y ampliación de servicios</w:t>
      </w:r>
      <w:r>
        <w:rPr>
          <w:noProof/>
          <w:lang w:val="es-CO"/>
        </w:rPr>
        <w:t xml:space="preserve">  </w:t>
      </w:r>
      <w:sdt>
        <w:sdtPr>
          <w:rPr>
            <w:noProof/>
            <w:lang w:val="es-CO"/>
          </w:rPr>
          <w:id w:val="-1938442486"/>
          <w:citation/>
        </w:sdtPr>
        <w:sdtEndPr/>
        <w:sdtContent>
          <w:r w:rsidR="00457FAC">
            <w:rPr>
              <w:noProof/>
              <w:lang w:val="es-CO"/>
            </w:rPr>
            <w:fldChar w:fldCharType="begin"/>
          </w:r>
          <w:r w:rsidR="00457FAC">
            <w:rPr>
              <w:noProof/>
              <w:lang w:val="es-CO"/>
            </w:rPr>
            <w:instrText xml:space="preserve"> CITATION Uni19 \l 9226 </w:instrText>
          </w:r>
          <w:r w:rsidR="00457FAC">
            <w:rPr>
              <w:noProof/>
              <w:lang w:val="es-CO"/>
            </w:rPr>
            <w:fldChar w:fldCharType="separate"/>
          </w:r>
          <w:r w:rsidR="0032194F" w:rsidRPr="0032194F">
            <w:rPr>
              <w:noProof/>
              <w:lang w:val="es-CO"/>
            </w:rPr>
            <w:t>[1]</w:t>
          </w:r>
          <w:r w:rsidR="00457FAC">
            <w:rPr>
              <w:noProof/>
              <w:lang w:val="es-CO"/>
            </w:rPr>
            <w:fldChar w:fldCharType="end"/>
          </w:r>
        </w:sdtContent>
      </w:sdt>
    </w:p>
    <w:p w:rsidR="008821A5" w:rsidRDefault="008821A5" w:rsidP="008821A5">
      <w:pPr>
        <w:pStyle w:val="PrrafoURSI"/>
      </w:pPr>
    </w:p>
    <w:p w:rsidR="008821A5" w:rsidRDefault="008821A5" w:rsidP="008821A5">
      <w:pPr>
        <w:pStyle w:val="PrrafoURSI"/>
      </w:pPr>
      <w:r>
        <w:t>Debido a los cambios generados en las tecnologías móviles en los últimos años y a la necesidad de mejorar y mantener servicios de calidad, algunos países como Japón, Estados Unidos, Singapur y Australia apagaron la red 2G como estrategia para la modernización de las tecnologías y como una forma para reducir la brecha de tecnológica, de tal forma que el espectro liberado sea dispuesto para ampliar la cobertura y capacidad las nuevas tecnologías. En la actualidad la Comisión de Regulación de Comunicaciones (CRC) a través del proyecto estudia la posibilidad de que Colombia apague la red 2G con el fin de modernizar las conexiones y optimizar las nuevas redes de generación existentes lo cual conlleva a realizar un análisis y proyección del impacto de realizar el apagado como se muestra a continuación:</w:t>
      </w:r>
    </w:p>
    <w:p w:rsidR="008821A5" w:rsidRDefault="008821A5" w:rsidP="008821A5">
      <w:pPr>
        <w:pStyle w:val="PrrafoURSI"/>
      </w:pPr>
    </w:p>
    <w:p w:rsidR="008821A5" w:rsidRDefault="008821A5" w:rsidP="008821A5">
      <w:pPr>
        <w:pStyle w:val="PrrafoURSI"/>
      </w:pPr>
    </w:p>
    <w:p w:rsidR="008821A5" w:rsidRPr="00DD3886" w:rsidRDefault="008821A5" w:rsidP="008821A5">
      <w:pPr>
        <w:pStyle w:val="ursititulo1"/>
        <w:tabs>
          <w:tab w:val="clear" w:pos="360"/>
          <w:tab w:val="num" w:pos="284"/>
        </w:tabs>
        <w:rPr>
          <w:lang w:val="es-ES"/>
        </w:rPr>
      </w:pPr>
      <w:r>
        <w:rPr>
          <w:lang w:val="es-ES"/>
        </w:rPr>
        <w:t>APAGADO DE LA TECNOLOGÍA 2G EN COLOMBIA</w:t>
      </w:r>
    </w:p>
    <w:p w:rsidR="008821A5" w:rsidRDefault="008821A5" w:rsidP="008821A5">
      <w:pPr>
        <w:pStyle w:val="PrrafoURSI"/>
      </w:pPr>
      <w:r>
        <w:t>“Las redes de segunda generación, basadas en tecnología GSM</w:t>
      </w:r>
      <w:r>
        <w:rPr>
          <w:sz w:val="10"/>
          <w:szCs w:val="10"/>
        </w:rPr>
        <w:t xml:space="preserve"> </w:t>
      </w:r>
      <w:r>
        <w:t xml:space="preserve">ya son digitales y permiten velocidades de transferencia de datos de hasta 64 kbps, lo que permitió la inclusión de servicios de mensajería de texto (SMS – Short </w:t>
      </w:r>
      <w:proofErr w:type="spellStart"/>
      <w:r>
        <w:t>Message</w:t>
      </w:r>
      <w:proofErr w:type="spellEnd"/>
      <w:r>
        <w:t xml:space="preserve"> </w:t>
      </w:r>
      <w:proofErr w:type="spellStart"/>
      <w:r>
        <w:t>Service</w:t>
      </w:r>
      <w:proofErr w:type="spellEnd"/>
      <w:r>
        <w:t xml:space="preserve">), mensajes gráficos y MMS (Multimedia </w:t>
      </w:r>
      <w:proofErr w:type="spellStart"/>
      <w:r>
        <w:t>Messaging</w:t>
      </w:r>
      <w:proofErr w:type="spellEnd"/>
      <w:r>
        <w:t xml:space="preserve"> </w:t>
      </w:r>
      <w:proofErr w:type="spellStart"/>
      <w:r>
        <w:t>Service</w:t>
      </w:r>
      <w:proofErr w:type="spellEnd"/>
      <w:r>
        <w:t xml:space="preserve">). Sin embargo, estas redes aún eran incapaces de soportar transferencias de datos más complejos como vídeo.” </w:t>
      </w:r>
      <w:sdt>
        <w:sdtPr>
          <w:id w:val="1119485335"/>
          <w:citation/>
        </w:sdtPr>
        <w:sdtEndPr/>
        <w:sdtContent>
          <w:r w:rsidR="00AF7C52">
            <w:fldChar w:fldCharType="begin"/>
          </w:r>
          <w:r w:rsidR="00AF7C52">
            <w:rPr>
              <w:lang w:val="es-CO"/>
            </w:rPr>
            <w:instrText xml:space="preserve"> CITATION Com194 \l 9226 </w:instrText>
          </w:r>
          <w:r w:rsidR="00AF7C52">
            <w:fldChar w:fldCharType="separate"/>
          </w:r>
          <w:r w:rsidR="0032194F" w:rsidRPr="0032194F">
            <w:rPr>
              <w:noProof/>
              <w:lang w:val="es-CO"/>
            </w:rPr>
            <w:t>[2]</w:t>
          </w:r>
          <w:r w:rsidR="00AF7C52">
            <w:fldChar w:fldCharType="end"/>
          </w:r>
        </w:sdtContent>
      </w:sdt>
    </w:p>
    <w:p w:rsidR="008821A5" w:rsidRDefault="008821A5" w:rsidP="008821A5">
      <w:pPr>
        <w:pStyle w:val="PrrafoURSI"/>
      </w:pPr>
    </w:p>
    <w:p w:rsidR="008821A5" w:rsidRDefault="008821A5" w:rsidP="008821A5">
      <w:pPr>
        <w:pStyle w:val="PrrafoURSI"/>
      </w:pPr>
      <w:r>
        <w:t xml:space="preserve">En </w:t>
      </w:r>
      <w:r w:rsidR="00401445">
        <w:fldChar w:fldCharType="begin"/>
      </w:r>
      <w:r w:rsidR="00401445">
        <w:instrText xml:space="preserve"> REF _Ref18969379 \h </w:instrText>
      </w:r>
      <w:r w:rsidR="00401445">
        <w:fldChar w:fldCharType="separate"/>
      </w:r>
      <w:r w:rsidR="00401445">
        <w:t xml:space="preserve">Fig. </w:t>
      </w:r>
      <w:r w:rsidR="00401445">
        <w:rPr>
          <w:noProof/>
        </w:rPr>
        <w:t>1</w:t>
      </w:r>
      <w:r w:rsidR="00401445">
        <w:fldChar w:fldCharType="end"/>
      </w:r>
      <w:r w:rsidR="00401445">
        <w:t xml:space="preserve"> </w:t>
      </w:r>
      <w:r>
        <w:t>se presenta el comparativo 2017-2018 frente a la necesidad de modernizar las redes de tecnologías móviles para el caso de Latinoamérica ha sido notable, evidenciando la disminución del 30% de las redes 2G durante comparativo 2017-2018, por el contrario de la red 4G cuya proyección tiende al aumento, reemplazando paulatinamente la red 2G e inclusive 3G.</w:t>
      </w:r>
    </w:p>
    <w:p w:rsidR="008821A5" w:rsidRDefault="008821A5" w:rsidP="008821A5">
      <w:pPr>
        <w:pStyle w:val="PrrafoURSI"/>
      </w:pPr>
    </w:p>
    <w:p w:rsidR="008821A5" w:rsidRDefault="008821A5" w:rsidP="008821A5">
      <w:pPr>
        <w:pStyle w:val="PrrafoURSI"/>
        <w:rPr>
          <w:lang w:val="es-CO"/>
        </w:rPr>
      </w:pPr>
      <w:r>
        <w:fldChar w:fldCharType="begin"/>
      </w:r>
      <w:r>
        <w:instrText xml:space="preserve"> INCLUDEPICTURE "http://www.5gamericas.org/files/cache/4d8cfabe4d35acc6bda5a0a1c24dcbaf_f2316.png" \* MERGEFORMATINET </w:instrText>
      </w:r>
      <w:r>
        <w:fldChar w:fldCharType="separate"/>
      </w:r>
      <w:r w:rsidR="00711D0F">
        <w:fldChar w:fldCharType="begin"/>
      </w:r>
      <w:r w:rsidR="00711D0F">
        <w:instrText xml:space="preserve"> INCLUDEPICTURE  "http://www.5gamericas.org/files/cache/4d8cfabe4d35acc6bda5a0a1c24dcbaf_f2316.png" \* MERGEFORMATINET </w:instrText>
      </w:r>
      <w:r w:rsidR="00711D0F">
        <w:fldChar w:fldCharType="separate"/>
      </w:r>
      <w:r w:rsidR="00535A24">
        <w:fldChar w:fldCharType="begin"/>
      </w:r>
      <w:r w:rsidR="00535A24">
        <w:instrText xml:space="preserve"> </w:instrText>
      </w:r>
      <w:r w:rsidR="00535A24">
        <w:instrText>INCLUDEPICTURE  "http://www.5gamericas.org/files/cache/4d8cfabe4d35acc6bda5a0a1c24dcbaf_f2316.png" \* MERGEFOR</w:instrText>
      </w:r>
      <w:r w:rsidR="00535A24">
        <w:instrText>MATINET</w:instrText>
      </w:r>
      <w:r w:rsidR="00535A24">
        <w:instrText xml:space="preserve"> </w:instrText>
      </w:r>
      <w:r w:rsidR="00535A24">
        <w:fldChar w:fldCharType="separate"/>
      </w:r>
      <w:r w:rsidR="002346BD">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16_Latam_Tech_Growth.png" style="width:244.25pt;height:125.2pt">
            <v:imagedata r:id="rId12" r:href="rId13"/>
          </v:shape>
        </w:pict>
      </w:r>
      <w:r w:rsidR="00535A24">
        <w:fldChar w:fldCharType="end"/>
      </w:r>
      <w:r w:rsidR="00711D0F">
        <w:fldChar w:fldCharType="end"/>
      </w:r>
      <w:r>
        <w:fldChar w:fldCharType="end"/>
      </w:r>
    </w:p>
    <w:p w:rsidR="00401445" w:rsidRDefault="00401445" w:rsidP="00401445">
      <w:pPr>
        <w:pStyle w:val="PrrafoURSI"/>
        <w:keepNext/>
        <w:ind w:firstLine="0"/>
        <w:jc w:val="center"/>
      </w:pPr>
    </w:p>
    <w:p w:rsidR="008821A5" w:rsidRDefault="00D0620D" w:rsidP="00D0620D">
      <w:pPr>
        <w:pStyle w:val="Descripcin"/>
        <w:rPr>
          <w:sz w:val="16"/>
        </w:rPr>
      </w:pPr>
      <w:r>
        <w:t xml:space="preserve">Fig. </w:t>
      </w:r>
      <w:r w:rsidR="00535A24">
        <w:rPr>
          <w:noProof/>
        </w:rPr>
        <w:fldChar w:fldCharType="begin"/>
      </w:r>
      <w:r w:rsidR="00535A24">
        <w:rPr>
          <w:noProof/>
        </w:rPr>
        <w:instrText xml:space="preserve"> SEQ Fig. \* ARABIC </w:instrText>
      </w:r>
      <w:r w:rsidR="00535A24">
        <w:rPr>
          <w:noProof/>
        </w:rPr>
        <w:fldChar w:fldCharType="separate"/>
      </w:r>
      <w:r>
        <w:rPr>
          <w:noProof/>
        </w:rPr>
        <w:t>1</w:t>
      </w:r>
      <w:r w:rsidR="00535A24">
        <w:rPr>
          <w:noProof/>
        </w:rPr>
        <w:fldChar w:fldCharType="end"/>
      </w:r>
      <w:r w:rsidR="00C10D84">
        <w:t xml:space="preserve"> </w:t>
      </w:r>
      <w:r w:rsidR="008821A5" w:rsidRPr="008C264C">
        <w:rPr>
          <w:sz w:val="16"/>
        </w:rPr>
        <w:t>Crecimiento anual de tecnología en América Latina y el Caribe</w:t>
      </w:r>
      <w:r w:rsidR="008821A5" w:rsidRPr="0012189D">
        <w:rPr>
          <w:noProof/>
          <w:sz w:val="16"/>
        </w:rPr>
        <w:t xml:space="preserve"> </w:t>
      </w:r>
      <w:sdt>
        <w:sdtPr>
          <w:rPr>
            <w:noProof/>
            <w:sz w:val="16"/>
          </w:rPr>
          <w:id w:val="-1409526194"/>
          <w:citation/>
        </w:sdtPr>
        <w:sdtEndPr/>
        <w:sdtContent>
          <w:r w:rsidR="00AF7C52">
            <w:rPr>
              <w:noProof/>
              <w:sz w:val="16"/>
            </w:rPr>
            <w:fldChar w:fldCharType="begin"/>
          </w:r>
          <w:r w:rsidR="00AF7C52">
            <w:rPr>
              <w:noProof/>
              <w:sz w:val="16"/>
            </w:rPr>
            <w:instrText xml:space="preserve"> CITATION 5Ga191 \l 9226 </w:instrText>
          </w:r>
          <w:r w:rsidR="00AF7C52">
            <w:rPr>
              <w:noProof/>
              <w:sz w:val="16"/>
            </w:rPr>
            <w:fldChar w:fldCharType="separate"/>
          </w:r>
          <w:r w:rsidR="0032194F" w:rsidRPr="0032194F">
            <w:rPr>
              <w:noProof/>
              <w:sz w:val="16"/>
            </w:rPr>
            <w:t>[3]</w:t>
          </w:r>
          <w:r w:rsidR="00AF7C52">
            <w:rPr>
              <w:noProof/>
              <w:sz w:val="16"/>
            </w:rPr>
            <w:fldChar w:fldCharType="end"/>
          </w:r>
        </w:sdtContent>
      </w:sdt>
    </w:p>
    <w:p w:rsidR="008821A5" w:rsidRDefault="008821A5" w:rsidP="008821A5">
      <w:pPr>
        <w:pStyle w:val="PrrafoURSI"/>
        <w:rPr>
          <w:sz w:val="16"/>
          <w:lang w:val="es-CO"/>
        </w:rPr>
      </w:pPr>
    </w:p>
    <w:p w:rsidR="008821A5" w:rsidRDefault="008821A5" w:rsidP="00FE1A2C">
      <w:pPr>
        <w:pStyle w:val="PrrafoURSI"/>
        <w:ind w:firstLine="0"/>
        <w:rPr>
          <w:lang w:val="es-CO"/>
        </w:rPr>
      </w:pPr>
      <w:r w:rsidRPr="00B27209">
        <w:rPr>
          <w:lang w:val="es-CO"/>
        </w:rPr>
        <w:t xml:space="preserve">La </w:t>
      </w:r>
      <w:r w:rsidR="00401445">
        <w:rPr>
          <w:lang w:val="es-CO"/>
        </w:rPr>
        <w:fldChar w:fldCharType="begin"/>
      </w:r>
      <w:r w:rsidR="00401445">
        <w:rPr>
          <w:lang w:val="es-CO"/>
        </w:rPr>
        <w:instrText xml:space="preserve"> REF _Ref18969403 \h  \* MERGEFORMAT </w:instrText>
      </w:r>
      <w:r w:rsidR="00401445">
        <w:rPr>
          <w:lang w:val="es-CO"/>
        </w:rPr>
      </w:r>
      <w:r w:rsidR="00401445">
        <w:rPr>
          <w:lang w:val="es-CO"/>
        </w:rPr>
        <w:fldChar w:fldCharType="separate"/>
      </w:r>
      <w:r w:rsidR="00401445">
        <w:t xml:space="preserve">Fig. </w:t>
      </w:r>
      <w:r w:rsidR="00401445">
        <w:rPr>
          <w:noProof/>
        </w:rPr>
        <w:t>2</w:t>
      </w:r>
      <w:r w:rsidR="00401445">
        <w:rPr>
          <w:lang w:val="es-CO"/>
        </w:rPr>
        <w:fldChar w:fldCharType="end"/>
      </w:r>
      <w:r w:rsidR="00401445">
        <w:rPr>
          <w:lang w:val="es-CO"/>
        </w:rPr>
        <w:t xml:space="preserve"> </w:t>
      </w:r>
      <w:r w:rsidRPr="00B27209">
        <w:rPr>
          <w:lang w:val="es-CO"/>
        </w:rPr>
        <w:t>muestra la proyección a</w:t>
      </w:r>
      <w:r>
        <w:rPr>
          <w:lang w:val="es-CO"/>
        </w:rPr>
        <w:t>l año</w:t>
      </w:r>
      <w:r w:rsidRPr="00B27209">
        <w:rPr>
          <w:lang w:val="es-CO"/>
        </w:rPr>
        <w:t xml:space="preserve"> 2023 de la tendencia de desaparición de las redes móviles de segunda generación </w:t>
      </w:r>
      <w:r>
        <w:rPr>
          <w:lang w:val="es-CO"/>
        </w:rPr>
        <w:t>y la inclusión de la red 5G en américa latina.</w:t>
      </w:r>
      <w:r w:rsidRPr="00B27209">
        <w:rPr>
          <w:lang w:val="es-CO"/>
        </w:rPr>
        <w:t xml:space="preserve"> </w:t>
      </w:r>
    </w:p>
    <w:p w:rsidR="00401445" w:rsidRPr="00B27209" w:rsidRDefault="00401445" w:rsidP="008821A5">
      <w:pPr>
        <w:pStyle w:val="PrrafoURSI"/>
        <w:rPr>
          <w:lang w:val="es-CO"/>
        </w:rPr>
      </w:pPr>
    </w:p>
    <w:p w:rsidR="008821A5" w:rsidRPr="00BD3F95" w:rsidRDefault="008821A5" w:rsidP="008821A5">
      <w:pPr>
        <w:pStyle w:val="PrrafoURSI"/>
        <w:ind w:firstLine="0"/>
        <w:rPr>
          <w:sz w:val="16"/>
        </w:rPr>
      </w:pPr>
      <w:r>
        <w:rPr>
          <w:noProof/>
          <w:sz w:val="16"/>
          <w:lang w:val="es-CO" w:eastAsia="es-CO"/>
        </w:rPr>
        <w:lastRenderedPageBreak/>
        <w:drawing>
          <wp:inline distT="0" distB="0" distL="0" distR="0">
            <wp:extent cx="3150870" cy="1850390"/>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150870" cy="1850390"/>
                    </a:xfrm>
                    <a:prstGeom prst="rect">
                      <a:avLst/>
                    </a:prstGeom>
                    <a:noFill/>
                  </pic:spPr>
                </pic:pic>
              </a:graphicData>
            </a:graphic>
          </wp:inline>
        </w:drawing>
      </w:r>
    </w:p>
    <w:p w:rsidR="008821A5" w:rsidRDefault="00401445" w:rsidP="00401445">
      <w:pPr>
        <w:pStyle w:val="Descripcin"/>
        <w:rPr>
          <w:sz w:val="16"/>
        </w:rPr>
      </w:pPr>
      <w:bookmarkStart w:id="1" w:name="_Ref18969403"/>
      <w:r>
        <w:t xml:space="preserve">Fig. </w:t>
      </w:r>
      <w:r w:rsidR="00535A24">
        <w:rPr>
          <w:noProof/>
        </w:rPr>
        <w:fldChar w:fldCharType="begin"/>
      </w:r>
      <w:r w:rsidR="00535A24">
        <w:rPr>
          <w:noProof/>
        </w:rPr>
        <w:instrText xml:space="preserve"> SEQ Fig. \* ARABIC </w:instrText>
      </w:r>
      <w:r w:rsidR="00535A24">
        <w:rPr>
          <w:noProof/>
        </w:rPr>
        <w:fldChar w:fldCharType="separate"/>
      </w:r>
      <w:r w:rsidR="00D0620D">
        <w:rPr>
          <w:noProof/>
        </w:rPr>
        <w:t>2</w:t>
      </w:r>
      <w:r w:rsidR="00535A24">
        <w:rPr>
          <w:noProof/>
        </w:rPr>
        <w:fldChar w:fldCharType="end"/>
      </w:r>
      <w:bookmarkEnd w:id="1"/>
      <w:r w:rsidR="008821A5">
        <w:rPr>
          <w:sz w:val="16"/>
        </w:rPr>
        <w:t xml:space="preserve"> Proyección de las conexiones en América Latina y el Caribe</w:t>
      </w:r>
      <w:r w:rsidR="008821A5">
        <w:rPr>
          <w:noProof/>
          <w:sz w:val="16"/>
        </w:rPr>
        <w:t xml:space="preserve"> </w:t>
      </w:r>
      <w:sdt>
        <w:sdtPr>
          <w:rPr>
            <w:noProof/>
            <w:sz w:val="16"/>
          </w:rPr>
          <w:id w:val="333733193"/>
          <w:citation/>
        </w:sdtPr>
        <w:sdtEndPr/>
        <w:sdtContent>
          <w:r w:rsidR="00AF7C52">
            <w:rPr>
              <w:noProof/>
              <w:sz w:val="16"/>
            </w:rPr>
            <w:fldChar w:fldCharType="begin"/>
          </w:r>
          <w:r w:rsidR="00AF7C52">
            <w:rPr>
              <w:noProof/>
              <w:sz w:val="16"/>
            </w:rPr>
            <w:instrText xml:space="preserve"> CITATION 5Ga191 \l 9226 </w:instrText>
          </w:r>
          <w:r w:rsidR="00AF7C52">
            <w:rPr>
              <w:noProof/>
              <w:sz w:val="16"/>
            </w:rPr>
            <w:fldChar w:fldCharType="separate"/>
          </w:r>
          <w:r w:rsidR="0032194F" w:rsidRPr="0032194F">
            <w:rPr>
              <w:noProof/>
              <w:sz w:val="16"/>
            </w:rPr>
            <w:t>[3]</w:t>
          </w:r>
          <w:r w:rsidR="00AF7C52">
            <w:rPr>
              <w:noProof/>
              <w:sz w:val="16"/>
            </w:rPr>
            <w:fldChar w:fldCharType="end"/>
          </w:r>
        </w:sdtContent>
      </w:sdt>
    </w:p>
    <w:p w:rsidR="008821A5" w:rsidRDefault="008821A5" w:rsidP="008821A5">
      <w:pPr>
        <w:pStyle w:val="PrrafoURSI"/>
        <w:ind w:firstLine="0"/>
        <w:jc w:val="left"/>
        <w:rPr>
          <w:sz w:val="16"/>
          <w:lang w:val="es-CO"/>
        </w:rPr>
      </w:pPr>
    </w:p>
    <w:p w:rsidR="008821A5" w:rsidRDefault="008821A5" w:rsidP="008821A5">
      <w:pPr>
        <w:pStyle w:val="PrrafoURSI"/>
        <w:ind w:firstLine="0"/>
        <w:rPr>
          <w:lang w:val="es-CO"/>
        </w:rPr>
      </w:pPr>
      <w:r w:rsidRPr="006F5699">
        <w:rPr>
          <w:lang w:val="es-CO"/>
        </w:rPr>
        <w:t>En Colombia</w:t>
      </w:r>
      <w:r>
        <w:rPr>
          <w:lang w:val="es-CO"/>
        </w:rPr>
        <w:t>,</w:t>
      </w:r>
      <w:r w:rsidRPr="006F5699">
        <w:rPr>
          <w:lang w:val="es-CO"/>
        </w:rPr>
        <w:t xml:space="preserve"> </w:t>
      </w:r>
      <w:r>
        <w:rPr>
          <w:lang w:val="es-CO"/>
        </w:rPr>
        <w:t xml:space="preserve">como se muestra en la </w:t>
      </w:r>
      <w:r w:rsidR="00401445">
        <w:rPr>
          <w:lang w:val="es-CO"/>
        </w:rPr>
        <w:fldChar w:fldCharType="begin"/>
      </w:r>
      <w:r w:rsidR="00401445">
        <w:rPr>
          <w:lang w:val="es-CO"/>
        </w:rPr>
        <w:instrText xml:space="preserve"> REF _Ref18969465 \h </w:instrText>
      </w:r>
      <w:r w:rsidR="00401445">
        <w:rPr>
          <w:lang w:val="es-CO"/>
        </w:rPr>
      </w:r>
      <w:r w:rsidR="00401445">
        <w:rPr>
          <w:lang w:val="es-CO"/>
        </w:rPr>
        <w:fldChar w:fldCharType="separate"/>
      </w:r>
      <w:r w:rsidR="00401445">
        <w:t xml:space="preserve">Fig. </w:t>
      </w:r>
      <w:r w:rsidR="00401445">
        <w:rPr>
          <w:noProof/>
        </w:rPr>
        <w:t>3</w:t>
      </w:r>
      <w:r w:rsidR="00401445">
        <w:rPr>
          <w:lang w:val="es-CO"/>
        </w:rPr>
        <w:fldChar w:fldCharType="end"/>
      </w:r>
      <w:r w:rsidR="00401445">
        <w:rPr>
          <w:lang w:val="es-CO"/>
        </w:rPr>
        <w:t xml:space="preserve"> </w:t>
      </w:r>
      <w:r w:rsidRPr="006F5699">
        <w:rPr>
          <w:lang w:val="es-CO"/>
        </w:rPr>
        <w:t xml:space="preserve">se ha mantenido el número de usuarios </w:t>
      </w:r>
      <w:r>
        <w:rPr>
          <w:lang w:val="es-CO"/>
        </w:rPr>
        <w:t xml:space="preserve">que utilizan la red móvil </w:t>
      </w:r>
      <w:r w:rsidRPr="006F5699">
        <w:rPr>
          <w:lang w:val="es-CO"/>
        </w:rPr>
        <w:t xml:space="preserve">2G durante los años 2017 y 2018, </w:t>
      </w:r>
      <w:r>
        <w:rPr>
          <w:lang w:val="es-CO"/>
        </w:rPr>
        <w:t xml:space="preserve">lo que puede </w:t>
      </w:r>
      <w:r w:rsidRPr="006F5699">
        <w:rPr>
          <w:lang w:val="es-CO"/>
        </w:rPr>
        <w:t>significa</w:t>
      </w:r>
      <w:r>
        <w:rPr>
          <w:lang w:val="es-CO"/>
        </w:rPr>
        <w:t>r</w:t>
      </w:r>
      <w:r w:rsidRPr="006F5699">
        <w:rPr>
          <w:lang w:val="es-CO"/>
        </w:rPr>
        <w:t xml:space="preserve"> que las campañas que han realizado los operadores para que los usuarios migren de 2G a nuevas tecnologías no han tenido gran impacto en la población o</w:t>
      </w:r>
      <w:r>
        <w:rPr>
          <w:lang w:val="es-CO"/>
        </w:rPr>
        <w:t>bjeto</w:t>
      </w:r>
      <w:r w:rsidRPr="006F5699">
        <w:rPr>
          <w:lang w:val="es-CO"/>
        </w:rPr>
        <w:t>.</w:t>
      </w:r>
      <w:r>
        <w:rPr>
          <w:lang w:val="es-CO"/>
        </w:rPr>
        <w:t xml:space="preserve"> </w:t>
      </w:r>
    </w:p>
    <w:p w:rsidR="00401445" w:rsidRDefault="00401445" w:rsidP="008821A5">
      <w:pPr>
        <w:pStyle w:val="PrrafoURSI"/>
        <w:ind w:firstLine="0"/>
        <w:rPr>
          <w:lang w:val="es-CO"/>
        </w:rPr>
      </w:pPr>
    </w:p>
    <w:p w:rsidR="00401445" w:rsidRDefault="008821A5" w:rsidP="00401445">
      <w:pPr>
        <w:pStyle w:val="PrrafoURSI"/>
        <w:keepNext/>
        <w:ind w:firstLine="0"/>
        <w:jc w:val="center"/>
      </w:pPr>
      <w:r w:rsidRPr="005F2AEC">
        <w:rPr>
          <w:noProof/>
          <w:lang w:val="es-CO" w:eastAsia="es-CO"/>
        </w:rPr>
        <w:drawing>
          <wp:inline distT="0" distB="0" distL="0" distR="0">
            <wp:extent cx="3190875" cy="1905000"/>
            <wp:effectExtent l="0" t="0" r="0" b="0"/>
            <wp:docPr id="6" name="Gráfico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8821A5" w:rsidRDefault="00401445" w:rsidP="00401445">
      <w:pPr>
        <w:pStyle w:val="Descripcin"/>
        <w:jc w:val="center"/>
        <w:rPr>
          <w:sz w:val="16"/>
        </w:rPr>
      </w:pPr>
      <w:bookmarkStart w:id="2" w:name="_Ref18969465"/>
      <w:r>
        <w:t xml:space="preserve">Fig. </w:t>
      </w:r>
      <w:r w:rsidR="00535A24">
        <w:rPr>
          <w:noProof/>
        </w:rPr>
        <w:fldChar w:fldCharType="begin"/>
      </w:r>
      <w:r w:rsidR="00535A24">
        <w:rPr>
          <w:noProof/>
        </w:rPr>
        <w:instrText xml:space="preserve"> SEQ Fig. \* ARABIC </w:instrText>
      </w:r>
      <w:r w:rsidR="00535A24">
        <w:rPr>
          <w:noProof/>
        </w:rPr>
        <w:fldChar w:fldCharType="separate"/>
      </w:r>
      <w:r w:rsidR="00D0620D">
        <w:rPr>
          <w:noProof/>
        </w:rPr>
        <w:t>3</w:t>
      </w:r>
      <w:r w:rsidR="00535A24">
        <w:rPr>
          <w:noProof/>
        </w:rPr>
        <w:fldChar w:fldCharType="end"/>
      </w:r>
      <w:bookmarkEnd w:id="2"/>
      <w:r>
        <w:t xml:space="preserve"> </w:t>
      </w:r>
      <w:r w:rsidR="008821A5" w:rsidRPr="006F5699">
        <w:rPr>
          <w:sz w:val="16"/>
        </w:rPr>
        <w:t>Número de abonados en Colombia en la tecnología móvil 2G</w:t>
      </w:r>
    </w:p>
    <w:p w:rsidR="008821A5" w:rsidRDefault="008821A5" w:rsidP="008821A5">
      <w:pPr>
        <w:pStyle w:val="URSISeccion"/>
        <w:numPr>
          <w:ilvl w:val="0"/>
          <w:numId w:val="0"/>
        </w:numPr>
        <w:rPr>
          <w:i w:val="0"/>
        </w:rPr>
      </w:pPr>
      <w:r>
        <w:rPr>
          <w:i w:val="0"/>
        </w:rPr>
        <w:t>Por otra parte,</w:t>
      </w:r>
      <w:r w:rsidR="00A548E2">
        <w:rPr>
          <w:i w:val="0"/>
        </w:rPr>
        <w:t xml:space="preserve"> la </w:t>
      </w:r>
      <w:r w:rsidR="00C66571">
        <w:rPr>
          <w:i w:val="0"/>
        </w:rPr>
        <w:fldChar w:fldCharType="begin"/>
      </w:r>
      <w:r w:rsidR="00C66571">
        <w:rPr>
          <w:i w:val="0"/>
        </w:rPr>
        <w:instrText xml:space="preserve"> REF _Ref18969672 \h </w:instrText>
      </w:r>
      <w:r w:rsidR="00C66571">
        <w:rPr>
          <w:i w:val="0"/>
        </w:rPr>
      </w:r>
      <w:r w:rsidR="00C66571">
        <w:rPr>
          <w:i w:val="0"/>
        </w:rPr>
        <w:fldChar w:fldCharType="separate"/>
      </w:r>
      <w:r w:rsidR="00C66571">
        <w:t xml:space="preserve">Fig. </w:t>
      </w:r>
      <w:r w:rsidR="00C66571">
        <w:rPr>
          <w:noProof/>
        </w:rPr>
        <w:t>4</w:t>
      </w:r>
      <w:r w:rsidR="00C66571">
        <w:rPr>
          <w:i w:val="0"/>
        </w:rPr>
        <w:fldChar w:fldCharType="end"/>
      </w:r>
      <w:r>
        <w:rPr>
          <w:i w:val="0"/>
        </w:rPr>
        <w:t xml:space="preserve"> para el tercer trimestre de 2018 hubo 1.6 millones de conexiones a internet por medio de la tecnología 2G se ha mantenido con una tendencia estable a lo largo del 2017 y 2018 a diferencia de la tecnología 3G que ha presentado una variación negativa en el mismo periodo. </w:t>
      </w:r>
    </w:p>
    <w:p w:rsidR="00A548E2" w:rsidRPr="00A548E2" w:rsidRDefault="008821A5" w:rsidP="00A548E2">
      <w:pPr>
        <w:pStyle w:val="URSISeccion"/>
        <w:numPr>
          <w:ilvl w:val="0"/>
          <w:numId w:val="0"/>
        </w:numPr>
        <w:rPr>
          <w:i w:val="0"/>
        </w:rPr>
      </w:pPr>
      <w:r w:rsidRPr="005F2AEC">
        <w:rPr>
          <w:noProof/>
          <w:lang w:val="es-CO" w:eastAsia="es-CO"/>
        </w:rPr>
        <w:drawing>
          <wp:inline distT="0" distB="0" distL="0" distR="0">
            <wp:extent cx="3162300" cy="2143125"/>
            <wp:effectExtent l="0" t="0" r="0" b="952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162300" cy="2143125"/>
                    </a:xfrm>
                    <a:prstGeom prst="rect">
                      <a:avLst/>
                    </a:prstGeom>
                    <a:noFill/>
                    <a:ln>
                      <a:noFill/>
                    </a:ln>
                  </pic:spPr>
                </pic:pic>
              </a:graphicData>
            </a:graphic>
          </wp:inline>
        </w:drawing>
      </w:r>
    </w:p>
    <w:p w:rsidR="008821A5" w:rsidRPr="009A7329" w:rsidRDefault="00A548E2" w:rsidP="00A548E2">
      <w:pPr>
        <w:pStyle w:val="Descripcin"/>
        <w:jc w:val="center"/>
        <w:rPr>
          <w:i w:val="0"/>
        </w:rPr>
      </w:pPr>
      <w:bookmarkStart w:id="3" w:name="_Ref18969672"/>
      <w:r>
        <w:t xml:space="preserve">Fig. </w:t>
      </w:r>
      <w:r w:rsidR="00535A24">
        <w:rPr>
          <w:noProof/>
        </w:rPr>
        <w:fldChar w:fldCharType="begin"/>
      </w:r>
      <w:r w:rsidR="00535A24">
        <w:rPr>
          <w:noProof/>
        </w:rPr>
        <w:instrText xml:space="preserve"> SEQ Fig. \* ARABIC </w:instrText>
      </w:r>
      <w:r w:rsidR="00535A24">
        <w:rPr>
          <w:noProof/>
        </w:rPr>
        <w:fldChar w:fldCharType="separate"/>
      </w:r>
      <w:r w:rsidR="00D0620D">
        <w:rPr>
          <w:noProof/>
        </w:rPr>
        <w:t>4</w:t>
      </w:r>
      <w:r w:rsidR="00535A24">
        <w:rPr>
          <w:noProof/>
        </w:rPr>
        <w:fldChar w:fldCharType="end"/>
      </w:r>
      <w:bookmarkEnd w:id="3"/>
      <w:r>
        <w:t xml:space="preserve"> </w:t>
      </w:r>
      <w:r w:rsidR="008821A5">
        <w:rPr>
          <w:i w:val="0"/>
          <w:sz w:val="16"/>
        </w:rPr>
        <w:t>Millones de conexiones a internet por tecnologías</w:t>
      </w:r>
      <w:r w:rsidR="008821A5">
        <w:rPr>
          <w:i w:val="0"/>
          <w:noProof/>
          <w:sz w:val="16"/>
        </w:rPr>
        <w:t xml:space="preserve"> </w:t>
      </w:r>
      <w:sdt>
        <w:sdtPr>
          <w:rPr>
            <w:i w:val="0"/>
            <w:noProof/>
            <w:sz w:val="16"/>
          </w:rPr>
          <w:id w:val="-1354023863"/>
          <w:citation/>
        </w:sdtPr>
        <w:sdtEndPr/>
        <w:sdtContent>
          <w:r w:rsidR="00AF7C52">
            <w:rPr>
              <w:i w:val="0"/>
              <w:noProof/>
              <w:sz w:val="16"/>
            </w:rPr>
            <w:fldChar w:fldCharType="begin"/>
          </w:r>
          <w:r w:rsidR="00AF7C52">
            <w:rPr>
              <w:noProof/>
              <w:sz w:val="16"/>
            </w:rPr>
            <w:instrText xml:space="preserve"> CITATION Min191 \l 9226 </w:instrText>
          </w:r>
          <w:r w:rsidR="00AF7C52">
            <w:rPr>
              <w:i w:val="0"/>
              <w:noProof/>
              <w:sz w:val="16"/>
            </w:rPr>
            <w:fldChar w:fldCharType="separate"/>
          </w:r>
          <w:r w:rsidR="0032194F" w:rsidRPr="0032194F">
            <w:rPr>
              <w:noProof/>
              <w:sz w:val="16"/>
            </w:rPr>
            <w:t>[4]</w:t>
          </w:r>
          <w:r w:rsidR="00AF7C52">
            <w:rPr>
              <w:i w:val="0"/>
              <w:noProof/>
              <w:sz w:val="16"/>
            </w:rPr>
            <w:fldChar w:fldCharType="end"/>
          </w:r>
        </w:sdtContent>
      </w:sdt>
    </w:p>
    <w:p w:rsidR="008821A5" w:rsidRDefault="008821A5" w:rsidP="008821A5">
      <w:pPr>
        <w:pStyle w:val="PrrafoURSI"/>
        <w:ind w:firstLine="0"/>
      </w:pPr>
    </w:p>
    <w:p w:rsidR="008821A5" w:rsidRDefault="008821A5" w:rsidP="008821A5">
      <w:pPr>
        <w:pStyle w:val="PrrafoURSI"/>
        <w:ind w:firstLine="0"/>
      </w:pPr>
      <w:r>
        <w:t xml:space="preserve">El espectro radioeléctrico asignado a las redes de segunda generación es un medio para reasignar a las nuevas tecnologías </w:t>
      </w:r>
      <w:r>
        <w:t>mayor cobertura para mejorar la calidad de los servicios, velocidad de transmisión, conectividad a internet para disminuir en un porcentaje la brecha digital existente en la actualidad. Por tal motivo, la Comisión de Regulación de Comunicaciones (CRC) “</w:t>
      </w:r>
      <w:r w:rsidRPr="00332F89">
        <w:t>Con el propósito de promover la conectividad de todos los colombianos a servicios móviles de mejor calidad, la Comisión de Regulación de Comunicaciones (CRC) diseñará una hoja de ruta en la que se establezca los pasos a seguir para modernizar las redes móviles en el país.</w:t>
      </w:r>
    </w:p>
    <w:p w:rsidR="008821A5" w:rsidRDefault="008821A5" w:rsidP="008821A5">
      <w:pPr>
        <w:pStyle w:val="PrrafoURSI"/>
        <w:ind w:firstLine="0"/>
      </w:pPr>
      <w:r w:rsidRPr="00332F89">
        <w:t> </w:t>
      </w:r>
      <w:r w:rsidRPr="00332F89">
        <w:br/>
        <w:t>La “Hoja de ruta para la modernización de las redes móviles en Colombia”, en la cual se encuentra trabajando </w:t>
      </w:r>
      <w:hyperlink r:id="rId17" w:history="1">
        <w:r w:rsidRPr="00332F89">
          <w:t>la CRC</w:t>
        </w:r>
      </w:hyperlink>
      <w:r w:rsidRPr="00332F89">
        <w:t xml:space="preserve">, pretende crear las bases para promover la expansión de la conectividad móvil en el país a través del uso de redes más avanzadas y la mejor tecnología posible, estableciendo elementos propios de la regulación y recomendaciones a otras entidades </w:t>
      </w:r>
      <w:r>
        <w:t>del estado y agentes del sector”</w:t>
      </w:r>
      <w:r>
        <w:rPr>
          <w:noProof/>
          <w:lang w:val="es-CO"/>
        </w:rPr>
        <w:t xml:space="preserve"> </w:t>
      </w:r>
      <w:sdt>
        <w:sdtPr>
          <w:rPr>
            <w:noProof/>
            <w:lang w:val="es-CO"/>
          </w:rPr>
          <w:id w:val="772207222"/>
          <w:citation/>
        </w:sdtPr>
        <w:sdtEndPr/>
        <w:sdtContent>
          <w:r w:rsidR="00762686">
            <w:rPr>
              <w:noProof/>
              <w:lang w:val="es-CO"/>
            </w:rPr>
            <w:fldChar w:fldCharType="begin"/>
          </w:r>
          <w:r w:rsidR="00762686">
            <w:rPr>
              <w:noProof/>
              <w:lang w:val="es-CO"/>
            </w:rPr>
            <w:instrText xml:space="preserve"> CITATION Com194 \l 9226 </w:instrText>
          </w:r>
          <w:r w:rsidR="00762686">
            <w:rPr>
              <w:noProof/>
              <w:lang w:val="es-CO"/>
            </w:rPr>
            <w:fldChar w:fldCharType="separate"/>
          </w:r>
          <w:r w:rsidR="0032194F" w:rsidRPr="0032194F">
            <w:rPr>
              <w:noProof/>
              <w:lang w:val="es-CO"/>
            </w:rPr>
            <w:t>[2]</w:t>
          </w:r>
          <w:r w:rsidR="00762686">
            <w:rPr>
              <w:noProof/>
              <w:lang w:val="es-CO"/>
            </w:rPr>
            <w:fldChar w:fldCharType="end"/>
          </w:r>
        </w:sdtContent>
      </w:sdt>
    </w:p>
    <w:p w:rsidR="008821A5" w:rsidRDefault="008821A5" w:rsidP="008821A5">
      <w:pPr>
        <w:pStyle w:val="PrrafoURSI"/>
        <w:ind w:firstLine="0"/>
      </w:pPr>
      <w:r w:rsidRPr="00332F89">
        <w:br/>
      </w:r>
      <w:r>
        <w:t>Lo anterior a través del análisis e identificación del contexto actual de la tecnología de redes móviles en el país, las propuestas para realizar la migración en el caso que sea viable el apagado de 2G y la regulación que sería necesario intervenir de modo que la transición no afecte la prestación del servicio.</w:t>
      </w:r>
    </w:p>
    <w:p w:rsidR="008821A5" w:rsidRDefault="008821A5" w:rsidP="008821A5">
      <w:pPr>
        <w:pStyle w:val="PrrafoURSI"/>
        <w:ind w:firstLine="0"/>
      </w:pPr>
    </w:p>
    <w:p w:rsidR="008821A5" w:rsidRDefault="008821A5" w:rsidP="008821A5">
      <w:pPr>
        <w:pStyle w:val="PrrafoURSI"/>
        <w:ind w:firstLine="0"/>
      </w:pPr>
      <w:r>
        <w:t>A continuación, se presenta el impacto social, comercial y regulatorio que tendría el apagado de las redes de segunda generación:</w:t>
      </w:r>
    </w:p>
    <w:p w:rsidR="008821A5" w:rsidRDefault="008821A5" w:rsidP="008821A5">
      <w:pPr>
        <w:pStyle w:val="PrrafoURSI"/>
        <w:ind w:firstLine="0"/>
      </w:pPr>
    </w:p>
    <w:p w:rsidR="008821A5" w:rsidRDefault="008821A5" w:rsidP="008821A5">
      <w:pPr>
        <w:pStyle w:val="PrrafoURSI"/>
        <w:ind w:firstLine="0"/>
      </w:pPr>
    </w:p>
    <w:p w:rsidR="008821A5" w:rsidRDefault="008821A5" w:rsidP="008821A5">
      <w:pPr>
        <w:pStyle w:val="URSISeccion"/>
      </w:pPr>
      <w:r>
        <w:t>Impacto social</w:t>
      </w:r>
    </w:p>
    <w:p w:rsidR="008821A5" w:rsidRDefault="008821A5" w:rsidP="008821A5">
      <w:pPr>
        <w:pStyle w:val="URSISeccion"/>
        <w:numPr>
          <w:ilvl w:val="0"/>
          <w:numId w:val="0"/>
        </w:numPr>
        <w:rPr>
          <w:i w:val="0"/>
        </w:rPr>
      </w:pPr>
      <w:r>
        <w:rPr>
          <w:i w:val="0"/>
        </w:rPr>
        <w:t xml:space="preserve">La mayoría de la población que aun usa la tecnología 2G son de bajos recursos, edad avanzada a los cuales se les dificulta la utilización de los teléfonos inteligentes, por lo que al realizar el apagado de esta red los entes reguladores, operadores y demás actores deben considerar estrategias de alto impacto para intervenir a la población en todas las fases del proceso de modernización de la tecnología, especialmente para que la prestación del servicio al usuario final no se vea afectado. </w:t>
      </w:r>
    </w:p>
    <w:p w:rsidR="008821A5" w:rsidRDefault="008821A5" w:rsidP="008821A5">
      <w:pPr>
        <w:pStyle w:val="URSISeccion"/>
        <w:numPr>
          <w:ilvl w:val="0"/>
          <w:numId w:val="0"/>
        </w:numPr>
        <w:rPr>
          <w:i w:val="0"/>
        </w:rPr>
      </w:pPr>
      <w:r>
        <w:rPr>
          <w:i w:val="0"/>
        </w:rPr>
        <w:t>En otros países, donde se llevó a cabo el apagado de esta tecnología el proceso transición fue de varios años mientras se realizaban las estrategias como sensibilización a todas las persona, promociones y descuentos por parte de los operadores, incentivando la compra de equipos con nuevas tecnologías, otra estrategia para atraer en el mercado fue fabricar equipos que físicamente eran iguales a los de 2G pero la conexión era por medio de 3G y 4G para que los usuarios que ya estaban acostumbrados a un tipo de dispositivos continuara con este y fuera transparente para el usuario la migración sin importar la red de acceso que utilizara.</w:t>
      </w:r>
    </w:p>
    <w:p w:rsidR="008821A5" w:rsidRDefault="008821A5" w:rsidP="008821A5">
      <w:pPr>
        <w:pStyle w:val="PrrafoURSI"/>
        <w:ind w:firstLine="0"/>
      </w:pPr>
    </w:p>
    <w:p w:rsidR="008821A5" w:rsidRDefault="008821A5" w:rsidP="008821A5">
      <w:pPr>
        <w:pStyle w:val="PrrafoURSI"/>
        <w:ind w:firstLine="0"/>
        <w:rPr>
          <w:i/>
        </w:rPr>
      </w:pPr>
      <w:r w:rsidRPr="001E50A3">
        <w:t>En Colombia, ASOMOVÍL propone que no apagar esta tecnología, sino que se migren las redes 2G a tecnologías superiores, este proceso no es inmediato y tiene que intervenir el regulador de manera activa. Al igual que en otros países, Colombia presenta un gran número de usuarios operando en 2G, millones de dispositivos son usados para aplicaciones de rastreo vehicular, telemetría, seguridad, entre otros por lo que si se hace aprueba el apagado de 2G los operadores móviles deberán divulgar los planes de migración con antelación para</w:t>
      </w:r>
      <w:r>
        <w:t xml:space="preserve"> </w:t>
      </w:r>
      <w:r w:rsidRPr="001E50A3">
        <w:t>que esta transición se realice de forma paulatina y sin afectar al cliente final.</w:t>
      </w:r>
    </w:p>
    <w:p w:rsidR="00C66571" w:rsidRPr="00C66571" w:rsidRDefault="008821A5" w:rsidP="00C66571">
      <w:pPr>
        <w:pStyle w:val="URSISeccion"/>
        <w:numPr>
          <w:ilvl w:val="0"/>
          <w:numId w:val="0"/>
        </w:numPr>
        <w:rPr>
          <w:i w:val="0"/>
          <w:lang w:val="es-CO"/>
        </w:rPr>
      </w:pPr>
      <w:r w:rsidRPr="00795C45">
        <w:rPr>
          <w:noProof/>
          <w:lang w:val="es-CO" w:eastAsia="es-CO"/>
        </w:rPr>
        <w:lastRenderedPageBreak/>
        <w:drawing>
          <wp:inline distT="0" distB="0" distL="0" distR="0">
            <wp:extent cx="3160395" cy="2236470"/>
            <wp:effectExtent l="0" t="0" r="1905" b="11430"/>
            <wp:docPr id="4" name="Gráfico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8821A5" w:rsidRPr="009A7329" w:rsidRDefault="00C66571" w:rsidP="00C66571">
      <w:pPr>
        <w:pStyle w:val="Descripcin"/>
        <w:jc w:val="center"/>
        <w:rPr>
          <w:i w:val="0"/>
        </w:rPr>
      </w:pPr>
      <w:bookmarkStart w:id="4" w:name="_Ref18969701"/>
      <w:r>
        <w:t xml:space="preserve">Fig. </w:t>
      </w:r>
      <w:r w:rsidR="00535A24">
        <w:rPr>
          <w:noProof/>
        </w:rPr>
        <w:fldChar w:fldCharType="begin"/>
      </w:r>
      <w:r w:rsidR="00535A24">
        <w:rPr>
          <w:noProof/>
        </w:rPr>
        <w:instrText xml:space="preserve"> SEQ Fig. \* ARABIC </w:instrText>
      </w:r>
      <w:r w:rsidR="00535A24">
        <w:rPr>
          <w:noProof/>
        </w:rPr>
        <w:fldChar w:fldCharType="separate"/>
      </w:r>
      <w:r w:rsidR="00D0620D">
        <w:rPr>
          <w:noProof/>
        </w:rPr>
        <w:t>5</w:t>
      </w:r>
      <w:r w:rsidR="00535A24">
        <w:rPr>
          <w:noProof/>
        </w:rPr>
        <w:fldChar w:fldCharType="end"/>
      </w:r>
      <w:bookmarkEnd w:id="4"/>
      <w:r>
        <w:t xml:space="preserve"> </w:t>
      </w:r>
      <w:r w:rsidR="008821A5">
        <w:rPr>
          <w:i w:val="0"/>
          <w:sz w:val="16"/>
        </w:rPr>
        <w:t>Porcentaje de participación de tecnología 2G en Colombia</w:t>
      </w:r>
    </w:p>
    <w:p w:rsidR="008821A5" w:rsidRDefault="008821A5" w:rsidP="008821A5">
      <w:pPr>
        <w:pStyle w:val="URSISeccion"/>
        <w:numPr>
          <w:ilvl w:val="0"/>
          <w:numId w:val="0"/>
        </w:numPr>
        <w:rPr>
          <w:i w:val="0"/>
          <w:lang w:val="es-CO"/>
        </w:rPr>
      </w:pPr>
      <w:r>
        <w:rPr>
          <w:i w:val="0"/>
          <w:lang w:val="es-CO"/>
        </w:rPr>
        <w:t xml:space="preserve">En la </w:t>
      </w:r>
      <w:r w:rsidR="00C66571">
        <w:rPr>
          <w:i w:val="0"/>
          <w:lang w:val="es-CO"/>
        </w:rPr>
        <w:fldChar w:fldCharType="begin"/>
      </w:r>
      <w:r w:rsidR="00C66571">
        <w:rPr>
          <w:i w:val="0"/>
          <w:lang w:val="es-CO"/>
        </w:rPr>
        <w:instrText xml:space="preserve"> REF _Ref18969701 \h </w:instrText>
      </w:r>
      <w:r w:rsidR="00C66571">
        <w:rPr>
          <w:i w:val="0"/>
          <w:lang w:val="es-CO"/>
        </w:rPr>
      </w:r>
      <w:r w:rsidR="00C66571">
        <w:rPr>
          <w:i w:val="0"/>
          <w:lang w:val="es-CO"/>
        </w:rPr>
        <w:fldChar w:fldCharType="separate"/>
      </w:r>
      <w:r w:rsidR="00C66571">
        <w:t xml:space="preserve">Fig. </w:t>
      </w:r>
      <w:r w:rsidR="00C66571">
        <w:rPr>
          <w:noProof/>
        </w:rPr>
        <w:t>5</w:t>
      </w:r>
      <w:r w:rsidR="00C66571">
        <w:rPr>
          <w:i w:val="0"/>
          <w:lang w:val="es-CO"/>
        </w:rPr>
        <w:fldChar w:fldCharType="end"/>
      </w:r>
      <w:r w:rsidR="00C66571">
        <w:rPr>
          <w:i w:val="0"/>
          <w:lang w:val="es-CO"/>
        </w:rPr>
        <w:t xml:space="preserve"> </w:t>
      </w:r>
      <w:proofErr w:type="gramStart"/>
      <w:r>
        <w:rPr>
          <w:i w:val="0"/>
          <w:lang w:val="es-CO"/>
        </w:rPr>
        <w:t>se</w:t>
      </w:r>
      <w:proofErr w:type="gramEnd"/>
      <w:r>
        <w:rPr>
          <w:i w:val="0"/>
          <w:lang w:val="es-CO"/>
        </w:rPr>
        <w:t xml:space="preserve"> presenta el 80% de porcentaje de usuarios por departamentos de Colombia que usan tecnología 2G, siendo los departamentos de Sucre y Atlántico los que tienen el mayor porcentaje con un 12%, esta información es relevante para la toma de decisiones ya que son las zonas del país donde se deben plantear estrategias de alto impacto al momento de realizar la migración.</w:t>
      </w:r>
    </w:p>
    <w:p w:rsidR="008821A5" w:rsidRDefault="008821A5" w:rsidP="008821A5">
      <w:pPr>
        <w:pStyle w:val="URSISeccion"/>
        <w:numPr>
          <w:ilvl w:val="0"/>
          <w:numId w:val="0"/>
        </w:numPr>
        <w:rPr>
          <w:i w:val="0"/>
          <w:lang w:val="es-CO"/>
        </w:rPr>
      </w:pPr>
      <w:r>
        <w:rPr>
          <w:i w:val="0"/>
          <w:lang w:val="es-CO"/>
        </w:rPr>
        <w:t>Algunos</w:t>
      </w:r>
      <w:r w:rsidRPr="00E06456">
        <w:rPr>
          <w:i w:val="0"/>
          <w:lang w:val="es-CO"/>
        </w:rPr>
        <w:t xml:space="preserve"> operador</w:t>
      </w:r>
      <w:r>
        <w:rPr>
          <w:i w:val="0"/>
          <w:lang w:val="es-CO"/>
        </w:rPr>
        <w:t>e</w:t>
      </w:r>
      <w:r w:rsidRPr="00E06456">
        <w:rPr>
          <w:i w:val="0"/>
          <w:lang w:val="es-CO"/>
        </w:rPr>
        <w:t>s en</w:t>
      </w:r>
      <w:r>
        <w:rPr>
          <w:i w:val="0"/>
          <w:lang w:val="es-CO"/>
        </w:rPr>
        <w:t xml:space="preserve"> Estados Unidos, Singapur</w:t>
      </w:r>
      <w:r w:rsidRPr="00E06456">
        <w:rPr>
          <w:i w:val="0"/>
          <w:lang w:val="es-CO"/>
        </w:rPr>
        <w:t xml:space="preserve"> </w:t>
      </w:r>
      <w:r>
        <w:rPr>
          <w:i w:val="0"/>
          <w:lang w:val="es-CO"/>
        </w:rPr>
        <w:t>C</w:t>
      </w:r>
      <w:r w:rsidRPr="00E06456">
        <w:rPr>
          <w:i w:val="0"/>
          <w:lang w:val="es-CO"/>
        </w:rPr>
        <w:t>orea del Sur</w:t>
      </w:r>
      <w:r>
        <w:rPr>
          <w:i w:val="0"/>
          <w:lang w:val="es-CO"/>
        </w:rPr>
        <w:t>, Australia y</w:t>
      </w:r>
      <w:r w:rsidRPr="00E06456">
        <w:rPr>
          <w:i w:val="0"/>
          <w:lang w:val="es-CO"/>
        </w:rPr>
        <w:t xml:space="preserve"> Japón han apagado tota</w:t>
      </w:r>
      <w:r>
        <w:rPr>
          <w:i w:val="0"/>
          <w:lang w:val="es-CO"/>
        </w:rPr>
        <w:t>lmente la</w:t>
      </w:r>
      <w:r w:rsidRPr="00E06456">
        <w:rPr>
          <w:i w:val="0"/>
          <w:lang w:val="es-CO"/>
        </w:rPr>
        <w:t xml:space="preserve"> red 2G </w:t>
      </w:r>
      <w:r>
        <w:rPr>
          <w:i w:val="0"/>
          <w:lang w:val="es-CO"/>
        </w:rPr>
        <w:t xml:space="preserve">ya </w:t>
      </w:r>
      <w:r w:rsidRPr="00E06456">
        <w:rPr>
          <w:i w:val="0"/>
          <w:lang w:val="es-CO"/>
        </w:rPr>
        <w:t xml:space="preserve">que </w:t>
      </w:r>
      <w:r>
        <w:rPr>
          <w:i w:val="0"/>
          <w:lang w:val="es-CO"/>
        </w:rPr>
        <w:t xml:space="preserve">tienen la característica de que son </w:t>
      </w:r>
      <w:r w:rsidRPr="00E06456">
        <w:rPr>
          <w:i w:val="0"/>
          <w:lang w:val="es-CO"/>
        </w:rPr>
        <w:t>países desarrollados</w:t>
      </w:r>
      <w:r>
        <w:rPr>
          <w:i w:val="0"/>
          <w:lang w:val="es-CO"/>
        </w:rPr>
        <w:t xml:space="preserve"> y por ende</w:t>
      </w:r>
      <w:r w:rsidRPr="00E06456">
        <w:rPr>
          <w:i w:val="0"/>
          <w:lang w:val="es-CO"/>
        </w:rPr>
        <w:t xml:space="preserve"> </w:t>
      </w:r>
      <w:r>
        <w:rPr>
          <w:i w:val="0"/>
          <w:lang w:val="es-CO"/>
        </w:rPr>
        <w:t xml:space="preserve">realizan este tipo de procesos con </w:t>
      </w:r>
      <w:r w:rsidRPr="00E06456">
        <w:rPr>
          <w:i w:val="0"/>
          <w:lang w:val="es-CO"/>
        </w:rPr>
        <w:t xml:space="preserve">rápida implantación </w:t>
      </w:r>
      <w:r>
        <w:rPr>
          <w:i w:val="0"/>
          <w:lang w:val="es-CO"/>
        </w:rPr>
        <w:t xml:space="preserve">y optimización de nuevas </w:t>
      </w:r>
      <w:r w:rsidRPr="00E06456">
        <w:rPr>
          <w:i w:val="0"/>
          <w:lang w:val="es-CO"/>
        </w:rPr>
        <w:t>tecnologías, especialmente de redes celulares. Como caso curioso</w:t>
      </w:r>
      <w:r>
        <w:rPr>
          <w:i w:val="0"/>
          <w:lang w:val="es-CO"/>
        </w:rPr>
        <w:t>, en Japón incluso hay operadore</w:t>
      </w:r>
      <w:r w:rsidRPr="00E06456">
        <w:rPr>
          <w:i w:val="0"/>
          <w:lang w:val="es-CO"/>
        </w:rPr>
        <w:t xml:space="preserve">s </w:t>
      </w:r>
      <w:r>
        <w:rPr>
          <w:i w:val="0"/>
          <w:lang w:val="es-CO"/>
        </w:rPr>
        <w:t xml:space="preserve">contemplando la posibilidad del apagado de la </w:t>
      </w:r>
      <w:r w:rsidRPr="00E06456">
        <w:rPr>
          <w:i w:val="0"/>
          <w:lang w:val="es-CO"/>
        </w:rPr>
        <w:t>red 3G</w:t>
      </w:r>
      <w:r>
        <w:rPr>
          <w:i w:val="0"/>
          <w:lang w:val="es-CO"/>
        </w:rPr>
        <w:t>.</w:t>
      </w:r>
    </w:p>
    <w:p w:rsidR="008821A5" w:rsidRDefault="008821A5" w:rsidP="008821A5">
      <w:pPr>
        <w:pStyle w:val="URSISeccion"/>
      </w:pPr>
      <w:r>
        <w:t>Impacto comercial</w:t>
      </w:r>
    </w:p>
    <w:p w:rsidR="008821A5" w:rsidRDefault="008821A5" w:rsidP="008821A5">
      <w:pPr>
        <w:pStyle w:val="URSISeccion"/>
        <w:numPr>
          <w:ilvl w:val="0"/>
          <w:numId w:val="0"/>
        </w:numPr>
        <w:rPr>
          <w:i w:val="0"/>
        </w:rPr>
      </w:pPr>
      <w:r w:rsidRPr="007550A8">
        <w:rPr>
          <w:i w:val="0"/>
          <w:lang w:val="es-CO"/>
        </w:rPr>
        <w:t xml:space="preserve">Los operadores móviles </w:t>
      </w:r>
      <w:r>
        <w:rPr>
          <w:i w:val="0"/>
          <w:lang w:val="es-CO"/>
        </w:rPr>
        <w:t xml:space="preserve">en coordinación con los entes reguladores </w:t>
      </w:r>
      <w:r w:rsidRPr="007550A8">
        <w:rPr>
          <w:i w:val="0"/>
          <w:lang w:val="es-CO"/>
        </w:rPr>
        <w:t xml:space="preserve">deben plantear estrategias </w:t>
      </w:r>
      <w:r>
        <w:rPr>
          <w:i w:val="0"/>
          <w:lang w:val="es-CO"/>
        </w:rPr>
        <w:t>enfocadas en la</w:t>
      </w:r>
      <w:r w:rsidRPr="007550A8">
        <w:rPr>
          <w:i w:val="0"/>
          <w:lang w:val="es-CO"/>
        </w:rPr>
        <w:t xml:space="preserve"> gestión del cambio, </w:t>
      </w:r>
      <w:r>
        <w:rPr>
          <w:i w:val="0"/>
          <w:lang w:val="es-CO"/>
        </w:rPr>
        <w:t>concientizando</w:t>
      </w:r>
      <w:r w:rsidRPr="007550A8">
        <w:rPr>
          <w:i w:val="0"/>
          <w:lang w:val="es-CO"/>
        </w:rPr>
        <w:t xml:space="preserve"> a los usuarios que usan la tecnología 2G</w:t>
      </w:r>
      <w:r>
        <w:rPr>
          <w:i w:val="0"/>
          <w:lang w:val="es-CO"/>
        </w:rPr>
        <w:t xml:space="preserve"> para la migración progresiva </w:t>
      </w:r>
      <w:r w:rsidRPr="007550A8">
        <w:rPr>
          <w:i w:val="0"/>
        </w:rPr>
        <w:t xml:space="preserve">en aquellas zonas del país donde predomina </w:t>
      </w:r>
      <w:r>
        <w:rPr>
          <w:i w:val="0"/>
        </w:rPr>
        <w:t>esta tecnología</w:t>
      </w:r>
      <w:r w:rsidRPr="007550A8">
        <w:rPr>
          <w:i w:val="0"/>
        </w:rPr>
        <w:t xml:space="preserve">, incentivando la adquisición de equipos móviles que manejen tecnologías </w:t>
      </w:r>
      <w:r>
        <w:rPr>
          <w:i w:val="0"/>
        </w:rPr>
        <w:t>iguales o superiores</w:t>
      </w:r>
      <w:r w:rsidRPr="007550A8">
        <w:rPr>
          <w:i w:val="0"/>
        </w:rPr>
        <w:t xml:space="preserve"> a 3G</w:t>
      </w:r>
      <w:r>
        <w:rPr>
          <w:i w:val="0"/>
        </w:rPr>
        <w:t>, disminución de impuestos para los dispositivos de tecnologías 3G y 4G para que sean más asequible para los usuarios finales, establecer campañas de recambios de terminales en estratos bajos (1 y 2), permitir que los operadores móviles realicen descuentos y promociones para promover el cambio de celulares, entre otras, en este sentido, se debe contemplar el poder limitar o prohibir la comercialización e importación de los dispositivos que soporten 2G, no permitir su homologación ente la CRC y por último no admitir más activaciones de usuarios nuevos con estos terminales.</w:t>
      </w:r>
    </w:p>
    <w:p w:rsidR="008821A5" w:rsidRDefault="008821A5" w:rsidP="008821A5">
      <w:pPr>
        <w:pStyle w:val="URSISeccion"/>
        <w:numPr>
          <w:ilvl w:val="0"/>
          <w:numId w:val="0"/>
        </w:numPr>
        <w:rPr>
          <w:i w:val="0"/>
          <w:lang w:val="es-CO"/>
        </w:rPr>
      </w:pPr>
      <w:r w:rsidRPr="0007739F">
        <w:rPr>
          <w:i w:val="0"/>
        </w:rPr>
        <w:t>Adicionalmente, los operadores deberán realizar los análisis y estudios correspondiente al a</w:t>
      </w:r>
      <w:r w:rsidRPr="00F921C3">
        <w:rPr>
          <w:i w:val="0"/>
        </w:rPr>
        <w:t xml:space="preserve">lto costo </w:t>
      </w:r>
      <w:r w:rsidRPr="0007739F">
        <w:rPr>
          <w:i w:val="0"/>
        </w:rPr>
        <w:t xml:space="preserve">que significa </w:t>
      </w:r>
      <w:r>
        <w:rPr>
          <w:i w:val="0"/>
        </w:rPr>
        <w:t>dicho cambio en temas de i</w:t>
      </w:r>
      <w:r w:rsidRPr="0007739F">
        <w:rPr>
          <w:i w:val="0"/>
        </w:rPr>
        <w:t>nfraestructura</w:t>
      </w:r>
      <w:r>
        <w:rPr>
          <w:lang w:val="es-CO"/>
        </w:rPr>
        <w:t xml:space="preserve">, </w:t>
      </w:r>
      <w:r>
        <w:rPr>
          <w:i w:val="0"/>
          <w:lang w:val="es-CO"/>
        </w:rPr>
        <w:t>mantenimiento de la disponibilidad de la red que les representa a los operadores millones de dólares al año que se podría reinvertir en el despliegue de nuevas infraestructuras.</w:t>
      </w:r>
    </w:p>
    <w:p w:rsidR="008821A5" w:rsidRDefault="008821A5" w:rsidP="008821A5">
      <w:pPr>
        <w:pStyle w:val="URSISeccion"/>
        <w:numPr>
          <w:ilvl w:val="0"/>
          <w:numId w:val="0"/>
        </w:numPr>
        <w:rPr>
          <w:i w:val="0"/>
          <w:lang w:val="es-CO"/>
        </w:rPr>
      </w:pPr>
      <w:r>
        <w:rPr>
          <w:i w:val="0"/>
          <w:lang w:val="es-CO"/>
        </w:rPr>
        <w:t xml:space="preserve">A continuación, </w:t>
      </w:r>
      <w:r w:rsidR="00C66571">
        <w:rPr>
          <w:i w:val="0"/>
          <w:lang w:val="es-CO"/>
        </w:rPr>
        <w:t xml:space="preserve">la </w:t>
      </w:r>
      <w:r w:rsidR="00C66571">
        <w:rPr>
          <w:i w:val="0"/>
          <w:lang w:val="es-CO"/>
        </w:rPr>
        <w:fldChar w:fldCharType="begin"/>
      </w:r>
      <w:r w:rsidR="00C66571">
        <w:rPr>
          <w:i w:val="0"/>
          <w:lang w:val="es-CO"/>
        </w:rPr>
        <w:instrText xml:space="preserve"> REF _Ref18969911 \h </w:instrText>
      </w:r>
      <w:r w:rsidR="00C66571">
        <w:rPr>
          <w:i w:val="0"/>
          <w:lang w:val="es-CO"/>
        </w:rPr>
      </w:r>
      <w:r w:rsidR="00C66571">
        <w:rPr>
          <w:i w:val="0"/>
          <w:lang w:val="es-CO"/>
        </w:rPr>
        <w:fldChar w:fldCharType="separate"/>
      </w:r>
      <w:r w:rsidR="00C66571">
        <w:t xml:space="preserve">Fig. </w:t>
      </w:r>
      <w:r w:rsidR="00C66571">
        <w:rPr>
          <w:noProof/>
        </w:rPr>
        <w:t>6</w:t>
      </w:r>
      <w:r w:rsidR="00C66571">
        <w:rPr>
          <w:i w:val="0"/>
          <w:lang w:val="es-CO"/>
        </w:rPr>
        <w:fldChar w:fldCharType="end"/>
      </w:r>
      <w:r w:rsidR="00C66571">
        <w:rPr>
          <w:i w:val="0"/>
          <w:lang w:val="es-CO"/>
        </w:rPr>
        <w:t xml:space="preserve"> </w:t>
      </w:r>
      <w:r>
        <w:rPr>
          <w:i w:val="0"/>
          <w:lang w:val="es-CO"/>
        </w:rPr>
        <w:t xml:space="preserve"> muestra </w:t>
      </w:r>
      <w:r w:rsidRPr="00E1387E">
        <w:rPr>
          <w:i w:val="0"/>
          <w:lang w:val="es-CO"/>
        </w:rPr>
        <w:t>el porcentaje de usuarios por cada operador móvil del país, siendo Comunicación celular S.A (COMCEL), el operador que tiene el mayor número de usuarios</w:t>
      </w:r>
      <w:r>
        <w:rPr>
          <w:i w:val="0"/>
          <w:lang w:val="es-CO"/>
        </w:rPr>
        <w:t xml:space="preserve"> incorporados en esta tecnología, lo que significa que tendrá un </w:t>
      </w:r>
      <w:r>
        <w:rPr>
          <w:i w:val="0"/>
          <w:lang w:val="es-CO"/>
        </w:rPr>
        <w:t xml:space="preserve">reto importante por el esfuerzo que deberá realizar para la migración de los usuarios sin afectar el servicio.  </w:t>
      </w:r>
      <w:r w:rsidRPr="00E1387E">
        <w:rPr>
          <w:i w:val="0"/>
          <w:lang w:val="es-CO"/>
        </w:rPr>
        <w:t xml:space="preserve"> </w:t>
      </w:r>
    </w:p>
    <w:p w:rsidR="00C66571" w:rsidRPr="00C66571" w:rsidRDefault="008821A5" w:rsidP="00C66571">
      <w:pPr>
        <w:pStyle w:val="URSISeccion"/>
        <w:numPr>
          <w:ilvl w:val="0"/>
          <w:numId w:val="0"/>
        </w:numPr>
        <w:rPr>
          <w:lang w:val="es-CO"/>
        </w:rPr>
      </w:pPr>
      <w:r>
        <w:rPr>
          <w:noProof/>
          <w:lang w:val="es-CO" w:eastAsia="es-CO"/>
        </w:rPr>
        <w:drawing>
          <wp:inline distT="0" distB="0" distL="0" distR="0">
            <wp:extent cx="3164205" cy="1438275"/>
            <wp:effectExtent l="0" t="0" r="0" b="952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164205" cy="1438275"/>
                    </a:xfrm>
                    <a:prstGeom prst="rect">
                      <a:avLst/>
                    </a:prstGeom>
                    <a:noFill/>
                  </pic:spPr>
                </pic:pic>
              </a:graphicData>
            </a:graphic>
          </wp:inline>
        </w:drawing>
      </w:r>
    </w:p>
    <w:p w:rsidR="008821A5" w:rsidRPr="009A7329" w:rsidRDefault="00C66571" w:rsidP="00C66571">
      <w:pPr>
        <w:pStyle w:val="Descripcin"/>
        <w:ind w:left="284"/>
        <w:jc w:val="center"/>
        <w:rPr>
          <w:i w:val="0"/>
        </w:rPr>
      </w:pPr>
      <w:bookmarkStart w:id="5" w:name="_Ref18969911"/>
      <w:r>
        <w:t xml:space="preserve">Fig. </w:t>
      </w:r>
      <w:r w:rsidR="00535A24">
        <w:rPr>
          <w:noProof/>
        </w:rPr>
        <w:fldChar w:fldCharType="begin"/>
      </w:r>
      <w:r w:rsidR="00535A24">
        <w:rPr>
          <w:noProof/>
        </w:rPr>
        <w:instrText xml:space="preserve"> SEQ Fig. \* ARABIC </w:instrText>
      </w:r>
      <w:r w:rsidR="00535A24">
        <w:rPr>
          <w:noProof/>
        </w:rPr>
        <w:fldChar w:fldCharType="separate"/>
      </w:r>
      <w:r w:rsidR="00D0620D">
        <w:rPr>
          <w:noProof/>
        </w:rPr>
        <w:t>6</w:t>
      </w:r>
      <w:r w:rsidR="00535A24">
        <w:rPr>
          <w:noProof/>
        </w:rPr>
        <w:fldChar w:fldCharType="end"/>
      </w:r>
      <w:bookmarkEnd w:id="5"/>
      <w:r>
        <w:t xml:space="preserve"> </w:t>
      </w:r>
      <w:r w:rsidR="008821A5">
        <w:rPr>
          <w:i w:val="0"/>
          <w:sz w:val="16"/>
        </w:rPr>
        <w:t>Porcentaje de abonados en tecnología 2G en Colombia por operador móvil</w:t>
      </w:r>
    </w:p>
    <w:p w:rsidR="008821A5" w:rsidRPr="009F2FCD" w:rsidRDefault="008821A5" w:rsidP="008821A5">
      <w:pPr>
        <w:pStyle w:val="URSISeccion"/>
      </w:pPr>
      <w:r w:rsidRPr="009F2FCD">
        <w:t>Impacto regulatorio</w:t>
      </w:r>
    </w:p>
    <w:p w:rsidR="008821A5" w:rsidRDefault="008821A5" w:rsidP="00383E62">
      <w:pPr>
        <w:pStyle w:val="URSISeccion"/>
        <w:numPr>
          <w:ilvl w:val="0"/>
          <w:numId w:val="0"/>
        </w:numPr>
        <w:ind w:left="142"/>
        <w:rPr>
          <w:i w:val="0"/>
        </w:rPr>
      </w:pPr>
      <w:r w:rsidRPr="00DA67BE">
        <w:rPr>
          <w:i w:val="0"/>
        </w:rPr>
        <w:t>Para la migración de tecnología, es importante la colaboración de todos los actores que de una u otra manera involucra el proceso; el ente regulador, como líder en la transición deberá tener los lineamientos necesarios para mitigar el impacto y afectación el usuario final. En estos momentos el Min</w:t>
      </w:r>
      <w:r>
        <w:rPr>
          <w:i w:val="0"/>
        </w:rPr>
        <w:t xml:space="preserve">isterio de </w:t>
      </w:r>
      <w:r w:rsidRPr="00DA67BE">
        <w:rPr>
          <w:i w:val="0"/>
        </w:rPr>
        <w:t>T</w:t>
      </w:r>
      <w:r>
        <w:rPr>
          <w:i w:val="0"/>
        </w:rPr>
        <w:t xml:space="preserve">ecnologías de la </w:t>
      </w:r>
      <w:r w:rsidRPr="00DA67BE">
        <w:rPr>
          <w:i w:val="0"/>
        </w:rPr>
        <w:t>I</w:t>
      </w:r>
      <w:r>
        <w:rPr>
          <w:i w:val="0"/>
        </w:rPr>
        <w:t xml:space="preserve">nformación y </w:t>
      </w:r>
      <w:r w:rsidRPr="00DA67BE">
        <w:rPr>
          <w:i w:val="0"/>
        </w:rPr>
        <w:t>C</w:t>
      </w:r>
      <w:r>
        <w:rPr>
          <w:i w:val="0"/>
        </w:rPr>
        <w:t>omunicaciones (MinTIC)</w:t>
      </w:r>
      <w:r w:rsidRPr="00DA67BE">
        <w:rPr>
          <w:i w:val="0"/>
        </w:rPr>
        <w:t xml:space="preserve"> y la CRC se encuentran realizando los estudios y análisis necesarios para la creación de la hoja de ruta donde </w:t>
      </w:r>
      <w:r>
        <w:rPr>
          <w:i w:val="0"/>
        </w:rPr>
        <w:t>se contemplan cuatro (</w:t>
      </w:r>
      <w:r w:rsidRPr="00DA67BE">
        <w:rPr>
          <w:i w:val="0"/>
        </w:rPr>
        <w:t>4</w:t>
      </w:r>
      <w:r>
        <w:rPr>
          <w:i w:val="0"/>
        </w:rPr>
        <w:t>)</w:t>
      </w:r>
      <w:r w:rsidRPr="00DA67BE">
        <w:rPr>
          <w:i w:val="0"/>
        </w:rPr>
        <w:t xml:space="preserve"> </w:t>
      </w:r>
      <w:r>
        <w:rPr>
          <w:i w:val="0"/>
        </w:rPr>
        <w:t xml:space="preserve">objetivos </w:t>
      </w:r>
      <w:r w:rsidRPr="00DA67BE">
        <w:rPr>
          <w:i w:val="0"/>
        </w:rPr>
        <w:t xml:space="preserve">que son: </w:t>
      </w:r>
      <w:r>
        <w:rPr>
          <w:i w:val="0"/>
        </w:rPr>
        <w:t>"</w:t>
      </w:r>
      <w:r w:rsidRPr="00803F1D">
        <w:rPr>
          <w:i w:val="0"/>
        </w:rPr>
        <w:t xml:space="preserve">i) Identificar el estado actual en términos de penetración, tecnología y acceso de las redes móviles en Colombia, ii) Determinar el escenario óptimo de actualización de las redes móviles, de acuerdo con el potencial de inversión de la industria y las necesidades de los usuarios, iii) Establecer las acciones regulatorias a ejecutar por la CRC y iv) Proponer recomendaciones a las entidades de Gobierno y a los agentes regulados, de acuerdo con la política pública que </w:t>
      </w:r>
      <w:r>
        <w:rPr>
          <w:i w:val="0"/>
        </w:rPr>
        <w:t>desarrolle el gobierno nacional”</w:t>
      </w:r>
      <w:r>
        <w:rPr>
          <w:i w:val="0"/>
          <w:noProof/>
          <w:lang w:val="es-CO"/>
        </w:rPr>
        <w:t xml:space="preserve"> </w:t>
      </w:r>
      <w:sdt>
        <w:sdtPr>
          <w:rPr>
            <w:i w:val="0"/>
            <w:noProof/>
            <w:lang w:val="es-CO"/>
          </w:rPr>
          <w:id w:val="-951012636"/>
          <w:citation/>
        </w:sdtPr>
        <w:sdtEndPr/>
        <w:sdtContent>
          <w:r w:rsidR="005F105D">
            <w:rPr>
              <w:i w:val="0"/>
              <w:noProof/>
              <w:lang w:val="es-CO"/>
            </w:rPr>
            <w:fldChar w:fldCharType="begin"/>
          </w:r>
          <w:r w:rsidR="005F105D">
            <w:rPr>
              <w:noProof/>
              <w:lang w:val="es-CO"/>
            </w:rPr>
            <w:instrText xml:space="preserve"> CITATION Min191 \l 9226 </w:instrText>
          </w:r>
          <w:r w:rsidR="005F105D">
            <w:rPr>
              <w:i w:val="0"/>
              <w:noProof/>
              <w:lang w:val="es-CO"/>
            </w:rPr>
            <w:fldChar w:fldCharType="separate"/>
          </w:r>
          <w:r w:rsidR="0032194F" w:rsidRPr="0032194F">
            <w:rPr>
              <w:noProof/>
              <w:lang w:val="es-CO"/>
            </w:rPr>
            <w:t>[4]</w:t>
          </w:r>
          <w:r w:rsidR="005F105D">
            <w:rPr>
              <w:i w:val="0"/>
              <w:noProof/>
              <w:lang w:val="es-CO"/>
            </w:rPr>
            <w:fldChar w:fldCharType="end"/>
          </w:r>
        </w:sdtContent>
      </w:sdt>
    </w:p>
    <w:p w:rsidR="008821A5" w:rsidRPr="003E4BB0" w:rsidRDefault="008821A5" w:rsidP="00383E62">
      <w:pPr>
        <w:pStyle w:val="URSISeccion"/>
        <w:numPr>
          <w:ilvl w:val="0"/>
          <w:numId w:val="0"/>
        </w:numPr>
        <w:ind w:left="142"/>
        <w:rPr>
          <w:i w:val="0"/>
        </w:rPr>
      </w:pPr>
      <w:r w:rsidRPr="003E4BB0">
        <w:rPr>
          <w:i w:val="0"/>
        </w:rPr>
        <w:t>Existe dentro de la regulación colombiana, restricciones</w:t>
      </w:r>
      <w:r>
        <w:rPr>
          <w:i w:val="0"/>
        </w:rPr>
        <w:t xml:space="preserve"> las cuales</w:t>
      </w:r>
      <w:r w:rsidRPr="003E4BB0">
        <w:rPr>
          <w:i w:val="0"/>
        </w:rPr>
        <w:t xml:space="preserve"> el gobierno debe revisar la pertinencia de modificar para hacer posible que la migración se dé sin afectar al usuario ni al operador.</w:t>
      </w:r>
    </w:p>
    <w:p w:rsidR="008821A5" w:rsidRPr="00275227" w:rsidRDefault="008821A5" w:rsidP="00383E62">
      <w:pPr>
        <w:pStyle w:val="URSISeccion"/>
        <w:numPr>
          <w:ilvl w:val="0"/>
          <w:numId w:val="0"/>
        </w:numPr>
        <w:ind w:left="142"/>
        <w:rPr>
          <w:i w:val="0"/>
        </w:rPr>
      </w:pPr>
      <w:r w:rsidRPr="00275227">
        <w:rPr>
          <w:i w:val="0"/>
        </w:rPr>
        <w:t>Una de estas restricciones son las reglas</w:t>
      </w:r>
      <w:r w:rsidRPr="00275227">
        <w:rPr>
          <w:i w:val="0"/>
          <w:lang w:val="es-CO"/>
        </w:rPr>
        <w:t xml:space="preserve"> sobre Sistema Nacional de Telecomunicaciones en Emergencia, mediante la Resolución 4972 de 2016 conde controla la capacidad de operar en redes de tecnologías 2G, 3G y 4G, para servicios basados en localización, otra resolución es la 5165 de 2017 donde se estipula el r</w:t>
      </w:r>
      <w:r w:rsidRPr="00275227">
        <w:rPr>
          <w:i w:val="0"/>
        </w:rPr>
        <w:t xml:space="preserve">régimen de Calidad del Servicio, que debería entrar en modificación excluyendo a la tecnología 2G. </w:t>
      </w:r>
    </w:p>
    <w:p w:rsidR="008821A5" w:rsidRPr="00275227" w:rsidRDefault="008821A5" w:rsidP="00383E62">
      <w:pPr>
        <w:pStyle w:val="URSISeccion"/>
        <w:numPr>
          <w:ilvl w:val="0"/>
          <w:numId w:val="0"/>
        </w:numPr>
        <w:ind w:left="142"/>
        <w:rPr>
          <w:i w:val="0"/>
        </w:rPr>
      </w:pPr>
      <w:r>
        <w:rPr>
          <w:i w:val="0"/>
        </w:rPr>
        <w:t>Una propuesta para el gobierno y los entes reguladores es b</w:t>
      </w:r>
      <w:r w:rsidRPr="00275227">
        <w:rPr>
          <w:i w:val="0"/>
        </w:rPr>
        <w:t xml:space="preserve">uscar iniciativas de cambio en la normatividad correspondiente a disminución o exención de impuestos para terminales de última tecnología como 4G, </w:t>
      </w:r>
      <w:r>
        <w:rPr>
          <w:i w:val="0"/>
        </w:rPr>
        <w:t>para</w:t>
      </w:r>
      <w:r w:rsidRPr="00275227">
        <w:rPr>
          <w:i w:val="0"/>
        </w:rPr>
        <w:t xml:space="preserve"> que los precios</w:t>
      </w:r>
      <w:r>
        <w:rPr>
          <w:i w:val="0"/>
        </w:rPr>
        <w:t xml:space="preserve"> </w:t>
      </w:r>
      <w:r w:rsidRPr="00275227">
        <w:rPr>
          <w:i w:val="0"/>
        </w:rPr>
        <w:t xml:space="preserve">de </w:t>
      </w:r>
      <w:r>
        <w:rPr>
          <w:i w:val="0"/>
        </w:rPr>
        <w:t>los</w:t>
      </w:r>
      <w:r w:rsidRPr="00275227">
        <w:rPr>
          <w:i w:val="0"/>
        </w:rPr>
        <w:t xml:space="preserve"> equipos bajen haciéndose más fácil de adquirir po</w:t>
      </w:r>
      <w:r>
        <w:rPr>
          <w:i w:val="0"/>
        </w:rPr>
        <w:t>r parte de los usuarios finales.</w:t>
      </w:r>
    </w:p>
    <w:p w:rsidR="008821A5" w:rsidRPr="00AC20C4" w:rsidRDefault="008821A5" w:rsidP="00383E62">
      <w:pPr>
        <w:pStyle w:val="URSISeccion"/>
        <w:numPr>
          <w:ilvl w:val="0"/>
          <w:numId w:val="0"/>
        </w:numPr>
        <w:ind w:left="142"/>
        <w:rPr>
          <w:i w:val="0"/>
        </w:rPr>
      </w:pPr>
      <w:r w:rsidRPr="00AC20C4">
        <w:rPr>
          <w:i w:val="0"/>
        </w:rPr>
        <w:t xml:space="preserve">Las obligaciones regulatorias que existen en la actualidad en cuanto a cobertura, calidad, interoperabilidad de redes y </w:t>
      </w:r>
      <w:r w:rsidRPr="00AC20C4">
        <w:rPr>
          <w:i w:val="0"/>
        </w:rPr>
        <w:lastRenderedPageBreak/>
        <w:t>demás, se pueden suplir con tecnologías más modernas como son 3G, HSPA+, 4G y 5G.</w:t>
      </w:r>
    </w:p>
    <w:p w:rsidR="008821A5" w:rsidRPr="00EB555C" w:rsidRDefault="008821A5" w:rsidP="00383E62">
      <w:pPr>
        <w:pStyle w:val="URSISeccion"/>
        <w:ind w:left="142"/>
      </w:pPr>
      <w:r w:rsidRPr="00EB555C">
        <w:t>Medición de espectro de la banda 2G</w:t>
      </w:r>
    </w:p>
    <w:p w:rsidR="008821A5" w:rsidRPr="00550E04" w:rsidRDefault="008821A5" w:rsidP="00383E62">
      <w:pPr>
        <w:pStyle w:val="URSISeccion"/>
        <w:numPr>
          <w:ilvl w:val="0"/>
          <w:numId w:val="0"/>
        </w:numPr>
        <w:ind w:left="142"/>
        <w:rPr>
          <w:i w:val="0"/>
        </w:rPr>
      </w:pPr>
      <w:r w:rsidRPr="00550E04">
        <w:rPr>
          <w:i w:val="0"/>
        </w:rPr>
        <w:t xml:space="preserve">La banda 2G en Colombia opera en varias bandas de frecuencias de acuerdo </w:t>
      </w:r>
      <w:r>
        <w:rPr>
          <w:i w:val="0"/>
        </w:rPr>
        <w:t>con la distribución ac cada</w:t>
      </w:r>
      <w:r w:rsidRPr="00550E04">
        <w:rPr>
          <w:i w:val="0"/>
        </w:rPr>
        <w:t xml:space="preserve"> operador; se encuentra en la banda 850 y 1900.</w:t>
      </w:r>
    </w:p>
    <w:p w:rsidR="008821A5" w:rsidRPr="00550E04" w:rsidRDefault="008821A5" w:rsidP="00383E62">
      <w:pPr>
        <w:pStyle w:val="URSISeccion"/>
        <w:numPr>
          <w:ilvl w:val="0"/>
          <w:numId w:val="0"/>
        </w:numPr>
        <w:ind w:left="142"/>
        <w:rPr>
          <w:i w:val="0"/>
        </w:rPr>
      </w:pPr>
      <w:r w:rsidRPr="00550E04">
        <w:rPr>
          <w:i w:val="0"/>
        </w:rPr>
        <w:t xml:space="preserve">En las </w:t>
      </w:r>
      <w:r w:rsidR="00C66571">
        <w:rPr>
          <w:i w:val="0"/>
        </w:rPr>
        <w:fldChar w:fldCharType="begin"/>
      </w:r>
      <w:r w:rsidR="00C66571">
        <w:rPr>
          <w:i w:val="0"/>
        </w:rPr>
        <w:instrText xml:space="preserve"> REF _Ref18969979 \h </w:instrText>
      </w:r>
      <w:r w:rsidR="00C66571">
        <w:rPr>
          <w:i w:val="0"/>
        </w:rPr>
      </w:r>
      <w:r w:rsidR="00C66571">
        <w:rPr>
          <w:i w:val="0"/>
        </w:rPr>
        <w:fldChar w:fldCharType="separate"/>
      </w:r>
      <w:r w:rsidR="00C66571">
        <w:t xml:space="preserve">Fig. </w:t>
      </w:r>
      <w:r w:rsidR="00C66571">
        <w:rPr>
          <w:noProof/>
        </w:rPr>
        <w:t>7</w:t>
      </w:r>
      <w:r w:rsidR="00C66571">
        <w:rPr>
          <w:i w:val="0"/>
        </w:rPr>
        <w:fldChar w:fldCharType="end"/>
      </w:r>
      <w:r w:rsidRPr="00550E04">
        <w:rPr>
          <w:i w:val="0"/>
        </w:rPr>
        <w:t xml:space="preserve"> y </w:t>
      </w:r>
      <w:r w:rsidR="00C66571">
        <w:rPr>
          <w:i w:val="0"/>
        </w:rPr>
        <w:fldChar w:fldCharType="begin"/>
      </w:r>
      <w:r w:rsidR="00C66571">
        <w:rPr>
          <w:i w:val="0"/>
        </w:rPr>
        <w:instrText xml:space="preserve"> REF _Ref18969993 \h </w:instrText>
      </w:r>
      <w:r w:rsidR="00C66571">
        <w:rPr>
          <w:i w:val="0"/>
        </w:rPr>
      </w:r>
      <w:r w:rsidR="00C66571">
        <w:rPr>
          <w:i w:val="0"/>
        </w:rPr>
        <w:fldChar w:fldCharType="separate"/>
      </w:r>
      <w:r w:rsidR="00C66571">
        <w:t xml:space="preserve">Fig. </w:t>
      </w:r>
      <w:r w:rsidR="00C66571">
        <w:rPr>
          <w:noProof/>
        </w:rPr>
        <w:t>8</w:t>
      </w:r>
      <w:r w:rsidR="00C66571">
        <w:rPr>
          <w:i w:val="0"/>
        </w:rPr>
        <w:fldChar w:fldCharType="end"/>
      </w:r>
      <w:r w:rsidRPr="00550E04">
        <w:rPr>
          <w:i w:val="0"/>
        </w:rPr>
        <w:t xml:space="preserve"> se puede observar un ejemplo del estado del espectro en una estación en Colombia</w:t>
      </w:r>
      <w:r>
        <w:rPr>
          <w:i w:val="0"/>
        </w:rPr>
        <w:t>, la parte del espectro que se encuentra dentro del recuadro negro es una parte que se va a reutilizar para otras tecnologías 3G o 4G.</w:t>
      </w:r>
    </w:p>
    <w:p w:rsidR="00C66571" w:rsidRPr="00C66571" w:rsidRDefault="008821A5" w:rsidP="00C66571">
      <w:pPr>
        <w:pStyle w:val="URSISeccion"/>
        <w:numPr>
          <w:ilvl w:val="0"/>
          <w:numId w:val="0"/>
        </w:numPr>
        <w:rPr>
          <w:lang w:val="es-CO"/>
        </w:rPr>
      </w:pPr>
      <w:r>
        <w:rPr>
          <w:noProof/>
          <w:lang w:val="es-CO" w:eastAsia="es-CO"/>
        </w:rPr>
        <mc:AlternateContent>
          <mc:Choice Requires="wps">
            <w:drawing>
              <wp:anchor distT="0" distB="0" distL="114300" distR="114300" simplePos="0" relativeHeight="251659264" behindDoc="0" locked="0" layoutInCell="1" allowOverlap="1">
                <wp:simplePos x="0" y="0"/>
                <wp:positionH relativeFrom="column">
                  <wp:posOffset>1297305</wp:posOffset>
                </wp:positionH>
                <wp:positionV relativeFrom="paragraph">
                  <wp:posOffset>923290</wp:posOffset>
                </wp:positionV>
                <wp:extent cx="1862455" cy="1153160"/>
                <wp:effectExtent l="12065" t="8255" r="11430" b="10160"/>
                <wp:wrapNone/>
                <wp:docPr id="10" name="Rectángulo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62455" cy="115316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0000"/>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ect w14:anchorId="70935436" id="Rectángulo 10" o:spid="_x0000_s1026" style="position:absolute;margin-left:102.15pt;margin-top:72.7pt;width:146.65pt;height:90.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" filled="f" fillcolor="red"/>
            </w:pict>
          </mc:Fallback>
        </mc:AlternateContent>
      </w:r>
      <w:r w:rsidRPr="00434389">
        <w:rPr>
          <w:noProof/>
          <w:lang w:val="es-CO" w:eastAsia="es-CO"/>
        </w:rPr>
        <w:drawing>
          <wp:inline distT="0" distB="0" distL="0" distR="0">
            <wp:extent cx="3162300" cy="213360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162300" cy="2133600"/>
                    </a:xfrm>
                    <a:prstGeom prst="rect">
                      <a:avLst/>
                    </a:prstGeom>
                    <a:noFill/>
                    <a:ln>
                      <a:noFill/>
                    </a:ln>
                  </pic:spPr>
                </pic:pic>
              </a:graphicData>
            </a:graphic>
          </wp:inline>
        </w:drawing>
      </w:r>
    </w:p>
    <w:p w:rsidR="008821A5" w:rsidRPr="00434389" w:rsidRDefault="00C66571" w:rsidP="00C66571">
      <w:pPr>
        <w:pStyle w:val="Descripcin"/>
        <w:jc w:val="center"/>
        <w:rPr>
          <w:i w:val="0"/>
        </w:rPr>
      </w:pPr>
      <w:bookmarkStart w:id="6" w:name="_Ref18969979"/>
      <w:r>
        <w:t xml:space="preserve">Fig. </w:t>
      </w:r>
      <w:r w:rsidR="00535A24">
        <w:rPr>
          <w:noProof/>
        </w:rPr>
        <w:fldChar w:fldCharType="begin"/>
      </w:r>
      <w:r w:rsidR="00535A24">
        <w:rPr>
          <w:noProof/>
        </w:rPr>
        <w:instrText xml:space="preserve"> SEQ Fig. \* ARABIC </w:instrText>
      </w:r>
      <w:r w:rsidR="00535A24">
        <w:rPr>
          <w:noProof/>
        </w:rPr>
        <w:fldChar w:fldCharType="separate"/>
      </w:r>
      <w:r w:rsidR="00D0620D">
        <w:rPr>
          <w:noProof/>
        </w:rPr>
        <w:t>7</w:t>
      </w:r>
      <w:r w:rsidR="00535A24">
        <w:rPr>
          <w:noProof/>
        </w:rPr>
        <w:fldChar w:fldCharType="end"/>
      </w:r>
      <w:bookmarkEnd w:id="6"/>
      <w:r>
        <w:t xml:space="preserve"> </w:t>
      </w:r>
      <w:r w:rsidR="008821A5" w:rsidRPr="00434389">
        <w:rPr>
          <w:i w:val="0"/>
          <w:sz w:val="16"/>
        </w:rPr>
        <w:t>Espectro de la banda 2G en polarización vertical</w:t>
      </w:r>
      <w:r w:rsidR="006A78BD">
        <w:rPr>
          <w:i w:val="0"/>
          <w:sz w:val="16"/>
        </w:rPr>
        <w:t>, Fuente: Autores</w:t>
      </w:r>
    </w:p>
    <w:p w:rsidR="008821A5" w:rsidRDefault="008821A5" w:rsidP="008821A5">
      <w:pPr>
        <w:pStyle w:val="URSISeccion"/>
        <w:numPr>
          <w:ilvl w:val="0"/>
          <w:numId w:val="0"/>
        </w:numPr>
      </w:pPr>
      <w:r>
        <w:rPr>
          <w:noProof/>
          <w:lang w:val="es-CO" w:eastAsia="es-CO"/>
        </w:rPr>
        <mc:AlternateContent>
          <mc:Choice Requires="wps">
            <w:drawing>
              <wp:anchor distT="0" distB="0" distL="114300" distR="114300" simplePos="0" relativeHeight="251660288" behindDoc="0" locked="0" layoutInCell="1" allowOverlap="1">
                <wp:simplePos x="0" y="0"/>
                <wp:positionH relativeFrom="column">
                  <wp:posOffset>1285875</wp:posOffset>
                </wp:positionH>
                <wp:positionV relativeFrom="paragraph">
                  <wp:posOffset>915670</wp:posOffset>
                </wp:positionV>
                <wp:extent cx="1862455" cy="1249045"/>
                <wp:effectExtent l="10160" t="10795" r="13335" b="6985"/>
                <wp:wrapNone/>
                <wp:docPr id="9" name="Rectángulo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62455" cy="124904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0000"/>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ect w14:anchorId="2DE615ED" id="Rectángulo 9" o:spid="_x0000_s1026" style="position:absolute;margin-left:101.25pt;margin-top:72.1pt;width:146.65pt;height:98.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" filled="f" fillcolor="red"/>
            </w:pict>
          </mc:Fallback>
        </mc:AlternateContent>
      </w:r>
      <w:r w:rsidRPr="00434389">
        <w:rPr>
          <w:noProof/>
          <w:lang w:val="es-CO" w:eastAsia="es-CO"/>
        </w:rPr>
        <w:drawing>
          <wp:inline distT="0" distB="0" distL="0" distR="0">
            <wp:extent cx="3162300" cy="2295525"/>
            <wp:effectExtent l="0" t="0" r="0" b="952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162300" cy="2295525"/>
                    </a:xfrm>
                    <a:prstGeom prst="rect">
                      <a:avLst/>
                    </a:prstGeom>
                    <a:noFill/>
                    <a:ln>
                      <a:noFill/>
                    </a:ln>
                  </pic:spPr>
                </pic:pic>
              </a:graphicData>
            </a:graphic>
          </wp:inline>
        </w:drawing>
      </w:r>
    </w:p>
    <w:p w:rsidR="008821A5" w:rsidRDefault="00C66571" w:rsidP="00C66571">
      <w:pPr>
        <w:pStyle w:val="Descripcin"/>
        <w:jc w:val="center"/>
        <w:rPr>
          <w:i w:val="0"/>
          <w:sz w:val="16"/>
        </w:rPr>
      </w:pPr>
      <w:bookmarkStart w:id="7" w:name="_Ref18969993"/>
      <w:r>
        <w:t xml:space="preserve">Fig. </w:t>
      </w:r>
      <w:r w:rsidR="00535A24">
        <w:rPr>
          <w:noProof/>
        </w:rPr>
        <w:fldChar w:fldCharType="begin"/>
      </w:r>
      <w:r w:rsidR="00535A24">
        <w:rPr>
          <w:noProof/>
        </w:rPr>
        <w:instrText xml:space="preserve"> SEQ Fig. \* ARABIC </w:instrText>
      </w:r>
      <w:r w:rsidR="00535A24">
        <w:rPr>
          <w:noProof/>
        </w:rPr>
        <w:fldChar w:fldCharType="separate"/>
      </w:r>
      <w:r w:rsidR="00D0620D">
        <w:rPr>
          <w:noProof/>
        </w:rPr>
        <w:t>8</w:t>
      </w:r>
      <w:r w:rsidR="00535A24">
        <w:rPr>
          <w:noProof/>
        </w:rPr>
        <w:fldChar w:fldCharType="end"/>
      </w:r>
      <w:bookmarkEnd w:id="7"/>
      <w:r>
        <w:t xml:space="preserve"> </w:t>
      </w:r>
      <w:r w:rsidR="008821A5" w:rsidRPr="00434389">
        <w:rPr>
          <w:i w:val="0"/>
          <w:sz w:val="16"/>
        </w:rPr>
        <w:t xml:space="preserve">Espectro de la banda 2G en polarización </w:t>
      </w:r>
      <w:r w:rsidR="008821A5">
        <w:rPr>
          <w:i w:val="0"/>
          <w:sz w:val="16"/>
        </w:rPr>
        <w:t>horizontal</w:t>
      </w:r>
      <w:r w:rsidR="006A78BD">
        <w:rPr>
          <w:i w:val="0"/>
          <w:sz w:val="16"/>
        </w:rPr>
        <w:t>. Fuente: Autores</w:t>
      </w:r>
    </w:p>
    <w:p w:rsidR="008821A5" w:rsidRPr="00693784" w:rsidRDefault="008821A5" w:rsidP="008821A5">
      <w:pPr>
        <w:widowControl w:val="0"/>
        <w:autoSpaceDE w:val="0"/>
        <w:autoSpaceDN w:val="0"/>
        <w:adjustRightInd w:val="0"/>
        <w:rPr>
          <w:lang w:val="es-ES"/>
        </w:rPr>
      </w:pPr>
      <w:r w:rsidRPr="00693784">
        <w:rPr>
          <w:lang w:val="es-ES"/>
        </w:rPr>
        <w:t>Mientras más espectro tengan los operadores, más capacidad podrán ofrecer, con el impacto que esto tiene sobre la calidad. Con base en las estimaciones de crecimiento del tráfico, incluso con la ayuda de la densificación de la red, las nuevas tecnologías inalámbricas y las conexiones que ayudan a “descargar” la red celular, como Wifi o, la GSMA ha calculado —al igual que otros agentes de la industria— que de aquí al año 2020 deberán ponerse a disposición de la banda ancha móvil entre 600 y 800 MHz de espectro adicional. La cantidad de espectro necesario para cada mercado nacional será diferente en función de sus pronósticos de demanda de datos y de las prioridades del país, pero si se asigna ahora se garantizará la armonización y costos más bajos a largo plazo.</w:t>
      </w:r>
    </w:p>
    <w:p w:rsidR="008821A5" w:rsidRPr="00693784" w:rsidRDefault="008821A5" w:rsidP="008821A5">
      <w:pPr>
        <w:widowControl w:val="0"/>
        <w:autoSpaceDE w:val="0"/>
        <w:autoSpaceDN w:val="0"/>
        <w:adjustRightInd w:val="0"/>
        <w:rPr>
          <w:lang w:val="es-ES"/>
        </w:rPr>
      </w:pPr>
      <w:r>
        <w:rPr>
          <w:lang w:val="es-ES"/>
        </w:rPr>
        <w:t>“</w:t>
      </w:r>
      <w:r w:rsidRPr="00693784">
        <w:rPr>
          <w:lang w:val="es-ES"/>
        </w:rPr>
        <w:t>En algunos casos, un operador móvil necesitará nuevo espectro para desplegar 4G</w:t>
      </w:r>
      <w:r>
        <w:rPr>
          <w:lang w:val="es-ES"/>
        </w:rPr>
        <w:t>, e</w:t>
      </w:r>
      <w:r w:rsidRPr="00693784">
        <w:rPr>
          <w:lang w:val="es-ES"/>
        </w:rPr>
        <w:t xml:space="preserve">n otros casos en los que sus licencias y circunstancias del mercado lo permitan, los operadores móviles </w:t>
      </w:r>
      <w:r w:rsidRPr="00693784">
        <w:rPr>
          <w:lang w:val="es-ES"/>
        </w:rPr>
        <w:t>podrán desplegar la tecnología LTE en frecuencias que se habían utilizado originalmente para 2G. No obstante, no todo el espectro se puede reorganizar de ese modo: es posible que algunos operadores tengan que seguir ofreciendo servicios para conexiones 2G”</w:t>
      </w:r>
      <w:r>
        <w:rPr>
          <w:noProof/>
        </w:rPr>
        <w:t xml:space="preserve"> </w:t>
      </w:r>
      <w:sdt>
        <w:sdtPr>
          <w:rPr>
            <w:noProof/>
          </w:rPr>
          <w:id w:val="-1246100080"/>
          <w:citation/>
        </w:sdtPr>
        <w:sdtEndPr/>
        <w:sdtContent>
          <w:r w:rsidR="005F105D">
            <w:rPr>
              <w:noProof/>
            </w:rPr>
            <w:fldChar w:fldCharType="begin"/>
          </w:r>
          <w:r w:rsidR="005F105D">
            <w:rPr>
              <w:noProof/>
            </w:rPr>
            <w:instrText xml:space="preserve"> CITATION GSM14 \l 9226 </w:instrText>
          </w:r>
          <w:r w:rsidR="005F105D">
            <w:rPr>
              <w:noProof/>
            </w:rPr>
            <w:fldChar w:fldCharType="separate"/>
          </w:r>
          <w:r w:rsidR="0032194F">
            <w:rPr>
              <w:noProof/>
            </w:rPr>
            <w:t>[5]</w:t>
          </w:r>
          <w:r w:rsidR="005F105D">
            <w:rPr>
              <w:noProof/>
            </w:rPr>
            <w:fldChar w:fldCharType="end"/>
          </w:r>
        </w:sdtContent>
      </w:sdt>
    </w:p>
    <w:p w:rsidR="008821A5" w:rsidRPr="00693784" w:rsidRDefault="008821A5" w:rsidP="008821A5">
      <w:pPr>
        <w:widowControl w:val="0"/>
        <w:autoSpaceDE w:val="0"/>
        <w:autoSpaceDN w:val="0"/>
        <w:adjustRightInd w:val="0"/>
        <w:rPr>
          <w:lang w:val="es-ES"/>
        </w:rPr>
      </w:pPr>
    </w:p>
    <w:p w:rsidR="008821A5" w:rsidRDefault="008821A5" w:rsidP="008821A5">
      <w:pPr>
        <w:widowControl w:val="0"/>
        <w:autoSpaceDE w:val="0"/>
        <w:autoSpaceDN w:val="0"/>
        <w:adjustRightInd w:val="0"/>
        <w:rPr>
          <w:lang w:val="es-ES"/>
        </w:rPr>
      </w:pPr>
      <w:r w:rsidRPr="00693784">
        <w:rPr>
          <w:lang w:val="es-ES"/>
        </w:rPr>
        <w:t>El espectro identificado necesario para las nuevas tecnologías puede que no sea suficiente o no esté disponible, por lo que la tendencia mundial es la optimizar los espectros actualmente asignados para nuevas tecnologías; ejemplo de ello es el espectro de 1800MHz que fue utilizado para servicios 2G y posteriormente fue reutilizado para servicios de 4G y en la actualidad es el espectro sobre el que se han desarrollado un mayor número de redes a nivel mundial.</w:t>
      </w:r>
    </w:p>
    <w:p w:rsidR="008821A5" w:rsidRDefault="008821A5" w:rsidP="008821A5">
      <w:pPr>
        <w:widowControl w:val="0"/>
        <w:autoSpaceDE w:val="0"/>
        <w:autoSpaceDN w:val="0"/>
        <w:adjustRightInd w:val="0"/>
        <w:rPr>
          <w:lang w:val="es-ES"/>
        </w:rPr>
      </w:pPr>
    </w:p>
    <w:p w:rsidR="008821A5" w:rsidRPr="00550E04" w:rsidRDefault="008821A5" w:rsidP="008821A5">
      <w:pPr>
        <w:pStyle w:val="URSISeccion"/>
        <w:numPr>
          <w:ilvl w:val="0"/>
          <w:numId w:val="0"/>
        </w:numPr>
        <w:rPr>
          <w:i w:val="0"/>
        </w:rPr>
      </w:pPr>
      <w:r w:rsidRPr="00550E04">
        <w:rPr>
          <w:i w:val="0"/>
        </w:rPr>
        <w:t>E</w:t>
      </w:r>
      <w:r>
        <w:rPr>
          <w:i w:val="0"/>
        </w:rPr>
        <w:t>n</w:t>
      </w:r>
      <w:r w:rsidRPr="00550E04">
        <w:rPr>
          <w:i w:val="0"/>
        </w:rPr>
        <w:t xml:space="preserve"> las </w:t>
      </w:r>
      <w:r w:rsidR="00C66571">
        <w:rPr>
          <w:i w:val="0"/>
        </w:rPr>
        <w:fldChar w:fldCharType="begin"/>
      </w:r>
      <w:r w:rsidR="00C66571">
        <w:rPr>
          <w:i w:val="0"/>
        </w:rPr>
        <w:instrText xml:space="preserve"> REF _Ref18970008 \h </w:instrText>
      </w:r>
      <w:r w:rsidR="00C66571">
        <w:rPr>
          <w:i w:val="0"/>
        </w:rPr>
      </w:r>
      <w:r w:rsidR="00C66571">
        <w:rPr>
          <w:i w:val="0"/>
        </w:rPr>
        <w:fldChar w:fldCharType="separate"/>
      </w:r>
      <w:r w:rsidR="00C66571">
        <w:t xml:space="preserve">Fig. </w:t>
      </w:r>
      <w:r w:rsidR="00C66571">
        <w:rPr>
          <w:noProof/>
        </w:rPr>
        <w:t>9</w:t>
      </w:r>
      <w:r w:rsidR="00C66571">
        <w:rPr>
          <w:i w:val="0"/>
        </w:rPr>
        <w:fldChar w:fldCharType="end"/>
      </w:r>
      <w:r w:rsidR="00C66571">
        <w:rPr>
          <w:i w:val="0"/>
        </w:rPr>
        <w:t xml:space="preserve"> </w:t>
      </w:r>
      <w:r w:rsidRPr="00550E04">
        <w:rPr>
          <w:i w:val="0"/>
        </w:rPr>
        <w:t xml:space="preserve">y </w:t>
      </w:r>
      <w:r w:rsidR="00C66571">
        <w:rPr>
          <w:i w:val="0"/>
        </w:rPr>
        <w:fldChar w:fldCharType="begin"/>
      </w:r>
      <w:r w:rsidR="00C66571">
        <w:rPr>
          <w:i w:val="0"/>
        </w:rPr>
        <w:instrText xml:space="preserve"> REF _Ref18970015 \h </w:instrText>
      </w:r>
      <w:r w:rsidR="00C66571">
        <w:rPr>
          <w:i w:val="0"/>
        </w:rPr>
      </w:r>
      <w:r w:rsidR="00C66571">
        <w:rPr>
          <w:i w:val="0"/>
        </w:rPr>
        <w:fldChar w:fldCharType="separate"/>
      </w:r>
      <w:r w:rsidR="00C66571">
        <w:t xml:space="preserve">Fig. </w:t>
      </w:r>
      <w:r w:rsidR="00C66571">
        <w:rPr>
          <w:noProof/>
        </w:rPr>
        <w:t>10</w:t>
      </w:r>
      <w:r w:rsidR="00C66571">
        <w:rPr>
          <w:i w:val="0"/>
        </w:rPr>
        <w:fldChar w:fldCharType="end"/>
      </w:r>
      <w:r w:rsidRPr="00550E04">
        <w:rPr>
          <w:i w:val="0"/>
        </w:rPr>
        <w:t xml:space="preserve"> se puede observar un ejemplo del estado del espectro en una estación en Colombia</w:t>
      </w:r>
      <w:r>
        <w:rPr>
          <w:i w:val="0"/>
        </w:rPr>
        <w:t xml:space="preserve"> con la banda de 1800MHz apagada, la parte del espectro que se encuentra dentro del recuadro negro es una parte que se va a reutilizar para otras tecnologías 3G o 4G.</w:t>
      </w:r>
    </w:p>
    <w:p w:rsidR="008821A5" w:rsidRDefault="008821A5" w:rsidP="008821A5">
      <w:pPr>
        <w:widowControl w:val="0"/>
        <w:autoSpaceDE w:val="0"/>
        <w:autoSpaceDN w:val="0"/>
        <w:adjustRightInd w:val="0"/>
        <w:rPr>
          <w:lang w:val="es-ES"/>
        </w:rPr>
      </w:pPr>
    </w:p>
    <w:p w:rsidR="008821A5" w:rsidRDefault="008821A5" w:rsidP="008821A5">
      <w:pPr>
        <w:pStyle w:val="URSISeccion"/>
        <w:numPr>
          <w:ilvl w:val="0"/>
          <w:numId w:val="0"/>
        </w:numPr>
        <w:rPr>
          <w:noProof/>
        </w:rPr>
      </w:pPr>
      <w:r>
        <w:rPr>
          <w:noProof/>
          <w:lang w:val="es-CO" w:eastAsia="es-CO"/>
        </w:rPr>
        <mc:AlternateContent>
          <mc:Choice Requires="wps">
            <w:drawing>
              <wp:anchor distT="0" distB="0" distL="114300" distR="114300" simplePos="0" relativeHeight="251661312" behindDoc="0" locked="0" layoutInCell="1" allowOverlap="1">
                <wp:simplePos x="0" y="0"/>
                <wp:positionH relativeFrom="column">
                  <wp:posOffset>1042035</wp:posOffset>
                </wp:positionH>
                <wp:positionV relativeFrom="paragraph">
                  <wp:posOffset>718820</wp:posOffset>
                </wp:positionV>
                <wp:extent cx="1951990" cy="1173480"/>
                <wp:effectExtent l="5715" t="10160" r="13970" b="6985"/>
                <wp:wrapNone/>
                <wp:docPr id="8" name="Rectángulo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51990" cy="11734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ect w14:anchorId="2E6A8EB7" id="Rectángulo 8" o:spid="_x0000_s1026" style="position:absolute;margin-left:82.05pt;margin-top:56.6pt;width:153.7pt;height:92.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" filled="f"/>
            </w:pict>
          </mc:Fallback>
        </mc:AlternateContent>
      </w:r>
      <w:r w:rsidRPr="005F2AEC">
        <w:rPr>
          <w:noProof/>
          <w:lang w:val="es-CO" w:eastAsia="es-CO"/>
        </w:rPr>
        <w:drawing>
          <wp:inline distT="0" distB="0" distL="0" distR="0">
            <wp:extent cx="3086100" cy="207645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pic:cNvPicPr>
                      <a:picLocks noChangeAspect="1" noChangeArrowheads="1"/>
                    </pic:cNvPicPr>
                  </pic:nvPicPr>
                  <pic:blipFill>
                    <a:blip r:embed="rId22" cstate="print">
                      <a:extLst>
                        <a:ext uri="{28A0092B-C50C-407E-A947-70E740481C1C}">
                          <a14:useLocalDpi xmlns:a14="http://schemas.microsoft.com/office/drawing/2010/main" val="0"/>
                        </a:ext>
                      </a:extLst>
                    </a:blip>
                    <a:srcRect t="9117"/>
                    <a:stretch>
                      <a:fillRect/>
                    </a:stretch>
                  </pic:blipFill>
                  <pic:spPr bwMode="auto">
                    <a:xfrm>
                      <a:off x="0" y="0"/>
                      <a:ext cx="3086100" cy="2076450"/>
                    </a:xfrm>
                    <a:prstGeom prst="rect">
                      <a:avLst/>
                    </a:prstGeom>
                    <a:noFill/>
                    <a:ln>
                      <a:noFill/>
                    </a:ln>
                  </pic:spPr>
                </pic:pic>
              </a:graphicData>
            </a:graphic>
          </wp:inline>
        </w:drawing>
      </w:r>
    </w:p>
    <w:p w:rsidR="008821A5" w:rsidRDefault="00C66571" w:rsidP="00C66571">
      <w:pPr>
        <w:pStyle w:val="Descripcin"/>
        <w:jc w:val="center"/>
        <w:rPr>
          <w:i w:val="0"/>
          <w:sz w:val="16"/>
        </w:rPr>
      </w:pPr>
      <w:bookmarkStart w:id="8" w:name="_Ref18970008"/>
      <w:r>
        <w:t xml:space="preserve">Fig. </w:t>
      </w:r>
      <w:r w:rsidR="00535A24">
        <w:rPr>
          <w:noProof/>
        </w:rPr>
        <w:fldChar w:fldCharType="begin"/>
      </w:r>
      <w:r w:rsidR="00535A24">
        <w:rPr>
          <w:noProof/>
        </w:rPr>
        <w:instrText xml:space="preserve"> SEQ Fig. \* ARABIC </w:instrText>
      </w:r>
      <w:r w:rsidR="00535A24">
        <w:rPr>
          <w:noProof/>
        </w:rPr>
        <w:fldChar w:fldCharType="separate"/>
      </w:r>
      <w:r w:rsidR="00D0620D">
        <w:rPr>
          <w:noProof/>
        </w:rPr>
        <w:t>9</w:t>
      </w:r>
      <w:r w:rsidR="00535A24">
        <w:rPr>
          <w:noProof/>
        </w:rPr>
        <w:fldChar w:fldCharType="end"/>
      </w:r>
      <w:bookmarkEnd w:id="8"/>
      <w:r>
        <w:t xml:space="preserve"> </w:t>
      </w:r>
      <w:r w:rsidR="008821A5" w:rsidRPr="00434389">
        <w:rPr>
          <w:i w:val="0"/>
          <w:sz w:val="16"/>
        </w:rPr>
        <w:t xml:space="preserve">Espectro de la banda 2G </w:t>
      </w:r>
      <w:r w:rsidR="008821A5">
        <w:rPr>
          <w:i w:val="0"/>
          <w:sz w:val="16"/>
        </w:rPr>
        <w:t xml:space="preserve">con la banda 1800MHz apagada en </w:t>
      </w:r>
      <w:r w:rsidR="008821A5" w:rsidRPr="00434389">
        <w:rPr>
          <w:i w:val="0"/>
          <w:sz w:val="16"/>
        </w:rPr>
        <w:t xml:space="preserve">polarización </w:t>
      </w:r>
      <w:r w:rsidR="008821A5">
        <w:rPr>
          <w:i w:val="0"/>
          <w:sz w:val="16"/>
        </w:rPr>
        <w:t>vertical.</w:t>
      </w:r>
      <w:r w:rsidR="006A78BD">
        <w:rPr>
          <w:i w:val="0"/>
          <w:sz w:val="16"/>
        </w:rPr>
        <w:t xml:space="preserve"> Fuente: Autores</w:t>
      </w:r>
    </w:p>
    <w:p w:rsidR="008821A5" w:rsidRDefault="008821A5" w:rsidP="008821A5">
      <w:pPr>
        <w:pStyle w:val="URSISeccion"/>
        <w:numPr>
          <w:ilvl w:val="0"/>
          <w:numId w:val="0"/>
        </w:numPr>
        <w:rPr>
          <w:i w:val="0"/>
          <w:sz w:val="16"/>
          <w:lang w:val="es-CO"/>
        </w:rPr>
      </w:pPr>
      <w:r>
        <w:rPr>
          <w:noProof/>
          <w:lang w:val="es-CO" w:eastAsia="es-CO"/>
        </w:rPr>
        <w:drawing>
          <wp:anchor distT="0" distB="0" distL="114300" distR="114300" simplePos="0" relativeHeight="251662336" behindDoc="1" locked="0" layoutInCell="1" allowOverlap="1">
            <wp:simplePos x="0" y="0"/>
            <wp:positionH relativeFrom="column">
              <wp:posOffset>212090</wp:posOffset>
            </wp:positionH>
            <wp:positionV relativeFrom="paragraph">
              <wp:posOffset>88265</wp:posOffset>
            </wp:positionV>
            <wp:extent cx="3111500" cy="1939925"/>
            <wp:effectExtent l="0" t="0" r="0" b="3175"/>
            <wp:wrapNone/>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pic:cNvPicPr>
                      <a:picLocks noChangeAspect="1" noChangeArrowheads="1"/>
                    </pic:cNvPicPr>
                  </pic:nvPicPr>
                  <pic:blipFill>
                    <a:blip r:embed="rId23" cstate="print">
                      <a:extLst>
                        <a:ext uri="{28A0092B-C50C-407E-A947-70E740481C1C}">
                          <a14:useLocalDpi xmlns:a14="http://schemas.microsoft.com/office/drawing/2010/main" val="0"/>
                        </a:ext>
                      </a:extLst>
                    </a:blip>
                    <a:srcRect t="9161"/>
                    <a:stretch>
                      <a:fillRect/>
                    </a:stretch>
                  </pic:blipFill>
                  <pic:spPr bwMode="auto">
                    <a:xfrm>
                      <a:off x="0" y="0"/>
                      <a:ext cx="3111500" cy="19399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821A5" w:rsidRDefault="008821A5" w:rsidP="008821A5">
      <w:pPr>
        <w:pStyle w:val="URSISeccion"/>
        <w:numPr>
          <w:ilvl w:val="0"/>
          <w:numId w:val="0"/>
        </w:numPr>
        <w:rPr>
          <w:i w:val="0"/>
          <w:sz w:val="16"/>
          <w:lang w:val="es-CO"/>
        </w:rPr>
      </w:pPr>
    </w:p>
    <w:p w:rsidR="008821A5" w:rsidRDefault="008821A5" w:rsidP="008821A5">
      <w:pPr>
        <w:pStyle w:val="URSISeccion"/>
        <w:numPr>
          <w:ilvl w:val="0"/>
          <w:numId w:val="0"/>
        </w:numPr>
        <w:rPr>
          <w:i w:val="0"/>
          <w:sz w:val="16"/>
          <w:lang w:val="es-CO"/>
        </w:rPr>
      </w:pPr>
    </w:p>
    <w:p w:rsidR="008821A5" w:rsidRDefault="008821A5" w:rsidP="008821A5">
      <w:pPr>
        <w:pStyle w:val="URSISeccion"/>
        <w:numPr>
          <w:ilvl w:val="0"/>
          <w:numId w:val="0"/>
        </w:numPr>
        <w:rPr>
          <w:i w:val="0"/>
          <w:sz w:val="16"/>
          <w:lang w:val="es-CO"/>
        </w:rPr>
      </w:pPr>
    </w:p>
    <w:p w:rsidR="008821A5" w:rsidRDefault="008821A5" w:rsidP="008821A5">
      <w:pPr>
        <w:pStyle w:val="URSISeccion"/>
        <w:numPr>
          <w:ilvl w:val="0"/>
          <w:numId w:val="0"/>
        </w:numPr>
        <w:rPr>
          <w:i w:val="0"/>
          <w:sz w:val="16"/>
          <w:lang w:val="es-CO"/>
        </w:rPr>
      </w:pPr>
    </w:p>
    <w:p w:rsidR="008821A5" w:rsidRDefault="008821A5" w:rsidP="008821A5">
      <w:pPr>
        <w:pStyle w:val="URSISeccion"/>
        <w:numPr>
          <w:ilvl w:val="0"/>
          <w:numId w:val="0"/>
        </w:numPr>
        <w:rPr>
          <w:i w:val="0"/>
          <w:sz w:val="16"/>
          <w:lang w:val="es-CO"/>
        </w:rPr>
      </w:pPr>
    </w:p>
    <w:p w:rsidR="008821A5" w:rsidRDefault="008821A5" w:rsidP="008821A5">
      <w:pPr>
        <w:widowControl w:val="0"/>
        <w:autoSpaceDE w:val="0"/>
        <w:autoSpaceDN w:val="0"/>
        <w:adjustRightInd w:val="0"/>
        <w:rPr>
          <w:lang w:val="es-ES"/>
        </w:rPr>
      </w:pPr>
    </w:p>
    <w:p w:rsidR="008821A5" w:rsidRDefault="008821A5" w:rsidP="008821A5">
      <w:pPr>
        <w:widowControl w:val="0"/>
        <w:autoSpaceDE w:val="0"/>
        <w:autoSpaceDN w:val="0"/>
        <w:adjustRightInd w:val="0"/>
        <w:rPr>
          <w:lang w:val="es-ES"/>
        </w:rPr>
      </w:pPr>
    </w:p>
    <w:p w:rsidR="008821A5" w:rsidRDefault="008821A5" w:rsidP="008821A5">
      <w:pPr>
        <w:widowControl w:val="0"/>
        <w:autoSpaceDE w:val="0"/>
        <w:autoSpaceDN w:val="0"/>
        <w:adjustRightInd w:val="0"/>
        <w:rPr>
          <w:lang w:val="es-ES"/>
        </w:rPr>
      </w:pPr>
    </w:p>
    <w:p w:rsidR="008821A5" w:rsidRDefault="008821A5" w:rsidP="008821A5">
      <w:pPr>
        <w:pStyle w:val="URSISeccion"/>
        <w:numPr>
          <w:ilvl w:val="0"/>
          <w:numId w:val="0"/>
        </w:numPr>
        <w:jc w:val="center"/>
        <w:rPr>
          <w:i w:val="0"/>
          <w:sz w:val="16"/>
          <w:lang w:val="es-CO"/>
        </w:rPr>
      </w:pPr>
    </w:p>
    <w:p w:rsidR="00762686" w:rsidRDefault="00762686" w:rsidP="008821A5">
      <w:pPr>
        <w:pStyle w:val="URSISeccion"/>
        <w:numPr>
          <w:ilvl w:val="0"/>
          <w:numId w:val="0"/>
        </w:numPr>
        <w:jc w:val="center"/>
        <w:rPr>
          <w:i w:val="0"/>
          <w:sz w:val="16"/>
          <w:lang w:val="es-CO"/>
        </w:rPr>
      </w:pPr>
    </w:p>
    <w:p w:rsidR="008821A5" w:rsidRDefault="00C66571" w:rsidP="00C66571">
      <w:pPr>
        <w:pStyle w:val="Descripcin"/>
        <w:jc w:val="center"/>
        <w:rPr>
          <w:i w:val="0"/>
          <w:sz w:val="16"/>
        </w:rPr>
      </w:pPr>
      <w:bookmarkStart w:id="9" w:name="_Ref18970015"/>
      <w:r>
        <w:t xml:space="preserve">Fig. </w:t>
      </w:r>
      <w:r w:rsidR="00535A24">
        <w:rPr>
          <w:noProof/>
        </w:rPr>
        <w:fldChar w:fldCharType="begin"/>
      </w:r>
      <w:r w:rsidR="00535A24">
        <w:rPr>
          <w:noProof/>
        </w:rPr>
        <w:instrText xml:space="preserve"> SEQ Fig. \* ARABIC </w:instrText>
      </w:r>
      <w:r w:rsidR="00535A24">
        <w:rPr>
          <w:noProof/>
        </w:rPr>
        <w:fldChar w:fldCharType="separate"/>
      </w:r>
      <w:r w:rsidR="00D0620D">
        <w:rPr>
          <w:noProof/>
        </w:rPr>
        <w:t>10</w:t>
      </w:r>
      <w:r w:rsidR="00535A24">
        <w:rPr>
          <w:noProof/>
        </w:rPr>
        <w:fldChar w:fldCharType="end"/>
      </w:r>
      <w:bookmarkEnd w:id="9"/>
      <w:r>
        <w:t xml:space="preserve"> </w:t>
      </w:r>
      <w:r w:rsidR="008821A5" w:rsidRPr="00434389">
        <w:rPr>
          <w:i w:val="0"/>
          <w:sz w:val="16"/>
        </w:rPr>
        <w:t xml:space="preserve">Espectro de la banda 2G </w:t>
      </w:r>
      <w:r w:rsidR="008821A5">
        <w:rPr>
          <w:i w:val="0"/>
          <w:sz w:val="16"/>
        </w:rPr>
        <w:t>con la banda 1800MHz apagada</w:t>
      </w:r>
      <w:r w:rsidR="008821A5" w:rsidRPr="00434389">
        <w:rPr>
          <w:i w:val="0"/>
          <w:sz w:val="16"/>
        </w:rPr>
        <w:t xml:space="preserve"> </w:t>
      </w:r>
      <w:r w:rsidR="008821A5">
        <w:rPr>
          <w:i w:val="0"/>
          <w:sz w:val="16"/>
        </w:rPr>
        <w:t xml:space="preserve">en </w:t>
      </w:r>
      <w:r w:rsidR="008821A5" w:rsidRPr="00434389">
        <w:rPr>
          <w:i w:val="0"/>
          <w:sz w:val="16"/>
        </w:rPr>
        <w:t xml:space="preserve">polarización </w:t>
      </w:r>
      <w:r w:rsidR="006A78BD">
        <w:rPr>
          <w:i w:val="0"/>
          <w:sz w:val="16"/>
        </w:rPr>
        <w:t>horizontal. Fuente: Autores</w:t>
      </w:r>
    </w:p>
    <w:p w:rsidR="00FE1A2C" w:rsidRDefault="00FE1A2C" w:rsidP="00FE1A2C"/>
    <w:p w:rsidR="00FE1A2C" w:rsidRPr="00FE1A2C" w:rsidRDefault="00FE1A2C" w:rsidP="00FE1A2C"/>
    <w:p w:rsidR="008821A5" w:rsidRDefault="008821A5" w:rsidP="008821A5">
      <w:pPr>
        <w:widowControl w:val="0"/>
        <w:autoSpaceDE w:val="0"/>
        <w:autoSpaceDN w:val="0"/>
        <w:adjustRightInd w:val="0"/>
        <w:rPr>
          <w:lang w:val="es-ES"/>
        </w:rPr>
      </w:pPr>
    </w:p>
    <w:p w:rsidR="008821A5" w:rsidRPr="00DD3886" w:rsidRDefault="008821A5" w:rsidP="008821A5">
      <w:pPr>
        <w:pStyle w:val="ursititulo1"/>
        <w:tabs>
          <w:tab w:val="clear" w:pos="360"/>
          <w:tab w:val="num" w:pos="284"/>
        </w:tabs>
        <w:rPr>
          <w:lang w:val="es-ES"/>
        </w:rPr>
      </w:pPr>
      <w:r w:rsidRPr="00DD3886">
        <w:rPr>
          <w:lang w:val="es-ES"/>
        </w:rPr>
        <w:lastRenderedPageBreak/>
        <w:t>Conclusiones</w:t>
      </w:r>
    </w:p>
    <w:p w:rsidR="008821A5" w:rsidRPr="00E60689" w:rsidRDefault="008821A5" w:rsidP="008821A5">
      <w:pPr>
        <w:pStyle w:val="URSISeccion"/>
        <w:numPr>
          <w:ilvl w:val="0"/>
          <w:numId w:val="0"/>
        </w:numPr>
        <w:rPr>
          <w:i w:val="0"/>
        </w:rPr>
      </w:pPr>
      <w:r>
        <w:rPr>
          <w:i w:val="0"/>
        </w:rPr>
        <w:t xml:space="preserve">1. </w:t>
      </w:r>
      <w:r w:rsidRPr="00E60689">
        <w:rPr>
          <w:i w:val="0"/>
        </w:rPr>
        <w:t>Como conclusión se puede determinar que se hace necesaria una regulación que permita realizar un uso más eficiente del espectro que elimine las obligaciones sobre las redes de 2G y que promueva el uso del espectro en tecnologías más modernas como HSPA + y 4G las cuales permitirán que el país se inserte en el contexto mundial de la economía digital.</w:t>
      </w:r>
    </w:p>
    <w:p w:rsidR="008821A5" w:rsidRDefault="008821A5" w:rsidP="008821A5">
      <w:pPr>
        <w:pStyle w:val="PrrafoURSI"/>
      </w:pPr>
    </w:p>
    <w:p w:rsidR="008821A5" w:rsidRDefault="008821A5" w:rsidP="008821A5">
      <w:pPr>
        <w:rPr>
          <w:lang w:val="es-ES"/>
        </w:rPr>
      </w:pPr>
      <w:r w:rsidRPr="00693784">
        <w:rPr>
          <w:lang w:val="es-ES"/>
        </w:rPr>
        <w:t>2. Colombia se requiere el despliegue de infraestructura en tecnologías 3G y 4G en el 100% del país, para que se establezcan estrategias efectivas de migración de usuarios de tecnologías 2G hacia nuevas tecnologías a nivel nacional. A</w:t>
      </w:r>
      <w:r>
        <w:rPr>
          <w:lang w:val="es-ES"/>
        </w:rPr>
        <w:t xml:space="preserve"> </w:t>
      </w:r>
      <w:r w:rsidRPr="00693784">
        <w:rPr>
          <w:lang w:val="es-ES"/>
        </w:rPr>
        <w:t xml:space="preserve">demás se requieren iniciativas de cambio de teléfonos a dispositivos que soporten nuevas tecnologías, a bajo costo, de </w:t>
      </w:r>
    </w:p>
    <w:p w:rsidR="008821A5" w:rsidRPr="00693784" w:rsidRDefault="008821A5" w:rsidP="008821A5">
      <w:pPr>
        <w:rPr>
          <w:lang w:val="es-ES"/>
        </w:rPr>
      </w:pPr>
      <w:r w:rsidRPr="00693784">
        <w:rPr>
          <w:lang w:val="es-ES"/>
        </w:rPr>
        <w:t>forma que permitan a todos los usuarios de bajos y medianos ingresos adquirir equipos incentivando la reducción de uso de dispositivos que manejen sólo tecnologías en vía de extinción.</w:t>
      </w:r>
    </w:p>
    <w:p w:rsidR="008821A5" w:rsidRPr="00693784" w:rsidRDefault="008821A5" w:rsidP="008821A5">
      <w:pPr>
        <w:rPr>
          <w:lang w:val="es-ES"/>
        </w:rPr>
      </w:pPr>
    </w:p>
    <w:p w:rsidR="008821A5" w:rsidRDefault="008821A5" w:rsidP="008821A5">
      <w:pPr>
        <w:rPr>
          <w:lang w:val="es-ES"/>
        </w:rPr>
      </w:pPr>
      <w:r w:rsidRPr="00693784">
        <w:rPr>
          <w:lang w:val="es-ES"/>
        </w:rPr>
        <w:t>3. Es necesario también que por parte de los PRSTM se realicen campañas agresivas de migración de usuarios a través de parametrización de las redes, para que progresivamente se haga un plan de permitir el apagado de tecnologías como GSM en un tiempo razonable sin afectar la calidad percibida por los usuarios de telefonía móvil.</w:t>
      </w:r>
    </w:p>
    <w:p w:rsidR="008821A5" w:rsidRDefault="008821A5" w:rsidP="008821A5">
      <w:pPr>
        <w:rPr>
          <w:lang w:val="es-ES"/>
        </w:rPr>
      </w:pPr>
    </w:p>
    <w:p w:rsidR="008821A5" w:rsidRPr="00693784" w:rsidRDefault="008821A5" w:rsidP="008821A5">
      <w:pPr>
        <w:rPr>
          <w:lang w:val="es-ES"/>
        </w:rPr>
      </w:pPr>
      <w:r>
        <w:rPr>
          <w:lang w:val="es-ES"/>
        </w:rPr>
        <w:t>4. Todos estos análisis están relacionados con las redes de nueva generación y la importancia que tienen estas en los avances tecnológicos el impacto a la sociedad.</w:t>
      </w:r>
    </w:p>
    <w:p w:rsidR="008821A5" w:rsidRPr="00DD3886" w:rsidRDefault="008821A5" w:rsidP="008821A5">
      <w:pPr>
        <w:pStyle w:val="PrrafoURSI"/>
        <w:ind w:firstLine="0"/>
      </w:pPr>
    </w:p>
    <w:sdt>
      <w:sdtPr>
        <w:rPr>
          <w:b w:val="0"/>
          <w:sz w:val="20"/>
          <w:lang w:val="es-ES"/>
        </w:rPr>
        <w:id w:val="-852873532"/>
        <w:docPartObj>
          <w:docPartGallery w:val="Bibliographies"/>
          <w:docPartUnique/>
        </w:docPartObj>
      </w:sdtPr>
      <w:sdtEndPr>
        <w:rPr>
          <w:lang w:val="es-CO"/>
        </w:rPr>
      </w:sdtEndPr>
      <w:sdtContent>
        <w:p w:rsidR="00ED784F" w:rsidRDefault="00ED784F" w:rsidP="00FE1A2C">
          <w:pPr>
            <w:pStyle w:val="Ttulo1"/>
            <w:spacing w:before="0"/>
            <w:ind w:left="-709"/>
          </w:pPr>
          <w:r>
            <w:rPr>
              <w:lang w:val="es-ES"/>
            </w:rPr>
            <w:t>Referencias</w:t>
          </w:r>
        </w:p>
        <w:sdt>
          <w:sdtPr>
            <w:id w:val="-573587230"/>
            <w:bibliography/>
          </w:sdtPr>
          <w:sdtEndPr/>
          <w:sdtContent>
            <w:p w:rsidR="0032194F" w:rsidRDefault="00ED784F" w:rsidP="00ED784F">
              <w:pPr>
                <w:rPr>
                  <w:rFonts w:asciiTheme="minorHAnsi" w:eastAsiaTheme="minorHAnsi" w:hAnsiTheme="minorHAnsi" w:cstheme="minorBidi"/>
                  <w:noProof/>
                  <w:sz w:val="22"/>
                  <w:szCs w:val="22"/>
                </w:rPr>
              </w:pPr>
              <w:r>
                <w:fldChar w:fldCharType="begin"/>
              </w:r>
              <w:r>
                <w:instrText>BIBLIOGRAPHY</w:instrText>
              </w:r>
              <w:r>
                <w:fldChar w:fldCharType="separate"/>
              </w: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283"/>
                <w:gridCol w:w="4792"/>
              </w:tblGrid>
              <w:tr w:rsidR="0032194F" w:rsidTr="00E70FDF">
                <w:trPr>
                  <w:divId w:val="260645738"/>
                  <w:tblCellSpacing w:w="15" w:type="dxa"/>
                </w:trPr>
                <w:tc>
                  <w:tcPr>
                    <w:tcW w:w="235" w:type="pct"/>
                    <w:hideMark/>
                  </w:tcPr>
                  <w:p w:rsidR="0032194F" w:rsidRPr="00E70FDF" w:rsidRDefault="0032194F" w:rsidP="00E70FDF">
                    <w:pPr>
                      <w:pStyle w:val="Bibliografa"/>
                      <w:rPr>
                        <w:noProof/>
                        <w:sz w:val="16"/>
                        <w:szCs w:val="16"/>
                        <w:lang w:val="es-ES"/>
                      </w:rPr>
                    </w:pPr>
                    <w:r w:rsidRPr="00E70FDF">
                      <w:rPr>
                        <w:noProof/>
                        <w:sz w:val="16"/>
                        <w:szCs w:val="16"/>
                        <w:lang w:val="es-ES"/>
                      </w:rPr>
                      <w:t xml:space="preserve">[1] </w:t>
                    </w:r>
                  </w:p>
                </w:tc>
                <w:tc>
                  <w:tcPr>
                    <w:tcW w:w="4676" w:type="pct"/>
                    <w:hideMark/>
                  </w:tcPr>
                  <w:p w:rsidR="0032194F" w:rsidRPr="00E70FDF" w:rsidRDefault="0032194F" w:rsidP="00E70FDF">
                    <w:pPr>
                      <w:rPr>
                        <w:noProof/>
                        <w:sz w:val="16"/>
                        <w:szCs w:val="16"/>
                        <w:lang w:val="es-ES"/>
                      </w:rPr>
                    </w:pPr>
                    <w:r w:rsidRPr="00E70FDF">
                      <w:rPr>
                        <w:noProof/>
                        <w:sz w:val="16"/>
                        <w:szCs w:val="16"/>
                        <w:lang w:val="es-ES"/>
                      </w:rPr>
                      <w:t>U. I. d. Valencia, «Universidad Internacional de Valencia,» 21 03 2019. [En línea]. Available: https://www.universidadviu.com/evolucion-la-red-comunicacion-movil-del-1g-al-5g/. [Último acceso: 28 03 2019].</w:t>
                    </w:r>
                  </w:p>
                </w:tc>
              </w:tr>
              <w:tr w:rsidR="0032194F" w:rsidTr="00E70FDF">
                <w:trPr>
                  <w:divId w:val="260645738"/>
                  <w:tblCellSpacing w:w="15" w:type="dxa"/>
                </w:trPr>
                <w:tc>
                  <w:tcPr>
                    <w:tcW w:w="235" w:type="pct"/>
                    <w:hideMark/>
                  </w:tcPr>
                  <w:p w:rsidR="0032194F" w:rsidRPr="00E70FDF" w:rsidRDefault="0032194F">
                    <w:pPr>
                      <w:pStyle w:val="Bibliografa"/>
                      <w:rPr>
                        <w:noProof/>
                        <w:sz w:val="16"/>
                        <w:szCs w:val="16"/>
                        <w:lang w:val="es-ES"/>
                      </w:rPr>
                    </w:pPr>
                    <w:r w:rsidRPr="00E70FDF">
                      <w:rPr>
                        <w:noProof/>
                        <w:sz w:val="16"/>
                        <w:szCs w:val="16"/>
                        <w:lang w:val="es-ES"/>
                      </w:rPr>
                      <w:t xml:space="preserve">[2] </w:t>
                    </w:r>
                  </w:p>
                </w:tc>
                <w:tc>
                  <w:tcPr>
                    <w:tcW w:w="4676" w:type="pct"/>
                    <w:hideMark/>
                  </w:tcPr>
                  <w:p w:rsidR="0032194F" w:rsidRPr="00E70FDF" w:rsidRDefault="0032194F">
                    <w:pPr>
                      <w:pStyle w:val="Bibliografa"/>
                      <w:rPr>
                        <w:noProof/>
                        <w:sz w:val="16"/>
                        <w:szCs w:val="16"/>
                        <w:lang w:val="es-ES"/>
                      </w:rPr>
                    </w:pPr>
                    <w:r w:rsidRPr="00E70FDF">
                      <w:rPr>
                        <w:noProof/>
                        <w:sz w:val="16"/>
                        <w:szCs w:val="16"/>
                        <w:lang w:val="es-ES"/>
                      </w:rPr>
                      <w:t>C. d. R. d. Comunicaciones, «Comisión de Regulación de Comunicaciones,» 05 2019. [En línea]. Available: https://www.crcom.gov.co/recursos_user/2017/actividades_regulatorias/mercados/170517_mercados_datos_fijos.pdf. [Último acceso: 28 03 2019].</w:t>
                    </w:r>
                  </w:p>
                </w:tc>
              </w:tr>
              <w:tr w:rsidR="0032194F" w:rsidTr="00E70FDF">
                <w:trPr>
                  <w:divId w:val="260645738"/>
                  <w:tblCellSpacing w:w="15" w:type="dxa"/>
                </w:trPr>
                <w:tc>
                  <w:tcPr>
                    <w:tcW w:w="235" w:type="pct"/>
                    <w:hideMark/>
                  </w:tcPr>
                  <w:p w:rsidR="0032194F" w:rsidRPr="00E70FDF" w:rsidRDefault="0032194F">
                    <w:pPr>
                      <w:pStyle w:val="Bibliografa"/>
                      <w:rPr>
                        <w:noProof/>
                        <w:sz w:val="16"/>
                        <w:szCs w:val="16"/>
                        <w:lang w:val="es-ES"/>
                      </w:rPr>
                    </w:pPr>
                    <w:r w:rsidRPr="00E70FDF">
                      <w:rPr>
                        <w:noProof/>
                        <w:sz w:val="16"/>
                        <w:szCs w:val="16"/>
                        <w:lang w:val="es-ES"/>
                      </w:rPr>
                      <w:t xml:space="preserve">[3] </w:t>
                    </w:r>
                  </w:p>
                </w:tc>
                <w:tc>
                  <w:tcPr>
                    <w:tcW w:w="4676" w:type="pct"/>
                    <w:hideMark/>
                  </w:tcPr>
                  <w:p w:rsidR="0032194F" w:rsidRPr="00E70FDF" w:rsidRDefault="0032194F">
                    <w:pPr>
                      <w:pStyle w:val="Bibliografa"/>
                      <w:rPr>
                        <w:noProof/>
                        <w:sz w:val="16"/>
                        <w:szCs w:val="16"/>
                        <w:lang w:val="es-ES"/>
                      </w:rPr>
                    </w:pPr>
                    <w:r w:rsidRPr="00E70FDF">
                      <w:rPr>
                        <w:noProof/>
                        <w:sz w:val="16"/>
                        <w:szCs w:val="16"/>
                        <w:lang w:val="es-ES"/>
                      </w:rPr>
                      <w:t>5. americas, «5G americas,» [En línea]. Available: https://www.5gamericas.org/en/resources/statistics/statistics-latin-america. [Último acceso: 28 03 2019].</w:t>
                    </w:r>
                  </w:p>
                </w:tc>
              </w:tr>
              <w:tr w:rsidR="0032194F" w:rsidTr="00E70FDF">
                <w:trPr>
                  <w:divId w:val="260645738"/>
                  <w:tblCellSpacing w:w="15" w:type="dxa"/>
                </w:trPr>
                <w:tc>
                  <w:tcPr>
                    <w:tcW w:w="235" w:type="pct"/>
                    <w:hideMark/>
                  </w:tcPr>
                  <w:p w:rsidR="0032194F" w:rsidRPr="00E70FDF" w:rsidRDefault="0032194F">
                    <w:pPr>
                      <w:pStyle w:val="Bibliografa"/>
                      <w:rPr>
                        <w:noProof/>
                        <w:sz w:val="16"/>
                        <w:szCs w:val="16"/>
                        <w:lang w:val="es-ES"/>
                      </w:rPr>
                    </w:pPr>
                    <w:r w:rsidRPr="00E70FDF">
                      <w:rPr>
                        <w:noProof/>
                        <w:sz w:val="16"/>
                        <w:szCs w:val="16"/>
                        <w:lang w:val="es-ES"/>
                      </w:rPr>
                      <w:t xml:space="preserve">[4] </w:t>
                    </w:r>
                  </w:p>
                </w:tc>
                <w:tc>
                  <w:tcPr>
                    <w:tcW w:w="4676" w:type="pct"/>
                    <w:hideMark/>
                  </w:tcPr>
                  <w:p w:rsidR="0032194F" w:rsidRPr="00E70FDF" w:rsidRDefault="0032194F">
                    <w:pPr>
                      <w:pStyle w:val="Bibliografa"/>
                      <w:rPr>
                        <w:noProof/>
                        <w:sz w:val="16"/>
                        <w:szCs w:val="16"/>
                        <w:lang w:val="es-ES"/>
                      </w:rPr>
                    </w:pPr>
                    <w:r w:rsidRPr="00E70FDF">
                      <w:rPr>
                        <w:noProof/>
                        <w:sz w:val="16"/>
                        <w:szCs w:val="16"/>
                        <w:lang w:val="es-ES"/>
                      </w:rPr>
                      <w:t>MinTIC, «MinTIC,» 2019. [En línea]. Available: https://colombiatic.mintic.gov.co/679/articles-82350_archivo_pdf.pdf. [Último acceso: 28 03 2019].</w:t>
                    </w:r>
                  </w:p>
                </w:tc>
              </w:tr>
              <w:tr w:rsidR="0032194F" w:rsidTr="00E70FDF">
                <w:trPr>
                  <w:divId w:val="260645738"/>
                  <w:tblCellSpacing w:w="15" w:type="dxa"/>
                </w:trPr>
                <w:tc>
                  <w:tcPr>
                    <w:tcW w:w="235" w:type="pct"/>
                    <w:hideMark/>
                  </w:tcPr>
                  <w:p w:rsidR="0032194F" w:rsidRPr="00E70FDF" w:rsidRDefault="0032194F">
                    <w:pPr>
                      <w:pStyle w:val="Bibliografa"/>
                      <w:rPr>
                        <w:noProof/>
                        <w:sz w:val="16"/>
                        <w:szCs w:val="16"/>
                        <w:lang w:val="es-ES"/>
                      </w:rPr>
                    </w:pPr>
                    <w:r w:rsidRPr="00E70FDF">
                      <w:rPr>
                        <w:noProof/>
                        <w:sz w:val="16"/>
                        <w:szCs w:val="16"/>
                        <w:lang w:val="es-ES"/>
                      </w:rPr>
                      <w:t xml:space="preserve">[5] </w:t>
                    </w:r>
                  </w:p>
                </w:tc>
                <w:tc>
                  <w:tcPr>
                    <w:tcW w:w="4676" w:type="pct"/>
                    <w:hideMark/>
                  </w:tcPr>
                  <w:p w:rsidR="0032194F" w:rsidRPr="00E70FDF" w:rsidRDefault="0032194F">
                    <w:pPr>
                      <w:pStyle w:val="Bibliografa"/>
                      <w:rPr>
                        <w:noProof/>
                        <w:sz w:val="16"/>
                        <w:szCs w:val="16"/>
                        <w:lang w:val="es-ES"/>
                      </w:rPr>
                    </w:pPr>
                    <w:r w:rsidRPr="00E70FDF">
                      <w:rPr>
                        <w:noProof/>
                        <w:sz w:val="16"/>
                        <w:szCs w:val="16"/>
                        <w:lang w:val="es-ES"/>
                      </w:rPr>
                      <w:t>G. -E. e. móvil, «GSMA,» 06 2014. [En línea]. Available: https://www.gsma.com/spectrum/wp-content/uploads/2014/07/GSMA-Data-Demand-Explained-June-2014-SPANISH.pdf. [Último acceso: 29 03 2019].</w:t>
                    </w:r>
                  </w:p>
                </w:tc>
              </w:tr>
              <w:tr w:rsidR="0032194F" w:rsidTr="00E70FDF">
                <w:trPr>
                  <w:divId w:val="260645738"/>
                  <w:tblCellSpacing w:w="15" w:type="dxa"/>
                </w:trPr>
                <w:tc>
                  <w:tcPr>
                    <w:tcW w:w="235" w:type="pct"/>
                    <w:hideMark/>
                  </w:tcPr>
                  <w:p w:rsidR="0032194F" w:rsidRPr="00E70FDF" w:rsidRDefault="0032194F">
                    <w:pPr>
                      <w:pStyle w:val="Bibliografa"/>
                      <w:rPr>
                        <w:noProof/>
                        <w:sz w:val="16"/>
                        <w:szCs w:val="16"/>
                        <w:lang w:val="es-ES"/>
                      </w:rPr>
                    </w:pPr>
                    <w:r w:rsidRPr="00E70FDF">
                      <w:rPr>
                        <w:noProof/>
                        <w:sz w:val="16"/>
                        <w:szCs w:val="16"/>
                        <w:lang w:val="es-ES"/>
                      </w:rPr>
                      <w:t xml:space="preserve">[6] </w:t>
                    </w:r>
                  </w:p>
                </w:tc>
                <w:tc>
                  <w:tcPr>
                    <w:tcW w:w="4676" w:type="pct"/>
                    <w:hideMark/>
                  </w:tcPr>
                  <w:p w:rsidR="0032194F" w:rsidRPr="00E70FDF" w:rsidRDefault="0032194F">
                    <w:pPr>
                      <w:pStyle w:val="Bibliografa"/>
                      <w:rPr>
                        <w:noProof/>
                        <w:sz w:val="16"/>
                        <w:szCs w:val="16"/>
                        <w:lang w:val="es-ES"/>
                      </w:rPr>
                    </w:pPr>
                    <w:r w:rsidRPr="00E70FDF">
                      <w:rPr>
                        <w:noProof/>
                        <w:sz w:val="16"/>
                        <w:szCs w:val="16"/>
                        <w:lang w:val="es-ES"/>
                      </w:rPr>
                      <w:t>C. d. R. d. Comunicaciones, «Comisión de Regulación de Comunicaciones,» 14 04 2019. [En línea]. Available: https://www.crcom.gov.co/es/noticia/modernizar-las-redes-m-viles-del-pa-s-la-nueva-apuesta-de-la-crc. [Último acceso: 28 03 2019].</w:t>
                    </w:r>
                  </w:p>
                </w:tc>
              </w:tr>
              <w:tr w:rsidR="0032194F" w:rsidTr="00E70FDF">
                <w:trPr>
                  <w:divId w:val="260645738"/>
                  <w:tblCellSpacing w:w="15" w:type="dxa"/>
                </w:trPr>
                <w:tc>
                  <w:tcPr>
                    <w:tcW w:w="235" w:type="pct"/>
                    <w:hideMark/>
                  </w:tcPr>
                  <w:p w:rsidR="0032194F" w:rsidRPr="00E70FDF" w:rsidRDefault="0032194F">
                    <w:pPr>
                      <w:pStyle w:val="Bibliografa"/>
                      <w:rPr>
                        <w:noProof/>
                        <w:sz w:val="16"/>
                        <w:szCs w:val="16"/>
                        <w:lang w:val="es-ES"/>
                      </w:rPr>
                    </w:pPr>
                    <w:r w:rsidRPr="00E70FDF">
                      <w:rPr>
                        <w:noProof/>
                        <w:sz w:val="16"/>
                        <w:szCs w:val="16"/>
                        <w:lang w:val="es-ES"/>
                      </w:rPr>
                      <w:t xml:space="preserve">[7] </w:t>
                    </w:r>
                  </w:p>
                </w:tc>
                <w:tc>
                  <w:tcPr>
                    <w:tcW w:w="4676" w:type="pct"/>
                    <w:hideMark/>
                  </w:tcPr>
                  <w:p w:rsidR="0032194F" w:rsidRPr="00E70FDF" w:rsidRDefault="0032194F">
                    <w:pPr>
                      <w:pStyle w:val="Bibliografa"/>
                      <w:rPr>
                        <w:noProof/>
                        <w:sz w:val="16"/>
                        <w:szCs w:val="16"/>
                        <w:lang w:val="es-ES"/>
                      </w:rPr>
                    </w:pPr>
                    <w:r w:rsidRPr="00E70FDF">
                      <w:rPr>
                        <w:noProof/>
                        <w:sz w:val="16"/>
                        <w:szCs w:val="16"/>
                        <w:lang w:val="es-ES"/>
                      </w:rPr>
                      <w:t>c. d. r. d. comunicaciones. [En línea]. Available: https://www.crcom.gov.co/es/pagina/inicio. [Último acceso: 28 03 2019].</w:t>
                    </w:r>
                  </w:p>
                </w:tc>
              </w:tr>
              <w:tr w:rsidR="0032194F" w:rsidTr="00E70FDF">
                <w:trPr>
                  <w:divId w:val="260645738"/>
                  <w:tblCellSpacing w:w="15" w:type="dxa"/>
                </w:trPr>
                <w:tc>
                  <w:tcPr>
                    <w:tcW w:w="235" w:type="pct"/>
                    <w:hideMark/>
                  </w:tcPr>
                  <w:p w:rsidR="0032194F" w:rsidRPr="00E70FDF" w:rsidRDefault="0032194F">
                    <w:pPr>
                      <w:pStyle w:val="Bibliografa"/>
                      <w:rPr>
                        <w:noProof/>
                        <w:sz w:val="16"/>
                        <w:szCs w:val="16"/>
                        <w:lang w:val="es-ES"/>
                      </w:rPr>
                    </w:pPr>
                    <w:r w:rsidRPr="00E70FDF">
                      <w:rPr>
                        <w:noProof/>
                        <w:sz w:val="16"/>
                        <w:szCs w:val="16"/>
                        <w:lang w:val="es-ES"/>
                      </w:rPr>
                      <w:t xml:space="preserve">[8] </w:t>
                    </w:r>
                  </w:p>
                </w:tc>
                <w:tc>
                  <w:tcPr>
                    <w:tcW w:w="4676" w:type="pct"/>
                    <w:hideMark/>
                  </w:tcPr>
                  <w:p w:rsidR="0032194F" w:rsidRPr="00E70FDF" w:rsidRDefault="0032194F">
                    <w:pPr>
                      <w:pStyle w:val="Bibliografa"/>
                      <w:rPr>
                        <w:noProof/>
                        <w:sz w:val="16"/>
                        <w:szCs w:val="16"/>
                        <w:lang w:val="es-ES"/>
                      </w:rPr>
                    </w:pPr>
                    <w:r w:rsidRPr="00E70FDF">
                      <w:rPr>
                        <w:noProof/>
                        <w:sz w:val="16"/>
                        <w:szCs w:val="16"/>
                        <w:lang w:val="es-ES"/>
                      </w:rPr>
                      <w:t>MinTIC, «Colombiatic,» 05 03 2019. [En línea]. Available: https://colombiatic.mintic.gov.co/679/w3-article-82350.html. [Último acceso: 28 03 2019].</w:t>
                    </w:r>
                  </w:p>
                </w:tc>
              </w:tr>
              <w:tr w:rsidR="0032194F" w:rsidTr="00E70FDF">
                <w:trPr>
                  <w:divId w:val="260645738"/>
                  <w:tblCellSpacing w:w="15" w:type="dxa"/>
                </w:trPr>
                <w:tc>
                  <w:tcPr>
                    <w:tcW w:w="235" w:type="pct"/>
                    <w:hideMark/>
                  </w:tcPr>
                  <w:p w:rsidR="0032194F" w:rsidRPr="00E70FDF" w:rsidRDefault="0032194F">
                    <w:pPr>
                      <w:pStyle w:val="Bibliografa"/>
                      <w:rPr>
                        <w:noProof/>
                        <w:sz w:val="16"/>
                        <w:szCs w:val="16"/>
                        <w:lang w:val="es-ES"/>
                      </w:rPr>
                    </w:pPr>
                    <w:r w:rsidRPr="00E70FDF">
                      <w:rPr>
                        <w:noProof/>
                        <w:sz w:val="16"/>
                        <w:szCs w:val="16"/>
                        <w:lang w:val="es-ES"/>
                      </w:rPr>
                      <w:t xml:space="preserve">[9] </w:t>
                    </w:r>
                  </w:p>
                </w:tc>
                <w:tc>
                  <w:tcPr>
                    <w:tcW w:w="4676" w:type="pct"/>
                    <w:hideMark/>
                  </w:tcPr>
                  <w:p w:rsidR="0032194F" w:rsidRDefault="0032194F">
                    <w:pPr>
                      <w:pStyle w:val="Bibliografa"/>
                      <w:rPr>
                        <w:noProof/>
                        <w:lang w:val="es-ES"/>
                      </w:rPr>
                    </w:pPr>
                    <w:r w:rsidRPr="00E70FDF">
                      <w:rPr>
                        <w:noProof/>
                        <w:sz w:val="16"/>
                        <w:szCs w:val="16"/>
                        <w:lang w:val="es-ES"/>
                      </w:rPr>
                      <w:t>Asomóvil, «Propuesta Política Pública para el fomento de la Migración Tecnológica,» Bogotá, 2018.</w:t>
                    </w:r>
                  </w:p>
                </w:tc>
              </w:tr>
            </w:tbl>
            <w:p w:rsidR="0032194F" w:rsidRDefault="0032194F">
              <w:pPr>
                <w:divId w:val="260645738"/>
                <w:rPr>
                  <w:noProof/>
                </w:rPr>
              </w:pPr>
            </w:p>
            <w:p w:rsidR="00ED784F" w:rsidRDefault="00ED784F" w:rsidP="00ED784F">
              <w:r>
                <w:rPr>
                  <w:b/>
                  <w:bCs/>
                </w:rPr>
                <w:fldChar w:fldCharType="end"/>
              </w:r>
            </w:p>
          </w:sdtContent>
        </w:sdt>
      </w:sdtContent>
    </w:sdt>
    <w:p w:rsidR="00ED784F" w:rsidRDefault="00ED784F" w:rsidP="00ED784F">
      <w:pPr>
        <w:rPr>
          <w:noProof/>
        </w:rPr>
      </w:pPr>
    </w:p>
    <w:p w:rsidR="001F4580" w:rsidRDefault="001F4580" w:rsidP="00ED784F">
      <w:pPr>
        <w:rPr>
          <w:noProof/>
        </w:rPr>
      </w:pPr>
    </w:p>
    <w:p w:rsidR="001F4580" w:rsidRDefault="001F4580" w:rsidP="00ED784F">
      <w:pPr>
        <w:rPr>
          <w:noProof/>
        </w:rPr>
      </w:pPr>
    </w:p>
    <w:p w:rsidR="001F4580" w:rsidRDefault="001F4580" w:rsidP="00ED784F">
      <w:pPr>
        <w:rPr>
          <w:noProof/>
        </w:rPr>
      </w:pPr>
    </w:p>
    <w:sectPr w:rsidR="001F4580" w:rsidSect="00383E62">
      <w:headerReference w:type="even" r:id="rId24"/>
      <w:footnotePr>
        <w:numRestart w:val="eachPage"/>
      </w:footnotePr>
      <w:type w:val="continuous"/>
      <w:pgSz w:w="11907" w:h="16840" w:code="9"/>
      <w:pgMar w:top="1134" w:right="680" w:bottom="1134" w:left="1021" w:header="153" w:footer="153" w:gutter="0"/>
      <w:cols w:num="2" w:space="5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35A24" w:rsidRDefault="00535A24">
      <w:r>
        <w:separator/>
      </w:r>
    </w:p>
  </w:endnote>
  <w:endnote w:type="continuationSeparator" w:id="0">
    <w:p w:rsidR="00535A24" w:rsidRDefault="00535A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50C21" w:rsidRDefault="00E70FDF">
    <w:pPr>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2</w:t>
    </w:r>
    <w:r>
      <w:rPr>
        <w:rStyle w:val="Nmerodepgina"/>
      </w:rPr>
      <w:fldChar w:fldCharType="end"/>
    </w:r>
  </w:p>
  <w:p w:rsidR="00D50C21" w:rsidRDefault="00535A2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50C21" w:rsidRDefault="00535A24">
    <w:pP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35A24" w:rsidRDefault="00535A24">
      <w:r>
        <w:separator/>
      </w:r>
    </w:p>
  </w:footnote>
  <w:footnote w:type="continuationSeparator" w:id="0">
    <w:p w:rsidR="00535A24" w:rsidRDefault="00535A2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50C21" w:rsidRDefault="00E70FDF">
    <w:pPr>
      <w:rPr>
        <w:i/>
        <w:sz w:val="18"/>
        <w:lang w:val="es-ES"/>
      </w:rPr>
    </w:pPr>
    <w:r>
      <w:rPr>
        <w:i/>
        <w:sz w:val="18"/>
        <w:lang w:val="es-ES"/>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50C21" w:rsidRDefault="00535A24"/>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B"/>
    <w:multiLevelType w:val="multilevel"/>
    <w:tmpl w:val="DEC0056C"/>
    <w:lvl w:ilvl="0">
      <w:start w:val="1"/>
      <w:numFmt w:val="upperRoman"/>
      <w:pStyle w:val="Ttulo1"/>
      <w:lvlText w:val="%1."/>
      <w:lvlJc w:val="left"/>
      <w:pPr>
        <w:tabs>
          <w:tab w:val="num" w:pos="360"/>
        </w:tabs>
        <w:ind w:left="0" w:firstLine="0"/>
      </w:pPr>
      <w:rPr>
        <w:rFonts w:hint="default"/>
        <w:b w:val="0"/>
        <w:i w:val="0"/>
      </w:rPr>
    </w:lvl>
    <w:lvl w:ilvl="1">
      <w:start w:val="1"/>
      <w:numFmt w:val="upperLetter"/>
      <w:pStyle w:val="Ttulo2"/>
      <w:lvlText w:val="%2. "/>
      <w:lvlJc w:val="left"/>
      <w:pPr>
        <w:tabs>
          <w:tab w:val="num" w:pos="284"/>
        </w:tabs>
        <w:ind w:left="0" w:firstLine="0"/>
      </w:pPr>
      <w:rPr>
        <w:rFonts w:hint="default"/>
        <w:b w:val="0"/>
        <w:i/>
      </w:rPr>
    </w:lvl>
    <w:lvl w:ilvl="2">
      <w:start w:val="1"/>
      <w:numFmt w:val="decimal"/>
      <w:pStyle w:val="Ttulo3"/>
      <w:lvlText w:val="%3."/>
      <w:lvlJc w:val="left"/>
      <w:pPr>
        <w:tabs>
          <w:tab w:val="num" w:pos="1800"/>
        </w:tabs>
        <w:ind w:left="1440" w:firstLine="0"/>
      </w:pPr>
      <w:rPr>
        <w:rFonts w:hint="default"/>
      </w:rPr>
    </w:lvl>
    <w:lvl w:ilvl="3">
      <w:start w:val="1"/>
      <w:numFmt w:val="lowerLetter"/>
      <w:pStyle w:val="Ttulo4"/>
      <w:lvlText w:val="%4)"/>
      <w:lvlJc w:val="left"/>
      <w:pPr>
        <w:tabs>
          <w:tab w:val="num" w:pos="2520"/>
        </w:tabs>
        <w:ind w:left="2160" w:firstLine="0"/>
      </w:pPr>
      <w:rPr>
        <w:rFonts w:hint="default"/>
      </w:rPr>
    </w:lvl>
    <w:lvl w:ilvl="4">
      <w:start w:val="1"/>
      <w:numFmt w:val="decimal"/>
      <w:pStyle w:val="Ttulo5"/>
      <w:lvlText w:val="(%5)"/>
      <w:lvlJc w:val="left"/>
      <w:pPr>
        <w:tabs>
          <w:tab w:val="num" w:pos="3240"/>
        </w:tabs>
        <w:ind w:left="2880" w:firstLine="0"/>
      </w:pPr>
      <w:rPr>
        <w:rFonts w:hint="default"/>
      </w:rPr>
    </w:lvl>
    <w:lvl w:ilvl="5">
      <w:start w:val="1"/>
      <w:numFmt w:val="lowerLetter"/>
      <w:pStyle w:val="Ttulo6"/>
      <w:lvlText w:val="(%6)"/>
      <w:lvlJc w:val="left"/>
      <w:pPr>
        <w:tabs>
          <w:tab w:val="num" w:pos="3960"/>
        </w:tabs>
        <w:ind w:left="3600" w:firstLine="0"/>
      </w:pPr>
      <w:rPr>
        <w:rFonts w:hint="default"/>
      </w:rPr>
    </w:lvl>
    <w:lvl w:ilvl="6">
      <w:start w:val="1"/>
      <w:numFmt w:val="lowerRoman"/>
      <w:pStyle w:val="Ttulo7"/>
      <w:lvlText w:val="(%7)"/>
      <w:lvlJc w:val="left"/>
      <w:pPr>
        <w:tabs>
          <w:tab w:val="num" w:pos="4680"/>
        </w:tabs>
        <w:ind w:left="4320" w:firstLine="0"/>
      </w:pPr>
      <w:rPr>
        <w:rFonts w:hint="default"/>
      </w:rPr>
    </w:lvl>
    <w:lvl w:ilvl="7">
      <w:start w:val="1"/>
      <w:numFmt w:val="lowerLetter"/>
      <w:pStyle w:val="Ttulo8"/>
      <w:lvlText w:val="(%8)"/>
      <w:lvlJc w:val="left"/>
      <w:pPr>
        <w:tabs>
          <w:tab w:val="num" w:pos="5400"/>
        </w:tabs>
        <w:ind w:left="5040" w:firstLine="0"/>
      </w:pPr>
      <w:rPr>
        <w:rFonts w:hint="default"/>
      </w:rPr>
    </w:lvl>
    <w:lvl w:ilvl="8">
      <w:start w:val="1"/>
      <w:numFmt w:val="lowerRoman"/>
      <w:pStyle w:val="Ttulo9"/>
      <w:lvlText w:val="(%9)"/>
      <w:lvlJc w:val="left"/>
      <w:pPr>
        <w:tabs>
          <w:tab w:val="num" w:pos="6120"/>
        </w:tabs>
        <w:ind w:left="5760" w:firstLine="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9"/>
  <w:proofState w:spelling="clean" w:grammar="clean"/>
  <w:defaultTabStop w:val="708"/>
  <w:hyphenationZone w:val="425"/>
  <w:characterSpacingControl w:val="doNotCompres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21A5"/>
    <w:rsid w:val="000D27F7"/>
    <w:rsid w:val="001F4580"/>
    <w:rsid w:val="002346BD"/>
    <w:rsid w:val="002C5748"/>
    <w:rsid w:val="002C58C4"/>
    <w:rsid w:val="0032194F"/>
    <w:rsid w:val="003221A4"/>
    <w:rsid w:val="00383E62"/>
    <w:rsid w:val="00401445"/>
    <w:rsid w:val="00403AC1"/>
    <w:rsid w:val="00442E40"/>
    <w:rsid w:val="00457FAC"/>
    <w:rsid w:val="0046245A"/>
    <w:rsid w:val="004E2EE1"/>
    <w:rsid w:val="00535A24"/>
    <w:rsid w:val="005F105D"/>
    <w:rsid w:val="006A78BD"/>
    <w:rsid w:val="00711D0F"/>
    <w:rsid w:val="00712D85"/>
    <w:rsid w:val="00762686"/>
    <w:rsid w:val="00784261"/>
    <w:rsid w:val="007E6AAE"/>
    <w:rsid w:val="008821A5"/>
    <w:rsid w:val="008D4F70"/>
    <w:rsid w:val="00975C89"/>
    <w:rsid w:val="009A0F38"/>
    <w:rsid w:val="009B79AF"/>
    <w:rsid w:val="00A221BB"/>
    <w:rsid w:val="00A548E2"/>
    <w:rsid w:val="00AF7C52"/>
    <w:rsid w:val="00C10D84"/>
    <w:rsid w:val="00C66571"/>
    <w:rsid w:val="00C94C85"/>
    <w:rsid w:val="00D0620D"/>
    <w:rsid w:val="00E70FDF"/>
    <w:rsid w:val="00E9234B"/>
    <w:rsid w:val="00E94C2B"/>
    <w:rsid w:val="00ED784F"/>
    <w:rsid w:val="00F54F41"/>
    <w:rsid w:val="00F94614"/>
    <w:rsid w:val="00FE1A2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5C73CA1-A0F7-472A-AEAD-3EF4B0E836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821A5"/>
    <w:pPr>
      <w:spacing w:after="0" w:line="240" w:lineRule="auto"/>
      <w:jc w:val="both"/>
    </w:pPr>
    <w:rPr>
      <w:rFonts w:ascii="Times New Roman" w:eastAsia="Times New Roman" w:hAnsi="Times New Roman" w:cs="Times New Roman"/>
      <w:sz w:val="20"/>
      <w:szCs w:val="20"/>
    </w:rPr>
  </w:style>
  <w:style w:type="paragraph" w:styleId="Ttulo1">
    <w:name w:val="heading 1"/>
    <w:basedOn w:val="Normal"/>
    <w:next w:val="Normal"/>
    <w:link w:val="Ttulo1Car"/>
    <w:uiPriority w:val="9"/>
    <w:qFormat/>
    <w:rsid w:val="008821A5"/>
    <w:pPr>
      <w:keepNext/>
      <w:numPr>
        <w:numId w:val="1"/>
      </w:numPr>
      <w:spacing w:before="300" w:after="260"/>
      <w:jc w:val="center"/>
      <w:outlineLvl w:val="0"/>
    </w:pPr>
    <w:rPr>
      <w:b/>
      <w:sz w:val="18"/>
    </w:rPr>
  </w:style>
  <w:style w:type="paragraph" w:styleId="Ttulo2">
    <w:name w:val="heading 2"/>
    <w:basedOn w:val="Normal"/>
    <w:next w:val="Normal"/>
    <w:link w:val="Ttulo2Car"/>
    <w:qFormat/>
    <w:rsid w:val="008821A5"/>
    <w:pPr>
      <w:keepNext/>
      <w:numPr>
        <w:ilvl w:val="1"/>
        <w:numId w:val="1"/>
      </w:numPr>
      <w:spacing w:before="300" w:after="180"/>
      <w:outlineLvl w:val="1"/>
    </w:pPr>
    <w:rPr>
      <w:b/>
      <w:sz w:val="18"/>
    </w:rPr>
  </w:style>
  <w:style w:type="paragraph" w:styleId="Ttulo3">
    <w:name w:val="heading 3"/>
    <w:basedOn w:val="Normal"/>
    <w:next w:val="Normal"/>
    <w:link w:val="Ttulo3Car"/>
    <w:qFormat/>
    <w:rsid w:val="008821A5"/>
    <w:pPr>
      <w:keepNext/>
      <w:numPr>
        <w:ilvl w:val="2"/>
        <w:numId w:val="1"/>
      </w:numPr>
      <w:spacing w:before="300" w:after="180"/>
      <w:outlineLvl w:val="2"/>
    </w:pPr>
    <w:rPr>
      <w:i/>
      <w:sz w:val="18"/>
    </w:rPr>
  </w:style>
  <w:style w:type="paragraph" w:styleId="Ttulo4">
    <w:name w:val="heading 4"/>
    <w:basedOn w:val="Normal"/>
    <w:next w:val="Normal"/>
    <w:link w:val="Ttulo4Car"/>
    <w:qFormat/>
    <w:rsid w:val="008821A5"/>
    <w:pPr>
      <w:keepNext/>
      <w:numPr>
        <w:ilvl w:val="3"/>
        <w:numId w:val="1"/>
      </w:numPr>
      <w:spacing w:before="240" w:after="60"/>
      <w:outlineLvl w:val="3"/>
    </w:pPr>
    <w:rPr>
      <w:b/>
      <w:i/>
      <w:sz w:val="18"/>
    </w:rPr>
  </w:style>
  <w:style w:type="paragraph" w:styleId="Ttulo5">
    <w:name w:val="heading 5"/>
    <w:basedOn w:val="Normal"/>
    <w:next w:val="Normal"/>
    <w:link w:val="Ttulo5Car"/>
    <w:qFormat/>
    <w:rsid w:val="008821A5"/>
    <w:pPr>
      <w:numPr>
        <w:ilvl w:val="4"/>
        <w:numId w:val="1"/>
      </w:numPr>
      <w:spacing w:before="240" w:after="60"/>
      <w:outlineLvl w:val="4"/>
    </w:pPr>
    <w:rPr>
      <w:sz w:val="18"/>
    </w:rPr>
  </w:style>
  <w:style w:type="paragraph" w:styleId="Ttulo6">
    <w:name w:val="heading 6"/>
    <w:basedOn w:val="Normal"/>
    <w:next w:val="Normal"/>
    <w:link w:val="Ttulo6Car"/>
    <w:qFormat/>
    <w:rsid w:val="008821A5"/>
    <w:pPr>
      <w:numPr>
        <w:ilvl w:val="5"/>
        <w:numId w:val="1"/>
      </w:numPr>
      <w:spacing w:before="240" w:after="60"/>
      <w:outlineLvl w:val="5"/>
    </w:pPr>
    <w:rPr>
      <w:rFonts w:ascii="Arial" w:hAnsi="Arial"/>
      <w:i/>
      <w:sz w:val="22"/>
    </w:rPr>
  </w:style>
  <w:style w:type="paragraph" w:styleId="Ttulo7">
    <w:name w:val="heading 7"/>
    <w:basedOn w:val="Normal"/>
    <w:next w:val="Normal"/>
    <w:link w:val="Ttulo7Car"/>
    <w:qFormat/>
    <w:rsid w:val="008821A5"/>
    <w:pPr>
      <w:numPr>
        <w:ilvl w:val="6"/>
        <w:numId w:val="1"/>
      </w:numPr>
      <w:spacing w:before="240" w:after="60"/>
      <w:outlineLvl w:val="6"/>
    </w:pPr>
    <w:rPr>
      <w:rFonts w:ascii="Arial" w:hAnsi="Arial"/>
    </w:rPr>
  </w:style>
  <w:style w:type="paragraph" w:styleId="Ttulo8">
    <w:name w:val="heading 8"/>
    <w:basedOn w:val="Normal"/>
    <w:next w:val="Normal"/>
    <w:link w:val="Ttulo8Car"/>
    <w:qFormat/>
    <w:rsid w:val="008821A5"/>
    <w:pPr>
      <w:numPr>
        <w:ilvl w:val="7"/>
        <w:numId w:val="1"/>
      </w:numPr>
      <w:spacing w:before="240" w:after="60"/>
      <w:outlineLvl w:val="7"/>
    </w:pPr>
    <w:rPr>
      <w:rFonts w:ascii="Arial" w:hAnsi="Arial"/>
      <w:i/>
    </w:rPr>
  </w:style>
  <w:style w:type="paragraph" w:styleId="Ttulo9">
    <w:name w:val="heading 9"/>
    <w:basedOn w:val="Normal"/>
    <w:next w:val="Normal"/>
    <w:link w:val="Ttulo9Car"/>
    <w:qFormat/>
    <w:rsid w:val="008821A5"/>
    <w:pPr>
      <w:numPr>
        <w:ilvl w:val="8"/>
        <w:numId w:val="1"/>
      </w:numPr>
      <w:spacing w:before="240" w:after="60"/>
      <w:outlineLvl w:val="8"/>
    </w:pPr>
    <w:rPr>
      <w:rFonts w:ascii="Arial" w:hAnsi="Arial"/>
      <w:i/>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821A5"/>
    <w:rPr>
      <w:rFonts w:ascii="Times New Roman" w:eastAsia="Times New Roman" w:hAnsi="Times New Roman" w:cs="Times New Roman"/>
      <w:b/>
      <w:sz w:val="18"/>
      <w:szCs w:val="20"/>
    </w:rPr>
  </w:style>
  <w:style w:type="character" w:customStyle="1" w:styleId="Ttulo2Car">
    <w:name w:val="Título 2 Car"/>
    <w:basedOn w:val="Fuentedeprrafopredeter"/>
    <w:link w:val="Ttulo2"/>
    <w:rsid w:val="008821A5"/>
    <w:rPr>
      <w:rFonts w:ascii="Times New Roman" w:eastAsia="Times New Roman" w:hAnsi="Times New Roman" w:cs="Times New Roman"/>
      <w:b/>
      <w:sz w:val="18"/>
      <w:szCs w:val="20"/>
    </w:rPr>
  </w:style>
  <w:style w:type="character" w:customStyle="1" w:styleId="Ttulo3Car">
    <w:name w:val="Título 3 Car"/>
    <w:basedOn w:val="Fuentedeprrafopredeter"/>
    <w:link w:val="Ttulo3"/>
    <w:rsid w:val="008821A5"/>
    <w:rPr>
      <w:rFonts w:ascii="Times New Roman" w:eastAsia="Times New Roman" w:hAnsi="Times New Roman" w:cs="Times New Roman"/>
      <w:i/>
      <w:sz w:val="18"/>
      <w:szCs w:val="20"/>
    </w:rPr>
  </w:style>
  <w:style w:type="character" w:customStyle="1" w:styleId="Ttulo4Car">
    <w:name w:val="Título 4 Car"/>
    <w:basedOn w:val="Fuentedeprrafopredeter"/>
    <w:link w:val="Ttulo4"/>
    <w:rsid w:val="008821A5"/>
    <w:rPr>
      <w:rFonts w:ascii="Times New Roman" w:eastAsia="Times New Roman" w:hAnsi="Times New Roman" w:cs="Times New Roman"/>
      <w:b/>
      <w:i/>
      <w:sz w:val="18"/>
      <w:szCs w:val="20"/>
    </w:rPr>
  </w:style>
  <w:style w:type="character" w:customStyle="1" w:styleId="Ttulo5Car">
    <w:name w:val="Título 5 Car"/>
    <w:basedOn w:val="Fuentedeprrafopredeter"/>
    <w:link w:val="Ttulo5"/>
    <w:rsid w:val="008821A5"/>
    <w:rPr>
      <w:rFonts w:ascii="Times New Roman" w:eastAsia="Times New Roman" w:hAnsi="Times New Roman" w:cs="Times New Roman"/>
      <w:sz w:val="18"/>
      <w:szCs w:val="20"/>
    </w:rPr>
  </w:style>
  <w:style w:type="character" w:customStyle="1" w:styleId="Ttulo6Car">
    <w:name w:val="Título 6 Car"/>
    <w:basedOn w:val="Fuentedeprrafopredeter"/>
    <w:link w:val="Ttulo6"/>
    <w:rsid w:val="008821A5"/>
    <w:rPr>
      <w:rFonts w:ascii="Arial" w:eastAsia="Times New Roman" w:hAnsi="Arial" w:cs="Times New Roman"/>
      <w:i/>
      <w:szCs w:val="20"/>
    </w:rPr>
  </w:style>
  <w:style w:type="character" w:customStyle="1" w:styleId="Ttulo7Car">
    <w:name w:val="Título 7 Car"/>
    <w:basedOn w:val="Fuentedeprrafopredeter"/>
    <w:link w:val="Ttulo7"/>
    <w:rsid w:val="008821A5"/>
    <w:rPr>
      <w:rFonts w:ascii="Arial" w:eastAsia="Times New Roman" w:hAnsi="Arial" w:cs="Times New Roman"/>
      <w:sz w:val="20"/>
      <w:szCs w:val="20"/>
    </w:rPr>
  </w:style>
  <w:style w:type="character" w:customStyle="1" w:styleId="Ttulo8Car">
    <w:name w:val="Título 8 Car"/>
    <w:basedOn w:val="Fuentedeprrafopredeter"/>
    <w:link w:val="Ttulo8"/>
    <w:rsid w:val="008821A5"/>
    <w:rPr>
      <w:rFonts w:ascii="Arial" w:eastAsia="Times New Roman" w:hAnsi="Arial" w:cs="Times New Roman"/>
      <w:i/>
      <w:sz w:val="20"/>
      <w:szCs w:val="20"/>
    </w:rPr>
  </w:style>
  <w:style w:type="character" w:customStyle="1" w:styleId="Ttulo9Car">
    <w:name w:val="Título 9 Car"/>
    <w:basedOn w:val="Fuentedeprrafopredeter"/>
    <w:link w:val="Ttulo9"/>
    <w:rsid w:val="008821A5"/>
    <w:rPr>
      <w:rFonts w:ascii="Arial" w:eastAsia="Times New Roman" w:hAnsi="Arial" w:cs="Times New Roman"/>
      <w:i/>
      <w:sz w:val="20"/>
      <w:szCs w:val="20"/>
    </w:rPr>
  </w:style>
  <w:style w:type="character" w:styleId="Nmerodepgina">
    <w:name w:val="page number"/>
    <w:basedOn w:val="Fuentedeprrafopredeter"/>
    <w:rsid w:val="008821A5"/>
  </w:style>
  <w:style w:type="paragraph" w:customStyle="1" w:styleId="AutoresURSI">
    <w:name w:val="Autores URSI"/>
    <w:basedOn w:val="Normal"/>
    <w:rsid w:val="008821A5"/>
    <w:pPr>
      <w:spacing w:before="260"/>
      <w:jc w:val="center"/>
    </w:pPr>
    <w:rPr>
      <w:lang w:val="es-ES"/>
    </w:rPr>
  </w:style>
  <w:style w:type="paragraph" w:customStyle="1" w:styleId="ursititulo1">
    <w:name w:val="ursi_titulo1"/>
    <w:basedOn w:val="Ttulo1"/>
    <w:next w:val="Normal"/>
    <w:rsid w:val="008821A5"/>
    <w:pPr>
      <w:spacing w:before="240" w:after="80"/>
    </w:pPr>
    <w:rPr>
      <w:b w:val="0"/>
      <w:smallCaps/>
      <w:sz w:val="20"/>
    </w:rPr>
  </w:style>
  <w:style w:type="paragraph" w:customStyle="1" w:styleId="TituloURSI">
    <w:name w:val="Titulo URSI"/>
    <w:basedOn w:val="Normal"/>
    <w:rsid w:val="008821A5"/>
    <w:pPr>
      <w:spacing w:before="100"/>
      <w:ind w:left="1134" w:right="720"/>
      <w:jc w:val="center"/>
    </w:pPr>
    <w:rPr>
      <w:sz w:val="48"/>
      <w:szCs w:val="48"/>
      <w:lang w:val="es-ES"/>
    </w:rPr>
  </w:style>
  <w:style w:type="paragraph" w:customStyle="1" w:styleId="AbstractURSI">
    <w:name w:val="Abstract URSI"/>
    <w:basedOn w:val="Normal"/>
    <w:next w:val="PrrafoURSI"/>
    <w:rsid w:val="008821A5"/>
    <w:pPr>
      <w:spacing w:line="200" w:lineRule="exact"/>
      <w:ind w:right="45" w:firstLine="142"/>
    </w:pPr>
    <w:rPr>
      <w:b/>
      <w:bCs/>
      <w:sz w:val="18"/>
      <w:szCs w:val="18"/>
      <w:lang w:val="es-ES"/>
    </w:rPr>
  </w:style>
  <w:style w:type="paragraph" w:customStyle="1" w:styleId="PrrafoURSI">
    <w:name w:val="PárrafoURSI"/>
    <w:basedOn w:val="Normal"/>
    <w:rsid w:val="008821A5"/>
    <w:pPr>
      <w:ind w:right="45" w:firstLine="284"/>
    </w:pPr>
    <w:rPr>
      <w:lang w:val="es-ES"/>
    </w:rPr>
  </w:style>
  <w:style w:type="paragraph" w:customStyle="1" w:styleId="URSISeccion">
    <w:name w:val="URSI_Seccion"/>
    <w:basedOn w:val="Ttulo2"/>
    <w:rsid w:val="008821A5"/>
    <w:pPr>
      <w:spacing w:before="140" w:after="60"/>
    </w:pPr>
    <w:rPr>
      <w:b w:val="0"/>
      <w:i/>
      <w:sz w:val="20"/>
      <w:lang w:val="es-ES"/>
    </w:rPr>
  </w:style>
  <w:style w:type="character" w:styleId="Hipervnculo">
    <w:name w:val="Hyperlink"/>
    <w:rsid w:val="008821A5"/>
    <w:rPr>
      <w:color w:val="0000FF"/>
      <w:u w:val="single"/>
    </w:rPr>
  </w:style>
  <w:style w:type="paragraph" w:customStyle="1" w:styleId="ReferenciasAgrad">
    <w:name w:val="Referencias/Agrad."/>
    <w:basedOn w:val="Ttulo1"/>
    <w:next w:val="PrrafoURSI"/>
    <w:rsid w:val="008821A5"/>
    <w:pPr>
      <w:numPr>
        <w:numId w:val="0"/>
      </w:numPr>
      <w:spacing w:before="240" w:after="120"/>
    </w:pPr>
    <w:rPr>
      <w:b w:val="0"/>
      <w:smallCaps/>
      <w:sz w:val="20"/>
      <w:lang w:val="es-ES"/>
    </w:rPr>
  </w:style>
  <w:style w:type="character" w:customStyle="1" w:styleId="AfiliacinUniversidad">
    <w:name w:val="Afiliación_Universidad"/>
    <w:rsid w:val="008821A5"/>
    <w:rPr>
      <w:sz w:val="18"/>
    </w:rPr>
  </w:style>
  <w:style w:type="paragraph" w:styleId="Bibliografa">
    <w:name w:val="Bibliography"/>
    <w:basedOn w:val="Normal"/>
    <w:next w:val="Normal"/>
    <w:uiPriority w:val="37"/>
    <w:unhideWhenUsed/>
    <w:rsid w:val="008821A5"/>
  </w:style>
  <w:style w:type="paragraph" w:styleId="Descripcin">
    <w:name w:val="caption"/>
    <w:basedOn w:val="Normal"/>
    <w:next w:val="Normal"/>
    <w:uiPriority w:val="35"/>
    <w:unhideWhenUsed/>
    <w:qFormat/>
    <w:rsid w:val="00F54F41"/>
    <w:pPr>
      <w:spacing w:after="200"/>
    </w:pPr>
    <w:rPr>
      <w:i/>
      <w:iCs/>
      <w:color w:val="44546A" w:themeColor="text2"/>
      <w:sz w:val="18"/>
      <w:szCs w:val="18"/>
    </w:rPr>
  </w:style>
  <w:style w:type="paragraph" w:customStyle="1" w:styleId="Default">
    <w:name w:val="Default"/>
    <w:rsid w:val="00A548E2"/>
    <w:pPr>
      <w:autoSpaceDE w:val="0"/>
      <w:autoSpaceDN w:val="0"/>
      <w:adjustRightInd w:val="0"/>
      <w:spacing w:after="0" w:line="240" w:lineRule="auto"/>
    </w:pPr>
    <w:rPr>
      <w:rFonts w:ascii="Calibri" w:hAnsi="Calibri" w:cs="Calibri"/>
      <w:color w:val="000000"/>
      <w:sz w:val="24"/>
      <w:szCs w:val="24"/>
    </w:rPr>
  </w:style>
  <w:style w:type="character" w:customStyle="1" w:styleId="UnresolvedMention">
    <w:name w:val="Unresolved Mention"/>
    <w:basedOn w:val="Fuentedeprrafopredeter"/>
    <w:uiPriority w:val="99"/>
    <w:semiHidden/>
    <w:unhideWhenUsed/>
    <w:rsid w:val="00712D85"/>
    <w:rPr>
      <w:color w:val="605E5C"/>
      <w:shd w:val="clear" w:color="auto" w:fill="E1DFDD"/>
    </w:rPr>
  </w:style>
  <w:style w:type="paragraph" w:styleId="Prrafodelista">
    <w:name w:val="List Paragraph"/>
    <w:basedOn w:val="Normal"/>
    <w:uiPriority w:val="34"/>
    <w:qFormat/>
    <w:rsid w:val="009B79A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15227">
      <w:bodyDiv w:val="1"/>
      <w:marLeft w:val="0"/>
      <w:marRight w:val="0"/>
      <w:marTop w:val="0"/>
      <w:marBottom w:val="0"/>
      <w:divBdr>
        <w:top w:val="none" w:sz="0" w:space="0" w:color="auto"/>
        <w:left w:val="none" w:sz="0" w:space="0" w:color="auto"/>
        <w:bottom w:val="none" w:sz="0" w:space="0" w:color="auto"/>
        <w:right w:val="none" w:sz="0" w:space="0" w:color="auto"/>
      </w:divBdr>
    </w:div>
    <w:div w:id="47461515">
      <w:bodyDiv w:val="1"/>
      <w:marLeft w:val="0"/>
      <w:marRight w:val="0"/>
      <w:marTop w:val="0"/>
      <w:marBottom w:val="0"/>
      <w:divBdr>
        <w:top w:val="none" w:sz="0" w:space="0" w:color="auto"/>
        <w:left w:val="none" w:sz="0" w:space="0" w:color="auto"/>
        <w:bottom w:val="none" w:sz="0" w:space="0" w:color="auto"/>
        <w:right w:val="none" w:sz="0" w:space="0" w:color="auto"/>
      </w:divBdr>
    </w:div>
    <w:div w:id="69616557">
      <w:bodyDiv w:val="1"/>
      <w:marLeft w:val="0"/>
      <w:marRight w:val="0"/>
      <w:marTop w:val="0"/>
      <w:marBottom w:val="0"/>
      <w:divBdr>
        <w:top w:val="none" w:sz="0" w:space="0" w:color="auto"/>
        <w:left w:val="none" w:sz="0" w:space="0" w:color="auto"/>
        <w:bottom w:val="none" w:sz="0" w:space="0" w:color="auto"/>
        <w:right w:val="none" w:sz="0" w:space="0" w:color="auto"/>
      </w:divBdr>
    </w:div>
    <w:div w:id="77993686">
      <w:bodyDiv w:val="1"/>
      <w:marLeft w:val="0"/>
      <w:marRight w:val="0"/>
      <w:marTop w:val="0"/>
      <w:marBottom w:val="0"/>
      <w:divBdr>
        <w:top w:val="none" w:sz="0" w:space="0" w:color="auto"/>
        <w:left w:val="none" w:sz="0" w:space="0" w:color="auto"/>
        <w:bottom w:val="none" w:sz="0" w:space="0" w:color="auto"/>
        <w:right w:val="none" w:sz="0" w:space="0" w:color="auto"/>
      </w:divBdr>
    </w:div>
    <w:div w:id="79067602">
      <w:bodyDiv w:val="1"/>
      <w:marLeft w:val="0"/>
      <w:marRight w:val="0"/>
      <w:marTop w:val="0"/>
      <w:marBottom w:val="0"/>
      <w:divBdr>
        <w:top w:val="none" w:sz="0" w:space="0" w:color="auto"/>
        <w:left w:val="none" w:sz="0" w:space="0" w:color="auto"/>
        <w:bottom w:val="none" w:sz="0" w:space="0" w:color="auto"/>
        <w:right w:val="none" w:sz="0" w:space="0" w:color="auto"/>
      </w:divBdr>
    </w:div>
    <w:div w:id="81991921">
      <w:bodyDiv w:val="1"/>
      <w:marLeft w:val="0"/>
      <w:marRight w:val="0"/>
      <w:marTop w:val="0"/>
      <w:marBottom w:val="0"/>
      <w:divBdr>
        <w:top w:val="none" w:sz="0" w:space="0" w:color="auto"/>
        <w:left w:val="none" w:sz="0" w:space="0" w:color="auto"/>
        <w:bottom w:val="none" w:sz="0" w:space="0" w:color="auto"/>
        <w:right w:val="none" w:sz="0" w:space="0" w:color="auto"/>
      </w:divBdr>
    </w:div>
    <w:div w:id="97608458">
      <w:bodyDiv w:val="1"/>
      <w:marLeft w:val="0"/>
      <w:marRight w:val="0"/>
      <w:marTop w:val="0"/>
      <w:marBottom w:val="0"/>
      <w:divBdr>
        <w:top w:val="none" w:sz="0" w:space="0" w:color="auto"/>
        <w:left w:val="none" w:sz="0" w:space="0" w:color="auto"/>
        <w:bottom w:val="none" w:sz="0" w:space="0" w:color="auto"/>
        <w:right w:val="none" w:sz="0" w:space="0" w:color="auto"/>
      </w:divBdr>
    </w:div>
    <w:div w:id="158428033">
      <w:bodyDiv w:val="1"/>
      <w:marLeft w:val="0"/>
      <w:marRight w:val="0"/>
      <w:marTop w:val="0"/>
      <w:marBottom w:val="0"/>
      <w:divBdr>
        <w:top w:val="none" w:sz="0" w:space="0" w:color="auto"/>
        <w:left w:val="none" w:sz="0" w:space="0" w:color="auto"/>
        <w:bottom w:val="none" w:sz="0" w:space="0" w:color="auto"/>
        <w:right w:val="none" w:sz="0" w:space="0" w:color="auto"/>
      </w:divBdr>
    </w:div>
    <w:div w:id="164979044">
      <w:bodyDiv w:val="1"/>
      <w:marLeft w:val="0"/>
      <w:marRight w:val="0"/>
      <w:marTop w:val="0"/>
      <w:marBottom w:val="0"/>
      <w:divBdr>
        <w:top w:val="none" w:sz="0" w:space="0" w:color="auto"/>
        <w:left w:val="none" w:sz="0" w:space="0" w:color="auto"/>
        <w:bottom w:val="none" w:sz="0" w:space="0" w:color="auto"/>
        <w:right w:val="none" w:sz="0" w:space="0" w:color="auto"/>
      </w:divBdr>
    </w:div>
    <w:div w:id="205921734">
      <w:bodyDiv w:val="1"/>
      <w:marLeft w:val="0"/>
      <w:marRight w:val="0"/>
      <w:marTop w:val="0"/>
      <w:marBottom w:val="0"/>
      <w:divBdr>
        <w:top w:val="none" w:sz="0" w:space="0" w:color="auto"/>
        <w:left w:val="none" w:sz="0" w:space="0" w:color="auto"/>
        <w:bottom w:val="none" w:sz="0" w:space="0" w:color="auto"/>
        <w:right w:val="none" w:sz="0" w:space="0" w:color="auto"/>
      </w:divBdr>
    </w:div>
    <w:div w:id="206141881">
      <w:bodyDiv w:val="1"/>
      <w:marLeft w:val="0"/>
      <w:marRight w:val="0"/>
      <w:marTop w:val="0"/>
      <w:marBottom w:val="0"/>
      <w:divBdr>
        <w:top w:val="none" w:sz="0" w:space="0" w:color="auto"/>
        <w:left w:val="none" w:sz="0" w:space="0" w:color="auto"/>
        <w:bottom w:val="none" w:sz="0" w:space="0" w:color="auto"/>
        <w:right w:val="none" w:sz="0" w:space="0" w:color="auto"/>
      </w:divBdr>
    </w:div>
    <w:div w:id="224731201">
      <w:bodyDiv w:val="1"/>
      <w:marLeft w:val="0"/>
      <w:marRight w:val="0"/>
      <w:marTop w:val="0"/>
      <w:marBottom w:val="0"/>
      <w:divBdr>
        <w:top w:val="none" w:sz="0" w:space="0" w:color="auto"/>
        <w:left w:val="none" w:sz="0" w:space="0" w:color="auto"/>
        <w:bottom w:val="none" w:sz="0" w:space="0" w:color="auto"/>
        <w:right w:val="none" w:sz="0" w:space="0" w:color="auto"/>
      </w:divBdr>
    </w:div>
    <w:div w:id="260645738">
      <w:bodyDiv w:val="1"/>
      <w:marLeft w:val="0"/>
      <w:marRight w:val="0"/>
      <w:marTop w:val="0"/>
      <w:marBottom w:val="0"/>
      <w:divBdr>
        <w:top w:val="none" w:sz="0" w:space="0" w:color="auto"/>
        <w:left w:val="none" w:sz="0" w:space="0" w:color="auto"/>
        <w:bottom w:val="none" w:sz="0" w:space="0" w:color="auto"/>
        <w:right w:val="none" w:sz="0" w:space="0" w:color="auto"/>
      </w:divBdr>
    </w:div>
    <w:div w:id="286157696">
      <w:bodyDiv w:val="1"/>
      <w:marLeft w:val="0"/>
      <w:marRight w:val="0"/>
      <w:marTop w:val="0"/>
      <w:marBottom w:val="0"/>
      <w:divBdr>
        <w:top w:val="none" w:sz="0" w:space="0" w:color="auto"/>
        <w:left w:val="none" w:sz="0" w:space="0" w:color="auto"/>
        <w:bottom w:val="none" w:sz="0" w:space="0" w:color="auto"/>
        <w:right w:val="none" w:sz="0" w:space="0" w:color="auto"/>
      </w:divBdr>
    </w:div>
    <w:div w:id="292830870">
      <w:bodyDiv w:val="1"/>
      <w:marLeft w:val="0"/>
      <w:marRight w:val="0"/>
      <w:marTop w:val="0"/>
      <w:marBottom w:val="0"/>
      <w:divBdr>
        <w:top w:val="none" w:sz="0" w:space="0" w:color="auto"/>
        <w:left w:val="none" w:sz="0" w:space="0" w:color="auto"/>
        <w:bottom w:val="none" w:sz="0" w:space="0" w:color="auto"/>
        <w:right w:val="none" w:sz="0" w:space="0" w:color="auto"/>
      </w:divBdr>
    </w:div>
    <w:div w:id="306201896">
      <w:bodyDiv w:val="1"/>
      <w:marLeft w:val="0"/>
      <w:marRight w:val="0"/>
      <w:marTop w:val="0"/>
      <w:marBottom w:val="0"/>
      <w:divBdr>
        <w:top w:val="none" w:sz="0" w:space="0" w:color="auto"/>
        <w:left w:val="none" w:sz="0" w:space="0" w:color="auto"/>
        <w:bottom w:val="none" w:sz="0" w:space="0" w:color="auto"/>
        <w:right w:val="none" w:sz="0" w:space="0" w:color="auto"/>
      </w:divBdr>
    </w:div>
    <w:div w:id="404110830">
      <w:bodyDiv w:val="1"/>
      <w:marLeft w:val="0"/>
      <w:marRight w:val="0"/>
      <w:marTop w:val="0"/>
      <w:marBottom w:val="0"/>
      <w:divBdr>
        <w:top w:val="none" w:sz="0" w:space="0" w:color="auto"/>
        <w:left w:val="none" w:sz="0" w:space="0" w:color="auto"/>
        <w:bottom w:val="none" w:sz="0" w:space="0" w:color="auto"/>
        <w:right w:val="none" w:sz="0" w:space="0" w:color="auto"/>
      </w:divBdr>
    </w:div>
    <w:div w:id="416246639">
      <w:bodyDiv w:val="1"/>
      <w:marLeft w:val="0"/>
      <w:marRight w:val="0"/>
      <w:marTop w:val="0"/>
      <w:marBottom w:val="0"/>
      <w:divBdr>
        <w:top w:val="none" w:sz="0" w:space="0" w:color="auto"/>
        <w:left w:val="none" w:sz="0" w:space="0" w:color="auto"/>
        <w:bottom w:val="none" w:sz="0" w:space="0" w:color="auto"/>
        <w:right w:val="none" w:sz="0" w:space="0" w:color="auto"/>
      </w:divBdr>
    </w:div>
    <w:div w:id="604070971">
      <w:bodyDiv w:val="1"/>
      <w:marLeft w:val="0"/>
      <w:marRight w:val="0"/>
      <w:marTop w:val="0"/>
      <w:marBottom w:val="0"/>
      <w:divBdr>
        <w:top w:val="none" w:sz="0" w:space="0" w:color="auto"/>
        <w:left w:val="none" w:sz="0" w:space="0" w:color="auto"/>
        <w:bottom w:val="none" w:sz="0" w:space="0" w:color="auto"/>
        <w:right w:val="none" w:sz="0" w:space="0" w:color="auto"/>
      </w:divBdr>
    </w:div>
    <w:div w:id="674724877">
      <w:bodyDiv w:val="1"/>
      <w:marLeft w:val="0"/>
      <w:marRight w:val="0"/>
      <w:marTop w:val="0"/>
      <w:marBottom w:val="0"/>
      <w:divBdr>
        <w:top w:val="none" w:sz="0" w:space="0" w:color="auto"/>
        <w:left w:val="none" w:sz="0" w:space="0" w:color="auto"/>
        <w:bottom w:val="none" w:sz="0" w:space="0" w:color="auto"/>
        <w:right w:val="none" w:sz="0" w:space="0" w:color="auto"/>
      </w:divBdr>
    </w:div>
    <w:div w:id="682901193">
      <w:bodyDiv w:val="1"/>
      <w:marLeft w:val="0"/>
      <w:marRight w:val="0"/>
      <w:marTop w:val="0"/>
      <w:marBottom w:val="0"/>
      <w:divBdr>
        <w:top w:val="none" w:sz="0" w:space="0" w:color="auto"/>
        <w:left w:val="none" w:sz="0" w:space="0" w:color="auto"/>
        <w:bottom w:val="none" w:sz="0" w:space="0" w:color="auto"/>
        <w:right w:val="none" w:sz="0" w:space="0" w:color="auto"/>
      </w:divBdr>
    </w:div>
    <w:div w:id="692147830">
      <w:bodyDiv w:val="1"/>
      <w:marLeft w:val="0"/>
      <w:marRight w:val="0"/>
      <w:marTop w:val="0"/>
      <w:marBottom w:val="0"/>
      <w:divBdr>
        <w:top w:val="none" w:sz="0" w:space="0" w:color="auto"/>
        <w:left w:val="none" w:sz="0" w:space="0" w:color="auto"/>
        <w:bottom w:val="none" w:sz="0" w:space="0" w:color="auto"/>
        <w:right w:val="none" w:sz="0" w:space="0" w:color="auto"/>
      </w:divBdr>
    </w:div>
    <w:div w:id="702294245">
      <w:bodyDiv w:val="1"/>
      <w:marLeft w:val="0"/>
      <w:marRight w:val="0"/>
      <w:marTop w:val="0"/>
      <w:marBottom w:val="0"/>
      <w:divBdr>
        <w:top w:val="none" w:sz="0" w:space="0" w:color="auto"/>
        <w:left w:val="none" w:sz="0" w:space="0" w:color="auto"/>
        <w:bottom w:val="none" w:sz="0" w:space="0" w:color="auto"/>
        <w:right w:val="none" w:sz="0" w:space="0" w:color="auto"/>
      </w:divBdr>
    </w:div>
    <w:div w:id="722800677">
      <w:bodyDiv w:val="1"/>
      <w:marLeft w:val="0"/>
      <w:marRight w:val="0"/>
      <w:marTop w:val="0"/>
      <w:marBottom w:val="0"/>
      <w:divBdr>
        <w:top w:val="none" w:sz="0" w:space="0" w:color="auto"/>
        <w:left w:val="none" w:sz="0" w:space="0" w:color="auto"/>
        <w:bottom w:val="none" w:sz="0" w:space="0" w:color="auto"/>
        <w:right w:val="none" w:sz="0" w:space="0" w:color="auto"/>
      </w:divBdr>
    </w:div>
    <w:div w:id="745959514">
      <w:bodyDiv w:val="1"/>
      <w:marLeft w:val="0"/>
      <w:marRight w:val="0"/>
      <w:marTop w:val="0"/>
      <w:marBottom w:val="0"/>
      <w:divBdr>
        <w:top w:val="none" w:sz="0" w:space="0" w:color="auto"/>
        <w:left w:val="none" w:sz="0" w:space="0" w:color="auto"/>
        <w:bottom w:val="none" w:sz="0" w:space="0" w:color="auto"/>
        <w:right w:val="none" w:sz="0" w:space="0" w:color="auto"/>
      </w:divBdr>
    </w:div>
    <w:div w:id="751698996">
      <w:bodyDiv w:val="1"/>
      <w:marLeft w:val="0"/>
      <w:marRight w:val="0"/>
      <w:marTop w:val="0"/>
      <w:marBottom w:val="0"/>
      <w:divBdr>
        <w:top w:val="none" w:sz="0" w:space="0" w:color="auto"/>
        <w:left w:val="none" w:sz="0" w:space="0" w:color="auto"/>
        <w:bottom w:val="none" w:sz="0" w:space="0" w:color="auto"/>
        <w:right w:val="none" w:sz="0" w:space="0" w:color="auto"/>
      </w:divBdr>
    </w:div>
    <w:div w:id="761023780">
      <w:bodyDiv w:val="1"/>
      <w:marLeft w:val="0"/>
      <w:marRight w:val="0"/>
      <w:marTop w:val="0"/>
      <w:marBottom w:val="0"/>
      <w:divBdr>
        <w:top w:val="none" w:sz="0" w:space="0" w:color="auto"/>
        <w:left w:val="none" w:sz="0" w:space="0" w:color="auto"/>
        <w:bottom w:val="none" w:sz="0" w:space="0" w:color="auto"/>
        <w:right w:val="none" w:sz="0" w:space="0" w:color="auto"/>
      </w:divBdr>
    </w:div>
    <w:div w:id="794370765">
      <w:bodyDiv w:val="1"/>
      <w:marLeft w:val="0"/>
      <w:marRight w:val="0"/>
      <w:marTop w:val="0"/>
      <w:marBottom w:val="0"/>
      <w:divBdr>
        <w:top w:val="none" w:sz="0" w:space="0" w:color="auto"/>
        <w:left w:val="none" w:sz="0" w:space="0" w:color="auto"/>
        <w:bottom w:val="none" w:sz="0" w:space="0" w:color="auto"/>
        <w:right w:val="none" w:sz="0" w:space="0" w:color="auto"/>
      </w:divBdr>
    </w:div>
    <w:div w:id="818155088">
      <w:bodyDiv w:val="1"/>
      <w:marLeft w:val="0"/>
      <w:marRight w:val="0"/>
      <w:marTop w:val="0"/>
      <w:marBottom w:val="0"/>
      <w:divBdr>
        <w:top w:val="none" w:sz="0" w:space="0" w:color="auto"/>
        <w:left w:val="none" w:sz="0" w:space="0" w:color="auto"/>
        <w:bottom w:val="none" w:sz="0" w:space="0" w:color="auto"/>
        <w:right w:val="none" w:sz="0" w:space="0" w:color="auto"/>
      </w:divBdr>
    </w:div>
    <w:div w:id="826089998">
      <w:bodyDiv w:val="1"/>
      <w:marLeft w:val="0"/>
      <w:marRight w:val="0"/>
      <w:marTop w:val="0"/>
      <w:marBottom w:val="0"/>
      <w:divBdr>
        <w:top w:val="none" w:sz="0" w:space="0" w:color="auto"/>
        <w:left w:val="none" w:sz="0" w:space="0" w:color="auto"/>
        <w:bottom w:val="none" w:sz="0" w:space="0" w:color="auto"/>
        <w:right w:val="none" w:sz="0" w:space="0" w:color="auto"/>
      </w:divBdr>
    </w:div>
    <w:div w:id="852230965">
      <w:bodyDiv w:val="1"/>
      <w:marLeft w:val="0"/>
      <w:marRight w:val="0"/>
      <w:marTop w:val="0"/>
      <w:marBottom w:val="0"/>
      <w:divBdr>
        <w:top w:val="none" w:sz="0" w:space="0" w:color="auto"/>
        <w:left w:val="none" w:sz="0" w:space="0" w:color="auto"/>
        <w:bottom w:val="none" w:sz="0" w:space="0" w:color="auto"/>
        <w:right w:val="none" w:sz="0" w:space="0" w:color="auto"/>
      </w:divBdr>
    </w:div>
    <w:div w:id="938176475">
      <w:bodyDiv w:val="1"/>
      <w:marLeft w:val="0"/>
      <w:marRight w:val="0"/>
      <w:marTop w:val="0"/>
      <w:marBottom w:val="0"/>
      <w:divBdr>
        <w:top w:val="none" w:sz="0" w:space="0" w:color="auto"/>
        <w:left w:val="none" w:sz="0" w:space="0" w:color="auto"/>
        <w:bottom w:val="none" w:sz="0" w:space="0" w:color="auto"/>
        <w:right w:val="none" w:sz="0" w:space="0" w:color="auto"/>
      </w:divBdr>
    </w:div>
    <w:div w:id="940261631">
      <w:bodyDiv w:val="1"/>
      <w:marLeft w:val="0"/>
      <w:marRight w:val="0"/>
      <w:marTop w:val="0"/>
      <w:marBottom w:val="0"/>
      <w:divBdr>
        <w:top w:val="none" w:sz="0" w:space="0" w:color="auto"/>
        <w:left w:val="none" w:sz="0" w:space="0" w:color="auto"/>
        <w:bottom w:val="none" w:sz="0" w:space="0" w:color="auto"/>
        <w:right w:val="none" w:sz="0" w:space="0" w:color="auto"/>
      </w:divBdr>
    </w:div>
    <w:div w:id="942568340">
      <w:bodyDiv w:val="1"/>
      <w:marLeft w:val="0"/>
      <w:marRight w:val="0"/>
      <w:marTop w:val="0"/>
      <w:marBottom w:val="0"/>
      <w:divBdr>
        <w:top w:val="none" w:sz="0" w:space="0" w:color="auto"/>
        <w:left w:val="none" w:sz="0" w:space="0" w:color="auto"/>
        <w:bottom w:val="none" w:sz="0" w:space="0" w:color="auto"/>
        <w:right w:val="none" w:sz="0" w:space="0" w:color="auto"/>
      </w:divBdr>
    </w:div>
    <w:div w:id="946423258">
      <w:bodyDiv w:val="1"/>
      <w:marLeft w:val="0"/>
      <w:marRight w:val="0"/>
      <w:marTop w:val="0"/>
      <w:marBottom w:val="0"/>
      <w:divBdr>
        <w:top w:val="none" w:sz="0" w:space="0" w:color="auto"/>
        <w:left w:val="none" w:sz="0" w:space="0" w:color="auto"/>
        <w:bottom w:val="none" w:sz="0" w:space="0" w:color="auto"/>
        <w:right w:val="none" w:sz="0" w:space="0" w:color="auto"/>
      </w:divBdr>
    </w:div>
    <w:div w:id="950672926">
      <w:bodyDiv w:val="1"/>
      <w:marLeft w:val="0"/>
      <w:marRight w:val="0"/>
      <w:marTop w:val="0"/>
      <w:marBottom w:val="0"/>
      <w:divBdr>
        <w:top w:val="none" w:sz="0" w:space="0" w:color="auto"/>
        <w:left w:val="none" w:sz="0" w:space="0" w:color="auto"/>
        <w:bottom w:val="none" w:sz="0" w:space="0" w:color="auto"/>
        <w:right w:val="none" w:sz="0" w:space="0" w:color="auto"/>
      </w:divBdr>
    </w:div>
    <w:div w:id="991719970">
      <w:bodyDiv w:val="1"/>
      <w:marLeft w:val="0"/>
      <w:marRight w:val="0"/>
      <w:marTop w:val="0"/>
      <w:marBottom w:val="0"/>
      <w:divBdr>
        <w:top w:val="none" w:sz="0" w:space="0" w:color="auto"/>
        <w:left w:val="none" w:sz="0" w:space="0" w:color="auto"/>
        <w:bottom w:val="none" w:sz="0" w:space="0" w:color="auto"/>
        <w:right w:val="none" w:sz="0" w:space="0" w:color="auto"/>
      </w:divBdr>
    </w:div>
    <w:div w:id="996223025">
      <w:bodyDiv w:val="1"/>
      <w:marLeft w:val="0"/>
      <w:marRight w:val="0"/>
      <w:marTop w:val="0"/>
      <w:marBottom w:val="0"/>
      <w:divBdr>
        <w:top w:val="none" w:sz="0" w:space="0" w:color="auto"/>
        <w:left w:val="none" w:sz="0" w:space="0" w:color="auto"/>
        <w:bottom w:val="none" w:sz="0" w:space="0" w:color="auto"/>
        <w:right w:val="none" w:sz="0" w:space="0" w:color="auto"/>
      </w:divBdr>
    </w:div>
    <w:div w:id="1003431271">
      <w:bodyDiv w:val="1"/>
      <w:marLeft w:val="0"/>
      <w:marRight w:val="0"/>
      <w:marTop w:val="0"/>
      <w:marBottom w:val="0"/>
      <w:divBdr>
        <w:top w:val="none" w:sz="0" w:space="0" w:color="auto"/>
        <w:left w:val="none" w:sz="0" w:space="0" w:color="auto"/>
        <w:bottom w:val="none" w:sz="0" w:space="0" w:color="auto"/>
        <w:right w:val="none" w:sz="0" w:space="0" w:color="auto"/>
      </w:divBdr>
    </w:div>
    <w:div w:id="1019621499">
      <w:bodyDiv w:val="1"/>
      <w:marLeft w:val="0"/>
      <w:marRight w:val="0"/>
      <w:marTop w:val="0"/>
      <w:marBottom w:val="0"/>
      <w:divBdr>
        <w:top w:val="none" w:sz="0" w:space="0" w:color="auto"/>
        <w:left w:val="none" w:sz="0" w:space="0" w:color="auto"/>
        <w:bottom w:val="none" w:sz="0" w:space="0" w:color="auto"/>
        <w:right w:val="none" w:sz="0" w:space="0" w:color="auto"/>
      </w:divBdr>
    </w:div>
    <w:div w:id="1085414911">
      <w:bodyDiv w:val="1"/>
      <w:marLeft w:val="0"/>
      <w:marRight w:val="0"/>
      <w:marTop w:val="0"/>
      <w:marBottom w:val="0"/>
      <w:divBdr>
        <w:top w:val="none" w:sz="0" w:space="0" w:color="auto"/>
        <w:left w:val="none" w:sz="0" w:space="0" w:color="auto"/>
        <w:bottom w:val="none" w:sz="0" w:space="0" w:color="auto"/>
        <w:right w:val="none" w:sz="0" w:space="0" w:color="auto"/>
      </w:divBdr>
    </w:div>
    <w:div w:id="1088313518">
      <w:bodyDiv w:val="1"/>
      <w:marLeft w:val="0"/>
      <w:marRight w:val="0"/>
      <w:marTop w:val="0"/>
      <w:marBottom w:val="0"/>
      <w:divBdr>
        <w:top w:val="none" w:sz="0" w:space="0" w:color="auto"/>
        <w:left w:val="none" w:sz="0" w:space="0" w:color="auto"/>
        <w:bottom w:val="none" w:sz="0" w:space="0" w:color="auto"/>
        <w:right w:val="none" w:sz="0" w:space="0" w:color="auto"/>
      </w:divBdr>
    </w:div>
    <w:div w:id="1146311855">
      <w:bodyDiv w:val="1"/>
      <w:marLeft w:val="0"/>
      <w:marRight w:val="0"/>
      <w:marTop w:val="0"/>
      <w:marBottom w:val="0"/>
      <w:divBdr>
        <w:top w:val="none" w:sz="0" w:space="0" w:color="auto"/>
        <w:left w:val="none" w:sz="0" w:space="0" w:color="auto"/>
        <w:bottom w:val="none" w:sz="0" w:space="0" w:color="auto"/>
        <w:right w:val="none" w:sz="0" w:space="0" w:color="auto"/>
      </w:divBdr>
    </w:div>
    <w:div w:id="1163820321">
      <w:bodyDiv w:val="1"/>
      <w:marLeft w:val="0"/>
      <w:marRight w:val="0"/>
      <w:marTop w:val="0"/>
      <w:marBottom w:val="0"/>
      <w:divBdr>
        <w:top w:val="none" w:sz="0" w:space="0" w:color="auto"/>
        <w:left w:val="none" w:sz="0" w:space="0" w:color="auto"/>
        <w:bottom w:val="none" w:sz="0" w:space="0" w:color="auto"/>
        <w:right w:val="none" w:sz="0" w:space="0" w:color="auto"/>
      </w:divBdr>
    </w:div>
    <w:div w:id="1184591259">
      <w:bodyDiv w:val="1"/>
      <w:marLeft w:val="0"/>
      <w:marRight w:val="0"/>
      <w:marTop w:val="0"/>
      <w:marBottom w:val="0"/>
      <w:divBdr>
        <w:top w:val="none" w:sz="0" w:space="0" w:color="auto"/>
        <w:left w:val="none" w:sz="0" w:space="0" w:color="auto"/>
        <w:bottom w:val="none" w:sz="0" w:space="0" w:color="auto"/>
        <w:right w:val="none" w:sz="0" w:space="0" w:color="auto"/>
      </w:divBdr>
    </w:div>
    <w:div w:id="1205674977">
      <w:bodyDiv w:val="1"/>
      <w:marLeft w:val="0"/>
      <w:marRight w:val="0"/>
      <w:marTop w:val="0"/>
      <w:marBottom w:val="0"/>
      <w:divBdr>
        <w:top w:val="none" w:sz="0" w:space="0" w:color="auto"/>
        <w:left w:val="none" w:sz="0" w:space="0" w:color="auto"/>
        <w:bottom w:val="none" w:sz="0" w:space="0" w:color="auto"/>
        <w:right w:val="none" w:sz="0" w:space="0" w:color="auto"/>
      </w:divBdr>
    </w:div>
    <w:div w:id="1360887020">
      <w:bodyDiv w:val="1"/>
      <w:marLeft w:val="0"/>
      <w:marRight w:val="0"/>
      <w:marTop w:val="0"/>
      <w:marBottom w:val="0"/>
      <w:divBdr>
        <w:top w:val="none" w:sz="0" w:space="0" w:color="auto"/>
        <w:left w:val="none" w:sz="0" w:space="0" w:color="auto"/>
        <w:bottom w:val="none" w:sz="0" w:space="0" w:color="auto"/>
        <w:right w:val="none" w:sz="0" w:space="0" w:color="auto"/>
      </w:divBdr>
    </w:div>
    <w:div w:id="1362899903">
      <w:bodyDiv w:val="1"/>
      <w:marLeft w:val="0"/>
      <w:marRight w:val="0"/>
      <w:marTop w:val="0"/>
      <w:marBottom w:val="0"/>
      <w:divBdr>
        <w:top w:val="none" w:sz="0" w:space="0" w:color="auto"/>
        <w:left w:val="none" w:sz="0" w:space="0" w:color="auto"/>
        <w:bottom w:val="none" w:sz="0" w:space="0" w:color="auto"/>
        <w:right w:val="none" w:sz="0" w:space="0" w:color="auto"/>
      </w:divBdr>
    </w:div>
    <w:div w:id="1373076036">
      <w:bodyDiv w:val="1"/>
      <w:marLeft w:val="0"/>
      <w:marRight w:val="0"/>
      <w:marTop w:val="0"/>
      <w:marBottom w:val="0"/>
      <w:divBdr>
        <w:top w:val="none" w:sz="0" w:space="0" w:color="auto"/>
        <w:left w:val="none" w:sz="0" w:space="0" w:color="auto"/>
        <w:bottom w:val="none" w:sz="0" w:space="0" w:color="auto"/>
        <w:right w:val="none" w:sz="0" w:space="0" w:color="auto"/>
      </w:divBdr>
    </w:div>
    <w:div w:id="1373307699">
      <w:bodyDiv w:val="1"/>
      <w:marLeft w:val="0"/>
      <w:marRight w:val="0"/>
      <w:marTop w:val="0"/>
      <w:marBottom w:val="0"/>
      <w:divBdr>
        <w:top w:val="none" w:sz="0" w:space="0" w:color="auto"/>
        <w:left w:val="none" w:sz="0" w:space="0" w:color="auto"/>
        <w:bottom w:val="none" w:sz="0" w:space="0" w:color="auto"/>
        <w:right w:val="none" w:sz="0" w:space="0" w:color="auto"/>
      </w:divBdr>
    </w:div>
    <w:div w:id="1410955152">
      <w:bodyDiv w:val="1"/>
      <w:marLeft w:val="0"/>
      <w:marRight w:val="0"/>
      <w:marTop w:val="0"/>
      <w:marBottom w:val="0"/>
      <w:divBdr>
        <w:top w:val="none" w:sz="0" w:space="0" w:color="auto"/>
        <w:left w:val="none" w:sz="0" w:space="0" w:color="auto"/>
        <w:bottom w:val="none" w:sz="0" w:space="0" w:color="auto"/>
        <w:right w:val="none" w:sz="0" w:space="0" w:color="auto"/>
      </w:divBdr>
    </w:div>
    <w:div w:id="1478301540">
      <w:bodyDiv w:val="1"/>
      <w:marLeft w:val="0"/>
      <w:marRight w:val="0"/>
      <w:marTop w:val="0"/>
      <w:marBottom w:val="0"/>
      <w:divBdr>
        <w:top w:val="none" w:sz="0" w:space="0" w:color="auto"/>
        <w:left w:val="none" w:sz="0" w:space="0" w:color="auto"/>
        <w:bottom w:val="none" w:sz="0" w:space="0" w:color="auto"/>
        <w:right w:val="none" w:sz="0" w:space="0" w:color="auto"/>
      </w:divBdr>
    </w:div>
    <w:div w:id="1495486369">
      <w:bodyDiv w:val="1"/>
      <w:marLeft w:val="0"/>
      <w:marRight w:val="0"/>
      <w:marTop w:val="0"/>
      <w:marBottom w:val="0"/>
      <w:divBdr>
        <w:top w:val="none" w:sz="0" w:space="0" w:color="auto"/>
        <w:left w:val="none" w:sz="0" w:space="0" w:color="auto"/>
        <w:bottom w:val="none" w:sz="0" w:space="0" w:color="auto"/>
        <w:right w:val="none" w:sz="0" w:space="0" w:color="auto"/>
      </w:divBdr>
    </w:div>
    <w:div w:id="1509952461">
      <w:bodyDiv w:val="1"/>
      <w:marLeft w:val="0"/>
      <w:marRight w:val="0"/>
      <w:marTop w:val="0"/>
      <w:marBottom w:val="0"/>
      <w:divBdr>
        <w:top w:val="none" w:sz="0" w:space="0" w:color="auto"/>
        <w:left w:val="none" w:sz="0" w:space="0" w:color="auto"/>
        <w:bottom w:val="none" w:sz="0" w:space="0" w:color="auto"/>
        <w:right w:val="none" w:sz="0" w:space="0" w:color="auto"/>
      </w:divBdr>
    </w:div>
    <w:div w:id="1562519244">
      <w:bodyDiv w:val="1"/>
      <w:marLeft w:val="0"/>
      <w:marRight w:val="0"/>
      <w:marTop w:val="0"/>
      <w:marBottom w:val="0"/>
      <w:divBdr>
        <w:top w:val="none" w:sz="0" w:space="0" w:color="auto"/>
        <w:left w:val="none" w:sz="0" w:space="0" w:color="auto"/>
        <w:bottom w:val="none" w:sz="0" w:space="0" w:color="auto"/>
        <w:right w:val="none" w:sz="0" w:space="0" w:color="auto"/>
      </w:divBdr>
    </w:div>
    <w:div w:id="1594509282">
      <w:bodyDiv w:val="1"/>
      <w:marLeft w:val="0"/>
      <w:marRight w:val="0"/>
      <w:marTop w:val="0"/>
      <w:marBottom w:val="0"/>
      <w:divBdr>
        <w:top w:val="none" w:sz="0" w:space="0" w:color="auto"/>
        <w:left w:val="none" w:sz="0" w:space="0" w:color="auto"/>
        <w:bottom w:val="none" w:sz="0" w:space="0" w:color="auto"/>
        <w:right w:val="none" w:sz="0" w:space="0" w:color="auto"/>
      </w:divBdr>
    </w:div>
    <w:div w:id="1612856796">
      <w:bodyDiv w:val="1"/>
      <w:marLeft w:val="0"/>
      <w:marRight w:val="0"/>
      <w:marTop w:val="0"/>
      <w:marBottom w:val="0"/>
      <w:divBdr>
        <w:top w:val="none" w:sz="0" w:space="0" w:color="auto"/>
        <w:left w:val="none" w:sz="0" w:space="0" w:color="auto"/>
        <w:bottom w:val="none" w:sz="0" w:space="0" w:color="auto"/>
        <w:right w:val="none" w:sz="0" w:space="0" w:color="auto"/>
      </w:divBdr>
    </w:div>
    <w:div w:id="1614484318">
      <w:bodyDiv w:val="1"/>
      <w:marLeft w:val="0"/>
      <w:marRight w:val="0"/>
      <w:marTop w:val="0"/>
      <w:marBottom w:val="0"/>
      <w:divBdr>
        <w:top w:val="none" w:sz="0" w:space="0" w:color="auto"/>
        <w:left w:val="none" w:sz="0" w:space="0" w:color="auto"/>
        <w:bottom w:val="none" w:sz="0" w:space="0" w:color="auto"/>
        <w:right w:val="none" w:sz="0" w:space="0" w:color="auto"/>
      </w:divBdr>
    </w:div>
    <w:div w:id="1688021211">
      <w:bodyDiv w:val="1"/>
      <w:marLeft w:val="0"/>
      <w:marRight w:val="0"/>
      <w:marTop w:val="0"/>
      <w:marBottom w:val="0"/>
      <w:divBdr>
        <w:top w:val="none" w:sz="0" w:space="0" w:color="auto"/>
        <w:left w:val="none" w:sz="0" w:space="0" w:color="auto"/>
        <w:bottom w:val="none" w:sz="0" w:space="0" w:color="auto"/>
        <w:right w:val="none" w:sz="0" w:space="0" w:color="auto"/>
      </w:divBdr>
    </w:div>
    <w:div w:id="1691183737">
      <w:bodyDiv w:val="1"/>
      <w:marLeft w:val="0"/>
      <w:marRight w:val="0"/>
      <w:marTop w:val="0"/>
      <w:marBottom w:val="0"/>
      <w:divBdr>
        <w:top w:val="none" w:sz="0" w:space="0" w:color="auto"/>
        <w:left w:val="none" w:sz="0" w:space="0" w:color="auto"/>
        <w:bottom w:val="none" w:sz="0" w:space="0" w:color="auto"/>
        <w:right w:val="none" w:sz="0" w:space="0" w:color="auto"/>
      </w:divBdr>
    </w:div>
    <w:div w:id="1697851026">
      <w:bodyDiv w:val="1"/>
      <w:marLeft w:val="0"/>
      <w:marRight w:val="0"/>
      <w:marTop w:val="0"/>
      <w:marBottom w:val="0"/>
      <w:divBdr>
        <w:top w:val="none" w:sz="0" w:space="0" w:color="auto"/>
        <w:left w:val="none" w:sz="0" w:space="0" w:color="auto"/>
        <w:bottom w:val="none" w:sz="0" w:space="0" w:color="auto"/>
        <w:right w:val="none" w:sz="0" w:space="0" w:color="auto"/>
      </w:divBdr>
    </w:div>
    <w:div w:id="1736272359">
      <w:bodyDiv w:val="1"/>
      <w:marLeft w:val="0"/>
      <w:marRight w:val="0"/>
      <w:marTop w:val="0"/>
      <w:marBottom w:val="0"/>
      <w:divBdr>
        <w:top w:val="none" w:sz="0" w:space="0" w:color="auto"/>
        <w:left w:val="none" w:sz="0" w:space="0" w:color="auto"/>
        <w:bottom w:val="none" w:sz="0" w:space="0" w:color="auto"/>
        <w:right w:val="none" w:sz="0" w:space="0" w:color="auto"/>
      </w:divBdr>
    </w:div>
    <w:div w:id="1790781820">
      <w:bodyDiv w:val="1"/>
      <w:marLeft w:val="0"/>
      <w:marRight w:val="0"/>
      <w:marTop w:val="0"/>
      <w:marBottom w:val="0"/>
      <w:divBdr>
        <w:top w:val="none" w:sz="0" w:space="0" w:color="auto"/>
        <w:left w:val="none" w:sz="0" w:space="0" w:color="auto"/>
        <w:bottom w:val="none" w:sz="0" w:space="0" w:color="auto"/>
        <w:right w:val="none" w:sz="0" w:space="0" w:color="auto"/>
      </w:divBdr>
    </w:div>
    <w:div w:id="1798714717">
      <w:bodyDiv w:val="1"/>
      <w:marLeft w:val="0"/>
      <w:marRight w:val="0"/>
      <w:marTop w:val="0"/>
      <w:marBottom w:val="0"/>
      <w:divBdr>
        <w:top w:val="none" w:sz="0" w:space="0" w:color="auto"/>
        <w:left w:val="none" w:sz="0" w:space="0" w:color="auto"/>
        <w:bottom w:val="none" w:sz="0" w:space="0" w:color="auto"/>
        <w:right w:val="none" w:sz="0" w:space="0" w:color="auto"/>
      </w:divBdr>
    </w:div>
    <w:div w:id="1859003431">
      <w:bodyDiv w:val="1"/>
      <w:marLeft w:val="0"/>
      <w:marRight w:val="0"/>
      <w:marTop w:val="0"/>
      <w:marBottom w:val="0"/>
      <w:divBdr>
        <w:top w:val="none" w:sz="0" w:space="0" w:color="auto"/>
        <w:left w:val="none" w:sz="0" w:space="0" w:color="auto"/>
        <w:bottom w:val="none" w:sz="0" w:space="0" w:color="auto"/>
        <w:right w:val="none" w:sz="0" w:space="0" w:color="auto"/>
      </w:divBdr>
    </w:div>
    <w:div w:id="1886090880">
      <w:bodyDiv w:val="1"/>
      <w:marLeft w:val="0"/>
      <w:marRight w:val="0"/>
      <w:marTop w:val="0"/>
      <w:marBottom w:val="0"/>
      <w:divBdr>
        <w:top w:val="none" w:sz="0" w:space="0" w:color="auto"/>
        <w:left w:val="none" w:sz="0" w:space="0" w:color="auto"/>
        <w:bottom w:val="none" w:sz="0" w:space="0" w:color="auto"/>
        <w:right w:val="none" w:sz="0" w:space="0" w:color="auto"/>
      </w:divBdr>
    </w:div>
    <w:div w:id="1904103675">
      <w:bodyDiv w:val="1"/>
      <w:marLeft w:val="0"/>
      <w:marRight w:val="0"/>
      <w:marTop w:val="0"/>
      <w:marBottom w:val="0"/>
      <w:divBdr>
        <w:top w:val="none" w:sz="0" w:space="0" w:color="auto"/>
        <w:left w:val="none" w:sz="0" w:space="0" w:color="auto"/>
        <w:bottom w:val="none" w:sz="0" w:space="0" w:color="auto"/>
        <w:right w:val="none" w:sz="0" w:space="0" w:color="auto"/>
      </w:divBdr>
    </w:div>
    <w:div w:id="1945990806">
      <w:bodyDiv w:val="1"/>
      <w:marLeft w:val="0"/>
      <w:marRight w:val="0"/>
      <w:marTop w:val="0"/>
      <w:marBottom w:val="0"/>
      <w:divBdr>
        <w:top w:val="none" w:sz="0" w:space="0" w:color="auto"/>
        <w:left w:val="none" w:sz="0" w:space="0" w:color="auto"/>
        <w:bottom w:val="none" w:sz="0" w:space="0" w:color="auto"/>
        <w:right w:val="none" w:sz="0" w:space="0" w:color="auto"/>
      </w:divBdr>
    </w:div>
    <w:div w:id="1955214939">
      <w:bodyDiv w:val="1"/>
      <w:marLeft w:val="0"/>
      <w:marRight w:val="0"/>
      <w:marTop w:val="0"/>
      <w:marBottom w:val="0"/>
      <w:divBdr>
        <w:top w:val="none" w:sz="0" w:space="0" w:color="auto"/>
        <w:left w:val="none" w:sz="0" w:space="0" w:color="auto"/>
        <w:bottom w:val="none" w:sz="0" w:space="0" w:color="auto"/>
        <w:right w:val="none" w:sz="0" w:space="0" w:color="auto"/>
      </w:divBdr>
    </w:div>
    <w:div w:id="2033802599">
      <w:bodyDiv w:val="1"/>
      <w:marLeft w:val="0"/>
      <w:marRight w:val="0"/>
      <w:marTop w:val="0"/>
      <w:marBottom w:val="0"/>
      <w:divBdr>
        <w:top w:val="none" w:sz="0" w:space="0" w:color="auto"/>
        <w:left w:val="none" w:sz="0" w:space="0" w:color="auto"/>
        <w:bottom w:val="none" w:sz="0" w:space="0" w:color="auto"/>
        <w:right w:val="none" w:sz="0" w:space="0" w:color="auto"/>
      </w:divBdr>
    </w:div>
    <w:div w:id="2086761554">
      <w:bodyDiv w:val="1"/>
      <w:marLeft w:val="0"/>
      <w:marRight w:val="0"/>
      <w:marTop w:val="0"/>
      <w:marBottom w:val="0"/>
      <w:divBdr>
        <w:top w:val="none" w:sz="0" w:space="0" w:color="auto"/>
        <w:left w:val="none" w:sz="0" w:space="0" w:color="auto"/>
        <w:bottom w:val="none" w:sz="0" w:space="0" w:color="auto"/>
        <w:right w:val="none" w:sz="0" w:space="0" w:color="auto"/>
      </w:divBdr>
    </w:div>
    <w:div w:id="21008332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ndres.rodriguezd" TargetMode="External"/><Relationship Id="rId13" Type="http://schemas.openxmlformats.org/officeDocument/2006/relationships/image" Target="http://www.5gamericas.org/files/cache/4d8cfabe4d35acc6bda5a0a1c24dcbaf_f2316.png" TargetMode="External"/><Relationship Id="rId18" Type="http://schemas.openxmlformats.org/officeDocument/2006/relationships/chart" Target="charts/chart2.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6.png"/><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hyperlink" Target="https://www.crcom.gov.co/es/pagina/qui-nes-somos"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image" Target="media/image8.png"/><Relationship Id="rId10" Type="http://schemas.openxmlformats.org/officeDocument/2006/relationships/footer" Target="footer1.xml"/><Relationship Id="rId19"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2.png"/><Relationship Id="rId22" Type="http://schemas.openxmlformats.org/officeDocument/2006/relationships/image" Target="media/image7.png"/></Relationships>
</file>

<file path=word/charts/_rels/chart1.xml.rels><?xml version="1.0" encoding="UTF-8" standalone="yes"?>
<Relationships xmlns="http://schemas.openxmlformats.org/package/2006/relationships"><Relationship Id="rId2" Type="http://schemas.openxmlformats.org/officeDocument/2006/relationships/package" Target="../embeddings/Hoja_de_c_lculo_de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embeddings/oleObject1.bin"/></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[Libro2]Hoja2!Tabla dinámica8</c:name>
    <c:fmtId val="-1"/>
  </c:pivotSource>
  <c:chart>
    <c:title>
      <c:tx>
        <c:rich>
          <a:bodyPr/>
          <a:lstStyle/>
          <a:p>
            <a:pPr>
              <a:defRPr sz="960" b="1" i="0" u="none" strike="noStrike" baseline="0">
                <a:solidFill>
                  <a:srgbClr val="333333"/>
                </a:solidFill>
                <a:latin typeface="Calibri"/>
                <a:ea typeface="Calibri"/>
                <a:cs typeface="Calibri"/>
              </a:defRPr>
            </a:pPr>
            <a:r>
              <a:rPr lang="es-CO"/>
              <a:t>Abonados en Colombia en tecnología 2G</a:t>
            </a:r>
          </a:p>
        </c:rich>
      </c:tx>
      <c:overlay val="0"/>
      <c:spPr>
        <a:noFill/>
        <a:ln w="25399">
          <a:noFill/>
        </a:ln>
      </c:spPr>
    </c:title>
    <c:autoTitleDeleted val="0"/>
    <c:pivotFmts>
      <c:pivotFmt>
        <c:idx val="0"/>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marker>
          <c:symbol val="none"/>
        </c:marker>
        <c:dLbl>
          <c:idx val="0"/>
          <c:delete val="1"/>
          <c:extLst xmlns:c16r2="http://schemas.microsoft.com/office/drawing/2015/06/chart">
            <c:ext xmlns:c15="http://schemas.microsoft.com/office/drawing/2012/chart" uri="{CE6537A1-D6FC-4f65-9D91-7224C49458BB}"/>
          </c:extLst>
        </c:dLbl>
      </c:pivotFmt>
      <c:pivotFmt>
        <c:idx val="1"/>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marker>
          <c:symbol val="none"/>
        </c:marker>
        <c:dLbl>
          <c:idx val="0"/>
          <c:delete val="1"/>
          <c:extLst xmlns:c16r2="http://schemas.microsoft.com/office/drawing/2015/06/chart">
            <c:ext xmlns:c15="http://schemas.microsoft.com/office/drawing/2012/chart" uri="{CE6537A1-D6FC-4f65-9D91-7224C49458BB}"/>
          </c:extLst>
        </c:dLbl>
      </c:pivotFmt>
    </c:pivotFmts>
    <c:view3D>
      <c:rotX val="15"/>
      <c:rotY val="20"/>
      <c:depthPercent val="100"/>
      <c:rAngAx val="1"/>
    </c:view3D>
    <c:floor>
      <c:thickness val="0"/>
      <c:spPr>
        <a:noFill/>
        <a:ln w="9525">
          <a:noFill/>
        </a:ln>
      </c:spPr>
    </c:floor>
    <c:sideWall>
      <c:thickness val="0"/>
      <c:spPr>
        <a:noFill/>
        <a:ln w="25400">
          <a:noFill/>
        </a:ln>
      </c:spPr>
    </c:sideWall>
    <c:backWall>
      <c:thickness val="0"/>
      <c:spPr>
        <a:noFill/>
        <a:ln w="25400">
          <a:noFill/>
        </a:ln>
      </c:spPr>
    </c:backWall>
    <c:plotArea>
      <c:layout/>
      <c:bar3DChart>
        <c:barDir val="col"/>
        <c:grouping val="clustered"/>
        <c:varyColors val="0"/>
        <c:ser>
          <c:idx val="0"/>
          <c:order val="0"/>
          <c:tx>
            <c:strRef>
              <c:f>Hoja2!$B$3:$B$4</c:f>
              <c:strCache>
                <c:ptCount val="1"/>
                <c:pt idx="0">
                  <c:v>2017</c:v>
                </c:pt>
              </c:strCache>
            </c:strRef>
          </c:tx>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strRef>
              <c:f>Hoja2!$A$5:$A$7</c:f>
              <c:strCache>
                <c:ptCount val="3"/>
                <c:pt idx="0">
                  <c:v>2</c:v>
                </c:pt>
                <c:pt idx="1">
                  <c:v>3</c:v>
                </c:pt>
                <c:pt idx="2">
                  <c:v>4</c:v>
                </c:pt>
              </c:strCache>
            </c:strRef>
          </c:cat>
          <c:val>
            <c:numRef>
              <c:f>Hoja2!$B$5:$B$7</c:f>
              <c:numCache>
                <c:formatCode>General</c:formatCode>
                <c:ptCount val="3"/>
                <c:pt idx="0">
                  <c:v>1824291</c:v>
                </c:pt>
                <c:pt idx="1">
                  <c:v>2333822</c:v>
                </c:pt>
                <c:pt idx="2">
                  <c:v>2257962</c:v>
                </c:pt>
              </c:numCache>
            </c:numRef>
          </c:val>
          <c:extLst xmlns:c16r2="http://schemas.microsoft.com/office/drawing/2015/06/chart">
            <c:ext xmlns:c16="http://schemas.microsoft.com/office/drawing/2014/chart" uri="{C3380CC4-5D6E-409C-BE32-E72D297353CC}">
              <c16:uniqueId val="{00000000-8E17-4297-9E54-8E4589110E71}"/>
            </c:ext>
          </c:extLst>
        </c:ser>
        <c:ser>
          <c:idx val="1"/>
          <c:order val="1"/>
          <c:tx>
            <c:strRef>
              <c:f>Hoja2!$C$3:$C$4</c:f>
              <c:strCache>
                <c:ptCount val="1"/>
                <c:pt idx="0">
                  <c:v>2018</c:v>
                </c:pt>
              </c:strCache>
            </c:strRef>
          </c:tx>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strRef>
              <c:f>Hoja2!$A$5:$A$7</c:f>
              <c:strCache>
                <c:ptCount val="3"/>
                <c:pt idx="0">
                  <c:v>2</c:v>
                </c:pt>
                <c:pt idx="1">
                  <c:v>3</c:v>
                </c:pt>
                <c:pt idx="2">
                  <c:v>4</c:v>
                </c:pt>
              </c:strCache>
            </c:strRef>
          </c:cat>
          <c:val>
            <c:numRef>
              <c:f>Hoja2!$C$5:$C$7</c:f>
              <c:numCache>
                <c:formatCode>General</c:formatCode>
                <c:ptCount val="3"/>
                <c:pt idx="0">
                  <c:v>2280469</c:v>
                </c:pt>
                <c:pt idx="1">
                  <c:v>2314568</c:v>
                </c:pt>
                <c:pt idx="2">
                  <c:v>2277203</c:v>
                </c:pt>
              </c:numCache>
            </c:numRef>
          </c:val>
          <c:extLst xmlns:c16r2="http://schemas.microsoft.com/office/drawing/2015/06/chart">
            <c:ext xmlns:c16="http://schemas.microsoft.com/office/drawing/2014/chart" uri="{C3380CC4-5D6E-409C-BE32-E72D297353CC}">
              <c16:uniqueId val="{00000001-8E17-4297-9E54-8E4589110E71}"/>
            </c:ext>
          </c:extLst>
        </c:ser>
        <c:dLbls>
          <c:showLegendKey val="0"/>
          <c:showVal val="0"/>
          <c:showCatName val="0"/>
          <c:showSerName val="0"/>
          <c:showPercent val="0"/>
          <c:showBubbleSize val="0"/>
        </c:dLbls>
        <c:gapWidth val="150"/>
        <c:shape val="box"/>
        <c:axId val="-136906512"/>
        <c:axId val="-136925008"/>
        <c:axId val="0"/>
      </c:bar3DChart>
      <c:catAx>
        <c:axId val="-136906512"/>
        <c:scaling>
          <c:orientation val="minMax"/>
        </c:scaling>
        <c:delete val="0"/>
        <c:axPos val="b"/>
        <c:numFmt formatCode="General" sourceLinked="1"/>
        <c:majorTickMark val="none"/>
        <c:minorTickMark val="none"/>
        <c:tickLblPos val="nextTo"/>
        <c:spPr>
          <a:noFill/>
          <a:ln w="12699" cap="flat" cmpd="sng" algn="ctr">
            <a:solidFill>
              <a:schemeClr val="tx1">
                <a:lumMod val="15000"/>
                <a:lumOff val="85000"/>
              </a:schemeClr>
            </a:solidFill>
            <a:round/>
          </a:ln>
          <a:effectLst/>
        </c:spPr>
        <c:txPr>
          <a:bodyPr rot="0" vert="horz"/>
          <a:lstStyle/>
          <a:p>
            <a:pPr>
              <a:defRPr sz="800" b="0" i="0" u="none" strike="noStrike" baseline="0">
                <a:solidFill>
                  <a:srgbClr val="333333"/>
                </a:solidFill>
                <a:latin typeface="Calibri"/>
                <a:ea typeface="Calibri"/>
                <a:cs typeface="Calibri"/>
              </a:defRPr>
            </a:pPr>
            <a:endParaRPr lang="es-CO"/>
          </a:p>
        </c:txPr>
        <c:crossAx val="-136925008"/>
        <c:crosses val="autoZero"/>
        <c:auto val="0"/>
        <c:lblAlgn val="ctr"/>
        <c:lblOffset val="100"/>
        <c:noMultiLvlLbl val="0"/>
      </c:catAx>
      <c:valAx>
        <c:axId val="-136925008"/>
        <c:scaling>
          <c:orientation val="minMax"/>
        </c:scaling>
        <c:delete val="0"/>
        <c:axPos val="l"/>
        <c:title>
          <c:tx>
            <c:rich>
              <a:bodyPr/>
              <a:lstStyle/>
              <a:p>
                <a:pPr>
                  <a:defRPr sz="800" b="0" i="0" u="none" strike="noStrike" baseline="0">
                    <a:solidFill>
                      <a:srgbClr val="333333"/>
                    </a:solidFill>
                    <a:latin typeface="Calibri"/>
                    <a:ea typeface="Calibri"/>
                    <a:cs typeface="Calibri"/>
                  </a:defRPr>
                </a:pPr>
                <a:r>
                  <a:rPr lang="es-CO"/>
                  <a:t>Número de suscriptores</a:t>
                </a:r>
              </a:p>
            </c:rich>
          </c:tx>
          <c:overlay val="0"/>
          <c:spPr>
            <a:noFill/>
            <a:ln w="25399">
              <a:noFill/>
            </a:ln>
          </c:spPr>
        </c:title>
        <c:numFmt formatCode="General" sourceLinked="1"/>
        <c:majorTickMark val="none"/>
        <c:minorTickMark val="none"/>
        <c:tickLblPos val="nextTo"/>
        <c:spPr>
          <a:ln w="9524">
            <a:noFill/>
          </a:ln>
        </c:spPr>
        <c:txPr>
          <a:bodyPr rot="0" vert="horz"/>
          <a:lstStyle/>
          <a:p>
            <a:pPr>
              <a:defRPr sz="800" b="0" i="0" u="none" strike="noStrike" baseline="0">
                <a:solidFill>
                  <a:srgbClr val="333333"/>
                </a:solidFill>
                <a:latin typeface="Calibri"/>
                <a:ea typeface="Calibri"/>
                <a:cs typeface="Calibri"/>
              </a:defRPr>
            </a:pPr>
            <a:endParaRPr lang="es-CO"/>
          </a:p>
        </c:txPr>
        <c:crossAx val="-136906512"/>
        <c:crosses val="autoZero"/>
        <c:crossBetween val="between"/>
      </c:valAx>
      <c:dTable>
        <c:showHorzBorder val="1"/>
        <c:showVertBorder val="1"/>
        <c:showOutline val="1"/>
        <c:showKeys val="1"/>
        <c:spPr>
          <a:noFill/>
          <a:ln w="9524" cap="flat" cmpd="sng" algn="ctr">
            <a:solidFill>
              <a:schemeClr val="tx1">
                <a:lumMod val="15000"/>
                <a:lumOff val="85000"/>
              </a:schemeClr>
            </a:solidFill>
            <a:round/>
          </a:ln>
          <a:effectLst/>
        </c:spPr>
        <c:txPr>
          <a:bodyPr/>
          <a:lstStyle/>
          <a:p>
            <a:pPr rtl="0">
              <a:defRPr sz="800" b="0" i="0" u="none" strike="noStrike" baseline="0">
                <a:solidFill>
                  <a:srgbClr val="333333"/>
                </a:solidFill>
                <a:latin typeface="Calibri"/>
                <a:ea typeface="Calibri"/>
                <a:cs typeface="Calibri"/>
              </a:defRPr>
            </a:pPr>
            <a:endParaRPr lang="es-CO"/>
          </a:p>
        </c:txPr>
      </c:dTable>
      <c:spPr>
        <a:noFill/>
        <a:ln w="25399">
          <a:noFill/>
        </a:ln>
      </c:spPr>
    </c:plotArea>
    <c:plotVisOnly val="1"/>
    <c:dispBlanksAs val="gap"/>
    <c:showDLblsOverMax val="0"/>
  </c:chart>
  <c:spPr>
    <a:solidFill>
      <a:schemeClr val="bg1"/>
    </a:solidFill>
    <a:ln w="9524" cap="flat" cmpd="sng" algn="ctr">
      <a:solidFill>
        <a:schemeClr val="tx1">
          <a:lumMod val="15000"/>
          <a:lumOff val="85000"/>
        </a:schemeClr>
      </a:solidFill>
      <a:round/>
    </a:ln>
    <a:effectLst/>
  </c:spPr>
  <c:txPr>
    <a:bodyPr/>
    <a:lstStyle/>
    <a:p>
      <a:pPr>
        <a:defRPr sz="800" b="0" i="0" u="none" strike="noStrike" baseline="0">
          <a:solidFill>
            <a:srgbClr val="333399"/>
          </a:solidFill>
          <a:latin typeface="Calibri"/>
          <a:ea typeface="Calibri"/>
          <a:cs typeface="Calibri"/>
        </a:defRPr>
      </a:pPr>
      <a:endParaRPr lang="es-CO"/>
    </a:p>
  </c:txPr>
  <c:externalData r:id="rId2">
    <c:autoUpdate val="0"/>
  </c:externalData>
  <c:extLst xmlns:c16r2="http://schemas.microsoft.com/office/drawing/2015/06/chart">
    <c:ext xmlns:c14="http://schemas.microsoft.com/office/drawing/2007/8/2/chart" uri="{781A3756-C4B2-4CAC-9D66-4F8BD8637D16}">
      <c14:pivotOptions>
        <c14:dropZoneFilter val="1"/>
        <c14:dropZoneCategories val="1"/>
        <c14:dropZoneData val="1"/>
      </c14:pivotOptions>
    </c:ext>
  </c:extLst>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050" b="1"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050" b="1"/>
              <a:t>% de participación de tecnología 2G en Colombia</a:t>
            </a:r>
          </a:p>
        </c:rich>
      </c:tx>
      <c:layout>
        <c:manualLayout>
          <c:xMode val="edge"/>
          <c:yMode val="edge"/>
          <c:x val="0.20552190155496222"/>
          <c:y val="2.0356224308281073E-2"/>
        </c:manualLayout>
      </c:layout>
      <c:overlay val="0"/>
      <c:spPr>
        <a:noFill/>
        <a:ln>
          <a:noFill/>
        </a:ln>
        <a:effectLst/>
      </c:spPr>
      <c:txPr>
        <a:bodyPr rot="0" spcFirstLastPara="1" vertOverflow="ellipsis" vert="horz" wrap="square" anchor="ctr" anchorCtr="1"/>
        <a:lstStyle/>
        <a:p>
          <a:pPr>
            <a:defRPr sz="1050" b="1"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manualLayout>
          <c:layoutTarget val="inner"/>
          <c:xMode val="edge"/>
          <c:yMode val="edge"/>
          <c:x val="0.22734261888970142"/>
          <c:y val="0.13056482271331479"/>
          <c:w val="0.68213533783439073"/>
          <c:h val="0.81243774922349821"/>
        </c:manualLayout>
      </c:layout>
      <c:barChart>
        <c:barDir val="bar"/>
        <c:grouping val="clustered"/>
        <c:varyColors val="0"/>
        <c:ser>
          <c:idx val="0"/>
          <c:order val="0"/>
          <c:tx>
            <c:strRef>
              <c:f>'[articles-82350_archivo_xls.xlsx]Población'!$B$41</c:f>
              <c:strCache>
                <c:ptCount val="1"/>
                <c:pt idx="0">
                  <c:v>% de participación</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'[articles-82350_archivo_xls.xlsx]Población'!$A$42:$A$56</c:f>
              <c:strCache>
                <c:ptCount val="15"/>
                <c:pt idx="0">
                  <c:v>ANTIOQUIA</c:v>
                </c:pt>
                <c:pt idx="1">
                  <c:v>CUNDINAMARCA</c:v>
                </c:pt>
                <c:pt idx="2">
                  <c:v>BOYACÁ</c:v>
                </c:pt>
                <c:pt idx="3">
                  <c:v>SANTANDER</c:v>
                </c:pt>
                <c:pt idx="4">
                  <c:v>VALLE DEL CAUCA</c:v>
                </c:pt>
                <c:pt idx="5">
                  <c:v>NARIÑO</c:v>
                </c:pt>
                <c:pt idx="6">
                  <c:v>TOLIMA</c:v>
                </c:pt>
                <c:pt idx="7">
                  <c:v>BOLÍVAR</c:v>
                </c:pt>
                <c:pt idx="8">
                  <c:v>CAUCA</c:v>
                </c:pt>
                <c:pt idx="9">
                  <c:v>HUILA</c:v>
                </c:pt>
                <c:pt idx="10">
                  <c:v>CÓRDOBA</c:v>
                </c:pt>
                <c:pt idx="11">
                  <c:v>MAGDALENA</c:v>
                </c:pt>
                <c:pt idx="12">
                  <c:v>NORTE DE SANTANDER</c:v>
                </c:pt>
                <c:pt idx="13">
                  <c:v>ATLÁNTICO</c:v>
                </c:pt>
                <c:pt idx="14">
                  <c:v>SUCRE</c:v>
                </c:pt>
              </c:strCache>
            </c:strRef>
          </c:cat>
          <c:val>
            <c:numRef>
              <c:f>'[articles-82350_archivo_xls.xlsx]Población'!$B$42:$B$56</c:f>
              <c:numCache>
                <c:formatCode>0%</c:formatCode>
                <c:ptCount val="15"/>
                <c:pt idx="0">
                  <c:v>2.7954706298655343E-2</c:v>
                </c:pt>
                <c:pt idx="1">
                  <c:v>2.8662420382165606E-2</c:v>
                </c:pt>
                <c:pt idx="2">
                  <c:v>3.0077848549186128E-2</c:v>
                </c:pt>
                <c:pt idx="3">
                  <c:v>3.149327671620665E-2</c:v>
                </c:pt>
                <c:pt idx="4">
                  <c:v>3.1847133757961783E-2</c:v>
                </c:pt>
                <c:pt idx="5">
                  <c:v>3.2554847841472043E-2</c:v>
                </c:pt>
                <c:pt idx="6">
                  <c:v>3.7508846426043879E-2</c:v>
                </c:pt>
                <c:pt idx="7">
                  <c:v>4.2816702052370842E-2</c:v>
                </c:pt>
                <c:pt idx="8">
                  <c:v>4.529370134465676E-2</c:v>
                </c:pt>
                <c:pt idx="9">
                  <c:v>4.9893842887473464E-2</c:v>
                </c:pt>
                <c:pt idx="10">
                  <c:v>5.2370842179759375E-2</c:v>
                </c:pt>
                <c:pt idx="11">
                  <c:v>6.723283793347487E-2</c:v>
                </c:pt>
                <c:pt idx="12">
                  <c:v>9.5187544232130217E-2</c:v>
                </c:pt>
                <c:pt idx="13">
                  <c:v>0.11677282377919321</c:v>
                </c:pt>
                <c:pt idx="14">
                  <c:v>0.1178343949044586</c:v>
                </c:pt>
              </c:numCache>
            </c:numRef>
          </c:val>
          <c:extLst xmlns:c16r2="http://schemas.microsoft.com/office/drawing/2015/06/chart">
            <c:ext xmlns:c16="http://schemas.microsoft.com/office/drawing/2014/chart" uri="{C3380CC4-5D6E-409C-BE32-E72D297353CC}">
              <c16:uniqueId val="{00000000-3D81-483D-A3F7-8F3C71BE1029}"/>
            </c:ext>
          </c:extLst>
        </c:ser>
        <c:dLbls>
          <c:showLegendKey val="0"/>
          <c:showVal val="0"/>
          <c:showCatName val="0"/>
          <c:showSerName val="0"/>
          <c:showPercent val="0"/>
          <c:showBubbleSize val="0"/>
        </c:dLbls>
        <c:gapWidth val="75"/>
        <c:axId val="-136915760"/>
        <c:axId val="-136929360"/>
      </c:barChart>
      <c:catAx>
        <c:axId val="-13691576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6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crossAx val="-136929360"/>
        <c:crosses val="autoZero"/>
        <c:auto val="1"/>
        <c:lblAlgn val="ctr"/>
        <c:lblOffset val="100"/>
        <c:noMultiLvlLbl val="0"/>
      </c:catAx>
      <c:valAx>
        <c:axId val="-136929360"/>
        <c:scaling>
          <c:orientation val="minMax"/>
        </c:scaling>
        <c:delete val="1"/>
        <c:axPos val="b"/>
        <c:numFmt formatCode="0%" sourceLinked="1"/>
        <c:majorTickMark val="none"/>
        <c:minorTickMark val="none"/>
        <c:tickLblPos val="nextTo"/>
        <c:crossAx val="-136915760"/>
        <c:crosses val="autoZero"/>
        <c:crossBetween val="between"/>
      </c:valAx>
      <c:spPr>
        <a:noFill/>
        <a:ln>
          <a:noFill/>
        </a:ln>
        <a:effectLst/>
      </c:spPr>
    </c:plotArea>
    <c:legend>
      <c:legendPos val="r"/>
      <c:layout>
        <c:manualLayout>
          <c:xMode val="edge"/>
          <c:yMode val="edge"/>
          <c:x val="0.3762512827592302"/>
          <c:y val="0.9070948689393733"/>
          <c:w val="0.32859653886276918"/>
          <c:h val="5.4449943155761862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latin typeface="Times New Roman" panose="02020603050405020304" pitchFamily="18" charset="0"/>
          <a:cs typeface="Times New Roman" panose="02020603050405020304" pitchFamily="18" charset="0"/>
        </a:defRPr>
      </a:pPr>
      <a:endParaRPr lang="es-CO"/>
    </a:p>
  </c:txPr>
  <c:externalData r:id="rId4">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Uni19</b:Tag>
    <b:SourceType>InternetSite</b:SourceType>
    <b:Guid>{2EB38BDD-83B4-4C0E-BE95-312F02EE0DB3}</b:Guid>
    <b:Author>
      <b:Author>
        <b:NameList>
          <b:Person>
            <b:Last>Valencia</b:Last>
            <b:First>Universidad</b:First>
            <b:Middle>Internacional de</b:Middle>
          </b:Person>
        </b:NameList>
      </b:Author>
    </b:Author>
    <b:Title>Universidad Internacional de Valencia</b:Title>
    <b:Year>2019</b:Year>
    <b:Month>03</b:Month>
    <b:Day>21</b:Day>
    <b:YearAccessed>2019</b:YearAccessed>
    <b:MonthAccessed>03</b:MonthAccessed>
    <b:DayAccessed>28</b:DayAccessed>
    <b:URL>https://www.universidadviu.com/evolucion-la-red-comunicacion-movil-del-1g-al-5g/</b:URL>
    <b:RefOrder>1</b:RefOrder>
  </b:Source>
  <b:Source>
    <b:Tag>Com193</b:Tag>
    <b:SourceType>InternetSite</b:SourceType>
    <b:Guid>{CDC2E093-9084-41C1-96DD-9F2DB3CE7226}</b:Guid>
    <b:Author>
      <b:Author>
        <b:NameList>
          <b:Person>
            <b:Last>Comunicaciones</b:Last>
            <b:First>Comisión</b:First>
            <b:Middle>de Regulación de</b:Middle>
          </b:Person>
        </b:NameList>
      </b:Author>
    </b:Author>
    <b:Title>Comisión de Regulación de Comunicaciones </b:Title>
    <b:Year>2019</b:Year>
    <b:Month>04</b:Month>
    <b:Day>14</b:Day>
    <b:YearAccessed>2019</b:YearAccessed>
    <b:MonthAccessed>03</b:MonthAccessed>
    <b:DayAccessed>28</b:DayAccessed>
    <b:URL>https://www.crcom.gov.co/es/noticia/modernizar-las-redes-m-viles-del-pa-s-la-nueva-apuesta-de-la-crc</b:URL>
    <b:RefOrder>6</b:RefOrder>
  </b:Source>
  <b:Source>
    <b:Tag>com19</b:Tag>
    <b:SourceType>InternetSite</b:SourceType>
    <b:Guid>{7D40737B-95BF-4F96-93E2-50AF7CC5F1E4}</b:Guid>
    <b:Author>
      <b:Author>
        <b:NameList>
          <b:Person>
            <b:Last>comunicaciones</b:Last>
            <b:First>comisión</b:First>
            <b:Middle>de regulación de</b:Middle>
          </b:Person>
        </b:NameList>
      </b:Author>
    </b:Author>
    <b:YearAccessed>2019</b:YearAccessed>
    <b:MonthAccessed>03</b:MonthAccessed>
    <b:DayAccessed>28</b:DayAccessed>
    <b:URL>https://www.crcom.gov.co/es/pagina/inicio</b:URL>
    <b:RefOrder>7</b:RefOrder>
  </b:Source>
  <b:Source>
    <b:Tag>5Ga191</b:Tag>
    <b:SourceType>InternetSite</b:SourceType>
    <b:Guid>{621878CB-3DF0-4C39-B172-FEAB5CE3FCDF}</b:Guid>
    <b:Author>
      <b:Author>
        <b:NameList>
          <b:Person>
            <b:Last>americas</b:Last>
            <b:First>5G</b:First>
          </b:Person>
        </b:NameList>
      </b:Author>
    </b:Author>
    <b:Title>5G americas</b:Title>
    <b:YearAccessed>2019</b:YearAccessed>
    <b:MonthAccessed>03</b:MonthAccessed>
    <b:DayAccessed>28</b:DayAccessed>
    <b:URL>https://www.5gamericas.org/en/resources/statistics/statistics-latin-america</b:URL>
    <b:RefOrder>3</b:RefOrder>
  </b:Source>
  <b:Source>
    <b:Tag>Min19</b:Tag>
    <b:SourceType>InternetSite</b:SourceType>
    <b:Guid>{5941D022-976F-43BA-9995-4B11A67218AF}</b:Guid>
    <b:Author>
      <b:Author>
        <b:NameList>
          <b:Person>
            <b:Last>MinTIC</b:Last>
          </b:Person>
        </b:NameList>
      </b:Author>
    </b:Author>
    <b:Title>Colombiatic</b:Title>
    <b:Year>2019</b:Year>
    <b:Month>03</b:Month>
    <b:Day>05</b:Day>
    <b:YearAccessed>2019</b:YearAccessed>
    <b:MonthAccessed>03</b:MonthAccessed>
    <b:DayAccessed>28</b:DayAccessed>
    <b:URL>https://colombiatic.mintic.gov.co/679/w3-article-82350.html</b:URL>
    <b:RefOrder>8</b:RefOrder>
  </b:Source>
  <b:Source>
    <b:Tag>Com194</b:Tag>
    <b:SourceType>InternetSite</b:SourceType>
    <b:Guid>{1D9750E6-AD23-4064-9A1E-DA22212CF0D1}</b:Guid>
    <b:Author>
      <b:Author>
        <b:NameList>
          <b:Person>
            <b:Last>Comunicaciones</b:Last>
            <b:First>Comisión</b:First>
            <b:Middle>de Regulación de</b:Middle>
          </b:Person>
        </b:NameList>
      </b:Author>
    </b:Author>
    <b:Title>Comisión de Regulación de Comunicaciones </b:Title>
    <b:Year>2019</b:Year>
    <b:Month>05</b:Month>
    <b:YearAccessed>2019</b:YearAccessed>
    <b:MonthAccessed>03</b:MonthAccessed>
    <b:DayAccessed>28</b:DayAccessed>
    <b:URL>https://www.crcom.gov.co/recursos_user/2017/actividades_regulatorias/mercados/170517_mercados_datos_fijos.pdf</b:URL>
    <b:RefOrder>2</b:RefOrder>
  </b:Source>
  <b:Source>
    <b:Tag>Min191</b:Tag>
    <b:SourceType>InternetSite</b:SourceType>
    <b:Guid>{0C4593D9-9FA8-4100-9E16-A9DED3EDCBCE}</b:Guid>
    <b:Author>
      <b:Author>
        <b:NameList>
          <b:Person>
            <b:Last>MinTIC</b:Last>
          </b:Person>
        </b:NameList>
      </b:Author>
    </b:Author>
    <b:Title>MinTIC</b:Title>
    <b:Year>2019</b:Year>
    <b:YearAccessed>2019</b:YearAccessed>
    <b:MonthAccessed>03</b:MonthAccessed>
    <b:DayAccessed>28</b:DayAccessed>
    <b:URL>https://colombiatic.mintic.gov.co/679/articles-82350_archivo_pdf.pdf</b:URL>
    <b:RefOrder>4</b:RefOrder>
  </b:Source>
  <b:Source>
    <b:Tag>GSM14</b:Tag>
    <b:SourceType>InternetSite</b:SourceType>
    <b:Guid>{5ED1F63D-317D-4148-BC45-8AF7DD757FC5}</b:Guid>
    <b:Author>
      <b:Author>
        <b:NameList>
          <b:Person>
            <b:Last>móvil</b:Last>
            <b:First>GSMA</b:First>
            <b:Middle>-El espectro</b:Middle>
          </b:Person>
        </b:NameList>
      </b:Author>
    </b:Author>
    <b:Title>GSMA</b:Title>
    <b:Year>2014</b:Year>
    <b:Month>06</b:Month>
    <b:YearAccessed>2019</b:YearAccessed>
    <b:MonthAccessed>03</b:MonthAccessed>
    <b:DayAccessed>29</b:DayAccessed>
    <b:URL>https://www.gsma.com/spectrum/wp-content/uploads/2014/07/GSMA-Data-Demand-Explained-June-2014-SPANISH.pdf</b:URL>
    <b:RefOrder>5</b:RefOrder>
  </b:Source>
  <b:Source>
    <b:Tag>Aso181</b:Tag>
    <b:SourceType>Report</b:SourceType>
    <b:Guid>{9D005C83-CF63-484A-9C4F-C83B41F67BE4}</b:Guid>
    <b:Title>Propuesta Política Pública para el fomento de la Migración Tecnológica</b:Title>
    <b:Year>2018</b:Year>
    <b:Author>
      <b:Author>
        <b:NameList>
          <b:Person>
            <b:Last>Asomóvil</b:Last>
          </b:Person>
        </b:NameList>
      </b:Author>
    </b:Author>
    <b:City>Bogotá</b:City>
    <b:RefOrder>9</b:RefOrder>
  </b:Source>
</b:Sources>
</file>

<file path=customXml/itemProps1.xml><?xml version="1.0" encoding="utf-8"?>
<ds:datastoreItem xmlns:ds="http://schemas.openxmlformats.org/officeDocument/2006/customXml" ds:itemID="{DA0209E2-8DF4-48CC-97C0-E6C6397CE1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2997</Words>
  <Characters>16489</Characters>
  <Application>Microsoft Office Word</Application>
  <DocSecurity>0</DocSecurity>
  <Lines>137</Lines>
  <Paragraphs>38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19448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Andres Rodriguez</dc:creator>
  <cp:keywords/>
  <dc:description/>
  <cp:lastModifiedBy>Gustavo Alonso Chica Pedraza</cp:lastModifiedBy>
  <cp:revision>4</cp:revision>
  <dcterms:created xsi:type="dcterms:W3CDTF">2019-09-13T00:56:00Z</dcterms:created>
  <dcterms:modified xsi:type="dcterms:W3CDTF">2019-09-13T01:25:00Z</dcterms:modified>
</cp:coreProperties>
</file>