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6A11" w:rsidRDefault="009E6A11">
      <w:pPr>
        <w:rPr>
          <w:rFonts w:ascii="Courier" w:hAnsi="Courier" w:cs="Times"/>
          <w:szCs w:val="32"/>
        </w:rPr>
      </w:pPr>
      <w:r>
        <w:rPr>
          <w:rFonts w:ascii="Courier" w:hAnsi="Courier" w:cs="Times"/>
          <w:noProof/>
          <w:szCs w:val="32"/>
          <w:lang w:eastAsia="es-CO"/>
        </w:rPr>
        <w:drawing>
          <wp:inline distT="0" distB="0" distL="0" distR="0">
            <wp:extent cx="4762500" cy="4038600"/>
            <wp:effectExtent l="0" t="0" r="0" b="0"/>
            <wp:docPr id="1" name="Imagen 1" descr="Imagen que contiene hombre, sostener, firma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magen que contiene hombre, sostener, firmar&#10;&#10;Descripción generada automá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403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6A11" w:rsidRDefault="009E6A11">
      <w:pPr>
        <w:rPr>
          <w:rFonts w:ascii="Courier" w:hAnsi="Courier" w:cs="Times"/>
          <w:szCs w:val="32"/>
        </w:rPr>
      </w:pPr>
    </w:p>
    <w:p w:rsidR="009E6A11" w:rsidRDefault="009E6A11">
      <w:pPr>
        <w:rPr>
          <w:rFonts w:ascii="Courier" w:hAnsi="Courier" w:cs="Times"/>
          <w:szCs w:val="32"/>
        </w:rPr>
      </w:pPr>
    </w:p>
    <w:p w:rsidR="009E6A11" w:rsidRDefault="00776D48">
      <w:pPr>
        <w:rPr>
          <w:rFonts w:ascii="Courier" w:hAnsi="Courier" w:cs="Times"/>
          <w:szCs w:val="32"/>
        </w:rPr>
      </w:pPr>
      <w:r>
        <w:rPr>
          <w:rFonts w:ascii="Courier" w:hAnsi="Courier" w:cs="Times"/>
          <w:szCs w:val="32"/>
        </w:rPr>
        <w:t>Link del video en youtube</w:t>
      </w:r>
    </w:p>
    <w:p w:rsidR="00776D48" w:rsidRDefault="00776D48">
      <w:pPr>
        <w:rPr>
          <w:rFonts w:ascii="Courier" w:hAnsi="Courier" w:cs="Times"/>
          <w:szCs w:val="32"/>
        </w:rPr>
      </w:pPr>
    </w:p>
    <w:p w:rsidR="00776D48" w:rsidRDefault="005B37F3">
      <w:pPr>
        <w:rPr>
          <w:rFonts w:ascii="Courier" w:hAnsi="Courier" w:cs="Times"/>
          <w:szCs w:val="32"/>
        </w:rPr>
      </w:pPr>
      <w:hyperlink r:id="rId5" w:history="1">
        <w:r w:rsidR="00776D48" w:rsidRPr="006A49EF">
          <w:rPr>
            <w:rStyle w:val="Hipervnculo"/>
            <w:rFonts w:ascii="Courier" w:hAnsi="Courier" w:cs="Times"/>
            <w:szCs w:val="32"/>
          </w:rPr>
          <w:t>https://www.youtube.com/watch?v=Y8Xryq8M8IQ</w:t>
        </w:r>
      </w:hyperlink>
    </w:p>
    <w:p w:rsidR="00776D48" w:rsidRDefault="00776D48">
      <w:pPr>
        <w:rPr>
          <w:rFonts w:ascii="Courier" w:hAnsi="Courier" w:cs="Times"/>
          <w:szCs w:val="32"/>
        </w:rPr>
      </w:pPr>
    </w:p>
    <w:p w:rsidR="009E6A11" w:rsidRDefault="009E6A11">
      <w:pPr>
        <w:rPr>
          <w:rFonts w:ascii="Courier" w:hAnsi="Courier" w:cs="Times"/>
          <w:szCs w:val="32"/>
        </w:rPr>
      </w:pPr>
    </w:p>
    <w:p w:rsidR="005B37F3" w:rsidRDefault="005B37F3" w:rsidP="009E6A11">
      <w:pPr>
        <w:jc w:val="both"/>
        <w:rPr>
          <w:rFonts w:ascii="Courier" w:hAnsi="Courier" w:cs="Times"/>
          <w:szCs w:val="32"/>
        </w:rPr>
      </w:pPr>
      <w:r w:rsidRPr="005B37F3">
        <w:rPr>
          <w:rFonts w:ascii="Courier" w:hAnsi="Courier" w:cs="Times"/>
          <w:b/>
          <w:szCs w:val="32"/>
        </w:rPr>
        <w:t>Resumen</w:t>
      </w:r>
      <w:r>
        <w:rPr>
          <w:rFonts w:ascii="Courier" w:hAnsi="Courier" w:cs="Times"/>
          <w:szCs w:val="32"/>
        </w:rPr>
        <w:t>:</w:t>
      </w:r>
    </w:p>
    <w:p w:rsidR="005B37F3" w:rsidRDefault="005B37F3" w:rsidP="009E6A11">
      <w:pPr>
        <w:jc w:val="both"/>
        <w:rPr>
          <w:rFonts w:ascii="Courier" w:hAnsi="Courier" w:cs="Times"/>
          <w:szCs w:val="32"/>
        </w:rPr>
      </w:pPr>
    </w:p>
    <w:p w:rsidR="00ED77F6" w:rsidRDefault="009E6A11" w:rsidP="009E6A11">
      <w:pPr>
        <w:jc w:val="both"/>
        <w:rPr>
          <w:rFonts w:ascii="Courier" w:hAnsi="Courier" w:cs="Times"/>
          <w:szCs w:val="32"/>
        </w:rPr>
      </w:pPr>
      <w:r w:rsidRPr="00013C5A">
        <w:rPr>
          <w:rFonts w:ascii="Courier" w:hAnsi="Courier" w:cs="Times"/>
          <w:szCs w:val="32"/>
        </w:rPr>
        <w:t xml:space="preserve">En la década de los </w:t>
      </w:r>
      <w:r>
        <w:rPr>
          <w:rFonts w:ascii="Courier" w:hAnsi="Courier" w:cs="Times"/>
          <w:szCs w:val="32"/>
        </w:rPr>
        <w:t>setenta</w:t>
      </w:r>
      <w:r w:rsidRPr="00013C5A">
        <w:rPr>
          <w:rFonts w:ascii="Courier" w:hAnsi="Courier" w:cs="Times"/>
          <w:szCs w:val="32"/>
        </w:rPr>
        <w:t xml:space="preserve"> Robert Ressler, agente del FBI, había acuñado el término de </w:t>
      </w:r>
      <w:r w:rsidRPr="00013C5A">
        <w:rPr>
          <w:rFonts w:ascii="Courier" w:hAnsi="Courier" w:cs="Times"/>
          <w:i/>
          <w:szCs w:val="32"/>
        </w:rPr>
        <w:t>asesinos seriales</w:t>
      </w:r>
      <w:r w:rsidRPr="00013C5A">
        <w:rPr>
          <w:rFonts w:ascii="Courier" w:hAnsi="Courier" w:cs="Times"/>
          <w:szCs w:val="32"/>
        </w:rPr>
        <w:t xml:space="preserve"> a partir de sus investigaciones sobre perfiles de homicidas en Estados Unidos. Sin embargo, sólo hasta los años </w:t>
      </w:r>
      <w:r>
        <w:rPr>
          <w:rFonts w:ascii="Courier" w:hAnsi="Courier" w:cs="Times"/>
          <w:szCs w:val="32"/>
        </w:rPr>
        <w:t>ochenta</w:t>
      </w:r>
      <w:r w:rsidRPr="00013C5A">
        <w:rPr>
          <w:rFonts w:ascii="Courier" w:hAnsi="Courier" w:cs="Times"/>
          <w:szCs w:val="32"/>
        </w:rPr>
        <w:t xml:space="preserve"> pulularon por todas partes (principalmente en Estados Unidos) los llamados asesinos seriales. Casos ampliamente difundidos por los periódicos de nota roja y la tv como el de Ted Bundy afectaron a la opinión pública y generaron políticas públicas conservadoras de represión al crimen.</w:t>
      </w:r>
    </w:p>
    <w:p w:rsidR="009E6A11" w:rsidRDefault="009E6A11" w:rsidP="009E6A11">
      <w:pPr>
        <w:jc w:val="both"/>
        <w:rPr>
          <w:rFonts w:ascii="Courier" w:hAnsi="Courier" w:cs="Times"/>
          <w:szCs w:val="32"/>
        </w:rPr>
      </w:pPr>
    </w:p>
    <w:p w:rsidR="005B37F3" w:rsidRDefault="005B37F3" w:rsidP="009E6A11">
      <w:pPr>
        <w:jc w:val="both"/>
        <w:rPr>
          <w:rFonts w:ascii="Courier" w:hAnsi="Courier" w:cs="Times"/>
          <w:szCs w:val="32"/>
        </w:rPr>
      </w:pPr>
      <w:r>
        <w:rPr>
          <w:rFonts w:ascii="Courier" w:hAnsi="Courier" w:cs="Times"/>
          <w:szCs w:val="32"/>
        </w:rPr>
        <w:t xml:space="preserve">Palabras claves: </w:t>
      </w:r>
      <w:r w:rsidRPr="00013C5A">
        <w:rPr>
          <w:rFonts w:ascii="Courier" w:hAnsi="Courier" w:cs="Times"/>
          <w:szCs w:val="32"/>
        </w:rPr>
        <w:t>FBI</w:t>
      </w:r>
      <w:r>
        <w:rPr>
          <w:rFonts w:ascii="Courier" w:hAnsi="Courier" w:cs="Times"/>
          <w:szCs w:val="32"/>
        </w:rPr>
        <w:t>, asesino serial, crimen.</w:t>
      </w:r>
      <w:bookmarkStart w:id="0" w:name="_GoBack"/>
      <w:bookmarkEnd w:id="0"/>
    </w:p>
    <w:p w:rsidR="005B37F3" w:rsidRDefault="005B37F3" w:rsidP="009E6A11">
      <w:pPr>
        <w:jc w:val="both"/>
        <w:rPr>
          <w:rFonts w:ascii="Courier" w:hAnsi="Courier" w:cs="Times"/>
          <w:szCs w:val="32"/>
        </w:rPr>
      </w:pPr>
    </w:p>
    <w:p w:rsidR="009E6A11" w:rsidRDefault="009E6A11" w:rsidP="009E6A11">
      <w:pPr>
        <w:jc w:val="both"/>
        <w:rPr>
          <w:rFonts w:ascii="Courier" w:hAnsi="Courier" w:cs="Times"/>
          <w:b/>
          <w:bCs/>
          <w:szCs w:val="32"/>
        </w:rPr>
      </w:pPr>
      <w:r w:rsidRPr="009E6A11">
        <w:rPr>
          <w:rFonts w:ascii="Courier" w:hAnsi="Courier" w:cs="Times"/>
          <w:b/>
          <w:bCs/>
          <w:szCs w:val="32"/>
        </w:rPr>
        <w:t>Bibliografía</w:t>
      </w:r>
    </w:p>
    <w:p w:rsidR="00E26334" w:rsidRDefault="00E26334" w:rsidP="009E6A11">
      <w:pPr>
        <w:jc w:val="both"/>
        <w:rPr>
          <w:rFonts w:ascii="Courier" w:hAnsi="Courier" w:cs="Times"/>
          <w:b/>
          <w:bCs/>
          <w:szCs w:val="32"/>
        </w:rPr>
      </w:pPr>
    </w:p>
    <w:p w:rsidR="005B37F3" w:rsidRDefault="005B37F3" w:rsidP="005B37F3">
      <w:pPr>
        <w:pStyle w:val="Bibliografa"/>
        <w:rPr>
          <w:rFonts w:ascii="Times New Roman" w:hAnsi="Times New Roman"/>
        </w:rPr>
      </w:pPr>
      <w:r w:rsidRPr="009A47E4">
        <w:rPr>
          <w:rFonts w:ascii="Times New Roman" w:hAnsi="Times New Roman"/>
        </w:rPr>
        <w:t xml:space="preserve">Blanco Alvarado, C., Barreto Ferro, G., Casa Álvarez, I. L., Guerra García, Y. M., Moya Vargas, M. F., Parra-Báez, A. M., Vargas Espitia, L. A., Morales Sánchez, D. H., Moreno Díaz, V. S., Gual Acosta, J. M., Fernández Muñoz, M. L., &amp; Ramirez Arenas, O. A. (2020). </w:t>
      </w:r>
      <w:r w:rsidRPr="009A47E4">
        <w:rPr>
          <w:rFonts w:ascii="Times New Roman" w:hAnsi="Times New Roman"/>
        </w:rPr>
        <w:lastRenderedPageBreak/>
        <w:t xml:space="preserve">La responsabilidad constitucional desde el escenario de la actividad administrativa. En Instname:Universidad Santo Tomás. Universidad Santo Tomás. </w:t>
      </w:r>
      <w:hyperlink r:id="rId6" w:history="1">
        <w:r w:rsidRPr="00C33797">
          <w:rPr>
            <w:rStyle w:val="Hipervnculo"/>
            <w:rFonts w:ascii="Times New Roman" w:hAnsi="Times New Roman"/>
          </w:rPr>
          <w:t>https://repository.usta.edu.co/handle/11634/22568</w:t>
        </w:r>
      </w:hyperlink>
    </w:p>
    <w:p w:rsidR="005B37F3" w:rsidRDefault="005B37F3" w:rsidP="005B37F3"/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 w:rsidRPr="00793E18">
        <w:rPr>
          <w:rFonts w:ascii="Times New Roman" w:hAnsi="Times New Roman"/>
        </w:rPr>
        <w:t xml:space="preserve">Cuéllar, A. (2012). Un mundo sin cárceles es posible, de Alejandro Gómez Jaramillo. </w:t>
      </w:r>
      <w:r w:rsidRPr="00793E18">
        <w:rPr>
          <w:rFonts w:ascii="Times New Roman" w:hAnsi="Times New Roman"/>
          <w:i/>
          <w:iCs/>
        </w:rPr>
        <w:t>Crítica Penal y Poder</w:t>
      </w:r>
      <w:r w:rsidRPr="00793E18">
        <w:rPr>
          <w:rFonts w:ascii="Times New Roman" w:hAnsi="Times New Roman"/>
        </w:rPr>
        <w:t xml:space="preserve">,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 w:rsidRPr="00793E18">
        <w:rPr>
          <w:rFonts w:ascii="Times New Roman" w:hAnsi="Times New Roman"/>
        </w:rPr>
        <w:t xml:space="preserve">Cuéllar, A. F. (2012). Recensión a: Un mundo sin cárceles es posible. De A. Gómez Jaramillo. </w:t>
      </w:r>
      <w:r w:rsidRPr="00793E18">
        <w:rPr>
          <w:rFonts w:ascii="Times New Roman" w:hAnsi="Times New Roman"/>
          <w:i/>
          <w:iCs/>
        </w:rPr>
        <w:t>Crítica Penal y Poder, 2012, num. 2, p</w:t>
      </w:r>
      <w:r>
        <w:rPr>
          <w:rFonts w:ascii="Times New Roman" w:hAnsi="Times New Roman"/>
          <w:i/>
          <w:iCs/>
        </w:rPr>
        <w:t xml:space="preserve">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 xml:space="preserve">Jaramillo, A. (2018). Populismo, obediencia y divergencia. </w:t>
      </w:r>
      <w:r w:rsidRPr="00793E18">
        <w:rPr>
          <w:rFonts w:ascii="Times New Roman" w:hAnsi="Times New Roman"/>
          <w:i/>
          <w:iCs/>
        </w:rPr>
        <w:t>Utopía y Praxis Latinoamericana</w:t>
      </w:r>
      <w:r w:rsidRPr="00793E18">
        <w:rPr>
          <w:rFonts w:ascii="Times New Roman" w:hAnsi="Times New Roman"/>
        </w:rPr>
        <w:t xml:space="preserve">, </w:t>
      </w:r>
      <w:r w:rsidRPr="00793E18">
        <w:rPr>
          <w:rFonts w:ascii="Times New Roman" w:hAnsi="Times New Roman"/>
          <w:i/>
          <w:iCs/>
        </w:rPr>
        <w:t>23</w:t>
      </w:r>
      <w:r w:rsidRPr="00793E18">
        <w:rPr>
          <w:rFonts w:ascii="Times New Roman" w:hAnsi="Times New Roman"/>
        </w:rPr>
        <w:t>(1), 33-48.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 xml:space="preserve">Jaramillo, A. (2000). El discurso del asesino serial en la sociedad contemporánea-el caso de Juana Barraza Samperio denominada por los medios de comunicación como la “Mataviejitas”. </w:t>
      </w:r>
      <w:r w:rsidRPr="00793E18">
        <w:rPr>
          <w:rFonts w:ascii="Times New Roman" w:hAnsi="Times New Roman"/>
          <w:i/>
          <w:iCs/>
        </w:rPr>
        <w:t>Universidad Autónoma Metropolitana (México)</w:t>
      </w:r>
      <w:r w:rsidRPr="00793E18">
        <w:rPr>
          <w:rFonts w:ascii="Times New Roman" w:hAnsi="Times New Roman"/>
        </w:rPr>
        <w:t xml:space="preserve">, </w:t>
      </w:r>
      <w:r>
        <w:rPr>
          <w:rFonts w:ascii="Times New Roman" w:hAnsi="Times New Roman"/>
          <w:i/>
          <w:iCs/>
        </w:rPr>
        <w:t xml:space="preserve"> </w:t>
      </w:r>
    </w:p>
    <w:p w:rsidR="005B37F3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  <w:i/>
          <w:iCs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 xml:space="preserve">Jaramillo, A. (2002). ¿La hora zanahoria¿. Análisis crítico de la ley zanahoria y sus consecuencias en materia de seguridad ciudadana. </w:t>
      </w:r>
      <w:r w:rsidRPr="00793E18">
        <w:rPr>
          <w:rFonts w:ascii="Times New Roman" w:hAnsi="Times New Roman"/>
          <w:i/>
          <w:iCs/>
        </w:rPr>
        <w:t>El sentido Comun</w:t>
      </w:r>
      <w:r w:rsidRPr="00793E18">
        <w:rPr>
          <w:rFonts w:ascii="Times New Roman" w:hAnsi="Times New Roman"/>
        </w:rPr>
        <w:t xml:space="preserve">,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 xml:space="preserve">Jaramillo, A. (2007). Enfoque crítico al proceso de criminalización del consumo y tráfico de drogas. Una solución democrática al problema. </w:t>
      </w:r>
      <w:r w:rsidRPr="00793E18">
        <w:rPr>
          <w:rFonts w:ascii="Times New Roman" w:hAnsi="Times New Roman"/>
          <w:i/>
          <w:iCs/>
        </w:rPr>
        <w:t>El Sentido Comun</w:t>
      </w:r>
      <w:r w:rsidRPr="00793E18">
        <w:rPr>
          <w:rFonts w:ascii="Times New Roman" w:hAnsi="Times New Roman"/>
        </w:rPr>
        <w:t xml:space="preserve">, </w:t>
      </w:r>
      <w:r w:rsidRPr="00793E18">
        <w:rPr>
          <w:rFonts w:ascii="Times New Roman" w:hAnsi="Times New Roman"/>
          <w:i/>
          <w:iCs/>
        </w:rPr>
        <w:t>2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 xml:space="preserve">Jaramillo, A. (2015). La justicia transicional no es justicia penal. </w:t>
      </w:r>
      <w:r w:rsidRPr="00793E18">
        <w:rPr>
          <w:rFonts w:ascii="Times New Roman" w:hAnsi="Times New Roman"/>
          <w:i/>
          <w:iCs/>
        </w:rPr>
        <w:t>Gómez Jaramillo, A., Carvajal Martínez, JE, Romero Sánchez, A., Pérez …</w:t>
      </w:r>
      <w:r w:rsidRPr="00793E18">
        <w:rPr>
          <w:rFonts w:ascii="Times New Roman" w:hAnsi="Times New Roman"/>
        </w:rPr>
        <w:t xml:space="preserve">, </w:t>
      </w:r>
      <w:r>
        <w:rPr>
          <w:rFonts w:ascii="Times New Roman" w:hAnsi="Times New Roman"/>
          <w:i/>
          <w:iCs/>
        </w:rPr>
        <w:t xml:space="preserve"> </w:t>
      </w:r>
      <w:r w:rsidRPr="00793E1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 xml:space="preserve">Jaramillo, A. (2017). </w:t>
      </w:r>
      <w:r w:rsidRPr="00793E18">
        <w:rPr>
          <w:rFonts w:ascii="Times New Roman" w:hAnsi="Times New Roman"/>
          <w:i/>
          <w:iCs/>
        </w:rPr>
        <w:t>Marco jurídico colombiano para las decisiones compartidas en el cuidado perioperatorio integral centrado en el paciente.</w:t>
      </w:r>
      <w:r w:rsidRPr="00793E1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>Jaramillo, A.</w:t>
      </w:r>
      <w:r>
        <w:rPr>
          <w:rFonts w:ascii="Times New Roman" w:hAnsi="Times New Roman"/>
        </w:rPr>
        <w:t>, &amp; García, G. S. (2015</w:t>
      </w:r>
      <w:r w:rsidRPr="00793E18">
        <w:rPr>
          <w:rFonts w:ascii="Times New Roman" w:hAnsi="Times New Roman"/>
        </w:rPr>
        <w:t xml:space="preserve">). Consideraciones metodológicas.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>Jaramillo, A.</w:t>
      </w:r>
      <w:r>
        <w:rPr>
          <w:rFonts w:ascii="Times New Roman" w:hAnsi="Times New Roman"/>
        </w:rPr>
        <w:t>, &amp; García, G. S. (2015</w:t>
      </w:r>
      <w:r w:rsidRPr="00793E18">
        <w:rPr>
          <w:rFonts w:ascii="Times New Roman" w:hAnsi="Times New Roman"/>
        </w:rPr>
        <w:t xml:space="preserve">). Críticas y respuestas.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>Jaramillo, A.</w:t>
      </w:r>
      <w:r>
        <w:rPr>
          <w:rFonts w:ascii="Times New Roman" w:hAnsi="Times New Roman"/>
        </w:rPr>
        <w:t>, &amp; García, G. S. (2015</w:t>
      </w:r>
      <w:r w:rsidRPr="00793E18">
        <w:rPr>
          <w:rFonts w:ascii="Times New Roman" w:hAnsi="Times New Roman"/>
        </w:rPr>
        <w:t xml:space="preserve">). El carácter rizomático que muestra la idea de dispositivo de cuestión criminal.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 xml:space="preserve">Jaramillo, A., &amp; Rafael, V. (2018). Cadena perpetua y predicción del </w:t>
      </w:r>
      <w:r w:rsidRPr="00793E18">
        <w:rPr>
          <w:rFonts w:ascii="Times New Roman" w:hAnsi="Times New Roman"/>
        </w:rPr>
        <w:lastRenderedPageBreak/>
        <w:t xml:space="preserve">comportamiento. Una reflexión sobre la delincuencia en contra de menores de edad y la política penal en Colombia. </w:t>
      </w:r>
      <w:r w:rsidRPr="00793E18">
        <w:rPr>
          <w:rFonts w:ascii="Times New Roman" w:hAnsi="Times New Roman"/>
          <w:i/>
          <w:iCs/>
        </w:rPr>
        <w:t>Revista Republicana</w:t>
      </w:r>
      <w:r w:rsidRPr="00793E18">
        <w:rPr>
          <w:rFonts w:ascii="Times New Roman" w:hAnsi="Times New Roman"/>
        </w:rPr>
        <w:t xml:space="preserve">, </w:t>
      </w:r>
      <w:r>
        <w:rPr>
          <w:rFonts w:ascii="Times New Roman" w:hAnsi="Times New Roman"/>
          <w:i/>
          <w:iCs/>
        </w:rPr>
        <w:t xml:space="preserve">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 w:rsidRPr="00793E18">
        <w:rPr>
          <w:rFonts w:ascii="Times New Roman" w:hAnsi="Times New Roman"/>
        </w:rPr>
        <w:t xml:space="preserve">Montes, R., &amp; Jaramillo, A. (2018). CADENA PERPETUA Y PREDICCIÓN DEL COMPORTAMIENTO. UN ANÁLISIS SOBRE LA DELINCUENCIA EN CONTRA DE MENORES DE EDAD Y LA POLÍTICA PENAL EN COLOMBIA. </w:t>
      </w:r>
      <w:r w:rsidRPr="00793E18">
        <w:rPr>
          <w:rFonts w:ascii="Times New Roman" w:hAnsi="Times New Roman"/>
          <w:i/>
          <w:iCs/>
        </w:rPr>
        <w:t>Revista Republicana</w:t>
      </w:r>
      <w:r w:rsidRPr="00793E18">
        <w:rPr>
          <w:rFonts w:ascii="Times New Roman" w:hAnsi="Times New Roman"/>
        </w:rPr>
        <w:t xml:space="preserve">, </w:t>
      </w:r>
      <w:r>
        <w:rPr>
          <w:rFonts w:ascii="Times New Roman" w:hAnsi="Times New Roman"/>
          <w:i/>
          <w:iCs/>
        </w:rPr>
        <w:t xml:space="preserve"> </w:t>
      </w:r>
    </w:p>
    <w:p w:rsidR="005B37F3" w:rsidRPr="00793E18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 w:rsidRPr="00793E18">
        <w:rPr>
          <w:rFonts w:ascii="Times New Roman" w:hAnsi="Times New Roman"/>
        </w:rPr>
        <w:t xml:space="preserve">Montes, </w:t>
      </w:r>
      <w:r>
        <w:rPr>
          <w:rFonts w:ascii="Times New Roman" w:hAnsi="Times New Roman"/>
        </w:rPr>
        <w:t>R. V., &amp; Jaramillo, A. G. (2018</w:t>
      </w:r>
      <w:r w:rsidRPr="00793E18">
        <w:rPr>
          <w:rFonts w:ascii="Times New Roman" w:hAnsi="Times New Roman"/>
        </w:rPr>
        <w:t xml:space="preserve">). Life imprisonment and predicting behavior. An analysis on crime asainst minors and penal policy in Colombia. </w:t>
      </w:r>
      <w:r w:rsidRPr="00793E18">
        <w:rPr>
          <w:rFonts w:ascii="Times New Roman" w:hAnsi="Times New Roman"/>
          <w:i/>
          <w:iCs/>
        </w:rPr>
        <w:t>Revista republicana</w:t>
      </w:r>
      <w:r w:rsidRPr="00793E18">
        <w:rPr>
          <w:rFonts w:ascii="Times New Roman" w:hAnsi="Times New Roman"/>
        </w:rPr>
        <w:t xml:space="preserve">, </w:t>
      </w:r>
      <w:r>
        <w:rPr>
          <w:rFonts w:ascii="Times New Roman" w:hAnsi="Times New Roman"/>
          <w:i/>
          <w:iCs/>
        </w:rPr>
        <w:t xml:space="preserve"> </w:t>
      </w:r>
    </w:p>
    <w:p w:rsidR="005B37F3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 w:rsidRPr="00793E18">
        <w:rPr>
          <w:rFonts w:ascii="Times New Roman" w:hAnsi="Times New Roman"/>
          <w:color w:val="000000"/>
          <w:shd w:val="clear" w:color="auto" w:fill="FFFFFF"/>
        </w:rPr>
        <w:t xml:space="preserve">Ordóñez Vásquez, Tatiana, </w:t>
      </w:r>
      <w:r>
        <w:rPr>
          <w:rFonts w:ascii="Times New Roman" w:hAnsi="Times New Roman"/>
        </w:rPr>
        <w:t>Gomez-</w:t>
      </w:r>
      <w:r w:rsidRPr="00793E18">
        <w:rPr>
          <w:rFonts w:ascii="Times New Roman" w:hAnsi="Times New Roman"/>
        </w:rPr>
        <w:t>Jaramillo, A.</w:t>
      </w:r>
      <w:r>
        <w:rPr>
          <w:rFonts w:ascii="Times New Roman" w:hAnsi="Times New Roman"/>
        </w:rPr>
        <w:t>,</w:t>
      </w:r>
      <w:r w:rsidRPr="00793E18">
        <w:rPr>
          <w:rFonts w:ascii="Times New Roman" w:hAnsi="Times New Roman"/>
          <w:color w:val="000000"/>
          <w:shd w:val="clear" w:color="auto" w:fill="FFFFFF"/>
        </w:rPr>
        <w:t xml:space="preserve"> &amp; Bayona Aristizábal, Diana Maite. (2019). HALLAZGOS FISCALES Y PROCESOS DE RESPONSABILIDAD FISCAL EN COLOMBIA 2012-2017. </w:t>
      </w:r>
      <w:r w:rsidRPr="00793E18">
        <w:rPr>
          <w:rFonts w:ascii="Times New Roman" w:hAnsi="Times New Roman"/>
          <w:i/>
          <w:iCs/>
          <w:color w:val="000000"/>
        </w:rPr>
        <w:t>Revista republicana</w:t>
      </w:r>
      <w:r w:rsidRPr="00793E18">
        <w:rPr>
          <w:rFonts w:ascii="Times New Roman" w:hAnsi="Times New Roman"/>
          <w:color w:val="000000"/>
          <w:shd w:val="clear" w:color="auto" w:fill="FFFFFF"/>
        </w:rPr>
        <w:t xml:space="preserve">, (27), 211-233. </w:t>
      </w:r>
      <w:hyperlink r:id="rId7" w:history="1">
        <w:r w:rsidRPr="00793E18">
          <w:rPr>
            <w:rStyle w:val="Hipervnculo"/>
            <w:rFonts w:ascii="Times New Roman" w:hAnsi="Times New Roman"/>
            <w:color w:val="555555"/>
          </w:rPr>
          <w:t>https://dx.doi.org/10.21017/rev.repub.2019.v27.a74</w:t>
        </w:r>
      </w:hyperlink>
    </w:p>
    <w:p w:rsidR="005B37F3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  <w:i/>
          <w:iCs/>
        </w:rPr>
      </w:pPr>
      <w:r w:rsidRPr="00793E18">
        <w:rPr>
          <w:rFonts w:ascii="Times New Roman" w:hAnsi="Times New Roman"/>
          <w:i/>
          <w:iCs/>
        </w:rPr>
        <w:t>Parra Vera, O</w:t>
      </w:r>
      <w:r>
        <w:rPr>
          <w:rFonts w:ascii="Times New Roman" w:hAnsi="Times New Roman"/>
          <w:i/>
          <w:iCs/>
        </w:rPr>
        <w:t>., Sánchez León, N. C., &amp; Gómez-</w:t>
      </w:r>
      <w:r w:rsidRPr="00793E18">
        <w:rPr>
          <w:rFonts w:ascii="Times New Roman" w:hAnsi="Times New Roman"/>
          <w:i/>
          <w:iCs/>
        </w:rPr>
        <w:t xml:space="preserve">Jaramillo, A. (2018). Elementos para una justicia de paz restaurativa. Universidad Santo Tomás. </w:t>
      </w:r>
      <w:hyperlink r:id="rId8" w:history="1">
        <w:r w:rsidRPr="0016756E">
          <w:rPr>
            <w:rStyle w:val="Hipervnculo"/>
            <w:rFonts w:ascii="Times New Roman" w:hAnsi="Times New Roman"/>
            <w:i/>
            <w:iCs/>
          </w:rPr>
          <w:t>https://repository.usta.edu.co/handle/11634/22248</w:t>
        </w:r>
      </w:hyperlink>
    </w:p>
    <w:p w:rsidR="005B37F3" w:rsidRPr="009A47E4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 w:rsidRPr="009A47E4">
        <w:rPr>
          <w:rFonts w:ascii="Times New Roman" w:hAnsi="Times New Roman"/>
        </w:rPr>
        <w:t>Moreno Durán, Á. H., Woolcott Oyage, O., Parra-Baez, A. M., Vargas Espitia, L. A., Ballesteros Moreno, M. C., &amp; Sandoval, J. A. (2018). Competencias ciudadanas y participación comunitarias. Ortiz, Marielsa; Borjas, Beatriz La Investigación Acción Participativa: aporte de Fals Borda a la edLa Investigación Acción Participativa: aporte de Fals Borda a la educación popular Espacio Abierto, vol. 17, núm. 4, octubre-diciembre, 2008, pp. 615-627 Universidad del Zulia Maracaibo, Venezuela. https://doi.org/10.15332/dt.inv.2018.00004</w:t>
      </w:r>
    </w:p>
    <w:p w:rsidR="005B37F3" w:rsidRDefault="005B37F3" w:rsidP="005B37F3">
      <w:pPr>
        <w:widowControl w:val="0"/>
        <w:autoSpaceDE w:val="0"/>
        <w:autoSpaceDN w:val="0"/>
        <w:adjustRightInd w:val="0"/>
        <w:spacing w:line="480" w:lineRule="auto"/>
        <w:ind w:left="720" w:hanging="720"/>
        <w:rPr>
          <w:rFonts w:ascii="Times New Roman" w:hAnsi="Times New Roman"/>
        </w:rPr>
      </w:pPr>
      <w:r w:rsidRPr="009A47E4">
        <w:rPr>
          <w:rFonts w:ascii="Times New Roman" w:hAnsi="Times New Roman"/>
        </w:rPr>
        <w:t>https://repository.usta.edu.co/handle/11634/21892</w:t>
      </w:r>
    </w:p>
    <w:p w:rsidR="00E26334" w:rsidRDefault="00E26334" w:rsidP="00E26334">
      <w:pPr>
        <w:jc w:val="both"/>
        <w:rPr>
          <w:rFonts w:ascii="Courier" w:hAnsi="Courier" w:cs="Times"/>
          <w:b/>
          <w:bCs/>
          <w:szCs w:val="32"/>
        </w:rPr>
      </w:pPr>
    </w:p>
    <w:p w:rsidR="00E26334" w:rsidRPr="009E6A11" w:rsidRDefault="00E26334" w:rsidP="00E26334">
      <w:pPr>
        <w:jc w:val="both"/>
        <w:rPr>
          <w:rFonts w:ascii="Courier" w:hAnsi="Courier" w:cs="Times"/>
          <w:b/>
          <w:bCs/>
          <w:szCs w:val="32"/>
        </w:rPr>
      </w:pPr>
    </w:p>
    <w:p w:rsidR="009E6A11" w:rsidRDefault="009E6A11" w:rsidP="009E6A11">
      <w:pPr>
        <w:jc w:val="both"/>
        <w:rPr>
          <w:rFonts w:ascii="Courier" w:hAnsi="Courier" w:cs="Times"/>
          <w:szCs w:val="32"/>
        </w:rPr>
      </w:pPr>
    </w:p>
    <w:p w:rsidR="009E6A11" w:rsidRDefault="009E6A11" w:rsidP="009E6A11">
      <w:pPr>
        <w:jc w:val="both"/>
        <w:rPr>
          <w:rFonts w:ascii="Courier" w:hAnsi="Courier" w:cs="Times"/>
          <w:szCs w:val="32"/>
        </w:rPr>
      </w:pPr>
    </w:p>
    <w:p w:rsidR="009E6A11" w:rsidRDefault="009E6A11" w:rsidP="009E6A11">
      <w:pPr>
        <w:jc w:val="both"/>
        <w:rPr>
          <w:rFonts w:ascii="Courier" w:hAnsi="Courier" w:cs="Times"/>
          <w:szCs w:val="32"/>
        </w:rPr>
      </w:pPr>
    </w:p>
    <w:p w:rsidR="009E6A11" w:rsidRDefault="009E6A11" w:rsidP="009E6A11">
      <w:pPr>
        <w:jc w:val="both"/>
      </w:pPr>
    </w:p>
    <w:sectPr w:rsidR="009E6A11" w:rsidSect="00C4256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3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A11"/>
    <w:rsid w:val="00186F82"/>
    <w:rsid w:val="003F03D6"/>
    <w:rsid w:val="005B37F3"/>
    <w:rsid w:val="00776D48"/>
    <w:rsid w:val="009E6A11"/>
    <w:rsid w:val="00A1116E"/>
    <w:rsid w:val="00B601D6"/>
    <w:rsid w:val="00C4256E"/>
    <w:rsid w:val="00E26334"/>
    <w:rsid w:val="00FA1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7C748"/>
  <w15:chartTrackingRefBased/>
  <w15:docId w15:val="{3A6024C1-2C43-9B42-B60D-A16C0D2E6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O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E6A11"/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6A11"/>
    <w:rPr>
      <w:rFonts w:ascii="Times New Roman" w:hAnsi="Times New Roman" w:cs="Times New Roman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776D48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776D48"/>
    <w:rPr>
      <w:color w:val="605E5C"/>
      <w:shd w:val="clear" w:color="auto" w:fill="E1DFDD"/>
    </w:rPr>
  </w:style>
  <w:style w:type="paragraph" w:styleId="Bibliografa">
    <w:name w:val="Bibliography"/>
    <w:basedOn w:val="Normal"/>
    <w:next w:val="Normal"/>
    <w:uiPriority w:val="37"/>
    <w:semiHidden/>
    <w:unhideWhenUsed/>
    <w:rsid w:val="005B37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670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96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08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834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732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821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656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2179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2761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5731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8365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5411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sitory.usta.edu.co/handle/11634/22248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x.doi.org/10.21017/rev.repub.2019.v27.a7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epository.usta.edu.co/handle/11634/22568" TargetMode="External"/><Relationship Id="rId5" Type="http://schemas.openxmlformats.org/officeDocument/2006/relationships/hyperlink" Target="https://www.youtube.com/watch?v=Y8Xryq8M8IQ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691</Words>
  <Characters>3805</Characters>
  <Application>Microsoft Office Word</Application>
  <DocSecurity>0</DocSecurity>
  <Lines>31</Lines>
  <Paragraphs>8</Paragraphs>
  <ScaleCrop>false</ScaleCrop>
  <Company/>
  <LinksUpToDate>false</LinksUpToDate>
  <CharactersWithSpaces>4488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GOMEZ JARAMILLO Gómez Jaramillo</dc:creator>
  <cp:keywords/>
  <dc:description/>
  <cp:lastModifiedBy>Docentes Unidad de Investigación</cp:lastModifiedBy>
  <cp:revision>4</cp:revision>
  <dcterms:created xsi:type="dcterms:W3CDTF">2020-07-23T14:24:00Z</dcterms:created>
  <dcterms:modified xsi:type="dcterms:W3CDTF">2020-08-03T09:21:00Z</dcterms:modified>
</cp:coreProperties>
</file>