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3BB" w:rsidRPr="00EB13BB" w:rsidRDefault="00EB13BB" w:rsidP="00EB13BB">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EB13BB">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EB13BB" w:rsidRPr="00EB13BB" w:rsidTr="00EB13B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Lugar de ejecución</w:t>
            </w:r>
          </w:p>
        </w:tc>
      </w:tr>
      <w:tr w:rsidR="00EB13BB" w:rsidRPr="00EB13BB" w:rsidTr="00EB13BB">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Estudio Sobre El Uso Inherente De Minas </w:t>
            </w:r>
            <w:proofErr w:type="spellStart"/>
            <w:r w:rsidRPr="00EB13BB">
              <w:rPr>
                <w:rFonts w:ascii="Helvetica" w:eastAsia="Times New Roman" w:hAnsi="Helvetica" w:cs="Helvetica"/>
                <w:color w:val="222222"/>
                <w:sz w:val="24"/>
                <w:szCs w:val="24"/>
                <w:lang w:eastAsia="es-CO"/>
              </w:rPr>
              <w:t>AntiPersona</w:t>
            </w:r>
            <w:proofErr w:type="spellEnd"/>
            <w:r w:rsidRPr="00EB13BB">
              <w:rPr>
                <w:rFonts w:ascii="Helvetica" w:eastAsia="Times New Roman" w:hAnsi="Helvetica" w:cs="Helvetica"/>
                <w:color w:val="222222"/>
                <w:sz w:val="24"/>
                <w:szCs w:val="24"/>
                <w:lang w:eastAsia="es-CO"/>
              </w:rPr>
              <w:t xml:space="preserve"> (MAP) Por Parte De Grupos Irregulares Dentro Del Marco De Las Dinámicas Del Conflicto Armado Colombiano: Primera Fase, FARC-EP.</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Enero A Diciembre De 2019 (12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Bogotá</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EB13BB" w:rsidRPr="00EB13BB" w:rsidTr="00EB13BB">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 xml:space="preserve">Enlace </w:t>
            </w:r>
            <w:proofErr w:type="spellStart"/>
            <w:r w:rsidRPr="00EB13BB">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Enlace Google Académico</w:t>
            </w:r>
          </w:p>
        </w:tc>
      </w:tr>
      <w:tr w:rsidR="00EB13BB" w:rsidRPr="00EB13BB" w:rsidTr="00C30D1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bl>
    <w:p w:rsidR="00EB13BB" w:rsidRPr="00EB13BB" w:rsidRDefault="00EB13BB" w:rsidP="00EB13BB">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EB13BB" w:rsidRPr="00EB13BB" w:rsidTr="00EB13BB">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Grupo de investigación</w:t>
            </w:r>
          </w:p>
        </w:tc>
      </w:tr>
      <w:tr w:rsidR="00EB13BB" w:rsidRPr="00EB13BB" w:rsidTr="00EB13B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Seguridad y paz en escenarios transformados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Grupo de estudios en gobierno y relaciones internacionales – </w:t>
            </w:r>
            <w:proofErr w:type="spellStart"/>
            <w:r w:rsidRPr="00EB13BB">
              <w:rPr>
                <w:rFonts w:ascii="Helvetica" w:eastAsia="Times New Roman" w:hAnsi="Helvetica" w:cs="Helvetica"/>
                <w:color w:val="222222"/>
                <w:sz w:val="24"/>
                <w:szCs w:val="24"/>
                <w:lang w:eastAsia="es-CO"/>
              </w:rPr>
              <w:t>gegri</w:t>
            </w:r>
            <w:proofErr w:type="spellEnd"/>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EB13BB" w:rsidRPr="00EB13BB" w:rsidTr="00EB13BB">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 xml:space="preserve">Enlace </w:t>
            </w:r>
            <w:proofErr w:type="spellStart"/>
            <w:r w:rsidRPr="00EB13BB">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Enlace Google Académico</w:t>
            </w:r>
          </w:p>
        </w:tc>
      </w:tr>
      <w:tr w:rsidR="00EB13BB" w:rsidRPr="00EB13BB" w:rsidTr="00C30D1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C30D1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bl>
    <w:p w:rsidR="00EB13BB" w:rsidRPr="00EB13BB" w:rsidRDefault="00EB13BB" w:rsidP="00EB13BB">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EB13BB" w:rsidRPr="00EB13BB" w:rsidTr="00EB13BB">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Grupo de investigación</w:t>
            </w:r>
          </w:p>
        </w:tc>
      </w:tr>
      <w:tr w:rsidR="00EB13BB" w:rsidRPr="00EB13BB" w:rsidTr="00EB13B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Seguridad y paz en escenarios transformados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Grupo de estudios en gobierno y relaciones internacionales – </w:t>
            </w:r>
            <w:proofErr w:type="spellStart"/>
            <w:r w:rsidRPr="00EB13BB">
              <w:rPr>
                <w:rFonts w:ascii="Helvetica" w:eastAsia="Times New Roman" w:hAnsi="Helvetica" w:cs="Helvetica"/>
                <w:color w:val="222222"/>
                <w:sz w:val="24"/>
                <w:szCs w:val="24"/>
                <w:lang w:eastAsia="es-CO"/>
              </w:rPr>
              <w:t>gegri</w:t>
            </w:r>
            <w:proofErr w:type="spellEnd"/>
          </w:p>
        </w:tc>
      </w:tr>
      <w:tr w:rsidR="00EB13BB" w:rsidRPr="00EB13BB" w:rsidTr="00EB13BB">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lastRenderedPageBreak/>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Seguridad y paz en escenarios transformados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Grupo de estudios en gobierno y relaciones internacionales – </w:t>
            </w:r>
            <w:proofErr w:type="spellStart"/>
            <w:r w:rsidRPr="00EB13BB">
              <w:rPr>
                <w:rFonts w:ascii="Helvetica" w:eastAsia="Times New Roman" w:hAnsi="Helvetica" w:cs="Helvetica"/>
                <w:color w:val="222222"/>
                <w:sz w:val="24"/>
                <w:szCs w:val="24"/>
                <w:lang w:eastAsia="es-CO"/>
              </w:rPr>
              <w:t>gegri</w:t>
            </w:r>
            <w:proofErr w:type="spellEnd"/>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EB13BB" w:rsidRPr="00EB13BB" w:rsidTr="00EB13BB">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Palabras clave</w:t>
            </w:r>
          </w:p>
        </w:tc>
      </w:tr>
      <w:tr w:rsidR="00EB13BB" w:rsidRPr="00EB13BB" w:rsidTr="00EB13BB">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“El uso de Minas </w:t>
            </w:r>
            <w:proofErr w:type="spellStart"/>
            <w:r w:rsidRPr="00EB13BB">
              <w:rPr>
                <w:rFonts w:ascii="Helvetica" w:eastAsia="Times New Roman" w:hAnsi="Helvetica" w:cs="Helvetica"/>
                <w:color w:val="222222"/>
                <w:sz w:val="24"/>
                <w:szCs w:val="24"/>
                <w:lang w:eastAsia="es-CO"/>
              </w:rPr>
              <w:t>AntiPersona</w:t>
            </w:r>
            <w:proofErr w:type="spellEnd"/>
            <w:r w:rsidRPr="00EB13BB">
              <w:rPr>
                <w:rFonts w:ascii="Helvetica" w:eastAsia="Times New Roman" w:hAnsi="Helvetica" w:cs="Helvetica"/>
                <w:color w:val="222222"/>
                <w:sz w:val="24"/>
                <w:szCs w:val="24"/>
                <w:lang w:eastAsia="es-CO"/>
              </w:rPr>
              <w:t xml:space="preserve"> (MAP) por parte de grupos irregulares dentro del marco de las dinámicas del conflicto armado colombiano: Primera Fase, FARC-EP” se presenta como la primera etapa de un proyecto de investigación que busca determinar y describir cuál fue el uso específico que las FARC, el ELN y la AUC generaron frente a las minas antipersona dentro de las dinámicas propias del conflicto armado colombiano. La intención del proyecto de investigación es asumir el estudio de cada actor armado defiriendo su proceso a lo largo de tres años académicos; cada uno con sus respectivos resultados. Esta será una investigación desligada de valoraciones y juicios políticos, pues no se trata de revivir las atrocidades de la guerra, sino experimentar desde la academia y un enfoque científico, el método especifico de un tipo de material bélico. Los objetivos de investigación se concentran en determinar exclusivamente elementos técnicos y tácticos frente al objeto de estudio.</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Minas </w:t>
            </w:r>
            <w:proofErr w:type="spellStart"/>
            <w:r w:rsidRPr="00EB13BB">
              <w:rPr>
                <w:rFonts w:ascii="Helvetica" w:eastAsia="Times New Roman" w:hAnsi="Helvetica" w:cs="Helvetica"/>
                <w:color w:val="222222"/>
                <w:sz w:val="24"/>
                <w:szCs w:val="24"/>
                <w:lang w:eastAsia="es-CO"/>
              </w:rPr>
              <w:t>AntiPersona</w:t>
            </w:r>
            <w:proofErr w:type="spellEnd"/>
            <w:r w:rsidRPr="00EB13BB">
              <w:rPr>
                <w:rFonts w:ascii="Helvetica" w:eastAsia="Times New Roman" w:hAnsi="Helvetica" w:cs="Helvetica"/>
                <w:color w:val="222222"/>
                <w:sz w:val="24"/>
                <w:szCs w:val="24"/>
                <w:lang w:eastAsia="es-CO"/>
              </w:rPr>
              <w:t xml:space="preserve"> MAP, grupos al margen de la ley, FARC, empleo táctico</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Planteamiento del problema y pregunta de investigación</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¿Cuáles son las características específicas del uso inherente de Minas </w:t>
            </w:r>
            <w:proofErr w:type="spellStart"/>
            <w:r w:rsidRPr="00EB13BB">
              <w:rPr>
                <w:rFonts w:ascii="Helvetica" w:eastAsia="Times New Roman" w:hAnsi="Helvetica" w:cs="Helvetica"/>
                <w:color w:val="222222"/>
                <w:sz w:val="24"/>
                <w:szCs w:val="24"/>
                <w:lang w:eastAsia="es-CO"/>
              </w:rPr>
              <w:t>AntiPersona</w:t>
            </w:r>
            <w:proofErr w:type="spellEnd"/>
            <w:r w:rsidRPr="00EB13BB">
              <w:rPr>
                <w:rFonts w:ascii="Helvetica" w:eastAsia="Times New Roman" w:hAnsi="Helvetica" w:cs="Helvetica"/>
                <w:color w:val="222222"/>
                <w:sz w:val="24"/>
                <w:szCs w:val="24"/>
                <w:lang w:eastAsia="es-CO"/>
              </w:rPr>
              <w:t xml:space="preserve"> (MAP) por parte de las FARC-EP dentro de las dinámicas del conflicto armado colombiano?</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Justificación</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Con la inauguración de conflictos armados domésticos -de naturaleza revolucionaria, secesionista o de liberación nacional según el caso que se estudie-, aparecieron una nueva tipología de actores beligerantes simultáneamente. Estos grupos armados, aunque comparten una naturaleza política, se diferencian de los Estados y sus fuerzas armadas a partir de características asimétricas como: número de hombres, capacidades tecnológicas, posesión de infraestructura militar adecuada para la ofensiva o la defensiva, tenencia de armamento de </w:t>
            </w:r>
            <w:proofErr w:type="spellStart"/>
            <w:r w:rsidRPr="00EB13BB">
              <w:rPr>
                <w:rFonts w:ascii="Helvetica" w:eastAsia="Times New Roman" w:hAnsi="Helvetica" w:cs="Helvetica"/>
                <w:color w:val="222222"/>
                <w:sz w:val="24"/>
                <w:szCs w:val="24"/>
                <w:lang w:eastAsia="es-CO"/>
              </w:rPr>
              <w:t>ultima</w:t>
            </w:r>
            <w:proofErr w:type="spellEnd"/>
            <w:r w:rsidRPr="00EB13BB">
              <w:rPr>
                <w:rFonts w:ascii="Helvetica" w:eastAsia="Times New Roman" w:hAnsi="Helvetica" w:cs="Helvetica"/>
                <w:color w:val="222222"/>
                <w:sz w:val="24"/>
                <w:szCs w:val="24"/>
                <w:lang w:eastAsia="es-CO"/>
              </w:rPr>
              <w:t xml:space="preserve"> </w:t>
            </w:r>
            <w:r w:rsidRPr="00EB13BB">
              <w:rPr>
                <w:rFonts w:ascii="Helvetica" w:eastAsia="Times New Roman" w:hAnsi="Helvetica" w:cs="Helvetica"/>
                <w:color w:val="222222"/>
                <w:sz w:val="24"/>
                <w:szCs w:val="24"/>
                <w:lang w:eastAsia="es-CO"/>
              </w:rPr>
              <w:lastRenderedPageBreak/>
              <w:t>generación o maquinaria de guerra. Bajo esta lógica asimétrica, las pequeñas milicias subsanaron sus falencias mediante la implementación de tácticas propias de combate, empleando armamento asequible, o, fabricando sus propios dispositivos. El empleo de Minas Antipersona (MAP) ha sido una práctica representativa de las dinámicas propias de confrontación de los grupos irregulares. Se espera, que en las futuras convocatorias FODEIN de la Universidad Santo Tomás se pueda dar continuidad las siguientes dos fases: Fase2: Autodefensas Unidas de Colombia AUC Fase3: Ejército de Liberación Popular ELN</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Objetivo general</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Establecer las características específicas del uso inherente de Minas </w:t>
            </w:r>
            <w:proofErr w:type="spellStart"/>
            <w:r w:rsidRPr="00EB13BB">
              <w:rPr>
                <w:rFonts w:ascii="Helvetica" w:eastAsia="Times New Roman" w:hAnsi="Helvetica" w:cs="Helvetica"/>
                <w:color w:val="222222"/>
                <w:sz w:val="24"/>
                <w:szCs w:val="24"/>
                <w:lang w:eastAsia="es-CO"/>
              </w:rPr>
              <w:t>AntiPersona</w:t>
            </w:r>
            <w:proofErr w:type="spellEnd"/>
            <w:r w:rsidRPr="00EB13BB">
              <w:rPr>
                <w:rFonts w:ascii="Helvetica" w:eastAsia="Times New Roman" w:hAnsi="Helvetica" w:cs="Helvetica"/>
                <w:color w:val="222222"/>
                <w:sz w:val="24"/>
                <w:szCs w:val="24"/>
                <w:lang w:eastAsia="es-CO"/>
              </w:rPr>
              <w:t xml:space="preserve"> (MAP) por parte de las FARC-EP dentro de las dinámicas del conflicto armado colombiano.</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Objetivos específicos</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Establecer la justificación estratégica y táctica en el empleo de Minas y Minas Antipersona en la guerra o los conflictos armados por parte de los actores armados implicados. • Construcción del marco contextual explicativo de la conformación de la relación bélica de las FARC-EP con el empleo de las MAP • Determinar Las características específicas del uso inherente MAP por parte de las FARC-EP dentro de las dinámicas del conflicto armado colombiano.</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Marco teórico</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El archivo adjunto es: Marco Teórico FODEIN 2019.pdf DEF.pdf</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7310"/>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Metodología</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D5D2F" w:rsidRPr="001C5905" w:rsidRDefault="000D5D2F" w:rsidP="000D5D2F">
            <w:pPr>
              <w:spacing w:after="0" w:line="240" w:lineRule="auto"/>
              <w:jc w:val="both"/>
              <w:rPr>
                <w:rFonts w:ascii="Tahoma" w:eastAsia="Times New Roman" w:hAnsi="Tahoma" w:cs="Tahoma"/>
                <w:sz w:val="24"/>
                <w:szCs w:val="24"/>
                <w:lang w:eastAsia="es-CO"/>
              </w:rPr>
            </w:pPr>
            <w:r w:rsidRPr="001C5905">
              <w:rPr>
                <w:rFonts w:ascii="Tahoma" w:eastAsia="Times New Roman" w:hAnsi="Tahoma" w:cs="Tahoma"/>
                <w:color w:val="222222"/>
                <w:sz w:val="24"/>
                <w:szCs w:val="24"/>
                <w:shd w:val="clear" w:color="auto" w:fill="FFFFFF"/>
                <w:lang w:eastAsia="es-CO"/>
              </w:rPr>
              <w:t>La metodología del proyecto se deriva de los siguientes pasos: </w:t>
            </w: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r w:rsidRPr="001C5905">
              <w:rPr>
                <w:rFonts w:ascii="Tahoma" w:eastAsia="Times New Roman" w:hAnsi="Tahoma" w:cs="Tahoma"/>
                <w:color w:val="222222"/>
                <w:sz w:val="24"/>
                <w:szCs w:val="24"/>
                <w:lang w:eastAsia="es-CO"/>
              </w:rPr>
              <w:t>1. Revisión documental fuentes primarias. Se trata de hacer un barrido de los documentos gubernamentales e institucionales que determina el curso de acción de políticas de desminado y tratamiento de la problemática. De igual forma, se establece la revisión de documentos emitidos por parte de Organismos Internacionales Gubernamentales que se consideran como autoridades en los procesos relacionados con el estudio y valoración del empleo de las Minas Antipersona (MAP). De acuerdo con lo anterior, en la revisión aquí expuesta, se realizará una aproximación a las fuentes primarias existentes en la literatura nacional sobre la producción y uso de las MAP por los Grupos Armados Al Margen de la Ley (GAML), como las FARC, con ello, la aproximación a un conocimiento lo más específico posible sobre el proceso de fabricación y su uso de carácter estratégico como elemento de disuasión a su "enemigo", fuerzas armadas en el marco del conflicto colombiano. Esto, se convirtió en una práctica común y especifica del proceso por parte de los (GAML).</w:t>
            </w:r>
            <w:r>
              <w:rPr>
                <w:rFonts w:ascii="Tahoma" w:eastAsia="Times New Roman" w:hAnsi="Tahoma" w:cs="Tahoma"/>
                <w:color w:val="222222"/>
                <w:sz w:val="24"/>
                <w:szCs w:val="24"/>
                <w:lang w:eastAsia="es-CO"/>
              </w:rPr>
              <w:t xml:space="preserve"> </w:t>
            </w:r>
            <w:r w:rsidRPr="001C5905">
              <w:rPr>
                <w:rFonts w:ascii="Tahoma" w:eastAsia="Times New Roman" w:hAnsi="Tahoma" w:cs="Tahoma"/>
                <w:color w:val="222222"/>
                <w:sz w:val="24"/>
                <w:szCs w:val="24"/>
                <w:lang w:eastAsia="es-CO"/>
              </w:rPr>
              <w:t xml:space="preserve">Adicionalmente, en la revisión documental se podrá ampliar el marco teórico </w:t>
            </w:r>
            <w:r w:rsidRPr="001C5905">
              <w:rPr>
                <w:rFonts w:ascii="Tahoma" w:eastAsia="Times New Roman" w:hAnsi="Tahoma" w:cs="Tahoma"/>
                <w:color w:val="222222"/>
                <w:sz w:val="24"/>
                <w:szCs w:val="24"/>
                <w:lang w:eastAsia="es-CO"/>
              </w:rPr>
              <w:lastRenderedPageBreak/>
              <w:t>existente y quizá ampliar el concepto que se cita en el marco teórico, como que este tipo de artefactos "se concebía como comportamiento estratégico, y en el que prima no solo la fuerza real o tangible sino la dimensión potencial, en la que opera la intimidación" (citado también por (Ríos, 2016). Para ello, se visitarán las organizaciones que se encuentran haciendo una revisión del terreno, los documentos que se encuentran realizando y la cartografía que hasta el momento se ha realizado para dar respuesta de primera mano a este flagelo y uso en Colombia.</w:t>
            </w: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p>
          <w:p w:rsidR="000D5D2F" w:rsidRPr="001C5905" w:rsidRDefault="000D5D2F" w:rsidP="000D5D2F">
            <w:pPr>
              <w:shd w:val="clear" w:color="auto" w:fill="FFFFFF"/>
              <w:spacing w:after="0" w:line="240" w:lineRule="auto"/>
              <w:jc w:val="both"/>
              <w:rPr>
                <w:rFonts w:ascii="Tahoma" w:eastAsia="Times New Roman" w:hAnsi="Tahoma" w:cs="Tahoma"/>
                <w:color w:val="1155CC"/>
                <w:sz w:val="24"/>
                <w:szCs w:val="24"/>
                <w:u w:val="single"/>
                <w:lang w:eastAsia="es-CO"/>
              </w:rPr>
            </w:pPr>
            <w:r w:rsidRPr="001C5905">
              <w:rPr>
                <w:rFonts w:ascii="Tahoma" w:eastAsia="Times New Roman" w:hAnsi="Tahoma" w:cs="Tahoma"/>
                <w:color w:val="222222"/>
                <w:sz w:val="24"/>
                <w:szCs w:val="24"/>
                <w:lang w:eastAsia="es-CO"/>
              </w:rPr>
              <w:t xml:space="preserve">2. Revisión documental fuentes secundarias. Se trata de hacer revisión de documentos emitidos por la academia, tanques de pensamiento, y actores técnicos expertos en el campo de estudio propuesto por el proyecto. En la revisión de las fuentes secundarias, igualmente, se visitaran los tanques de pensamiento y actores técnicos especializados que han desarrollado hasta el momento documentos sobre </w:t>
            </w:r>
            <w:proofErr w:type="spellStart"/>
            <w:r w:rsidRPr="001C5905">
              <w:rPr>
                <w:rFonts w:ascii="Tahoma" w:eastAsia="Times New Roman" w:hAnsi="Tahoma" w:cs="Tahoma"/>
                <w:color w:val="222222"/>
                <w:sz w:val="24"/>
                <w:szCs w:val="24"/>
                <w:lang w:eastAsia="es-CO"/>
              </w:rPr>
              <w:t>otos</w:t>
            </w:r>
            <w:proofErr w:type="spellEnd"/>
            <w:r w:rsidRPr="001C5905">
              <w:rPr>
                <w:rFonts w:ascii="Tahoma" w:eastAsia="Times New Roman" w:hAnsi="Tahoma" w:cs="Tahoma"/>
                <w:color w:val="222222"/>
                <w:sz w:val="24"/>
                <w:szCs w:val="24"/>
                <w:lang w:eastAsia="es-CO"/>
              </w:rPr>
              <w:t xml:space="preserve"> procesos de desminado y el actual colombiano, en los que se podrían establecer correlaciones en el modo y uso de las mismas y la forma en la que se realizan y conforman los protocolos en Colombia para un desminado humanitario, como se involucran las nuevas tecnologías y la literatura existente para su fabricación en el momento, sus medios y usos, y en la fase de desminado, su hallazgo y pos</w:t>
            </w:r>
            <w:r>
              <w:rPr>
                <w:rFonts w:ascii="Tahoma" w:eastAsia="Times New Roman" w:hAnsi="Tahoma" w:cs="Tahoma"/>
                <w:color w:val="222222"/>
                <w:sz w:val="24"/>
                <w:szCs w:val="24"/>
                <w:lang w:eastAsia="es-CO"/>
              </w:rPr>
              <w:t>teriormente destrucción. En ese sentido. La</w:t>
            </w:r>
            <w:r w:rsidRPr="001C5905">
              <w:rPr>
                <w:rFonts w:ascii="Tahoma" w:eastAsia="Times New Roman" w:hAnsi="Tahoma" w:cs="Tahoma"/>
                <w:color w:val="222222"/>
                <w:sz w:val="24"/>
                <w:szCs w:val="24"/>
                <w:lang w:eastAsia="es-CO"/>
              </w:rPr>
              <w:t> base documental existente en la literatura global y sobre los estudios en Derechos Humanos y estudios estratégicos en seguridad, seguramente serán ampliamente estudiados y dilucidados por los investigadores. </w:t>
            </w: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r w:rsidRPr="001C5905">
              <w:rPr>
                <w:rFonts w:ascii="Tahoma" w:eastAsia="Times New Roman" w:hAnsi="Tahoma" w:cs="Tahoma"/>
                <w:color w:val="222222"/>
                <w:sz w:val="24"/>
                <w:szCs w:val="24"/>
                <w:lang w:eastAsia="es-CO"/>
              </w:rPr>
              <w:t>3. Realización del trabajo de campo en</w:t>
            </w:r>
            <w:r>
              <w:rPr>
                <w:rFonts w:ascii="Tahoma" w:eastAsia="Times New Roman" w:hAnsi="Tahoma" w:cs="Tahoma"/>
                <w:color w:val="222222"/>
                <w:sz w:val="24"/>
                <w:szCs w:val="24"/>
                <w:lang w:eastAsia="es-CO"/>
              </w:rPr>
              <w:t xml:space="preserve"> </w:t>
            </w:r>
            <w:r w:rsidRPr="00432353">
              <w:rPr>
                <w:rFonts w:ascii="Tahoma" w:eastAsia="Times New Roman" w:hAnsi="Tahoma" w:cs="Tahoma"/>
                <w:color w:val="222222"/>
                <w:sz w:val="24"/>
                <w:szCs w:val="24"/>
                <w:lang w:eastAsia="es-CO"/>
              </w:rPr>
              <w:t>Programa de Prevención e Investig</w:t>
            </w:r>
            <w:r>
              <w:rPr>
                <w:rFonts w:ascii="Tahoma" w:eastAsia="Times New Roman" w:hAnsi="Tahoma" w:cs="Tahoma"/>
                <w:color w:val="222222"/>
                <w:sz w:val="24"/>
                <w:szCs w:val="24"/>
                <w:lang w:eastAsia="es-CO"/>
              </w:rPr>
              <w:t>ación Contra Minas Antipersonal PICMA de la Universidad de Medellín</w:t>
            </w:r>
            <w:r w:rsidRPr="001C5905">
              <w:rPr>
                <w:rFonts w:ascii="Tahoma" w:eastAsia="Times New Roman" w:hAnsi="Tahoma" w:cs="Tahoma"/>
                <w:color w:val="222222"/>
                <w:sz w:val="24"/>
                <w:szCs w:val="24"/>
                <w:lang w:eastAsia="es-CO"/>
              </w:rPr>
              <w:t>. Consiste en</w:t>
            </w:r>
            <w:r>
              <w:rPr>
                <w:rFonts w:ascii="Tahoma" w:eastAsia="Times New Roman" w:hAnsi="Tahoma" w:cs="Tahoma"/>
                <w:color w:val="222222"/>
                <w:sz w:val="24"/>
                <w:szCs w:val="24"/>
                <w:lang w:eastAsia="es-CO"/>
              </w:rPr>
              <w:t xml:space="preserve"> tres</w:t>
            </w:r>
            <w:r w:rsidRPr="001C5905">
              <w:rPr>
                <w:rFonts w:ascii="Tahoma" w:eastAsia="Times New Roman" w:hAnsi="Tahoma" w:cs="Tahoma"/>
                <w:color w:val="222222"/>
                <w:sz w:val="24"/>
                <w:szCs w:val="24"/>
                <w:lang w:eastAsia="es-CO"/>
              </w:rPr>
              <w:t xml:space="preserve"> salidas de campo a la ciudad de Medellín, lugar en donde reside el laboratorio denominado como “Programa en Prevención e Investigación Contra Minas Antipersonal”. El plan es que cada uno de los investigadores pueda realizar una visita durante el proyecto a este centro. Esto suma tres visitas, que complementarían el trabajo de cada investigador durante la investigación. </w:t>
            </w:r>
            <w:proofErr w:type="gramStart"/>
            <w:r w:rsidRPr="001C5905">
              <w:rPr>
                <w:rFonts w:ascii="Tahoma" w:eastAsia="Times New Roman" w:hAnsi="Tahoma" w:cs="Tahoma"/>
                <w:color w:val="222222"/>
                <w:sz w:val="24"/>
                <w:szCs w:val="24"/>
                <w:lang w:eastAsia="es-CO"/>
              </w:rPr>
              <w:t>y</w:t>
            </w:r>
            <w:proofErr w:type="gramEnd"/>
            <w:r w:rsidRPr="001C5905">
              <w:rPr>
                <w:rFonts w:ascii="Tahoma" w:eastAsia="Times New Roman" w:hAnsi="Tahoma" w:cs="Tahoma"/>
                <w:color w:val="222222"/>
                <w:sz w:val="24"/>
                <w:szCs w:val="24"/>
                <w:lang w:eastAsia="es-CO"/>
              </w:rPr>
              <w:t xml:space="preserve"> los resultados estarán representados en los artículos inicialmente propuestos con fuentes de primera calidad y socializados como resultados de investigación mediante eventos de sensibilización e importancia de este proceso en Colombia y en comparación con otros conflictos que hayan utilizado el mismo tipo de armamento no convencional. </w:t>
            </w: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p>
          <w:p w:rsidR="000D5D2F"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r w:rsidRPr="001C5905">
              <w:rPr>
                <w:rFonts w:ascii="Tahoma" w:eastAsia="Times New Roman" w:hAnsi="Tahoma" w:cs="Tahoma"/>
                <w:color w:val="222222"/>
                <w:sz w:val="24"/>
                <w:szCs w:val="24"/>
                <w:lang w:eastAsia="es-CO"/>
              </w:rPr>
              <w:t> 4. Realización de entrevistas a personal involucrado en el uso de Minas Antipersona por parte de los grupos irregulares. Realización de entrevista a miembros de la fuerza pública expertos en el tratamiento de estos dispositivos. Entrevistas a personal involucrado en proceso de desminado.</w:t>
            </w:r>
            <w:r>
              <w:rPr>
                <w:rFonts w:ascii="Tahoma" w:eastAsia="Times New Roman" w:hAnsi="Tahoma" w:cs="Tahoma"/>
                <w:color w:val="222222"/>
                <w:sz w:val="24"/>
                <w:szCs w:val="24"/>
                <w:lang w:eastAsia="es-CO"/>
              </w:rPr>
              <w:t xml:space="preserve"> Estas entrevistas buscan abordar un enfoque desde tres perspectivas. La primera, entrevistas a personal desmovilizado de las FARC-EP que pudieran haber participado en actividades de emplazamiento de Minas Antipersona en el territorio nacional. La segunda línea se concentrará en entrevistar personal institucional, nacional e internacional, involucrado en procesos de reconocimiento, estudio o desminado de dispositivos empleados por las FARC-EP. Finalmente, y en tanto las condiciones lo permitan, se procedería a entrevistar a víctimas de Minas Antipersonas producto del accionar de las FARC-EP.</w:t>
            </w:r>
          </w:p>
          <w:p w:rsidR="000D5D2F"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p>
          <w:p w:rsidR="000D5D2F" w:rsidRPr="001C5905" w:rsidRDefault="000D5D2F" w:rsidP="000D5D2F">
            <w:pPr>
              <w:shd w:val="clear" w:color="auto" w:fill="FFFFFF"/>
              <w:spacing w:after="0" w:line="240" w:lineRule="auto"/>
              <w:jc w:val="both"/>
              <w:rPr>
                <w:rFonts w:ascii="Tahoma" w:eastAsia="Times New Roman" w:hAnsi="Tahoma" w:cs="Tahoma"/>
                <w:color w:val="222222"/>
                <w:sz w:val="24"/>
                <w:szCs w:val="24"/>
                <w:lang w:eastAsia="es-CO"/>
              </w:rPr>
            </w:pPr>
            <w:r>
              <w:rPr>
                <w:rFonts w:ascii="Tahoma" w:eastAsia="Times New Roman" w:hAnsi="Tahoma" w:cs="Tahoma"/>
                <w:color w:val="222222"/>
                <w:sz w:val="24"/>
                <w:szCs w:val="24"/>
                <w:lang w:eastAsia="es-CO"/>
              </w:rPr>
              <w:t xml:space="preserve">5. Se realizará un evento académico que buscará reunir a expertos en el objeto de estudio propuesto en el proyecto; esto, con el ánimo de hacer un ciclo de conferencias para la comunidad académica de la Universidad Santo Tomás. No obstante, esto se asume como parte de la metodología en tanto que poder contar </w:t>
            </w:r>
            <w:r>
              <w:rPr>
                <w:rFonts w:ascii="Tahoma" w:eastAsia="Times New Roman" w:hAnsi="Tahoma" w:cs="Tahoma"/>
                <w:color w:val="222222"/>
                <w:sz w:val="24"/>
                <w:szCs w:val="24"/>
                <w:lang w:eastAsia="es-CO"/>
              </w:rPr>
              <w:lastRenderedPageBreak/>
              <w:t xml:space="preserve">con el conocimiento de los expertos, será aprovechado en la realización de entrevistas y el desarrollo de una mesa expertos que nutrirán la construcción de los productos del FODEIN 2019.  </w:t>
            </w:r>
          </w:p>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EB13BB" w:rsidRPr="00EB13BB" w:rsidTr="00EB13BB">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Resultados esperados</w:t>
            </w:r>
          </w:p>
        </w:tc>
      </w:tr>
      <w:tr w:rsidR="00EB13BB" w:rsidRPr="00EB13BB" w:rsidTr="00EB13B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Cantidad</w:t>
            </w:r>
          </w:p>
        </w:tc>
      </w:tr>
      <w:tr w:rsidR="00EB13BB" w:rsidRPr="00EB13BB" w:rsidTr="00EB13B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3</w:t>
            </w: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Apropiación social del </w:t>
            </w:r>
            <w:proofErr w:type="spellStart"/>
            <w:r w:rsidRPr="00EB13BB">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Gestión del </w:t>
            </w:r>
            <w:proofErr w:type="spellStart"/>
            <w:r w:rsidRPr="00EB13BB">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1</w:t>
            </w: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Proyectos de </w:t>
            </w:r>
            <w:proofErr w:type="spellStart"/>
            <w:r w:rsidRPr="00EB13BB">
              <w:rPr>
                <w:rFonts w:ascii="Helvetica" w:eastAsia="Times New Roman" w:hAnsi="Helvetica" w:cs="Helvetica"/>
                <w:color w:val="222222"/>
                <w:sz w:val="24"/>
                <w:szCs w:val="24"/>
                <w:lang w:eastAsia="es-CO"/>
              </w:rPr>
              <w:t>ID+i</w:t>
            </w:r>
            <w:proofErr w:type="spellEnd"/>
            <w:r w:rsidRPr="00EB13BB">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Contribución del proyecto al cumplimiento con la misión institucional</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La propuesta de investigación “Estudio sobre el uso inherente de Minas </w:t>
            </w:r>
            <w:proofErr w:type="spellStart"/>
            <w:r w:rsidRPr="00EB13BB">
              <w:rPr>
                <w:rFonts w:ascii="Helvetica" w:eastAsia="Times New Roman" w:hAnsi="Helvetica" w:cs="Helvetica"/>
                <w:color w:val="222222"/>
                <w:sz w:val="24"/>
                <w:szCs w:val="24"/>
                <w:lang w:eastAsia="es-CO"/>
              </w:rPr>
              <w:t>AntiPersona</w:t>
            </w:r>
            <w:proofErr w:type="spellEnd"/>
            <w:r w:rsidRPr="00EB13BB">
              <w:rPr>
                <w:rFonts w:ascii="Helvetica" w:eastAsia="Times New Roman" w:hAnsi="Helvetica" w:cs="Helvetica"/>
                <w:color w:val="222222"/>
                <w:sz w:val="24"/>
                <w:szCs w:val="24"/>
                <w:lang w:eastAsia="es-CO"/>
              </w:rPr>
              <w:t xml:space="preserve"> (MAP) por parte de grupos irregulares dentro del marco de las dinámicas del conflicto armado colombiano: primera fase, FARC-EP”, se alinea con la Misión de la Universidad Santo Tomás, en tanto propone un proceso de investigación y proyección social, que aporte, de manera ética, creativa y crítica a las exigencias de la vida humana y social que afronta el país con mayor rigor; el posconflicto. Se trata de aportar a la generación de condiciones encaminadas a dar soluciones a una de las problemáticas y a las necesidades más claras del país en este contexto; los procesos de desminado</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 xml:space="preserve">Líneas del PIM con las </w:t>
            </w:r>
            <w:proofErr w:type="spellStart"/>
            <w:r w:rsidRPr="00EB13BB">
              <w:rPr>
                <w:rFonts w:ascii="Arial" w:eastAsia="Times New Roman" w:hAnsi="Arial" w:cs="Arial"/>
                <w:b/>
                <w:bCs/>
                <w:color w:val="222222"/>
                <w:sz w:val="24"/>
                <w:szCs w:val="24"/>
                <w:lang w:eastAsia="es-CO"/>
              </w:rPr>
              <w:t>qye</w:t>
            </w:r>
            <w:proofErr w:type="spellEnd"/>
            <w:r w:rsidRPr="00EB13BB">
              <w:rPr>
                <w:rFonts w:ascii="Arial" w:eastAsia="Times New Roman" w:hAnsi="Arial" w:cs="Arial"/>
                <w:b/>
                <w:bCs/>
                <w:color w:val="222222"/>
                <w:sz w:val="24"/>
                <w:szCs w:val="24"/>
                <w:lang w:eastAsia="es-CO"/>
              </w:rPr>
              <w:t xml:space="preserve"> vincula el proyecto</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1. Gobierno Consolidado y Fortalecido</w:t>
            </w:r>
            <w:r w:rsidRPr="00EB13BB">
              <w:rPr>
                <w:rFonts w:ascii="Helvetica" w:eastAsia="Times New Roman" w:hAnsi="Helvetica" w:cs="Helvetica"/>
                <w:color w:val="222222"/>
                <w:sz w:val="24"/>
                <w:szCs w:val="24"/>
                <w:lang w:eastAsia="es-CO"/>
              </w:rPr>
              <w:br/>
              <w:t>3. Proyección social e investigación pertinentes</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Acciones del Plan General de Desarrollo 2016-2019 con el que se articula el proyecto</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Gobierno Consolidado y Fortalecido; Proyección social e investigación pertinentes,</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EB13BB" w:rsidRPr="00EB13BB" w:rsidTr="00EB13BB">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FODEIN</w:t>
            </w:r>
          </w:p>
        </w:tc>
      </w:tr>
      <w:tr w:rsidR="00EB13BB" w:rsidRPr="00EB13BB" w:rsidTr="00EB13BB">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Total ($)</w:t>
            </w:r>
          </w:p>
        </w:tc>
      </w:tr>
      <w:tr w:rsidR="00EB13BB" w:rsidRPr="00EB13BB" w:rsidTr="00C30D1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0D5D2F" w:rsidP="00EB13B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$ 24.885.000</w:t>
            </w:r>
          </w:p>
        </w:tc>
      </w:tr>
      <w:tr w:rsidR="00EB13BB" w:rsidRPr="00EB13BB" w:rsidTr="00C30D15">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r>
      <w:tr w:rsidR="00EB13BB" w:rsidRPr="00EB13BB" w:rsidTr="00C30D1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0D5D2F" w:rsidP="00EB13B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$ 15.547.500</w:t>
            </w:r>
          </w:p>
        </w:tc>
      </w:tr>
      <w:tr w:rsidR="00EB13BB" w:rsidRPr="00EB13BB" w:rsidTr="00C30D15">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0D5D2F" w:rsidP="00EB13BB">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$ 8.537.500</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EB13BB" w:rsidRPr="00EB13BB" w:rsidTr="00EB13B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Total ($)</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Salidas de campo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Se solicita el recurso para que cada uno de los investigadores tenga la oportunidad de llevar a cabo trabajo de campo en el Programa de prevención e investigación contra minas antipersonal (PICMA). Este </w:t>
            </w:r>
            <w:r w:rsidRPr="00EB13BB">
              <w:rPr>
                <w:rFonts w:ascii="Helvetica" w:eastAsia="Times New Roman" w:hAnsi="Helvetica" w:cs="Helvetica"/>
                <w:color w:val="222222"/>
                <w:sz w:val="24"/>
                <w:szCs w:val="24"/>
                <w:lang w:eastAsia="es-CO"/>
              </w:rPr>
              <w:lastRenderedPageBreak/>
              <w:t>laboratorio se encuentra en la ciudad de Medellín, pero adicionalmente, presta la capacidad de hacer investigación en territorios afectados por el uso de Minas Antipersona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lastRenderedPageBreak/>
              <w:t>$ 8.000.000</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lastRenderedPageBreak/>
              <w:t>Auxilio de transporte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Ya que el sistema no ofrece la categoría correcta, se utiliza esta categoría puesto que no aparece la categoría movilidad en general, en esta se solicita el recurso para llevar a cabo un evento propio.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$ 10.000.000</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Ya que el sistema no ofrece la categoría correcta, se utiliza esta categoría puesto que no aparece la categoría movilidad en general, se utiliza esta categoría puesto que no aparece la categoría movilidad en general, en esta se solicita el recurso para participar en un congreso internacional.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$ 10.000.000</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Autospacing="1" w:after="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$ 76.970.000</w:t>
            </w: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EB13BB" w:rsidRPr="00EB13BB" w:rsidTr="00EB13BB">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CONTRAPARTIDA EXTERNA</w:t>
            </w:r>
          </w:p>
        </w:tc>
      </w:tr>
      <w:tr w:rsidR="00EB13BB" w:rsidRPr="00EB13BB" w:rsidTr="00EB13BB">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Total</w:t>
            </w:r>
          </w:p>
        </w:tc>
      </w:tr>
      <w:tr w:rsidR="00EB13BB" w:rsidRPr="00EB13BB" w:rsidTr="00EB13BB">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r>
      <w:tr w:rsidR="00EB13BB" w:rsidRPr="00EB13BB" w:rsidTr="00EB13BB">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EB13BB" w:rsidRPr="00EB13BB" w:rsidTr="00EB13BB">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Total</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Se solicita el recurso para que cada uno de los investigadores tenga la oportunidad de llevar a cabo trabajo de campo en el Programa de prevención e investigación contra minas antipersonal (PICMA). Este laboratorio se encuentra en la ciudad de </w:t>
            </w:r>
            <w:r w:rsidRPr="00EB13BB">
              <w:rPr>
                <w:rFonts w:ascii="Helvetica" w:eastAsia="Times New Roman" w:hAnsi="Helvetica" w:cs="Helvetica"/>
                <w:color w:val="222222"/>
                <w:sz w:val="24"/>
                <w:szCs w:val="24"/>
                <w:lang w:eastAsia="es-CO"/>
              </w:rPr>
              <w:lastRenderedPageBreak/>
              <w:t>Medellín, pero adicionalmente, presta la capacidad de hacer investigación en territorios afectados por el uso de Minas Antipersona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lastRenderedPageBreak/>
              <w:t>$</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Autospacing="1" w:after="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lastRenderedPageBreak/>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w:t>
            </w: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Autospacing="1" w:after="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b/>
                <w:bCs/>
                <w:color w:val="222222"/>
                <w:sz w:val="24"/>
                <w:szCs w:val="24"/>
                <w:lang w:eastAsia="es-CO"/>
              </w:rPr>
              <w:t>$ 76.970.000</w:t>
            </w: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EB13BB" w:rsidRPr="00EB13BB" w:rsidTr="00EB13BB">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CRONOGRAMA</w:t>
            </w:r>
          </w:p>
        </w:tc>
      </w:tr>
      <w:tr w:rsidR="00EB13BB" w:rsidRPr="00EB13BB" w:rsidTr="00EB13BB">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Fecha Fin</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Desarrollo primer </w:t>
            </w:r>
            <w:proofErr w:type="spellStart"/>
            <w:r w:rsidRPr="00EB13BB">
              <w:rPr>
                <w:rFonts w:ascii="Helvetica" w:eastAsia="Times New Roman" w:hAnsi="Helvetica" w:cs="Helvetica"/>
                <w:color w:val="222222"/>
                <w:sz w:val="24"/>
                <w:szCs w:val="24"/>
                <w:lang w:eastAsia="es-CO"/>
              </w:rPr>
              <w:t>paper</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2019-01-13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2019-04-30</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Desarrollo segundo </w:t>
            </w:r>
            <w:proofErr w:type="spellStart"/>
            <w:r w:rsidRPr="00EB13BB">
              <w:rPr>
                <w:rFonts w:ascii="Helvetica" w:eastAsia="Times New Roman" w:hAnsi="Helvetica" w:cs="Helvetica"/>
                <w:color w:val="222222"/>
                <w:sz w:val="24"/>
                <w:szCs w:val="24"/>
                <w:lang w:eastAsia="es-CO"/>
              </w:rPr>
              <w:t>paper</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2019-05-01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2019-05-31</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 xml:space="preserve">Desarrollo tercer </w:t>
            </w:r>
            <w:proofErr w:type="spellStart"/>
            <w:r w:rsidRPr="00EB13BB">
              <w:rPr>
                <w:rFonts w:ascii="Helvetica" w:eastAsia="Times New Roman" w:hAnsi="Helvetica" w:cs="Helvetica"/>
                <w:color w:val="222222"/>
                <w:sz w:val="24"/>
                <w:szCs w:val="24"/>
                <w:lang w:eastAsia="es-CO"/>
              </w:rPr>
              <w:t>paper</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2019-09-01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2019-12-20</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Entrega parcial informe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2019-08-30</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Entrega parcial Final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2019-12-22</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Evento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2019-08-27</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center"/>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2019-08-27</w:t>
            </w:r>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Posibles evaluadores</w:t>
            </w:r>
          </w:p>
        </w:tc>
      </w:tr>
      <w:tr w:rsidR="00EB13BB" w:rsidRPr="00EB13BB" w:rsidTr="00E95D55">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bookmarkStart w:id="0" w:name="_GoBack"/>
            <w:bookmarkEnd w:id="0"/>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Referencia(s)</w:t>
            </w:r>
          </w:p>
        </w:tc>
      </w:tr>
      <w:tr w:rsidR="00EB13BB" w:rsidRPr="00EB13BB" w:rsidTr="00EB13BB">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proofErr w:type="spellStart"/>
            <w:r w:rsidRPr="00EB13BB">
              <w:rPr>
                <w:rFonts w:ascii="Helvetica" w:eastAsia="Times New Roman" w:hAnsi="Helvetica" w:cs="Helvetica"/>
                <w:color w:val="222222"/>
                <w:sz w:val="24"/>
                <w:szCs w:val="24"/>
                <w:lang w:eastAsia="es-CO"/>
              </w:rPr>
              <w:t>Abitbol</w:t>
            </w:r>
            <w:proofErr w:type="spellEnd"/>
            <w:r w:rsidRPr="00EB13BB">
              <w:rPr>
                <w:rFonts w:ascii="Helvetica" w:eastAsia="Times New Roman" w:hAnsi="Helvetica" w:cs="Helvetica"/>
                <w:color w:val="222222"/>
                <w:sz w:val="24"/>
                <w:szCs w:val="24"/>
                <w:lang w:eastAsia="es-CO"/>
              </w:rPr>
              <w:t xml:space="preserve">, P., &amp; Botero, F. (2005). Teoría de Elección Racional: Estructura conceptual y evolución reciente. Red Colombia internacional, 62, 132-145. Carrasco, A. (1997). Introducción a la cartografía. </w:t>
            </w:r>
            <w:proofErr w:type="gramStart"/>
            <w:r w:rsidRPr="00EB13BB">
              <w:rPr>
                <w:rFonts w:ascii="Helvetica" w:eastAsia="Times New Roman" w:hAnsi="Helvetica" w:cs="Helvetica"/>
                <w:color w:val="222222"/>
                <w:sz w:val="24"/>
                <w:szCs w:val="24"/>
                <w:lang w:eastAsia="es-CO"/>
              </w:rPr>
              <w:t>el</w:t>
            </w:r>
            <w:proofErr w:type="gramEnd"/>
            <w:r w:rsidRPr="00EB13BB">
              <w:rPr>
                <w:rFonts w:ascii="Helvetica" w:eastAsia="Times New Roman" w:hAnsi="Helvetica" w:cs="Helvetica"/>
                <w:color w:val="222222"/>
                <w:sz w:val="24"/>
                <w:szCs w:val="24"/>
                <w:lang w:eastAsia="es-CO"/>
              </w:rPr>
              <w:t xml:space="preserve"> documento cartográfico como fuente de información. Terceras Jornadas Archivísticas, Colom </w:t>
            </w:r>
            <w:proofErr w:type="spellStart"/>
            <w:r w:rsidRPr="00EB13BB">
              <w:rPr>
                <w:rFonts w:ascii="Helvetica" w:eastAsia="Times New Roman" w:hAnsi="Helvetica" w:cs="Helvetica"/>
                <w:color w:val="222222"/>
                <w:sz w:val="24"/>
                <w:szCs w:val="24"/>
                <w:lang w:eastAsia="es-CO"/>
              </w:rPr>
              <w:t>Cañellas</w:t>
            </w:r>
            <w:proofErr w:type="spellEnd"/>
            <w:r w:rsidRPr="00EB13BB">
              <w:rPr>
                <w:rFonts w:ascii="Helvetica" w:eastAsia="Times New Roman" w:hAnsi="Helvetica" w:cs="Helvetica"/>
                <w:color w:val="222222"/>
                <w:sz w:val="24"/>
                <w:szCs w:val="24"/>
                <w:lang w:eastAsia="es-CO"/>
              </w:rPr>
              <w:t xml:space="preserve">, A. J., &amp; Ballester </w:t>
            </w:r>
            <w:proofErr w:type="spellStart"/>
            <w:r w:rsidRPr="00EB13BB">
              <w:rPr>
                <w:rFonts w:ascii="Helvetica" w:eastAsia="Times New Roman" w:hAnsi="Helvetica" w:cs="Helvetica"/>
                <w:color w:val="222222"/>
                <w:sz w:val="24"/>
                <w:szCs w:val="24"/>
                <w:lang w:eastAsia="es-CO"/>
              </w:rPr>
              <w:t>Brage</w:t>
            </w:r>
            <w:proofErr w:type="spellEnd"/>
            <w:r w:rsidRPr="00EB13BB">
              <w:rPr>
                <w:rFonts w:ascii="Helvetica" w:eastAsia="Times New Roman" w:hAnsi="Helvetica" w:cs="Helvetica"/>
                <w:color w:val="222222"/>
                <w:sz w:val="24"/>
                <w:szCs w:val="24"/>
                <w:lang w:eastAsia="es-CO"/>
              </w:rPr>
              <w:t xml:space="preserve">, L. (2005). El concepto de explicación en las ciencias sociales. </w:t>
            </w:r>
            <w:proofErr w:type="spellStart"/>
            <w:r w:rsidRPr="00EB13BB">
              <w:rPr>
                <w:rFonts w:ascii="Helvetica" w:eastAsia="Times New Roman" w:hAnsi="Helvetica" w:cs="Helvetica"/>
                <w:color w:val="222222"/>
                <w:sz w:val="24"/>
                <w:szCs w:val="24"/>
                <w:lang w:eastAsia="es-CO"/>
              </w:rPr>
              <w:t>Papers</w:t>
            </w:r>
            <w:proofErr w:type="spellEnd"/>
            <w:r w:rsidRPr="00EB13BB">
              <w:rPr>
                <w:rFonts w:ascii="Helvetica" w:eastAsia="Times New Roman" w:hAnsi="Helvetica" w:cs="Helvetica"/>
                <w:color w:val="222222"/>
                <w:sz w:val="24"/>
                <w:szCs w:val="24"/>
                <w:lang w:eastAsia="es-CO"/>
              </w:rPr>
              <w:t xml:space="preserve">: revista de sociología, (77), 181-204. </w:t>
            </w:r>
            <w:proofErr w:type="spellStart"/>
            <w:r w:rsidRPr="00EB13BB">
              <w:rPr>
                <w:rFonts w:ascii="Helvetica" w:eastAsia="Times New Roman" w:hAnsi="Helvetica" w:cs="Helvetica"/>
                <w:color w:val="222222"/>
                <w:sz w:val="24"/>
                <w:szCs w:val="24"/>
                <w:lang w:eastAsia="es-CO"/>
              </w:rPr>
              <w:t>Retrieved</w:t>
            </w:r>
            <w:proofErr w:type="spellEnd"/>
            <w:r w:rsidRPr="00EB13BB">
              <w:rPr>
                <w:rFonts w:ascii="Helvetica" w:eastAsia="Times New Roman" w:hAnsi="Helvetica" w:cs="Helvetica"/>
                <w:color w:val="222222"/>
                <w:sz w:val="24"/>
                <w:szCs w:val="24"/>
                <w:lang w:eastAsia="es-CO"/>
              </w:rPr>
              <w:t xml:space="preserve"> from </w:t>
            </w:r>
            <w:hyperlink r:id="rId4" w:tgtFrame="_blank" w:history="1">
              <w:r w:rsidRPr="00EB13BB">
                <w:rPr>
                  <w:rFonts w:ascii="Helvetica" w:eastAsia="Times New Roman" w:hAnsi="Helvetica" w:cs="Helvetica"/>
                  <w:color w:val="1155CC"/>
                  <w:sz w:val="24"/>
                  <w:szCs w:val="24"/>
                  <w:u w:val="single"/>
                  <w:lang w:eastAsia="es-CO"/>
                </w:rPr>
                <w:t>http://dialnet.unirioja.es/servlet/oaiart?codigo=3877650</w:t>
              </w:r>
            </w:hyperlink>
            <w:r w:rsidRPr="00EB13BB">
              <w:rPr>
                <w:rFonts w:ascii="Helvetica" w:eastAsia="Times New Roman" w:hAnsi="Helvetica" w:cs="Helvetica"/>
                <w:color w:val="222222"/>
                <w:sz w:val="24"/>
                <w:szCs w:val="24"/>
                <w:lang w:eastAsia="es-CO"/>
              </w:rPr>
              <w:t xml:space="preserve">DAICMA. (2015). Desminado humanitario. (). Bogotá: Presidencia de la República. </w:t>
            </w:r>
            <w:proofErr w:type="spellStart"/>
            <w:r w:rsidRPr="00EB13BB">
              <w:rPr>
                <w:rFonts w:ascii="Helvetica" w:eastAsia="Times New Roman" w:hAnsi="Helvetica" w:cs="Helvetica"/>
                <w:color w:val="222222"/>
                <w:sz w:val="24"/>
                <w:szCs w:val="24"/>
                <w:lang w:eastAsia="es-CO"/>
              </w:rPr>
              <w:t>Retrieved</w:t>
            </w:r>
            <w:proofErr w:type="spellEnd"/>
            <w:r w:rsidRPr="00EB13BB">
              <w:rPr>
                <w:rFonts w:ascii="Helvetica" w:eastAsia="Times New Roman" w:hAnsi="Helvetica" w:cs="Helvetica"/>
                <w:color w:val="222222"/>
                <w:sz w:val="24"/>
                <w:szCs w:val="24"/>
                <w:lang w:eastAsia="es-CO"/>
              </w:rPr>
              <w:t xml:space="preserve"> from </w:t>
            </w:r>
            <w:hyperlink r:id="rId5" w:tgtFrame="_blank" w:history="1">
              <w:r w:rsidRPr="00EB13BB">
                <w:rPr>
                  <w:rFonts w:ascii="Helvetica" w:eastAsia="Times New Roman" w:hAnsi="Helvetica" w:cs="Helvetica"/>
                  <w:color w:val="1155CC"/>
                  <w:sz w:val="24"/>
                  <w:szCs w:val="24"/>
                  <w:u w:val="single"/>
                  <w:lang w:eastAsia="es-CO"/>
                </w:rPr>
                <w:t>http://www.accioncontraminas.gov.co/accion/desminado/Paginas/Desminado-Humanitario.aspx</w:t>
              </w:r>
            </w:hyperlink>
            <w:r w:rsidRPr="00EB13BB">
              <w:rPr>
                <w:rFonts w:ascii="Helvetica" w:eastAsia="Times New Roman" w:hAnsi="Helvetica" w:cs="Helvetica"/>
                <w:color w:val="222222"/>
                <w:sz w:val="24"/>
                <w:szCs w:val="24"/>
                <w:lang w:eastAsia="es-CO"/>
              </w:rPr>
              <w:t xml:space="preserve"> Galtung, J. (2003). Violencia cultural. Guernica, España: </w:t>
            </w:r>
            <w:proofErr w:type="spellStart"/>
            <w:r w:rsidRPr="00EB13BB">
              <w:rPr>
                <w:rFonts w:ascii="Helvetica" w:eastAsia="Times New Roman" w:hAnsi="Helvetica" w:cs="Helvetica"/>
                <w:color w:val="222222"/>
                <w:sz w:val="24"/>
                <w:szCs w:val="24"/>
                <w:lang w:eastAsia="es-CO"/>
              </w:rPr>
              <w:t>Gogoratuz</w:t>
            </w:r>
            <w:proofErr w:type="spellEnd"/>
            <w:r w:rsidRPr="00EB13BB">
              <w:rPr>
                <w:rFonts w:ascii="Helvetica" w:eastAsia="Times New Roman" w:hAnsi="Helvetica" w:cs="Helvetica"/>
                <w:color w:val="222222"/>
                <w:sz w:val="24"/>
                <w:szCs w:val="24"/>
                <w:lang w:eastAsia="es-CO"/>
              </w:rPr>
              <w:t xml:space="preserve">. Harto de Vera, F. (2005). Ciencia Política y Teoría Política Contemporánea: Una Relación Problemática </w:t>
            </w:r>
            <w:proofErr w:type="spellStart"/>
            <w:r w:rsidRPr="00EB13BB">
              <w:rPr>
                <w:rFonts w:ascii="Helvetica" w:eastAsia="Times New Roman" w:hAnsi="Helvetica" w:cs="Helvetica"/>
                <w:color w:val="222222"/>
                <w:sz w:val="24"/>
                <w:szCs w:val="24"/>
                <w:lang w:eastAsia="es-CO"/>
              </w:rPr>
              <w:t>Retrieved</w:t>
            </w:r>
            <w:proofErr w:type="spellEnd"/>
            <w:r w:rsidRPr="00EB13BB">
              <w:rPr>
                <w:rFonts w:ascii="Helvetica" w:eastAsia="Times New Roman" w:hAnsi="Helvetica" w:cs="Helvetica"/>
                <w:color w:val="222222"/>
                <w:sz w:val="24"/>
                <w:szCs w:val="24"/>
                <w:lang w:eastAsia="es-CO"/>
              </w:rPr>
              <w:t xml:space="preserve"> from </w:t>
            </w:r>
            <w:hyperlink r:id="rId6" w:tgtFrame="_blank" w:history="1">
              <w:r w:rsidRPr="00EB13BB">
                <w:rPr>
                  <w:rFonts w:ascii="Helvetica" w:eastAsia="Times New Roman" w:hAnsi="Helvetica" w:cs="Helvetica"/>
                  <w:color w:val="1155CC"/>
                  <w:sz w:val="24"/>
                  <w:szCs w:val="24"/>
                  <w:u w:val="single"/>
                  <w:lang w:eastAsia="es-CO"/>
                </w:rPr>
                <w:t>http://data.theeuropeanlibrary.org/BibliographicResource/2000066893671</w:t>
              </w:r>
            </w:hyperlink>
            <w:r w:rsidRPr="00EB13BB">
              <w:rPr>
                <w:rFonts w:ascii="Helvetica" w:eastAsia="Times New Roman" w:hAnsi="Helvetica" w:cs="Helvetica"/>
                <w:color w:val="222222"/>
                <w:sz w:val="24"/>
                <w:szCs w:val="24"/>
                <w:lang w:eastAsia="es-CO"/>
              </w:rPr>
              <w:t xml:space="preserve"> Hempel, C. (1986). La </w:t>
            </w:r>
            <w:proofErr w:type="spellStart"/>
            <w:r w:rsidRPr="00EB13BB">
              <w:rPr>
                <w:rFonts w:ascii="Helvetica" w:eastAsia="Times New Roman" w:hAnsi="Helvetica" w:cs="Helvetica"/>
                <w:color w:val="222222"/>
                <w:sz w:val="24"/>
                <w:szCs w:val="24"/>
                <w:lang w:eastAsia="es-CO"/>
              </w:rPr>
              <w:t>explicación</w:t>
            </w:r>
            <w:proofErr w:type="spellEnd"/>
            <w:r w:rsidRPr="00EB13BB">
              <w:rPr>
                <w:rFonts w:ascii="Helvetica" w:eastAsia="Times New Roman" w:hAnsi="Helvetica" w:cs="Helvetica"/>
                <w:color w:val="222222"/>
                <w:sz w:val="24"/>
                <w:szCs w:val="24"/>
                <w:lang w:eastAsia="es-CO"/>
              </w:rPr>
              <w:t xml:space="preserve"> </w:t>
            </w:r>
            <w:proofErr w:type="spellStart"/>
            <w:r w:rsidRPr="00EB13BB">
              <w:rPr>
                <w:rFonts w:ascii="Helvetica" w:eastAsia="Times New Roman" w:hAnsi="Helvetica" w:cs="Helvetica"/>
                <w:color w:val="222222"/>
                <w:sz w:val="24"/>
                <w:szCs w:val="24"/>
                <w:lang w:eastAsia="es-CO"/>
              </w:rPr>
              <w:t>científica</w:t>
            </w:r>
            <w:proofErr w:type="spellEnd"/>
            <w:r w:rsidRPr="00EB13BB">
              <w:rPr>
                <w:rFonts w:ascii="Helvetica" w:eastAsia="Times New Roman" w:hAnsi="Helvetica" w:cs="Helvetica"/>
                <w:color w:val="222222"/>
                <w:sz w:val="24"/>
                <w:szCs w:val="24"/>
                <w:lang w:eastAsia="es-CO"/>
              </w:rPr>
              <w:t xml:space="preserve">. </w:t>
            </w:r>
            <w:proofErr w:type="gramStart"/>
            <w:r w:rsidRPr="00EB13BB">
              <w:rPr>
                <w:rFonts w:ascii="Helvetica" w:eastAsia="Times New Roman" w:hAnsi="Helvetica" w:cs="Helvetica"/>
                <w:color w:val="222222"/>
                <w:sz w:val="24"/>
                <w:szCs w:val="24"/>
                <w:lang w:eastAsia="es-CO"/>
              </w:rPr>
              <w:t>estudios</w:t>
            </w:r>
            <w:proofErr w:type="gramEnd"/>
            <w:r w:rsidRPr="00EB13BB">
              <w:rPr>
                <w:rFonts w:ascii="Helvetica" w:eastAsia="Times New Roman" w:hAnsi="Helvetica" w:cs="Helvetica"/>
                <w:color w:val="222222"/>
                <w:sz w:val="24"/>
                <w:szCs w:val="24"/>
                <w:lang w:eastAsia="es-CO"/>
              </w:rPr>
              <w:t xml:space="preserve"> sobre la </w:t>
            </w:r>
            <w:proofErr w:type="spellStart"/>
            <w:r w:rsidRPr="00EB13BB">
              <w:rPr>
                <w:rFonts w:ascii="Helvetica" w:eastAsia="Times New Roman" w:hAnsi="Helvetica" w:cs="Helvetica"/>
                <w:color w:val="222222"/>
                <w:sz w:val="24"/>
                <w:szCs w:val="24"/>
                <w:lang w:eastAsia="es-CO"/>
              </w:rPr>
              <w:t>filosofía</w:t>
            </w:r>
            <w:proofErr w:type="spellEnd"/>
            <w:r w:rsidRPr="00EB13BB">
              <w:rPr>
                <w:rFonts w:ascii="Helvetica" w:eastAsia="Times New Roman" w:hAnsi="Helvetica" w:cs="Helvetica"/>
                <w:color w:val="222222"/>
                <w:sz w:val="24"/>
                <w:szCs w:val="24"/>
                <w:lang w:eastAsia="es-CO"/>
              </w:rPr>
              <w:t xml:space="preserve"> de la ciencia. Barcelona: </w:t>
            </w:r>
            <w:proofErr w:type="spellStart"/>
            <w:r w:rsidRPr="00EB13BB">
              <w:rPr>
                <w:rFonts w:ascii="Helvetica" w:eastAsia="Times New Roman" w:hAnsi="Helvetica" w:cs="Helvetica"/>
                <w:color w:val="222222"/>
                <w:sz w:val="24"/>
                <w:szCs w:val="24"/>
                <w:lang w:eastAsia="es-CO"/>
              </w:rPr>
              <w:t>Paidós</w:t>
            </w:r>
            <w:proofErr w:type="spellEnd"/>
            <w:r w:rsidRPr="00EB13BB">
              <w:rPr>
                <w:rFonts w:ascii="Helvetica" w:eastAsia="Times New Roman" w:hAnsi="Helvetica" w:cs="Helvetica"/>
                <w:color w:val="222222"/>
                <w:sz w:val="24"/>
                <w:szCs w:val="24"/>
                <w:lang w:eastAsia="es-CO"/>
              </w:rPr>
              <w:t xml:space="preserve">. Ortega Torres, A. (2016). Las verdades del desminado: Retos y oportunidades del plan "paz </w:t>
            </w:r>
            <w:proofErr w:type="spellStart"/>
            <w:r w:rsidRPr="00EB13BB">
              <w:rPr>
                <w:rFonts w:ascii="Helvetica" w:eastAsia="Times New Roman" w:hAnsi="Helvetica" w:cs="Helvetica"/>
                <w:color w:val="222222"/>
                <w:sz w:val="24"/>
                <w:szCs w:val="24"/>
                <w:lang w:eastAsia="es-CO"/>
              </w:rPr>
              <w:t>colombia</w:t>
            </w:r>
            <w:proofErr w:type="spellEnd"/>
            <w:r w:rsidRPr="00EB13BB">
              <w:rPr>
                <w:rFonts w:ascii="Helvetica" w:eastAsia="Times New Roman" w:hAnsi="Helvetica" w:cs="Helvetica"/>
                <w:color w:val="222222"/>
                <w:sz w:val="24"/>
                <w:szCs w:val="24"/>
                <w:lang w:eastAsia="es-CO"/>
              </w:rPr>
              <w:t xml:space="preserve">"  Universidad Sergio Arboleda. Popper, K. (1974). Conocimiento objetivo. Madrid: </w:t>
            </w:r>
            <w:proofErr w:type="spellStart"/>
            <w:r w:rsidRPr="00EB13BB">
              <w:rPr>
                <w:rFonts w:ascii="Helvetica" w:eastAsia="Times New Roman" w:hAnsi="Helvetica" w:cs="Helvetica"/>
                <w:color w:val="222222"/>
                <w:sz w:val="24"/>
                <w:szCs w:val="24"/>
                <w:lang w:eastAsia="es-CO"/>
              </w:rPr>
              <w:t>Tecnos</w:t>
            </w:r>
            <w:proofErr w:type="spellEnd"/>
            <w:r w:rsidRPr="00EB13BB">
              <w:rPr>
                <w:rFonts w:ascii="Helvetica" w:eastAsia="Times New Roman" w:hAnsi="Helvetica" w:cs="Helvetica"/>
                <w:color w:val="222222"/>
                <w:sz w:val="24"/>
                <w:szCs w:val="24"/>
                <w:lang w:eastAsia="es-CO"/>
              </w:rPr>
              <w:t xml:space="preserve">. Ríos, J. (2016). Los enclaves de la </w:t>
            </w:r>
            <w:r w:rsidRPr="00EB13BB">
              <w:rPr>
                <w:rFonts w:ascii="Helvetica" w:eastAsia="Times New Roman" w:hAnsi="Helvetica" w:cs="Helvetica"/>
                <w:color w:val="222222"/>
                <w:sz w:val="24"/>
                <w:szCs w:val="24"/>
                <w:lang w:eastAsia="es-CO"/>
              </w:rPr>
              <w:lastRenderedPageBreak/>
              <w:t xml:space="preserve">violencia en Colombia, 1998-2012. Universidad Complutense de Madrid). </w:t>
            </w:r>
            <w:proofErr w:type="spellStart"/>
            <w:r w:rsidRPr="00EB13BB">
              <w:rPr>
                <w:rFonts w:ascii="Helvetica" w:eastAsia="Times New Roman" w:hAnsi="Helvetica" w:cs="Helvetica"/>
                <w:color w:val="222222"/>
                <w:sz w:val="24"/>
                <w:szCs w:val="24"/>
                <w:lang w:eastAsia="es-CO"/>
              </w:rPr>
              <w:t>Retrieved</w:t>
            </w:r>
            <w:proofErr w:type="spellEnd"/>
            <w:r w:rsidRPr="00EB13BB">
              <w:rPr>
                <w:rFonts w:ascii="Helvetica" w:eastAsia="Times New Roman" w:hAnsi="Helvetica" w:cs="Helvetica"/>
                <w:color w:val="222222"/>
                <w:sz w:val="24"/>
                <w:szCs w:val="24"/>
                <w:lang w:eastAsia="es-CO"/>
              </w:rPr>
              <w:t xml:space="preserve"> </w:t>
            </w:r>
            <w:proofErr w:type="spellStart"/>
            <w:r w:rsidRPr="00EB13BB">
              <w:rPr>
                <w:rFonts w:ascii="Helvetica" w:eastAsia="Times New Roman" w:hAnsi="Helvetica" w:cs="Helvetica"/>
                <w:color w:val="222222"/>
                <w:sz w:val="24"/>
                <w:szCs w:val="24"/>
                <w:lang w:eastAsia="es-CO"/>
              </w:rPr>
              <w:t>from</w:t>
            </w:r>
            <w:proofErr w:type="spellEnd"/>
            <w:r w:rsidRPr="00EB13BB">
              <w:rPr>
                <w:rFonts w:ascii="Helvetica" w:eastAsia="Times New Roman" w:hAnsi="Helvetica" w:cs="Helvetica"/>
                <w:color w:val="222222"/>
                <w:sz w:val="24"/>
                <w:szCs w:val="24"/>
                <w:lang w:eastAsia="es-CO"/>
              </w:rPr>
              <w:t> </w:t>
            </w:r>
            <w:hyperlink r:id="rId7" w:tgtFrame="_blank" w:history="1">
              <w:r w:rsidRPr="00EB13BB">
                <w:rPr>
                  <w:rFonts w:ascii="Helvetica" w:eastAsia="Times New Roman" w:hAnsi="Helvetica" w:cs="Helvetica"/>
                  <w:color w:val="1155CC"/>
                  <w:sz w:val="24"/>
                  <w:szCs w:val="24"/>
                  <w:u w:val="single"/>
                  <w:lang w:eastAsia="es-CO"/>
                </w:rPr>
                <w:t>http://eprints.sim.ucm.es/37204/1/T37143.pdf</w:t>
              </w:r>
            </w:hyperlink>
            <w:r w:rsidRPr="00EB13BB">
              <w:rPr>
                <w:rFonts w:ascii="Helvetica" w:eastAsia="Times New Roman" w:hAnsi="Helvetica" w:cs="Helvetica"/>
                <w:color w:val="222222"/>
                <w:sz w:val="24"/>
                <w:szCs w:val="24"/>
                <w:lang w:eastAsia="es-CO"/>
              </w:rPr>
              <w:t> </w:t>
            </w:r>
            <w:proofErr w:type="spellStart"/>
            <w:r w:rsidRPr="00EB13BB">
              <w:rPr>
                <w:rFonts w:ascii="Helvetica" w:eastAsia="Times New Roman" w:hAnsi="Helvetica" w:cs="Helvetica"/>
                <w:color w:val="222222"/>
                <w:sz w:val="24"/>
                <w:szCs w:val="24"/>
                <w:lang w:eastAsia="es-CO"/>
              </w:rPr>
              <w:t>Tollefsen</w:t>
            </w:r>
            <w:proofErr w:type="spellEnd"/>
            <w:r w:rsidRPr="00EB13BB">
              <w:rPr>
                <w:rFonts w:ascii="Helvetica" w:eastAsia="Times New Roman" w:hAnsi="Helvetica" w:cs="Helvetica"/>
                <w:color w:val="222222"/>
                <w:sz w:val="24"/>
                <w:szCs w:val="24"/>
                <w:lang w:eastAsia="es-CO"/>
              </w:rPr>
              <w:t xml:space="preserve">, A. F., &amp; </w:t>
            </w:r>
            <w:proofErr w:type="spellStart"/>
            <w:r w:rsidRPr="00EB13BB">
              <w:rPr>
                <w:rFonts w:ascii="Helvetica" w:eastAsia="Times New Roman" w:hAnsi="Helvetica" w:cs="Helvetica"/>
                <w:color w:val="222222"/>
                <w:sz w:val="24"/>
                <w:szCs w:val="24"/>
                <w:lang w:eastAsia="es-CO"/>
              </w:rPr>
              <w:t>Buhaug</w:t>
            </w:r>
            <w:proofErr w:type="spellEnd"/>
            <w:r w:rsidRPr="00EB13BB">
              <w:rPr>
                <w:rFonts w:ascii="Helvetica" w:eastAsia="Times New Roman" w:hAnsi="Helvetica" w:cs="Helvetica"/>
                <w:color w:val="222222"/>
                <w:sz w:val="24"/>
                <w:szCs w:val="24"/>
                <w:lang w:eastAsia="es-CO"/>
              </w:rPr>
              <w:t xml:space="preserve">, H. (2015). </w:t>
            </w:r>
            <w:proofErr w:type="spellStart"/>
            <w:r w:rsidRPr="00EB13BB">
              <w:rPr>
                <w:rFonts w:ascii="Helvetica" w:eastAsia="Times New Roman" w:hAnsi="Helvetica" w:cs="Helvetica"/>
                <w:color w:val="222222"/>
                <w:sz w:val="24"/>
                <w:szCs w:val="24"/>
                <w:lang w:eastAsia="es-CO"/>
              </w:rPr>
              <w:t>Insurgency</w:t>
            </w:r>
            <w:proofErr w:type="spellEnd"/>
            <w:r w:rsidRPr="00EB13BB">
              <w:rPr>
                <w:rFonts w:ascii="Helvetica" w:eastAsia="Times New Roman" w:hAnsi="Helvetica" w:cs="Helvetica"/>
                <w:color w:val="222222"/>
                <w:sz w:val="24"/>
                <w:szCs w:val="24"/>
                <w:lang w:eastAsia="es-CO"/>
              </w:rPr>
              <w:t xml:space="preserve"> and </w:t>
            </w:r>
            <w:proofErr w:type="spellStart"/>
            <w:r w:rsidRPr="00EB13BB">
              <w:rPr>
                <w:rFonts w:ascii="Helvetica" w:eastAsia="Times New Roman" w:hAnsi="Helvetica" w:cs="Helvetica"/>
                <w:color w:val="222222"/>
                <w:sz w:val="24"/>
                <w:szCs w:val="24"/>
                <w:lang w:eastAsia="es-CO"/>
              </w:rPr>
              <w:t>inaccessibility</w:t>
            </w:r>
            <w:proofErr w:type="spellEnd"/>
            <w:r w:rsidRPr="00EB13BB">
              <w:rPr>
                <w:rFonts w:ascii="Helvetica" w:eastAsia="Times New Roman" w:hAnsi="Helvetica" w:cs="Helvetica"/>
                <w:color w:val="222222"/>
                <w:sz w:val="24"/>
                <w:szCs w:val="24"/>
                <w:lang w:eastAsia="es-CO"/>
              </w:rPr>
              <w:t xml:space="preserve">. International </w:t>
            </w:r>
            <w:proofErr w:type="spellStart"/>
            <w:r w:rsidRPr="00EB13BB">
              <w:rPr>
                <w:rFonts w:ascii="Helvetica" w:eastAsia="Times New Roman" w:hAnsi="Helvetica" w:cs="Helvetica"/>
                <w:color w:val="222222"/>
                <w:sz w:val="24"/>
                <w:szCs w:val="24"/>
                <w:lang w:eastAsia="es-CO"/>
              </w:rPr>
              <w:t>Studies</w:t>
            </w:r>
            <w:proofErr w:type="spellEnd"/>
            <w:r w:rsidRPr="00EB13BB">
              <w:rPr>
                <w:rFonts w:ascii="Helvetica" w:eastAsia="Times New Roman" w:hAnsi="Helvetica" w:cs="Helvetica"/>
                <w:color w:val="222222"/>
                <w:sz w:val="24"/>
                <w:szCs w:val="24"/>
                <w:lang w:eastAsia="es-CO"/>
              </w:rPr>
              <w:t xml:space="preserve"> </w:t>
            </w:r>
            <w:proofErr w:type="spellStart"/>
            <w:r w:rsidRPr="00EB13BB">
              <w:rPr>
                <w:rFonts w:ascii="Helvetica" w:eastAsia="Times New Roman" w:hAnsi="Helvetica" w:cs="Helvetica"/>
                <w:color w:val="222222"/>
                <w:sz w:val="24"/>
                <w:szCs w:val="24"/>
                <w:lang w:eastAsia="es-CO"/>
              </w:rPr>
              <w:t>Review</w:t>
            </w:r>
            <w:proofErr w:type="spellEnd"/>
            <w:r w:rsidRPr="00EB13BB">
              <w:rPr>
                <w:rFonts w:ascii="Helvetica" w:eastAsia="Times New Roman" w:hAnsi="Helvetica" w:cs="Helvetica"/>
                <w:color w:val="222222"/>
                <w:sz w:val="24"/>
                <w:szCs w:val="24"/>
                <w:lang w:eastAsia="es-CO"/>
              </w:rPr>
              <w:t xml:space="preserve">, 17(1), 6-25. 10.1111/misr.12202 </w:t>
            </w:r>
            <w:proofErr w:type="spellStart"/>
            <w:r w:rsidRPr="00EB13BB">
              <w:rPr>
                <w:rFonts w:ascii="Helvetica" w:eastAsia="Times New Roman" w:hAnsi="Helvetica" w:cs="Helvetica"/>
                <w:color w:val="222222"/>
                <w:sz w:val="24"/>
                <w:szCs w:val="24"/>
                <w:lang w:eastAsia="es-CO"/>
              </w:rPr>
              <w:t>Retrieved</w:t>
            </w:r>
            <w:proofErr w:type="spellEnd"/>
            <w:r w:rsidRPr="00EB13BB">
              <w:rPr>
                <w:rFonts w:ascii="Helvetica" w:eastAsia="Times New Roman" w:hAnsi="Helvetica" w:cs="Helvetica"/>
                <w:color w:val="222222"/>
                <w:sz w:val="24"/>
                <w:szCs w:val="24"/>
                <w:lang w:eastAsia="es-CO"/>
              </w:rPr>
              <w:t xml:space="preserve"> from </w:t>
            </w:r>
            <w:hyperlink r:id="rId8" w:tgtFrame="_blank" w:history="1">
              <w:r w:rsidRPr="00EB13BB">
                <w:rPr>
                  <w:rFonts w:ascii="Helvetica" w:eastAsia="Times New Roman" w:hAnsi="Helvetica" w:cs="Helvetica"/>
                  <w:color w:val="1155CC"/>
                  <w:sz w:val="24"/>
                  <w:szCs w:val="24"/>
                  <w:u w:val="single"/>
                  <w:lang w:eastAsia="es-CO"/>
                </w:rPr>
                <w:t>http://onlinelibrary.wiley.com/doi/10.1111/misr.12202/abstract</w:t>
              </w:r>
            </w:hyperlink>
            <w:r w:rsidRPr="00EB13BB">
              <w:rPr>
                <w:rFonts w:ascii="Helvetica" w:eastAsia="Times New Roman" w:hAnsi="Helvetica" w:cs="Helvetica"/>
                <w:color w:val="222222"/>
                <w:sz w:val="24"/>
                <w:szCs w:val="24"/>
                <w:lang w:eastAsia="es-CO"/>
              </w:rPr>
              <w:t xml:space="preserve"> Vidal, G. (2008). La Teoría de la Elección Racional en las ciencias sociales. Sociológica, 23(67), 221-236. </w:t>
            </w:r>
            <w:proofErr w:type="spellStart"/>
            <w:r w:rsidRPr="00EB13BB">
              <w:rPr>
                <w:rFonts w:ascii="Helvetica" w:eastAsia="Times New Roman" w:hAnsi="Helvetica" w:cs="Helvetica"/>
                <w:color w:val="222222"/>
                <w:sz w:val="24"/>
                <w:szCs w:val="24"/>
                <w:lang w:eastAsia="es-CO"/>
              </w:rPr>
              <w:t>Retrieved</w:t>
            </w:r>
            <w:proofErr w:type="spellEnd"/>
            <w:r w:rsidRPr="00EB13BB">
              <w:rPr>
                <w:rFonts w:ascii="Helvetica" w:eastAsia="Times New Roman" w:hAnsi="Helvetica" w:cs="Helvetica"/>
                <w:color w:val="222222"/>
                <w:sz w:val="24"/>
                <w:szCs w:val="24"/>
                <w:lang w:eastAsia="es-CO"/>
              </w:rPr>
              <w:t xml:space="preserve"> </w:t>
            </w:r>
            <w:proofErr w:type="spellStart"/>
            <w:r w:rsidRPr="00EB13BB">
              <w:rPr>
                <w:rFonts w:ascii="Helvetica" w:eastAsia="Times New Roman" w:hAnsi="Helvetica" w:cs="Helvetica"/>
                <w:color w:val="222222"/>
                <w:sz w:val="24"/>
                <w:szCs w:val="24"/>
                <w:lang w:eastAsia="es-CO"/>
              </w:rPr>
              <w:t>from</w:t>
            </w:r>
            <w:proofErr w:type="spellEnd"/>
            <w:r w:rsidRPr="00EB13BB">
              <w:rPr>
                <w:rFonts w:ascii="Helvetica" w:eastAsia="Times New Roman" w:hAnsi="Helvetica" w:cs="Helvetica"/>
                <w:color w:val="222222"/>
                <w:sz w:val="24"/>
                <w:szCs w:val="24"/>
                <w:lang w:eastAsia="es-CO"/>
              </w:rPr>
              <w:t> </w:t>
            </w:r>
            <w:hyperlink r:id="rId9" w:tgtFrame="_blank" w:history="1">
              <w:r w:rsidRPr="00EB13BB">
                <w:rPr>
                  <w:rFonts w:ascii="Helvetica" w:eastAsia="Times New Roman" w:hAnsi="Helvetica" w:cs="Helvetica"/>
                  <w:color w:val="1155CC"/>
                  <w:sz w:val="24"/>
                  <w:szCs w:val="24"/>
                  <w:u w:val="single"/>
                  <w:lang w:eastAsia="es-CO"/>
                </w:rPr>
                <w:t>http://dialnet.unirioja.es/servlet/oaiart?codigo=4397027</w:t>
              </w:r>
            </w:hyperlink>
          </w:p>
        </w:tc>
      </w:tr>
    </w:tbl>
    <w:p w:rsidR="00EB13BB" w:rsidRPr="00EB13BB" w:rsidRDefault="00EB13BB" w:rsidP="00EB13BB">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EB13BB" w:rsidRPr="00EB13BB" w:rsidTr="00EB13BB">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EB13BB" w:rsidRPr="00EB13BB" w:rsidRDefault="00EB13BB" w:rsidP="00EB13BB">
            <w:pPr>
              <w:spacing w:before="100" w:beforeAutospacing="1" w:after="100" w:afterAutospacing="1" w:line="240" w:lineRule="auto"/>
              <w:jc w:val="center"/>
              <w:rPr>
                <w:rFonts w:ascii="Arial" w:eastAsia="Times New Roman" w:hAnsi="Arial" w:cs="Arial"/>
                <w:b/>
                <w:bCs/>
                <w:color w:val="222222"/>
                <w:sz w:val="24"/>
                <w:szCs w:val="24"/>
                <w:lang w:eastAsia="es-CO"/>
              </w:rPr>
            </w:pPr>
            <w:r w:rsidRPr="00EB13BB">
              <w:rPr>
                <w:rFonts w:ascii="Arial" w:eastAsia="Times New Roman" w:hAnsi="Arial" w:cs="Arial"/>
                <w:b/>
                <w:bCs/>
                <w:color w:val="222222"/>
                <w:sz w:val="24"/>
                <w:szCs w:val="24"/>
                <w:lang w:eastAsia="es-CO"/>
              </w:rPr>
              <w:t>Documentos adjuntos</w:t>
            </w:r>
          </w:p>
        </w:tc>
      </w:tr>
      <w:tr w:rsidR="00EB13BB" w:rsidRPr="00EB13BB" w:rsidTr="00EB13BB">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Acta aval FAGORI y GEGRI FODEIN 2019.pdf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EB13BB" w:rsidRPr="00EB13BB" w:rsidRDefault="00EB13BB" w:rsidP="00EB13BB">
            <w:pPr>
              <w:spacing w:after="0" w:line="240" w:lineRule="auto"/>
              <w:jc w:val="both"/>
              <w:rPr>
                <w:rFonts w:ascii="Helvetica" w:eastAsia="Times New Roman" w:hAnsi="Helvetica" w:cs="Helvetica"/>
                <w:color w:val="222222"/>
                <w:sz w:val="24"/>
                <w:szCs w:val="24"/>
                <w:lang w:eastAsia="es-CO"/>
              </w:rPr>
            </w:pPr>
            <w:r w:rsidRPr="00EB13BB">
              <w:rPr>
                <w:rFonts w:ascii="Helvetica" w:eastAsia="Times New Roman" w:hAnsi="Helvetica" w:cs="Helvetica"/>
                <w:color w:val="222222"/>
                <w:sz w:val="24"/>
                <w:szCs w:val="24"/>
                <w:lang w:eastAsia="es-CO"/>
              </w:rPr>
              <w:t>Acta aval FAGORI y GEGRI FODEIN 2019.pdf</w:t>
            </w: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EB13BB" w:rsidRPr="00EB13BB" w:rsidRDefault="00EB13BB" w:rsidP="00EB13BB">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270E0F" w:rsidRDefault="00270E0F"/>
    <w:sectPr w:rsidR="00270E0F" w:rsidSect="00EB13BB">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BB"/>
    <w:rsid w:val="000D5D2F"/>
    <w:rsid w:val="00270E0F"/>
    <w:rsid w:val="00C30D15"/>
    <w:rsid w:val="00E95D55"/>
    <w:rsid w:val="00EB13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1E02E-D143-42AB-B69A-842EA5DC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B13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13BB"/>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EB13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79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library.wiley.com/doi/10.1111/misr.12202/abstract" TargetMode="External"/><Relationship Id="rId3" Type="http://schemas.openxmlformats.org/officeDocument/2006/relationships/webSettings" Target="webSettings.xml"/><Relationship Id="rId7" Type="http://schemas.openxmlformats.org/officeDocument/2006/relationships/hyperlink" Target="http://eprints.sim.ucm.es/37204/1/T3714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ta.theeuropeanlibrary.org/BibliographicResource/2000066893671" TargetMode="External"/><Relationship Id="rId11" Type="http://schemas.openxmlformats.org/officeDocument/2006/relationships/theme" Target="theme/theme1.xml"/><Relationship Id="rId5" Type="http://schemas.openxmlformats.org/officeDocument/2006/relationships/hyperlink" Target="http://www.accioncontraminas.gov.co/accion/desminado/Paginas/Desminado-Humanitario.aspx" TargetMode="External"/><Relationship Id="rId10" Type="http://schemas.openxmlformats.org/officeDocument/2006/relationships/fontTable" Target="fontTable.xml"/><Relationship Id="rId4" Type="http://schemas.openxmlformats.org/officeDocument/2006/relationships/hyperlink" Target="http://dialnet.unirioja.es/servlet/oaiart?codigo=3877650" TargetMode="External"/><Relationship Id="rId9" Type="http://schemas.openxmlformats.org/officeDocument/2006/relationships/hyperlink" Target="http://dialnet.unirioja.es/servlet/oaiart?codigo=439702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2505</Words>
  <Characters>13783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3</cp:revision>
  <dcterms:created xsi:type="dcterms:W3CDTF">2018-09-06T16:53:00Z</dcterms:created>
  <dcterms:modified xsi:type="dcterms:W3CDTF">2018-09-14T18:06:00Z</dcterms:modified>
</cp:coreProperties>
</file>