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1A4A" w:rsidRPr="00037A00" w:rsidRDefault="006C3C5D" w:rsidP="00AB1A4A">
      <w:pPr>
        <w:spacing w:after="0" w:line="360" w:lineRule="auto"/>
        <w:jc w:val="both"/>
        <w:rPr>
          <w:rFonts w:ascii="Arial" w:hAnsi="Arial" w:cs="Arial"/>
          <w:b/>
          <w:sz w:val="24"/>
          <w:szCs w:val="24"/>
        </w:rPr>
      </w:pPr>
      <w:r>
        <w:rPr>
          <w:rFonts w:ascii="Arial" w:hAnsi="Arial" w:cs="Arial"/>
          <w:b/>
          <w:sz w:val="24"/>
          <w:szCs w:val="24"/>
        </w:rPr>
        <w:t xml:space="preserve">Investigar </w:t>
      </w:r>
      <w:r w:rsidR="0060192A">
        <w:rPr>
          <w:rFonts w:ascii="Arial" w:hAnsi="Arial" w:cs="Arial"/>
          <w:b/>
          <w:sz w:val="24"/>
          <w:szCs w:val="24"/>
        </w:rPr>
        <w:t xml:space="preserve">el derecho a </w:t>
      </w:r>
      <w:r>
        <w:rPr>
          <w:rFonts w:ascii="Arial" w:hAnsi="Arial" w:cs="Arial"/>
          <w:b/>
          <w:sz w:val="24"/>
          <w:szCs w:val="24"/>
        </w:rPr>
        <w:t>la propiedad privada en Colombia a través de las constituciones</w:t>
      </w:r>
      <w:r w:rsidR="00AB1A4A">
        <w:rPr>
          <w:rFonts w:ascii="Arial" w:hAnsi="Arial" w:cs="Arial"/>
          <w:b/>
          <w:sz w:val="24"/>
          <w:szCs w:val="24"/>
        </w:rPr>
        <w:t>.</w:t>
      </w:r>
      <w:r w:rsidR="00AB1A4A" w:rsidRPr="00AB1A4A">
        <w:rPr>
          <w:rFonts w:ascii="Arial" w:hAnsi="Arial" w:cs="Arial"/>
          <w:b/>
          <w:sz w:val="24"/>
          <w:szCs w:val="24"/>
        </w:rPr>
        <w:t xml:space="preserve"> </w:t>
      </w:r>
      <w:r w:rsidR="00AB1A4A">
        <w:rPr>
          <w:rFonts w:ascii="Arial" w:hAnsi="Arial" w:cs="Arial"/>
          <w:b/>
          <w:sz w:val="24"/>
          <w:szCs w:val="24"/>
        </w:rPr>
        <w:t>Crónica investigativa</w:t>
      </w:r>
      <w:r w:rsidR="00AB1A4A" w:rsidRPr="00037A00">
        <w:rPr>
          <w:rStyle w:val="Refdenotaalpie"/>
          <w:rFonts w:ascii="Arial" w:hAnsi="Arial" w:cs="Arial"/>
          <w:b/>
          <w:sz w:val="24"/>
          <w:szCs w:val="24"/>
        </w:rPr>
        <w:footnoteReference w:id="1"/>
      </w:r>
    </w:p>
    <w:p w:rsidR="00AB1A4A" w:rsidRDefault="00AB1A4A" w:rsidP="006C3C5D">
      <w:pPr>
        <w:spacing w:after="0" w:line="360" w:lineRule="auto"/>
        <w:jc w:val="both"/>
        <w:rPr>
          <w:rFonts w:ascii="Arial" w:hAnsi="Arial" w:cs="Arial"/>
          <w:sz w:val="24"/>
          <w:szCs w:val="24"/>
        </w:rPr>
      </w:pPr>
    </w:p>
    <w:p w:rsidR="001F19A3" w:rsidRPr="00037A00" w:rsidRDefault="001F19A3" w:rsidP="006C3C5D">
      <w:pPr>
        <w:spacing w:after="0" w:line="360" w:lineRule="auto"/>
        <w:jc w:val="both"/>
        <w:rPr>
          <w:rFonts w:ascii="Arial" w:hAnsi="Arial" w:cs="Arial"/>
          <w:sz w:val="24"/>
          <w:szCs w:val="24"/>
        </w:rPr>
      </w:pPr>
      <w:r w:rsidRPr="00037A00">
        <w:rPr>
          <w:rFonts w:ascii="Arial" w:hAnsi="Arial" w:cs="Arial"/>
          <w:sz w:val="24"/>
          <w:szCs w:val="24"/>
        </w:rPr>
        <w:t>Milena González Piñeros</w:t>
      </w:r>
      <w:r w:rsidRPr="00037A00">
        <w:rPr>
          <w:rStyle w:val="Refdenotaalpie"/>
          <w:rFonts w:ascii="Arial" w:hAnsi="Arial" w:cs="Arial"/>
          <w:sz w:val="24"/>
          <w:szCs w:val="24"/>
        </w:rPr>
        <w:footnoteReference w:id="2"/>
      </w:r>
      <w:r w:rsidRPr="00037A00">
        <w:rPr>
          <w:rFonts w:ascii="Arial" w:hAnsi="Arial" w:cs="Arial"/>
          <w:sz w:val="24"/>
          <w:szCs w:val="24"/>
        </w:rPr>
        <w:t xml:space="preserve"> y </w:t>
      </w:r>
      <w:r w:rsidRPr="001257F0">
        <w:rPr>
          <w:rFonts w:ascii="Arial" w:hAnsi="Arial" w:cs="Arial"/>
          <w:sz w:val="24"/>
          <w:szCs w:val="24"/>
          <w:u w:val="single"/>
        </w:rPr>
        <w:t>Laura Garnica Posada</w:t>
      </w:r>
      <w:r w:rsidRPr="00037A00">
        <w:rPr>
          <w:rStyle w:val="Refdenotaalpie"/>
          <w:rFonts w:ascii="Arial" w:hAnsi="Arial" w:cs="Arial"/>
          <w:sz w:val="24"/>
          <w:szCs w:val="24"/>
        </w:rPr>
        <w:footnoteReference w:id="3"/>
      </w:r>
    </w:p>
    <w:p w:rsidR="006C3C5D" w:rsidRDefault="006C3C5D" w:rsidP="006C3C5D">
      <w:pPr>
        <w:spacing w:after="0" w:line="360" w:lineRule="auto"/>
        <w:jc w:val="both"/>
        <w:rPr>
          <w:rFonts w:ascii="Arial" w:hAnsi="Arial" w:cs="Arial"/>
          <w:b/>
          <w:sz w:val="24"/>
          <w:szCs w:val="24"/>
        </w:rPr>
      </w:pPr>
    </w:p>
    <w:p w:rsidR="007A4FEC" w:rsidRPr="00037A00" w:rsidRDefault="007A4FEC" w:rsidP="00BF3611">
      <w:pPr>
        <w:spacing w:after="0" w:line="360" w:lineRule="auto"/>
        <w:jc w:val="both"/>
        <w:rPr>
          <w:rFonts w:ascii="Arial" w:hAnsi="Arial" w:cs="Arial"/>
          <w:sz w:val="24"/>
          <w:szCs w:val="24"/>
        </w:rPr>
      </w:pPr>
      <w:r w:rsidRPr="00037A00">
        <w:rPr>
          <w:rFonts w:ascii="Arial" w:hAnsi="Arial" w:cs="Arial"/>
          <w:b/>
          <w:sz w:val="24"/>
          <w:szCs w:val="24"/>
        </w:rPr>
        <w:t>Resumen.</w:t>
      </w:r>
      <w:r w:rsidRPr="00037A00">
        <w:rPr>
          <w:rFonts w:ascii="Arial" w:hAnsi="Arial" w:cs="Arial"/>
          <w:sz w:val="24"/>
          <w:szCs w:val="24"/>
        </w:rPr>
        <w:t xml:space="preserve"> </w:t>
      </w:r>
      <w:r w:rsidR="0060192A">
        <w:rPr>
          <w:rFonts w:ascii="Arial" w:hAnsi="Arial" w:cs="Arial"/>
          <w:sz w:val="24"/>
          <w:szCs w:val="24"/>
        </w:rPr>
        <w:t>Describir la experiencia investigativa en el desarrollo del proyecto: el derecho a la propiedad privada por medio de los textos constitucionales</w:t>
      </w:r>
      <w:r w:rsidR="00BF3611">
        <w:rPr>
          <w:rFonts w:ascii="Arial" w:hAnsi="Arial" w:cs="Arial"/>
          <w:sz w:val="24"/>
          <w:szCs w:val="24"/>
        </w:rPr>
        <w:t xml:space="preserve"> es el objetivo de este escrito. A través de una crónica investigativa se mencionan los diferentes momentos que ha tenido este proyecto, desde las iniciativas y motivaciones, pasando por las experiencias formativas en la consulta de fuentes históricas y la construcción de bases de datos, y finalizando con las perspectivas en el tema. </w:t>
      </w:r>
    </w:p>
    <w:p w:rsidR="00037A00" w:rsidRPr="00037A00" w:rsidRDefault="007A4FEC" w:rsidP="006C3C5D">
      <w:pPr>
        <w:spacing w:after="0" w:line="360" w:lineRule="auto"/>
        <w:jc w:val="both"/>
        <w:rPr>
          <w:rFonts w:ascii="Arial" w:hAnsi="Arial" w:cs="Arial"/>
          <w:sz w:val="24"/>
          <w:szCs w:val="24"/>
        </w:rPr>
      </w:pPr>
      <w:r w:rsidRPr="00037A00">
        <w:rPr>
          <w:rFonts w:ascii="Arial" w:hAnsi="Arial" w:cs="Arial"/>
          <w:b/>
          <w:sz w:val="24"/>
          <w:szCs w:val="24"/>
        </w:rPr>
        <w:t>Palabras claves</w:t>
      </w:r>
      <w:r w:rsidRPr="00037A00">
        <w:rPr>
          <w:rFonts w:ascii="Arial" w:hAnsi="Arial" w:cs="Arial"/>
          <w:sz w:val="24"/>
          <w:szCs w:val="24"/>
        </w:rPr>
        <w:t xml:space="preserve">. </w:t>
      </w:r>
      <w:r w:rsidR="0060192A" w:rsidRPr="00037A00">
        <w:rPr>
          <w:rFonts w:ascii="Arial" w:hAnsi="Arial" w:cs="Arial"/>
          <w:sz w:val="24"/>
          <w:szCs w:val="24"/>
        </w:rPr>
        <w:t>Colombia</w:t>
      </w:r>
      <w:r w:rsidR="0060192A">
        <w:rPr>
          <w:rFonts w:ascii="Arial" w:hAnsi="Arial" w:cs="Arial"/>
          <w:sz w:val="24"/>
          <w:szCs w:val="24"/>
        </w:rPr>
        <w:t>,</w:t>
      </w:r>
      <w:r w:rsidR="0060192A" w:rsidRPr="00037A00">
        <w:rPr>
          <w:rFonts w:ascii="Arial" w:hAnsi="Arial" w:cs="Arial"/>
          <w:sz w:val="24"/>
          <w:szCs w:val="24"/>
        </w:rPr>
        <w:t xml:space="preserve"> </w:t>
      </w:r>
      <w:r w:rsidR="00037A00" w:rsidRPr="00037A00">
        <w:rPr>
          <w:rFonts w:ascii="Arial" w:hAnsi="Arial" w:cs="Arial"/>
          <w:sz w:val="24"/>
          <w:szCs w:val="24"/>
        </w:rPr>
        <w:t xml:space="preserve">Constitución, Derecho a la propiedad privada, </w:t>
      </w:r>
      <w:bookmarkStart w:id="0" w:name="_GoBack"/>
      <w:r w:rsidR="0060192A">
        <w:rPr>
          <w:rFonts w:ascii="Arial" w:hAnsi="Arial" w:cs="Arial"/>
          <w:sz w:val="24"/>
          <w:szCs w:val="24"/>
        </w:rPr>
        <w:t>Historia constitucional</w:t>
      </w:r>
      <w:bookmarkEnd w:id="0"/>
      <w:r w:rsidR="0060192A">
        <w:rPr>
          <w:rFonts w:ascii="Arial" w:hAnsi="Arial" w:cs="Arial"/>
          <w:sz w:val="24"/>
          <w:szCs w:val="24"/>
        </w:rPr>
        <w:t>, Metodología</w:t>
      </w:r>
    </w:p>
    <w:p w:rsidR="008E1441" w:rsidRDefault="008E1441" w:rsidP="006C3C5D">
      <w:pPr>
        <w:spacing w:after="0" w:line="360" w:lineRule="auto"/>
        <w:jc w:val="both"/>
        <w:rPr>
          <w:rFonts w:ascii="Arial" w:hAnsi="Arial" w:cs="Arial"/>
          <w:sz w:val="24"/>
          <w:szCs w:val="24"/>
        </w:rPr>
      </w:pPr>
    </w:p>
    <w:p w:rsidR="00B83BE5" w:rsidRDefault="008E1441" w:rsidP="00EB24E8">
      <w:pPr>
        <w:spacing w:after="0" w:line="360" w:lineRule="auto"/>
        <w:ind w:firstLine="708"/>
        <w:jc w:val="both"/>
        <w:rPr>
          <w:rFonts w:ascii="Arial" w:hAnsi="Arial" w:cs="Arial"/>
          <w:sz w:val="24"/>
          <w:szCs w:val="24"/>
        </w:rPr>
      </w:pPr>
      <w:r>
        <w:rPr>
          <w:rFonts w:ascii="Arial" w:hAnsi="Arial" w:cs="Arial"/>
          <w:sz w:val="24"/>
          <w:szCs w:val="24"/>
        </w:rPr>
        <w:t>La iniciativa por investigar sobre el derecho a la propiedad privada en Colombia surge por investigaciones anteriores so</w:t>
      </w:r>
      <w:r w:rsidR="00A94F3E">
        <w:rPr>
          <w:rFonts w:ascii="Arial" w:hAnsi="Arial" w:cs="Arial"/>
          <w:sz w:val="24"/>
          <w:szCs w:val="24"/>
        </w:rPr>
        <w:t>bre este fenómeno en el proceso constituyente en Bolivia</w:t>
      </w:r>
      <w:r w:rsidR="00A94F3E">
        <w:rPr>
          <w:rStyle w:val="Refdenotaalpie"/>
          <w:rFonts w:ascii="Arial" w:hAnsi="Arial" w:cs="Arial"/>
          <w:sz w:val="24"/>
          <w:szCs w:val="24"/>
        </w:rPr>
        <w:footnoteReference w:id="4"/>
      </w:r>
      <w:r w:rsidR="00A94F3E">
        <w:rPr>
          <w:rFonts w:ascii="Arial" w:hAnsi="Arial" w:cs="Arial"/>
          <w:sz w:val="24"/>
          <w:szCs w:val="24"/>
        </w:rPr>
        <w:t xml:space="preserve"> en las que se pudo evidenciar transformaciones significativas en la enunciación jurídica del derecho como resultado de procesos constituyentes en los que se redefinió la estructura misma del Estado boliviano. </w:t>
      </w:r>
      <w:r w:rsidR="00B83BE5">
        <w:rPr>
          <w:rFonts w:ascii="Arial" w:hAnsi="Arial" w:cs="Arial"/>
          <w:sz w:val="24"/>
          <w:szCs w:val="24"/>
        </w:rPr>
        <w:t xml:space="preserve">A partir de estos hallazgos, surgen interrogantes en relación con el caso colombiano: </w:t>
      </w:r>
      <w:r w:rsidR="00EB24E8">
        <w:rPr>
          <w:rFonts w:ascii="Arial" w:hAnsi="Arial" w:cs="Arial"/>
          <w:sz w:val="24"/>
          <w:szCs w:val="24"/>
        </w:rPr>
        <w:t>¿C</w:t>
      </w:r>
      <w:r w:rsidR="00B83BE5" w:rsidRPr="00B83BE5">
        <w:rPr>
          <w:rFonts w:ascii="Arial" w:hAnsi="Arial" w:cs="Arial"/>
          <w:sz w:val="24"/>
          <w:szCs w:val="24"/>
        </w:rPr>
        <w:t xml:space="preserve">uáles son los </w:t>
      </w:r>
      <w:r w:rsidR="00B83BE5" w:rsidRPr="00B83BE5">
        <w:rPr>
          <w:rFonts w:ascii="Arial" w:hAnsi="Arial" w:cs="Arial"/>
          <w:sz w:val="24"/>
          <w:szCs w:val="24"/>
        </w:rPr>
        <w:lastRenderedPageBreak/>
        <w:t>cambios y continuidades del derecho a la propiedad privada en Colombia entre 1810 y 1991, desde los procesos constituyentes como escenario de transformaciones políticas?</w:t>
      </w:r>
      <w:r w:rsidR="00B83BE5">
        <w:rPr>
          <w:rFonts w:ascii="Arial" w:hAnsi="Arial" w:cs="Arial"/>
          <w:sz w:val="24"/>
          <w:szCs w:val="24"/>
        </w:rPr>
        <w:t>,</w:t>
      </w:r>
      <w:r w:rsidR="00EB24E8">
        <w:rPr>
          <w:rFonts w:ascii="Arial" w:hAnsi="Arial" w:cs="Arial"/>
          <w:sz w:val="24"/>
          <w:szCs w:val="24"/>
        </w:rPr>
        <w:t xml:space="preserve"> ¿D</w:t>
      </w:r>
      <w:r w:rsidR="00B83BE5" w:rsidRPr="00B83BE5">
        <w:rPr>
          <w:rFonts w:ascii="Arial" w:hAnsi="Arial" w:cs="Arial"/>
          <w:sz w:val="24"/>
          <w:szCs w:val="24"/>
        </w:rPr>
        <w:t>e qué manera se ha transformado este derecho en las Constituciones?</w:t>
      </w:r>
      <w:r w:rsidR="00B83BE5">
        <w:rPr>
          <w:rFonts w:ascii="Arial" w:hAnsi="Arial" w:cs="Arial"/>
          <w:sz w:val="24"/>
          <w:szCs w:val="24"/>
        </w:rPr>
        <w:t>,</w:t>
      </w:r>
      <w:r w:rsidR="00EB24E8">
        <w:rPr>
          <w:rFonts w:ascii="Arial" w:hAnsi="Arial" w:cs="Arial"/>
          <w:sz w:val="24"/>
          <w:szCs w:val="24"/>
        </w:rPr>
        <w:t xml:space="preserve"> ¿Q</w:t>
      </w:r>
      <w:r w:rsidR="00B83BE5" w:rsidRPr="00B83BE5">
        <w:rPr>
          <w:rFonts w:ascii="Arial" w:hAnsi="Arial" w:cs="Arial"/>
          <w:sz w:val="24"/>
          <w:szCs w:val="24"/>
        </w:rPr>
        <w:t>ué papel han jugado los procesos constituyentes en dichos cambios?</w:t>
      </w:r>
    </w:p>
    <w:p w:rsidR="001F657C" w:rsidRDefault="00B83BE5" w:rsidP="00EB24E8">
      <w:pPr>
        <w:spacing w:after="0" w:line="360" w:lineRule="auto"/>
        <w:ind w:firstLine="708"/>
        <w:jc w:val="both"/>
        <w:rPr>
          <w:rFonts w:ascii="Arial" w:hAnsi="Arial" w:cs="Arial"/>
          <w:sz w:val="24"/>
          <w:szCs w:val="24"/>
        </w:rPr>
      </w:pPr>
      <w:r>
        <w:rPr>
          <w:rFonts w:ascii="Arial" w:hAnsi="Arial" w:cs="Arial"/>
          <w:sz w:val="24"/>
          <w:szCs w:val="24"/>
        </w:rPr>
        <w:t xml:space="preserve">Esta iniciativa fue presentada como un proyecto de investigación en la Convocatoria Institucional 2018 </w:t>
      </w:r>
      <w:r w:rsidR="00104DCE">
        <w:rPr>
          <w:rFonts w:ascii="Arial" w:hAnsi="Arial" w:cs="Arial"/>
          <w:sz w:val="24"/>
          <w:szCs w:val="24"/>
        </w:rPr>
        <w:t>de la Universidad siendo seleccionada en el área de las Ciencias Sociales y Humanas. En febrero se iniciaron las primeras tareas previstas para el desarrollo de esta investigación las cuales se centraron en la r</w:t>
      </w:r>
      <w:r w:rsidR="00104DCE" w:rsidRPr="00104DCE">
        <w:rPr>
          <w:rFonts w:ascii="Arial" w:hAnsi="Arial" w:cs="Arial"/>
          <w:sz w:val="24"/>
          <w:szCs w:val="24"/>
        </w:rPr>
        <w:t xml:space="preserve">evisión y </w:t>
      </w:r>
      <w:r w:rsidR="00104DCE">
        <w:rPr>
          <w:rFonts w:ascii="Arial" w:hAnsi="Arial" w:cs="Arial"/>
          <w:sz w:val="24"/>
          <w:szCs w:val="24"/>
        </w:rPr>
        <w:t xml:space="preserve">el </w:t>
      </w:r>
      <w:r w:rsidR="00104DCE" w:rsidRPr="00104DCE">
        <w:rPr>
          <w:rFonts w:ascii="Arial" w:hAnsi="Arial" w:cs="Arial"/>
          <w:sz w:val="24"/>
          <w:szCs w:val="24"/>
        </w:rPr>
        <w:t xml:space="preserve">ajuste </w:t>
      </w:r>
      <w:r w:rsidR="00104DCE">
        <w:rPr>
          <w:rFonts w:ascii="Arial" w:hAnsi="Arial" w:cs="Arial"/>
          <w:sz w:val="24"/>
          <w:szCs w:val="24"/>
        </w:rPr>
        <w:t>del proyecto de investigación retomando las observaciones sugeridas por los pares evaluadores de la propuesta; así mismo, se emprendió la r</w:t>
      </w:r>
      <w:r w:rsidR="00104DCE" w:rsidRPr="00104DCE">
        <w:rPr>
          <w:rFonts w:ascii="Arial" w:hAnsi="Arial" w:cs="Arial"/>
          <w:sz w:val="24"/>
          <w:szCs w:val="24"/>
        </w:rPr>
        <w:t>evisión bibliográfica sobre</w:t>
      </w:r>
      <w:r w:rsidR="00104DCE">
        <w:rPr>
          <w:rFonts w:ascii="Arial" w:hAnsi="Arial" w:cs="Arial"/>
          <w:sz w:val="24"/>
          <w:szCs w:val="24"/>
        </w:rPr>
        <w:t xml:space="preserve"> las categorías </w:t>
      </w:r>
      <w:r w:rsidR="001F657C">
        <w:rPr>
          <w:rFonts w:ascii="Arial" w:hAnsi="Arial" w:cs="Arial"/>
          <w:sz w:val="24"/>
          <w:szCs w:val="24"/>
        </w:rPr>
        <w:t>definidas para la pesquisa en donde las bases de datos de la Universidad han ofrecido un volumen significativo de documentos. De manera simultánea se realizó un acercamiento con el Archivo General de la Nación para presentar la investigación y acordar las visitas para realizar consultas ya que allí se encuentran materiales valiosos para este trabajo.</w:t>
      </w:r>
    </w:p>
    <w:p w:rsidR="00104DCE" w:rsidRDefault="001F657C" w:rsidP="000337F9">
      <w:pPr>
        <w:spacing w:after="0" w:line="360" w:lineRule="auto"/>
        <w:ind w:firstLine="708"/>
        <w:jc w:val="both"/>
        <w:rPr>
          <w:rFonts w:ascii="Arial" w:hAnsi="Arial" w:cs="Arial"/>
          <w:sz w:val="24"/>
          <w:szCs w:val="24"/>
        </w:rPr>
      </w:pPr>
      <w:r>
        <w:rPr>
          <w:rFonts w:ascii="Arial" w:hAnsi="Arial" w:cs="Arial"/>
          <w:sz w:val="24"/>
          <w:szCs w:val="24"/>
        </w:rPr>
        <w:t>En el mes de mayo, la Unidad de Investigación de la Universidad lanzó la Primera Convocatoria Institucional para jóvenes investigadores</w:t>
      </w:r>
      <w:r w:rsidR="00AB1A4A">
        <w:rPr>
          <w:rFonts w:ascii="Arial" w:hAnsi="Arial" w:cs="Arial"/>
          <w:sz w:val="24"/>
          <w:szCs w:val="24"/>
        </w:rPr>
        <w:t>, en don</w:t>
      </w:r>
      <w:r w:rsidR="00AB1A4A" w:rsidRPr="000337F9">
        <w:rPr>
          <w:rFonts w:ascii="Arial" w:hAnsi="Arial" w:cs="Arial"/>
          <w:sz w:val="24"/>
          <w:szCs w:val="24"/>
        </w:rPr>
        <w:t>de se seleccionó a una estudiante para el apoyo de este proyecto</w:t>
      </w:r>
      <w:r w:rsidR="006029C7" w:rsidRPr="000337F9">
        <w:rPr>
          <w:rFonts w:ascii="Arial" w:hAnsi="Arial" w:cs="Arial"/>
          <w:sz w:val="24"/>
          <w:szCs w:val="24"/>
        </w:rPr>
        <w:t xml:space="preserve"> </w:t>
      </w:r>
      <w:proofErr w:type="spellStart"/>
      <w:r w:rsidR="006029C7" w:rsidRPr="000337F9">
        <w:rPr>
          <w:rFonts w:ascii="Arial" w:hAnsi="Arial" w:cs="Arial"/>
          <w:sz w:val="24"/>
          <w:szCs w:val="24"/>
        </w:rPr>
        <w:t>Fodein</w:t>
      </w:r>
      <w:proofErr w:type="spellEnd"/>
      <w:r w:rsidR="00AB1A4A" w:rsidRPr="000337F9">
        <w:rPr>
          <w:rFonts w:ascii="Arial" w:hAnsi="Arial" w:cs="Arial"/>
          <w:sz w:val="24"/>
          <w:szCs w:val="24"/>
        </w:rPr>
        <w:t xml:space="preserve">. </w:t>
      </w:r>
      <w:r w:rsidR="00BF3611" w:rsidRPr="000337F9">
        <w:rPr>
          <w:rFonts w:ascii="Arial" w:hAnsi="Arial" w:cs="Arial"/>
          <w:sz w:val="24"/>
          <w:szCs w:val="24"/>
        </w:rPr>
        <w:t>La conformación de un equipo de investigación entre una docente y una estudiante ha sido un</w:t>
      </w:r>
      <w:r w:rsidR="000337F9" w:rsidRPr="000337F9">
        <w:rPr>
          <w:rFonts w:ascii="Arial" w:hAnsi="Arial" w:cs="Arial"/>
          <w:sz w:val="24"/>
          <w:szCs w:val="24"/>
        </w:rPr>
        <w:t>a oportunidad significativa y relevante para habilitar un diálogo teórico interesante y retador para el abordaje del tema, intercambiar experiencias investigativas y realizar trabajo colaborativo con acuerdos y planes que han permitido avanzar en la investigación.</w:t>
      </w:r>
    </w:p>
    <w:p w:rsidR="000337F9" w:rsidRPr="00104DCE" w:rsidRDefault="000337F9" w:rsidP="000337F9">
      <w:pPr>
        <w:spacing w:after="0" w:line="360" w:lineRule="auto"/>
        <w:ind w:firstLine="708"/>
        <w:jc w:val="both"/>
        <w:rPr>
          <w:rFonts w:ascii="Arial" w:hAnsi="Arial" w:cs="Arial"/>
          <w:sz w:val="24"/>
          <w:szCs w:val="24"/>
        </w:rPr>
      </w:pPr>
    </w:p>
    <w:p w:rsidR="00EB24E8" w:rsidRPr="003508A6" w:rsidRDefault="00EB24E8" w:rsidP="00EB24E8">
      <w:pPr>
        <w:spacing w:line="360" w:lineRule="auto"/>
        <w:jc w:val="both"/>
        <w:rPr>
          <w:rFonts w:ascii="Arial" w:hAnsi="Arial" w:cs="Arial"/>
          <w:b/>
          <w:sz w:val="24"/>
          <w:szCs w:val="24"/>
        </w:rPr>
      </w:pPr>
      <w:r>
        <w:rPr>
          <w:rFonts w:ascii="Arial" w:hAnsi="Arial" w:cs="Arial"/>
          <w:b/>
          <w:sz w:val="24"/>
          <w:szCs w:val="24"/>
        </w:rPr>
        <w:t>Ir a las fuentes: e</w:t>
      </w:r>
      <w:r w:rsidRPr="003508A6">
        <w:rPr>
          <w:rFonts w:ascii="Arial" w:hAnsi="Arial" w:cs="Arial"/>
          <w:b/>
          <w:sz w:val="24"/>
          <w:szCs w:val="24"/>
        </w:rPr>
        <w:t>xperiencia</w:t>
      </w:r>
      <w:r>
        <w:rPr>
          <w:rFonts w:ascii="Arial" w:hAnsi="Arial" w:cs="Arial"/>
          <w:b/>
          <w:sz w:val="24"/>
          <w:szCs w:val="24"/>
        </w:rPr>
        <w:t>s</w:t>
      </w:r>
      <w:r w:rsidRPr="003508A6">
        <w:rPr>
          <w:rFonts w:ascii="Arial" w:hAnsi="Arial" w:cs="Arial"/>
          <w:b/>
          <w:sz w:val="24"/>
          <w:szCs w:val="24"/>
        </w:rPr>
        <w:t xml:space="preserve"> en el Archivo</w:t>
      </w:r>
      <w:r>
        <w:rPr>
          <w:rFonts w:ascii="Arial" w:hAnsi="Arial" w:cs="Arial"/>
          <w:b/>
          <w:sz w:val="24"/>
          <w:szCs w:val="24"/>
        </w:rPr>
        <w:t xml:space="preserve"> General de la Nación </w:t>
      </w:r>
    </w:p>
    <w:p w:rsidR="00EB24E8" w:rsidRPr="003508A6" w:rsidRDefault="00EB24E8" w:rsidP="00EB24E8">
      <w:pPr>
        <w:spacing w:line="360" w:lineRule="auto"/>
        <w:ind w:firstLine="708"/>
        <w:jc w:val="both"/>
        <w:rPr>
          <w:rFonts w:ascii="Arial" w:hAnsi="Arial" w:cs="Arial"/>
          <w:sz w:val="24"/>
          <w:szCs w:val="24"/>
        </w:rPr>
      </w:pPr>
      <w:r w:rsidRPr="003508A6">
        <w:rPr>
          <w:rFonts w:ascii="Arial" w:hAnsi="Arial" w:cs="Arial"/>
          <w:sz w:val="24"/>
          <w:szCs w:val="24"/>
        </w:rPr>
        <w:t>El trabajo de campo en el Archivo General</w:t>
      </w:r>
      <w:r>
        <w:rPr>
          <w:rFonts w:ascii="Arial" w:hAnsi="Arial" w:cs="Arial"/>
          <w:sz w:val="24"/>
          <w:szCs w:val="24"/>
        </w:rPr>
        <w:t xml:space="preserve"> de la Nación</w:t>
      </w:r>
      <w:r w:rsidRPr="003508A6">
        <w:rPr>
          <w:rFonts w:ascii="Arial" w:hAnsi="Arial" w:cs="Arial"/>
          <w:sz w:val="24"/>
          <w:szCs w:val="24"/>
        </w:rPr>
        <w:t xml:space="preserve"> ha implicado profundizar en el conocimiento de importantes hechos de </w:t>
      </w:r>
      <w:r w:rsidRPr="003508A6">
        <w:rPr>
          <w:rFonts w:ascii="Arial" w:hAnsi="Arial" w:cs="Arial"/>
          <w:sz w:val="24"/>
          <w:szCs w:val="24"/>
        </w:rPr>
        <w:lastRenderedPageBreak/>
        <w:t xml:space="preserve">interés que nutren el análisis </w:t>
      </w:r>
      <w:proofErr w:type="spellStart"/>
      <w:r w:rsidRPr="003508A6">
        <w:rPr>
          <w:rFonts w:ascii="Arial" w:hAnsi="Arial" w:cs="Arial"/>
          <w:sz w:val="24"/>
          <w:szCs w:val="24"/>
        </w:rPr>
        <w:t>sociohistórico</w:t>
      </w:r>
      <w:proofErr w:type="spellEnd"/>
      <w:r w:rsidRPr="003508A6">
        <w:rPr>
          <w:rFonts w:ascii="Arial" w:hAnsi="Arial" w:cs="Arial"/>
          <w:sz w:val="24"/>
          <w:szCs w:val="24"/>
        </w:rPr>
        <w:t xml:space="preserve"> de los procesos constituyentes propuesto en la investigación, a su vez el acercamiento a fondos documentales ha permitido experimentar  otra forma de acceso a la información diferente  </w:t>
      </w:r>
      <w:r>
        <w:rPr>
          <w:rFonts w:ascii="Arial" w:hAnsi="Arial" w:cs="Arial"/>
          <w:sz w:val="24"/>
          <w:szCs w:val="24"/>
        </w:rPr>
        <w:t xml:space="preserve">de </w:t>
      </w:r>
      <w:r w:rsidRPr="003508A6">
        <w:rPr>
          <w:rFonts w:ascii="Arial" w:hAnsi="Arial" w:cs="Arial"/>
          <w:sz w:val="24"/>
          <w:szCs w:val="24"/>
        </w:rPr>
        <w:t>la consulta en bases de datos digitales, en  libros o en artículos académicos, de esta manera el estud</w:t>
      </w:r>
      <w:r>
        <w:rPr>
          <w:rFonts w:ascii="Arial" w:hAnsi="Arial" w:cs="Arial"/>
          <w:sz w:val="24"/>
          <w:szCs w:val="24"/>
        </w:rPr>
        <w:t>io de  fuentes primarias, como los manuscritos constitucionales,</w:t>
      </w:r>
      <w:r w:rsidRPr="003508A6">
        <w:rPr>
          <w:rFonts w:ascii="Arial" w:hAnsi="Arial" w:cs="Arial"/>
          <w:sz w:val="24"/>
          <w:szCs w:val="24"/>
        </w:rPr>
        <w:t xml:space="preserve"> leyes originales, archivos y resoluciones institucionales, complementan y contrastan la información obtenida por otras fuentes. </w:t>
      </w:r>
    </w:p>
    <w:p w:rsidR="00EB24E8" w:rsidRDefault="00EB24E8" w:rsidP="00EB24E8">
      <w:pPr>
        <w:spacing w:line="360" w:lineRule="auto"/>
        <w:ind w:firstLine="708"/>
        <w:jc w:val="both"/>
        <w:rPr>
          <w:rFonts w:ascii="Arial" w:hAnsi="Arial" w:cs="Arial"/>
          <w:sz w:val="24"/>
          <w:szCs w:val="24"/>
        </w:rPr>
      </w:pPr>
      <w:r w:rsidRPr="003508A6">
        <w:rPr>
          <w:rFonts w:ascii="Arial" w:hAnsi="Arial" w:cs="Arial"/>
          <w:sz w:val="24"/>
          <w:szCs w:val="24"/>
        </w:rPr>
        <w:t>Hasta el momento se ha revisado en el Archivo la información organizada en la Sección República, en específico el catálogo correspondiente al Archivo histórico legislativo del</w:t>
      </w:r>
      <w:r>
        <w:rPr>
          <w:rFonts w:ascii="Arial" w:hAnsi="Arial" w:cs="Arial"/>
          <w:sz w:val="24"/>
          <w:szCs w:val="24"/>
        </w:rPr>
        <w:t xml:space="preserve">  Congreso de la R</w:t>
      </w:r>
      <w:r w:rsidRPr="003508A6">
        <w:rPr>
          <w:rFonts w:ascii="Arial" w:hAnsi="Arial" w:cs="Arial"/>
          <w:sz w:val="24"/>
          <w:szCs w:val="24"/>
        </w:rPr>
        <w:t>epública, en este se encuentran distintos actos legislativ</w:t>
      </w:r>
      <w:r>
        <w:rPr>
          <w:rFonts w:ascii="Arial" w:hAnsi="Arial" w:cs="Arial"/>
          <w:sz w:val="24"/>
          <w:szCs w:val="24"/>
        </w:rPr>
        <w:t>os y proyectos de ley,  asimismo</w:t>
      </w:r>
      <w:r w:rsidRPr="003508A6">
        <w:rPr>
          <w:rFonts w:ascii="Arial" w:hAnsi="Arial" w:cs="Arial"/>
          <w:sz w:val="24"/>
          <w:szCs w:val="24"/>
        </w:rPr>
        <w:t xml:space="preserve"> se ha consultado un microfilm de textos constitucionales, leyes y reformas constitucionales.</w:t>
      </w:r>
    </w:p>
    <w:p w:rsidR="00AB1A4A" w:rsidRPr="003508A6" w:rsidRDefault="00AB1A4A" w:rsidP="00EB24E8">
      <w:pPr>
        <w:spacing w:line="360" w:lineRule="auto"/>
        <w:ind w:firstLine="708"/>
        <w:jc w:val="both"/>
        <w:rPr>
          <w:rFonts w:ascii="Arial" w:hAnsi="Arial" w:cs="Arial"/>
          <w:sz w:val="24"/>
          <w:szCs w:val="24"/>
        </w:rPr>
      </w:pPr>
      <w:r>
        <w:rPr>
          <w:rFonts w:ascii="Arial" w:hAnsi="Arial" w:cs="Arial"/>
          <w:sz w:val="24"/>
          <w:szCs w:val="24"/>
        </w:rPr>
        <w:t xml:space="preserve">Desde la experiencia formativa en investigación, la </w:t>
      </w:r>
      <w:r w:rsidR="00991AC0">
        <w:rPr>
          <w:rFonts w:ascii="Arial" w:hAnsi="Arial" w:cs="Arial"/>
          <w:sz w:val="24"/>
          <w:szCs w:val="24"/>
        </w:rPr>
        <w:t xml:space="preserve">posibilidad de estudiar temas </w:t>
      </w:r>
      <w:r>
        <w:rPr>
          <w:rFonts w:ascii="Arial" w:hAnsi="Arial" w:cs="Arial"/>
          <w:sz w:val="24"/>
          <w:szCs w:val="24"/>
        </w:rPr>
        <w:t xml:space="preserve">como la propiedad privada, </w:t>
      </w:r>
      <w:r w:rsidR="00991AC0">
        <w:rPr>
          <w:rFonts w:ascii="Arial" w:hAnsi="Arial" w:cs="Arial"/>
          <w:sz w:val="24"/>
          <w:szCs w:val="24"/>
        </w:rPr>
        <w:t>desde una perspectiva histórica e interdisciplinar, ha sido un gran aprendizaje. El estudio de fenómenos actuales como los con</w:t>
      </w:r>
      <w:r>
        <w:rPr>
          <w:rFonts w:ascii="Arial" w:hAnsi="Arial" w:cs="Arial"/>
          <w:sz w:val="24"/>
          <w:szCs w:val="24"/>
        </w:rPr>
        <w:t xml:space="preserve">flictos por los recursos naturales o </w:t>
      </w:r>
      <w:r w:rsidR="00991AC0">
        <w:rPr>
          <w:rFonts w:ascii="Arial" w:hAnsi="Arial" w:cs="Arial"/>
          <w:sz w:val="24"/>
          <w:szCs w:val="24"/>
        </w:rPr>
        <w:t xml:space="preserve">los debates por el papel del </w:t>
      </w:r>
      <w:r>
        <w:rPr>
          <w:rFonts w:ascii="Arial" w:hAnsi="Arial" w:cs="Arial"/>
          <w:sz w:val="24"/>
          <w:szCs w:val="24"/>
        </w:rPr>
        <w:t>Estado en materia de regulación de la propiedad,</w:t>
      </w:r>
      <w:r w:rsidR="00991AC0">
        <w:rPr>
          <w:rFonts w:ascii="Arial" w:hAnsi="Arial" w:cs="Arial"/>
          <w:sz w:val="24"/>
          <w:szCs w:val="24"/>
        </w:rPr>
        <w:t xml:space="preserve"> pueden ser abordados a través del análisis de los textos normativos de los inicios de la república y así poder identificar y comprender las trayectorias de este derecho en nuestro país.  </w:t>
      </w:r>
    </w:p>
    <w:p w:rsidR="00EB24E8" w:rsidRPr="003508A6" w:rsidRDefault="00991AC0" w:rsidP="00EB24E8">
      <w:pPr>
        <w:spacing w:line="360" w:lineRule="auto"/>
        <w:jc w:val="both"/>
        <w:rPr>
          <w:rFonts w:ascii="Arial" w:hAnsi="Arial" w:cs="Arial"/>
          <w:b/>
          <w:sz w:val="24"/>
          <w:szCs w:val="24"/>
        </w:rPr>
      </w:pPr>
      <w:r>
        <w:rPr>
          <w:rFonts w:ascii="Arial" w:hAnsi="Arial" w:cs="Arial"/>
          <w:b/>
          <w:sz w:val="24"/>
          <w:szCs w:val="24"/>
        </w:rPr>
        <w:t xml:space="preserve">Ordenar y clasificar información: </w:t>
      </w:r>
      <w:r w:rsidR="00EB24E8" w:rsidRPr="003508A6">
        <w:rPr>
          <w:rFonts w:ascii="Arial" w:hAnsi="Arial" w:cs="Arial"/>
          <w:b/>
          <w:sz w:val="24"/>
          <w:szCs w:val="24"/>
        </w:rPr>
        <w:t>construcción de base de datos y fichas</w:t>
      </w:r>
      <w:r>
        <w:rPr>
          <w:rFonts w:ascii="Arial" w:hAnsi="Arial" w:cs="Arial"/>
          <w:b/>
          <w:sz w:val="24"/>
          <w:szCs w:val="24"/>
        </w:rPr>
        <w:t xml:space="preserve"> bibliográficas</w:t>
      </w:r>
    </w:p>
    <w:p w:rsidR="00EB24E8" w:rsidRPr="003508A6" w:rsidRDefault="00EB24E8" w:rsidP="00EB24E8">
      <w:pPr>
        <w:spacing w:line="360" w:lineRule="auto"/>
        <w:ind w:firstLine="708"/>
        <w:jc w:val="both"/>
        <w:rPr>
          <w:rFonts w:ascii="Arial" w:hAnsi="Arial" w:cs="Arial"/>
          <w:sz w:val="24"/>
          <w:szCs w:val="24"/>
        </w:rPr>
      </w:pPr>
      <w:r w:rsidRPr="003508A6">
        <w:rPr>
          <w:rFonts w:ascii="Arial" w:hAnsi="Arial" w:cs="Arial"/>
          <w:sz w:val="24"/>
          <w:szCs w:val="24"/>
        </w:rPr>
        <w:t xml:space="preserve">Para estudiar la evolución de la propiedad privada en los textos constitucionales se realizó una base de datos para vislumbrar no sólo el cambio en el concepto de propiedad  sino también el escenario en el cual este cambio surge, para la elaboración de esta base de datos se consultó  las colecciones constitucionales del  Banco de la República y de la </w:t>
      </w:r>
      <w:r w:rsidRPr="003508A6">
        <w:rPr>
          <w:rFonts w:ascii="Arial" w:hAnsi="Arial" w:cs="Arial"/>
          <w:sz w:val="24"/>
          <w:szCs w:val="24"/>
        </w:rPr>
        <w:lastRenderedPageBreak/>
        <w:t xml:space="preserve">Biblioteca Virtual Miguel de Cervantes, en total se recolectó la información de veinte textos entre constituciones y respectivas reformas, tomando como punto de partida 1810 hasta la constitución de 1991  en vigencia. </w:t>
      </w:r>
    </w:p>
    <w:p w:rsidR="00EB24E8" w:rsidRPr="003508A6" w:rsidRDefault="00EB24E8" w:rsidP="00EB24E8">
      <w:pPr>
        <w:spacing w:line="360" w:lineRule="auto"/>
        <w:ind w:firstLine="708"/>
        <w:jc w:val="both"/>
        <w:rPr>
          <w:rFonts w:ascii="Arial" w:hAnsi="Arial" w:cs="Arial"/>
          <w:sz w:val="24"/>
          <w:szCs w:val="24"/>
        </w:rPr>
      </w:pPr>
      <w:r>
        <w:rPr>
          <w:rFonts w:ascii="Arial" w:hAnsi="Arial" w:cs="Arial"/>
          <w:sz w:val="24"/>
          <w:szCs w:val="24"/>
        </w:rPr>
        <w:t>Uno de los hallazgos en el estudio de los</w:t>
      </w:r>
      <w:r w:rsidRPr="003508A6">
        <w:rPr>
          <w:rFonts w:ascii="Arial" w:hAnsi="Arial" w:cs="Arial"/>
          <w:sz w:val="24"/>
          <w:szCs w:val="24"/>
        </w:rPr>
        <w:t xml:space="preserve"> procesos constituyentes</w:t>
      </w:r>
      <w:r>
        <w:rPr>
          <w:rFonts w:ascii="Arial" w:hAnsi="Arial" w:cs="Arial"/>
          <w:sz w:val="24"/>
          <w:szCs w:val="24"/>
        </w:rPr>
        <w:t xml:space="preserve"> ha sido revisitar procesos históricos como la conformación </w:t>
      </w:r>
      <w:r w:rsidRPr="003508A6">
        <w:rPr>
          <w:rFonts w:ascii="Arial" w:hAnsi="Arial" w:cs="Arial"/>
          <w:sz w:val="24"/>
          <w:szCs w:val="24"/>
        </w:rPr>
        <w:t xml:space="preserve">de Colombia como República </w:t>
      </w:r>
      <w:r>
        <w:rPr>
          <w:rFonts w:ascii="Arial" w:hAnsi="Arial" w:cs="Arial"/>
          <w:sz w:val="24"/>
          <w:szCs w:val="24"/>
        </w:rPr>
        <w:t>que han dado los cimientos para la formulación de n</w:t>
      </w:r>
      <w:r w:rsidRPr="003508A6">
        <w:rPr>
          <w:rFonts w:ascii="Arial" w:hAnsi="Arial" w:cs="Arial"/>
          <w:sz w:val="24"/>
          <w:szCs w:val="24"/>
        </w:rPr>
        <w:t xml:space="preserve">umerosos proyectos de constitución, </w:t>
      </w:r>
      <w:r>
        <w:rPr>
          <w:rFonts w:ascii="Arial" w:hAnsi="Arial" w:cs="Arial"/>
          <w:sz w:val="24"/>
          <w:szCs w:val="24"/>
        </w:rPr>
        <w:t xml:space="preserve">que van desde experiencias locales con la elaboración de </w:t>
      </w:r>
      <w:r w:rsidRPr="003508A6">
        <w:rPr>
          <w:rFonts w:ascii="Arial" w:hAnsi="Arial" w:cs="Arial"/>
          <w:sz w:val="24"/>
          <w:szCs w:val="24"/>
        </w:rPr>
        <w:t>constituciones provinciales</w:t>
      </w:r>
      <w:r>
        <w:rPr>
          <w:rFonts w:ascii="Arial" w:hAnsi="Arial" w:cs="Arial"/>
          <w:sz w:val="24"/>
          <w:szCs w:val="24"/>
        </w:rPr>
        <w:t xml:space="preserve"> que no tenían presente el desarrollo de un </w:t>
      </w:r>
      <w:r w:rsidRPr="003508A6">
        <w:rPr>
          <w:rFonts w:ascii="Arial" w:hAnsi="Arial" w:cs="Arial"/>
          <w:sz w:val="24"/>
          <w:szCs w:val="24"/>
        </w:rPr>
        <w:t>proyecto nacional</w:t>
      </w:r>
      <w:r w:rsidR="00657F2A">
        <w:rPr>
          <w:rFonts w:ascii="Arial" w:hAnsi="Arial" w:cs="Arial"/>
          <w:sz w:val="24"/>
          <w:szCs w:val="24"/>
        </w:rPr>
        <w:t xml:space="preserve"> y donde la definición del derecho a la propiedad privada siguió las características de los modelos civilistas de la región; hasta proyectos de reforma profunda, como el caso del Acto Legislativo de 1936 que introduce un elemento diferenciador del derecho: la función económico social de la propiedad. En este proceso investigativo se construyó una muestra de 25 textos constitucionales los cuales fueron analizados y clasificados siguiendo las recomendaciones metodológicas del análisis documental; así mismo, dicho análisis no sólo se concentró en el estudio de los textos en sí mismos, sino que implicó la reconstrucción de los</w:t>
      </w:r>
      <w:r w:rsidRPr="003508A6">
        <w:rPr>
          <w:rFonts w:ascii="Arial" w:hAnsi="Arial" w:cs="Arial"/>
          <w:sz w:val="24"/>
          <w:szCs w:val="24"/>
        </w:rPr>
        <w:t xml:space="preserve"> contexto</w:t>
      </w:r>
      <w:r w:rsidR="00657F2A">
        <w:rPr>
          <w:rFonts w:ascii="Arial" w:hAnsi="Arial" w:cs="Arial"/>
          <w:sz w:val="24"/>
          <w:szCs w:val="24"/>
        </w:rPr>
        <w:t>s</w:t>
      </w:r>
      <w:r w:rsidRPr="003508A6">
        <w:rPr>
          <w:rFonts w:ascii="Arial" w:hAnsi="Arial" w:cs="Arial"/>
          <w:sz w:val="24"/>
          <w:szCs w:val="24"/>
        </w:rPr>
        <w:t xml:space="preserve"> histórico</w:t>
      </w:r>
      <w:r w:rsidR="00657F2A">
        <w:rPr>
          <w:rFonts w:ascii="Arial" w:hAnsi="Arial" w:cs="Arial"/>
          <w:sz w:val="24"/>
          <w:szCs w:val="24"/>
        </w:rPr>
        <w:t xml:space="preserve">s de producción de cada norma constitucional, como los escenarios en los que se puede comprender el desarrollo la </w:t>
      </w:r>
      <w:r w:rsidRPr="003508A6">
        <w:rPr>
          <w:rFonts w:ascii="Arial" w:hAnsi="Arial" w:cs="Arial"/>
          <w:sz w:val="24"/>
          <w:szCs w:val="24"/>
        </w:rPr>
        <w:t xml:space="preserve">transformación de la propiedad privada </w:t>
      </w:r>
      <w:r w:rsidR="00657F2A">
        <w:rPr>
          <w:rFonts w:ascii="Arial" w:hAnsi="Arial" w:cs="Arial"/>
          <w:sz w:val="24"/>
          <w:szCs w:val="24"/>
        </w:rPr>
        <w:t xml:space="preserve">como derecho </w:t>
      </w:r>
      <w:r w:rsidRPr="003508A6">
        <w:rPr>
          <w:rFonts w:ascii="Arial" w:hAnsi="Arial" w:cs="Arial"/>
          <w:sz w:val="24"/>
          <w:szCs w:val="24"/>
        </w:rPr>
        <w:t xml:space="preserve">en Colombia. </w:t>
      </w:r>
    </w:p>
    <w:p w:rsidR="00EB24E8" w:rsidRPr="003508A6" w:rsidRDefault="00AB1A4A" w:rsidP="00657F2A">
      <w:pPr>
        <w:spacing w:line="360" w:lineRule="auto"/>
        <w:ind w:firstLine="708"/>
        <w:jc w:val="both"/>
        <w:rPr>
          <w:rFonts w:ascii="Arial" w:hAnsi="Arial" w:cs="Arial"/>
          <w:sz w:val="24"/>
          <w:szCs w:val="24"/>
        </w:rPr>
      </w:pPr>
      <w:r>
        <w:rPr>
          <w:rFonts w:ascii="Arial" w:hAnsi="Arial" w:cs="Arial"/>
          <w:sz w:val="24"/>
          <w:szCs w:val="24"/>
        </w:rPr>
        <w:t xml:space="preserve">Como estrategia de recolección y análisis de la información se elaboró una </w:t>
      </w:r>
      <w:r w:rsidR="00EB24E8" w:rsidRPr="003508A6">
        <w:rPr>
          <w:rFonts w:ascii="Arial" w:hAnsi="Arial" w:cs="Arial"/>
          <w:sz w:val="24"/>
          <w:szCs w:val="24"/>
        </w:rPr>
        <w:t xml:space="preserve">base de datos </w:t>
      </w:r>
      <w:r>
        <w:rPr>
          <w:rFonts w:ascii="Arial" w:hAnsi="Arial" w:cs="Arial"/>
          <w:sz w:val="24"/>
          <w:szCs w:val="24"/>
        </w:rPr>
        <w:t xml:space="preserve">que </w:t>
      </w:r>
      <w:r w:rsidR="00EB24E8" w:rsidRPr="003508A6">
        <w:rPr>
          <w:rFonts w:ascii="Arial" w:hAnsi="Arial" w:cs="Arial"/>
          <w:sz w:val="24"/>
          <w:szCs w:val="24"/>
        </w:rPr>
        <w:t xml:space="preserve">permitió registrar </w:t>
      </w:r>
      <w:r>
        <w:rPr>
          <w:rFonts w:ascii="Arial" w:hAnsi="Arial" w:cs="Arial"/>
          <w:sz w:val="24"/>
          <w:szCs w:val="24"/>
        </w:rPr>
        <w:t xml:space="preserve">de manera ordenada los </w:t>
      </w:r>
      <w:r w:rsidR="00EB24E8" w:rsidRPr="003508A6">
        <w:rPr>
          <w:rFonts w:ascii="Arial" w:hAnsi="Arial" w:cs="Arial"/>
          <w:sz w:val="24"/>
          <w:szCs w:val="24"/>
        </w:rPr>
        <w:t>atributos particulares  de la  propiedad privada que  han permanecido y se  reiteran</w:t>
      </w:r>
      <w:r w:rsidR="00EB24E8">
        <w:rPr>
          <w:rFonts w:ascii="Arial" w:hAnsi="Arial" w:cs="Arial"/>
          <w:sz w:val="24"/>
          <w:szCs w:val="24"/>
        </w:rPr>
        <w:t xml:space="preserve"> a</w:t>
      </w:r>
      <w:r w:rsidR="00EB24E8" w:rsidRPr="003508A6">
        <w:rPr>
          <w:rFonts w:ascii="Arial" w:hAnsi="Arial" w:cs="Arial"/>
          <w:sz w:val="24"/>
          <w:szCs w:val="24"/>
        </w:rPr>
        <w:t xml:space="preserve">  través de las constituciones</w:t>
      </w:r>
      <w:r>
        <w:rPr>
          <w:rFonts w:ascii="Arial" w:hAnsi="Arial" w:cs="Arial"/>
          <w:sz w:val="24"/>
          <w:szCs w:val="24"/>
        </w:rPr>
        <w:t xml:space="preserve">; dichos atributos incluyen elementos como </w:t>
      </w:r>
      <w:r w:rsidR="00EB24E8" w:rsidRPr="003508A6">
        <w:rPr>
          <w:rFonts w:ascii="Arial" w:hAnsi="Arial" w:cs="Arial"/>
          <w:sz w:val="24"/>
          <w:szCs w:val="24"/>
        </w:rPr>
        <w:t>el deber del Estado de garantizar el goce y disfrute de la propiedad a los ciudadanos</w:t>
      </w:r>
      <w:r w:rsidR="00EB24E8">
        <w:rPr>
          <w:rFonts w:ascii="Arial" w:hAnsi="Arial" w:cs="Arial"/>
          <w:sz w:val="24"/>
          <w:szCs w:val="24"/>
        </w:rPr>
        <w:t>,</w:t>
      </w:r>
      <w:r w:rsidR="00EB24E8" w:rsidRPr="003508A6">
        <w:rPr>
          <w:rFonts w:ascii="Arial" w:hAnsi="Arial" w:cs="Arial"/>
          <w:sz w:val="24"/>
          <w:szCs w:val="24"/>
        </w:rPr>
        <w:t xml:space="preserve"> </w:t>
      </w:r>
      <w:r>
        <w:rPr>
          <w:rFonts w:ascii="Arial" w:hAnsi="Arial" w:cs="Arial"/>
          <w:sz w:val="24"/>
          <w:szCs w:val="24"/>
        </w:rPr>
        <w:t xml:space="preserve">así como </w:t>
      </w:r>
      <w:r w:rsidR="00EB24E8" w:rsidRPr="003508A6">
        <w:rPr>
          <w:rFonts w:ascii="Arial" w:hAnsi="Arial" w:cs="Arial"/>
          <w:sz w:val="24"/>
          <w:szCs w:val="24"/>
        </w:rPr>
        <w:t>aquellos rasgos nuevos que van surgiendo y representan cambios significativos en el concepto, por ejemplo</w:t>
      </w:r>
      <w:r w:rsidR="00EB24E8">
        <w:rPr>
          <w:rFonts w:ascii="Arial" w:hAnsi="Arial" w:cs="Arial"/>
          <w:sz w:val="24"/>
          <w:szCs w:val="24"/>
        </w:rPr>
        <w:t>,</w:t>
      </w:r>
      <w:r w:rsidR="00EB24E8" w:rsidRPr="003508A6">
        <w:rPr>
          <w:rFonts w:ascii="Arial" w:hAnsi="Arial" w:cs="Arial"/>
          <w:sz w:val="24"/>
          <w:szCs w:val="24"/>
        </w:rPr>
        <w:t xml:space="preserve"> la incorporación de la función social de la propiedad privada  que se contempla a partir de la  reforma constitucional de 1936.</w:t>
      </w:r>
    </w:p>
    <w:p w:rsidR="00EB24E8" w:rsidRPr="00C0668B" w:rsidRDefault="00EB24E8" w:rsidP="00AB1A4A">
      <w:pPr>
        <w:spacing w:line="360" w:lineRule="auto"/>
        <w:ind w:firstLine="708"/>
        <w:jc w:val="both"/>
        <w:rPr>
          <w:rFonts w:ascii="Arial" w:hAnsi="Arial" w:cs="Arial"/>
          <w:sz w:val="24"/>
          <w:szCs w:val="24"/>
        </w:rPr>
      </w:pPr>
      <w:r w:rsidRPr="003508A6">
        <w:rPr>
          <w:rFonts w:ascii="Arial" w:hAnsi="Arial" w:cs="Arial"/>
          <w:sz w:val="24"/>
          <w:szCs w:val="24"/>
        </w:rPr>
        <w:lastRenderedPageBreak/>
        <w:t>A su vez la base de datos registró generalidades del contexto de promulgación de las constituciones, para ello la consulta de artículos académicos y la elaboración de fichas bibliográficas nutrió la investigación sobre el escenario político del momento, dando cuenta de  la conformación de las asambleas y el papel de los distintos actores dentro de los conflictos y  acuerdos que suscitaron la continuidad o el cambio del derecho a la propiedad privada en la Constitución.</w:t>
      </w:r>
    </w:p>
    <w:p w:rsidR="00A94F3E" w:rsidRDefault="0028726F" w:rsidP="0028726F">
      <w:pPr>
        <w:spacing w:after="0" w:line="360" w:lineRule="auto"/>
        <w:ind w:firstLine="708"/>
        <w:jc w:val="both"/>
        <w:rPr>
          <w:rFonts w:ascii="Arial" w:hAnsi="Arial" w:cs="Arial"/>
          <w:sz w:val="24"/>
          <w:szCs w:val="24"/>
        </w:rPr>
      </w:pPr>
      <w:r>
        <w:rPr>
          <w:rFonts w:ascii="Arial" w:hAnsi="Arial" w:cs="Arial"/>
          <w:sz w:val="24"/>
          <w:szCs w:val="24"/>
        </w:rPr>
        <w:t xml:space="preserve">Como retos investigativos este equipo planea finalizar este trabajo a finales del año con la publicación de un artículo académico; asimismo la posibilidad de continuar las pesquisas sobre la situación de la propiedad privada en las constituciones en otros países se abre como un horizonte investigativo. </w:t>
      </w:r>
    </w:p>
    <w:p w:rsidR="00A94F3E" w:rsidRDefault="00A94F3E" w:rsidP="006C3C5D">
      <w:pPr>
        <w:spacing w:after="0" w:line="360" w:lineRule="auto"/>
        <w:jc w:val="both"/>
        <w:rPr>
          <w:rFonts w:ascii="Arial" w:hAnsi="Arial" w:cs="Arial"/>
          <w:sz w:val="24"/>
          <w:szCs w:val="24"/>
        </w:rPr>
      </w:pPr>
    </w:p>
    <w:p w:rsidR="00A94F3E" w:rsidRPr="00B83BE5" w:rsidRDefault="00A94F3E" w:rsidP="006C3C5D">
      <w:pPr>
        <w:spacing w:after="0" w:line="360" w:lineRule="auto"/>
        <w:jc w:val="both"/>
        <w:rPr>
          <w:rFonts w:ascii="Arial" w:hAnsi="Arial" w:cs="Arial"/>
          <w:b/>
          <w:sz w:val="24"/>
          <w:szCs w:val="24"/>
        </w:rPr>
      </w:pPr>
      <w:r w:rsidRPr="00B83BE5">
        <w:rPr>
          <w:rFonts w:ascii="Arial" w:hAnsi="Arial" w:cs="Arial"/>
          <w:b/>
          <w:sz w:val="24"/>
          <w:szCs w:val="24"/>
        </w:rPr>
        <w:t>Bibliografía</w:t>
      </w:r>
    </w:p>
    <w:p w:rsidR="00A94F3E" w:rsidRDefault="00A94F3E" w:rsidP="006C3C5D">
      <w:pPr>
        <w:spacing w:after="0" w:line="360" w:lineRule="auto"/>
        <w:jc w:val="both"/>
        <w:rPr>
          <w:rFonts w:ascii="Arial" w:hAnsi="Arial" w:cs="Arial"/>
          <w:sz w:val="24"/>
          <w:szCs w:val="24"/>
        </w:rPr>
      </w:pPr>
    </w:p>
    <w:p w:rsidR="00A94F3E" w:rsidRDefault="00A94F3E" w:rsidP="006C3C5D">
      <w:pPr>
        <w:spacing w:after="0" w:line="360" w:lineRule="auto"/>
        <w:jc w:val="both"/>
        <w:rPr>
          <w:rFonts w:ascii="Arial" w:hAnsi="Arial" w:cs="Arial"/>
          <w:sz w:val="24"/>
          <w:szCs w:val="24"/>
        </w:rPr>
      </w:pPr>
      <w:r>
        <w:rPr>
          <w:rFonts w:ascii="Arial" w:hAnsi="Arial" w:cs="Arial"/>
          <w:sz w:val="24"/>
          <w:szCs w:val="24"/>
        </w:rPr>
        <w:t xml:space="preserve">González, M. (2015). </w:t>
      </w:r>
      <w:r w:rsidRPr="00A94F3E">
        <w:rPr>
          <w:rFonts w:ascii="Arial" w:hAnsi="Arial" w:cs="Arial"/>
          <w:sz w:val="24"/>
          <w:szCs w:val="24"/>
        </w:rPr>
        <w:t>Trayectorias de la propiedad en Bolivia</w:t>
      </w:r>
      <w:r>
        <w:rPr>
          <w:rFonts w:ascii="Arial" w:hAnsi="Arial" w:cs="Arial"/>
          <w:sz w:val="24"/>
          <w:szCs w:val="24"/>
        </w:rPr>
        <w:t xml:space="preserve">. Editorial de la </w:t>
      </w:r>
      <w:r w:rsidRPr="00A94F3E">
        <w:rPr>
          <w:rFonts w:ascii="Arial" w:hAnsi="Arial" w:cs="Arial"/>
          <w:sz w:val="24"/>
          <w:szCs w:val="24"/>
        </w:rPr>
        <w:t xml:space="preserve">Universidad Distrital, </w:t>
      </w:r>
      <w:r>
        <w:rPr>
          <w:rFonts w:ascii="Arial" w:hAnsi="Arial" w:cs="Arial"/>
          <w:sz w:val="24"/>
          <w:szCs w:val="24"/>
        </w:rPr>
        <w:t>Bogotá</w:t>
      </w:r>
    </w:p>
    <w:p w:rsidR="00A94F3E" w:rsidRDefault="00A94F3E" w:rsidP="006C3C5D">
      <w:pPr>
        <w:spacing w:after="0" w:line="360" w:lineRule="auto"/>
        <w:jc w:val="both"/>
        <w:rPr>
          <w:rFonts w:ascii="Arial" w:hAnsi="Arial" w:cs="Arial"/>
          <w:sz w:val="24"/>
          <w:szCs w:val="24"/>
        </w:rPr>
      </w:pPr>
    </w:p>
    <w:p w:rsidR="00A94F3E" w:rsidRDefault="00A94F3E" w:rsidP="006C3C5D">
      <w:pPr>
        <w:spacing w:after="0" w:line="360" w:lineRule="auto"/>
        <w:jc w:val="both"/>
        <w:rPr>
          <w:rFonts w:ascii="Arial" w:hAnsi="Arial" w:cs="Arial"/>
          <w:sz w:val="24"/>
          <w:szCs w:val="24"/>
        </w:rPr>
      </w:pPr>
      <w:r>
        <w:rPr>
          <w:rFonts w:ascii="Arial" w:hAnsi="Arial" w:cs="Arial"/>
          <w:sz w:val="24"/>
          <w:szCs w:val="24"/>
        </w:rPr>
        <w:t xml:space="preserve">González, M. (2018). </w:t>
      </w:r>
      <w:r w:rsidRPr="00A94F3E">
        <w:rPr>
          <w:rFonts w:ascii="Arial" w:hAnsi="Arial" w:cs="Arial"/>
          <w:sz w:val="24"/>
          <w:szCs w:val="24"/>
        </w:rPr>
        <w:t>Derecho a la Propiedad privada en Colombia: una mirada desde los procesos constituyentes (1810 – 1991)</w:t>
      </w:r>
      <w:r>
        <w:rPr>
          <w:rFonts w:ascii="Arial" w:hAnsi="Arial" w:cs="Arial"/>
          <w:sz w:val="24"/>
          <w:szCs w:val="24"/>
        </w:rPr>
        <w:t xml:space="preserve">. Disponible en: </w:t>
      </w:r>
      <w:hyperlink r:id="rId7" w:history="1">
        <w:r w:rsidRPr="00521B33">
          <w:rPr>
            <w:rStyle w:val="Hipervnculo"/>
            <w:rFonts w:ascii="Arial" w:hAnsi="Arial" w:cs="Arial"/>
            <w:sz w:val="24"/>
            <w:szCs w:val="24"/>
          </w:rPr>
          <w:t>https://repository.usta.edu.co/handle/11634/11690</w:t>
        </w:r>
      </w:hyperlink>
    </w:p>
    <w:p w:rsidR="006029C7" w:rsidRDefault="006029C7" w:rsidP="006C3C5D">
      <w:pPr>
        <w:spacing w:after="0" w:line="360" w:lineRule="auto"/>
        <w:jc w:val="both"/>
        <w:rPr>
          <w:rFonts w:ascii="Arial" w:hAnsi="Arial" w:cs="Arial"/>
          <w:sz w:val="24"/>
          <w:szCs w:val="24"/>
        </w:rPr>
      </w:pPr>
    </w:p>
    <w:p w:rsidR="006029C7" w:rsidRDefault="006029C7" w:rsidP="006C3C5D">
      <w:pPr>
        <w:spacing w:after="0" w:line="360" w:lineRule="auto"/>
        <w:jc w:val="both"/>
        <w:rPr>
          <w:rFonts w:ascii="Arial" w:hAnsi="Arial" w:cs="Arial"/>
          <w:sz w:val="24"/>
          <w:szCs w:val="24"/>
        </w:rPr>
      </w:pPr>
      <w:r>
        <w:rPr>
          <w:rFonts w:ascii="Arial" w:hAnsi="Arial" w:cs="Arial"/>
          <w:sz w:val="24"/>
          <w:szCs w:val="24"/>
        </w:rPr>
        <w:t xml:space="preserve">Unidad de Investigación (2018). Requisitos y resultados: Primera Convocatoria Institucional para jóvenes investigadores. Universidad Santo Tomás. Disponible en: </w:t>
      </w:r>
      <w:hyperlink r:id="rId8" w:history="1">
        <w:r w:rsidRPr="00521B33">
          <w:rPr>
            <w:rStyle w:val="Hipervnculo"/>
            <w:rFonts w:ascii="Arial" w:hAnsi="Arial" w:cs="Arial"/>
            <w:sz w:val="24"/>
            <w:szCs w:val="24"/>
          </w:rPr>
          <w:t>http://unidadinvestigacion.usta.edu.co/index.php/217-convocatoria-jovenes-investigadores-2018</w:t>
        </w:r>
      </w:hyperlink>
    </w:p>
    <w:p w:rsidR="00A94F3E" w:rsidRDefault="00A94F3E" w:rsidP="006C3C5D">
      <w:pPr>
        <w:spacing w:after="0" w:line="360" w:lineRule="auto"/>
        <w:jc w:val="both"/>
        <w:rPr>
          <w:rFonts w:ascii="Arial" w:hAnsi="Arial" w:cs="Arial"/>
          <w:sz w:val="24"/>
          <w:szCs w:val="24"/>
        </w:rPr>
      </w:pP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Álvarez, S. (2013). ¿A qué llamamos violencia en las ciencias sociales?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10</w:t>
      </w:r>
      <w:r w:rsidRPr="00651E55">
        <w:rPr>
          <w:rFonts w:ascii="Times New Roman" w:hAnsi="Times New Roman"/>
          <w:color w:val="FFFFFF" w:themeColor="background1"/>
          <w:sz w:val="4"/>
          <w:szCs w:val="4"/>
        </w:rPr>
        <w:t>(20). https://doi.org/10.15332/s1794-3841.2013.0020.05</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Ávila, W. (2013). Hacia una reflexión histórica de las TIC.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10</w:t>
      </w:r>
      <w:r w:rsidRPr="00651E55">
        <w:rPr>
          <w:rFonts w:ascii="Times New Roman" w:hAnsi="Times New Roman"/>
          <w:color w:val="FFFFFF" w:themeColor="background1"/>
          <w:sz w:val="4"/>
          <w:szCs w:val="4"/>
        </w:rPr>
        <w:t>(19). https://doi.org/10.15332/s1794-3841.2013.0019.13</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Castrillón, C. T., &amp; Córdoba, M. del P. R. (2014). Categorías conceptuales para el estudio de la responsabilidad social organizacional.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11</w:t>
      </w:r>
      <w:r w:rsidRPr="00651E55">
        <w:rPr>
          <w:rFonts w:ascii="Times New Roman" w:hAnsi="Times New Roman"/>
          <w:color w:val="FFFFFF" w:themeColor="background1"/>
          <w:sz w:val="4"/>
          <w:szCs w:val="4"/>
        </w:rPr>
        <w:t xml:space="preserve">(22). </w:t>
      </w:r>
      <w:hyperlink r:id="rId9" w:history="1">
        <w:r w:rsidRPr="00651E55">
          <w:rPr>
            <w:rStyle w:val="Hipervnculo"/>
            <w:rFonts w:ascii="Times New Roman" w:hAnsi="Times New Roman"/>
            <w:color w:val="FFFFFF" w:themeColor="background1"/>
            <w:sz w:val="4"/>
            <w:szCs w:val="4"/>
          </w:rPr>
          <w:t>https://doi.org/10.15332/s1794-3841.2014.0022.07</w:t>
        </w:r>
      </w:hyperlink>
    </w:p>
    <w:p w:rsidR="00651E55" w:rsidRPr="00651E55" w:rsidRDefault="00651E55" w:rsidP="00651E55">
      <w:pPr>
        <w:widowControl w:val="0"/>
        <w:autoSpaceDE w:val="0"/>
        <w:autoSpaceDN w:val="0"/>
        <w:adjustRightInd w:val="0"/>
        <w:spacing w:after="0" w:line="480" w:lineRule="auto"/>
        <w:ind w:left="720" w:hanging="720"/>
        <w:rPr>
          <w:rFonts w:ascii="Calibri" w:hAnsi="Calibri" w:cs="Calibri"/>
          <w:color w:val="FFFFFF" w:themeColor="background1"/>
          <w:sz w:val="4"/>
          <w:szCs w:val="4"/>
        </w:rPr>
      </w:pPr>
      <w:proofErr w:type="spellStart"/>
      <w:r w:rsidRPr="00651E55">
        <w:rPr>
          <w:rFonts w:ascii="Calibri" w:hAnsi="Calibri" w:cs="Calibri"/>
          <w:color w:val="FFFFFF" w:themeColor="background1"/>
          <w:sz w:val="4"/>
          <w:szCs w:val="4"/>
        </w:rPr>
        <w:t>Corchuelo</w:t>
      </w:r>
      <w:proofErr w:type="spellEnd"/>
      <w:r w:rsidRPr="00651E55">
        <w:rPr>
          <w:rFonts w:ascii="Calibri" w:hAnsi="Calibri" w:cs="Calibri"/>
          <w:color w:val="FFFFFF" w:themeColor="background1"/>
          <w:sz w:val="4"/>
          <w:szCs w:val="4"/>
        </w:rPr>
        <w:t xml:space="preserve">-Rodríguez, C.-A., Barreto Gallo, G. P., Cepeda González, J. D., Castro Marín, L. A., Segura </w:t>
      </w:r>
      <w:proofErr w:type="spellStart"/>
      <w:r w:rsidRPr="00651E55">
        <w:rPr>
          <w:rFonts w:ascii="Calibri" w:hAnsi="Calibri" w:cs="Calibri"/>
          <w:color w:val="FFFFFF" w:themeColor="background1"/>
          <w:sz w:val="4"/>
          <w:szCs w:val="4"/>
        </w:rPr>
        <w:t>Deaza</w:t>
      </w:r>
      <w:proofErr w:type="spellEnd"/>
      <w:r w:rsidRPr="00651E55">
        <w:rPr>
          <w:rFonts w:ascii="Calibri" w:hAnsi="Calibri" w:cs="Calibri"/>
          <w:color w:val="FFFFFF" w:themeColor="background1"/>
          <w:sz w:val="4"/>
          <w:szCs w:val="4"/>
        </w:rPr>
        <w:t>, E. S., Rodríguez Gutiérrez, D. F.</w:t>
      </w:r>
      <w:proofErr w:type="gramStart"/>
      <w:r w:rsidRPr="00651E55">
        <w:rPr>
          <w:rFonts w:ascii="Calibri" w:hAnsi="Calibri" w:cs="Calibri"/>
          <w:color w:val="FFFFFF" w:themeColor="background1"/>
          <w:sz w:val="4"/>
          <w:szCs w:val="4"/>
        </w:rPr>
        <w:t>, …</w:t>
      </w:r>
      <w:proofErr w:type="gramEnd"/>
      <w:r w:rsidRPr="00651E55">
        <w:rPr>
          <w:rFonts w:ascii="Calibri" w:hAnsi="Calibri" w:cs="Calibri"/>
          <w:color w:val="FFFFFF" w:themeColor="background1"/>
          <w:sz w:val="4"/>
          <w:szCs w:val="4"/>
        </w:rPr>
        <w:t xml:space="preserve"> Valderrama Campos, K. A. (2018, junio). Propuesta de organización del conocimiento científico de la Universidad de La Salle en el Marco del SCTI. Recuperado de http://eprints.rclis.org/33395/</w:t>
      </w:r>
    </w:p>
    <w:p w:rsidR="00651E55" w:rsidRPr="00651E55" w:rsidRDefault="00651E55" w:rsidP="00651E55">
      <w:pPr>
        <w:widowControl w:val="0"/>
        <w:autoSpaceDE w:val="0"/>
        <w:autoSpaceDN w:val="0"/>
        <w:adjustRightInd w:val="0"/>
        <w:spacing w:after="0" w:line="480" w:lineRule="auto"/>
        <w:ind w:left="720" w:hanging="720"/>
        <w:rPr>
          <w:rFonts w:ascii="Calibri" w:hAnsi="Calibri" w:cs="Calibri"/>
          <w:color w:val="FFFFFF" w:themeColor="background1"/>
          <w:sz w:val="4"/>
          <w:szCs w:val="4"/>
        </w:rPr>
      </w:pPr>
      <w:proofErr w:type="spellStart"/>
      <w:r w:rsidRPr="00651E55">
        <w:rPr>
          <w:rFonts w:ascii="Calibri" w:hAnsi="Calibri" w:cs="Calibri"/>
          <w:color w:val="FFFFFF" w:themeColor="background1"/>
          <w:sz w:val="4"/>
          <w:szCs w:val="4"/>
        </w:rPr>
        <w:t>Corchuelo-Rodriguez</w:t>
      </w:r>
      <w:proofErr w:type="spellEnd"/>
      <w:r w:rsidRPr="00651E55">
        <w:rPr>
          <w:rFonts w:ascii="Calibri" w:hAnsi="Calibri" w:cs="Calibri"/>
          <w:color w:val="FFFFFF" w:themeColor="background1"/>
          <w:sz w:val="4"/>
          <w:szCs w:val="4"/>
        </w:rPr>
        <w:t xml:space="preserve">, C. A., (2018). Repositorio como estrategia de visibilidad - Modelo Nacional de CTI. Recuperado de </w:t>
      </w:r>
      <w:hyperlink r:id="rId10" w:history="1">
        <w:r w:rsidRPr="00651E55">
          <w:rPr>
            <w:rStyle w:val="Hipervnculo"/>
            <w:rFonts w:ascii="Calibri" w:hAnsi="Calibri" w:cs="Calibri"/>
            <w:color w:val="FFFFFF" w:themeColor="background1"/>
            <w:sz w:val="4"/>
            <w:szCs w:val="4"/>
          </w:rPr>
          <w:t>http://repository.usta.edu.co/handle/11634/10358</w:t>
        </w:r>
      </w:hyperlink>
    </w:p>
    <w:p w:rsidR="00651E55" w:rsidRPr="00651E55" w:rsidRDefault="00651E55" w:rsidP="00651E55">
      <w:pPr>
        <w:widowControl w:val="0"/>
        <w:autoSpaceDE w:val="0"/>
        <w:autoSpaceDN w:val="0"/>
        <w:adjustRightInd w:val="0"/>
        <w:spacing w:after="0" w:line="480" w:lineRule="auto"/>
        <w:ind w:left="720" w:hanging="720"/>
        <w:rPr>
          <w:rFonts w:ascii="Calibri" w:hAnsi="Calibri" w:cs="Calibri"/>
          <w:color w:val="FFFFFF" w:themeColor="background1"/>
          <w:sz w:val="4"/>
          <w:szCs w:val="4"/>
        </w:rPr>
      </w:pPr>
      <w:proofErr w:type="spellStart"/>
      <w:r w:rsidRPr="00651E55">
        <w:rPr>
          <w:rFonts w:ascii="Calibri" w:hAnsi="Calibri" w:cs="Calibri"/>
          <w:color w:val="FFFFFF" w:themeColor="background1"/>
          <w:sz w:val="4"/>
          <w:szCs w:val="4"/>
        </w:rPr>
        <w:t>Corchuelo</w:t>
      </w:r>
      <w:proofErr w:type="spellEnd"/>
      <w:r w:rsidRPr="00651E55">
        <w:rPr>
          <w:rFonts w:ascii="Calibri" w:hAnsi="Calibri" w:cs="Calibri"/>
          <w:color w:val="FFFFFF" w:themeColor="background1"/>
          <w:sz w:val="4"/>
          <w:szCs w:val="4"/>
        </w:rPr>
        <w:t xml:space="preserve"> Rodríguez, C., Montenegro-Riaño, D., Pinzón-Rodríguez, J., &amp; Cantor-Gómez, C. (2016). Desarrollo de la competencia digital en estudiantes de pregrado de la Universidad de La Sabana. </w:t>
      </w:r>
      <w:r w:rsidRPr="00651E55">
        <w:rPr>
          <w:rFonts w:ascii="Calibri" w:hAnsi="Calibri" w:cs="Calibri"/>
          <w:i/>
          <w:iCs/>
          <w:color w:val="FFFFFF" w:themeColor="background1"/>
          <w:sz w:val="4"/>
          <w:szCs w:val="4"/>
        </w:rPr>
        <w:t>Universidad de la Sabana</w:t>
      </w:r>
      <w:r w:rsidRPr="00651E55">
        <w:rPr>
          <w:rFonts w:ascii="Calibri" w:hAnsi="Calibri" w:cs="Calibri"/>
          <w:color w:val="FFFFFF" w:themeColor="background1"/>
          <w:sz w:val="4"/>
          <w:szCs w:val="4"/>
        </w:rPr>
        <w:t>. Recuperado de http://intellectum.unisabana.edu.co/handle/10818/26080</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Cruz, N. M. (2013). Literatura, historia y memoria.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10</w:t>
      </w:r>
      <w:r w:rsidRPr="00651E55">
        <w:rPr>
          <w:rFonts w:ascii="Times New Roman" w:hAnsi="Times New Roman"/>
          <w:color w:val="FFFFFF" w:themeColor="background1"/>
          <w:sz w:val="4"/>
          <w:szCs w:val="4"/>
        </w:rPr>
        <w:t>(20). https://doi.org/10.15332/s1794-3841.2013.0020.03</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Echeverry, L. M., Estay-</w:t>
      </w:r>
      <w:proofErr w:type="spellStart"/>
      <w:r w:rsidRPr="00651E55">
        <w:rPr>
          <w:rFonts w:ascii="Times New Roman" w:hAnsi="Times New Roman"/>
          <w:color w:val="FFFFFF" w:themeColor="background1"/>
          <w:sz w:val="4"/>
          <w:szCs w:val="4"/>
        </w:rPr>
        <w:t>Niculcar</w:t>
      </w:r>
      <w:proofErr w:type="spellEnd"/>
      <w:r w:rsidRPr="00651E55">
        <w:rPr>
          <w:rFonts w:ascii="Times New Roman" w:hAnsi="Times New Roman"/>
          <w:color w:val="FFFFFF" w:themeColor="background1"/>
          <w:sz w:val="4"/>
          <w:szCs w:val="4"/>
        </w:rPr>
        <w:t xml:space="preserve">, C., &amp; Parra, J. H. (2014). Imagen país de Colombia desde la perspectiva estadounidense.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11</w:t>
      </w:r>
      <w:r w:rsidRPr="00651E55">
        <w:rPr>
          <w:rFonts w:ascii="Times New Roman" w:hAnsi="Times New Roman"/>
          <w:color w:val="FFFFFF" w:themeColor="background1"/>
          <w:sz w:val="4"/>
          <w:szCs w:val="4"/>
        </w:rPr>
        <w:t>(22). https://doi.org/10.15332/s1794-3841.2014.0022.12</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roofErr w:type="spellStart"/>
      <w:r w:rsidRPr="00651E55">
        <w:rPr>
          <w:rFonts w:ascii="Times New Roman" w:hAnsi="Times New Roman"/>
          <w:color w:val="FFFFFF" w:themeColor="background1"/>
          <w:sz w:val="4"/>
          <w:szCs w:val="4"/>
        </w:rPr>
        <w:t>Ervis</w:t>
      </w:r>
      <w:proofErr w:type="spellEnd"/>
      <w:r w:rsidRPr="00651E55">
        <w:rPr>
          <w:rFonts w:ascii="Times New Roman" w:hAnsi="Times New Roman"/>
          <w:color w:val="FFFFFF" w:themeColor="background1"/>
          <w:sz w:val="4"/>
          <w:szCs w:val="4"/>
        </w:rPr>
        <w:t xml:space="preserve">, E. E. (2016). El proyecto cultural liberador de José Martí para su tiempo y para el siglo xxi.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13</w:t>
      </w:r>
      <w:r w:rsidRPr="00651E55">
        <w:rPr>
          <w:rFonts w:ascii="Times New Roman" w:hAnsi="Times New Roman"/>
          <w:color w:val="FFFFFF" w:themeColor="background1"/>
          <w:sz w:val="4"/>
          <w:szCs w:val="4"/>
        </w:rPr>
        <w:t>(25), 65-87. https://doi.org/10.15332/s1794-3841.2016.0025.03</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Fonseca, J. C., Riberos, A. M. R., &amp; Romero, J. A. (2013). Construcción narrativa de relatos </w:t>
      </w:r>
      <w:proofErr w:type="spellStart"/>
      <w:r w:rsidRPr="00651E55">
        <w:rPr>
          <w:rFonts w:ascii="Times New Roman" w:hAnsi="Times New Roman"/>
          <w:color w:val="FFFFFF" w:themeColor="background1"/>
          <w:sz w:val="4"/>
          <w:szCs w:val="4"/>
        </w:rPr>
        <w:t>identitarios</w:t>
      </w:r>
      <w:proofErr w:type="spellEnd"/>
      <w:r w:rsidRPr="00651E55">
        <w:rPr>
          <w:rFonts w:ascii="Times New Roman" w:hAnsi="Times New Roman"/>
          <w:color w:val="FFFFFF" w:themeColor="background1"/>
          <w:sz w:val="4"/>
          <w:szCs w:val="4"/>
        </w:rPr>
        <w:t xml:space="preserve"> que favorecen la resiliencia en jóvenes con orientación homosexual.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10</w:t>
      </w:r>
      <w:r w:rsidRPr="00651E55">
        <w:rPr>
          <w:rFonts w:ascii="Times New Roman" w:hAnsi="Times New Roman"/>
          <w:color w:val="FFFFFF" w:themeColor="background1"/>
          <w:sz w:val="4"/>
          <w:szCs w:val="4"/>
        </w:rPr>
        <w:t xml:space="preserve">(19). </w:t>
      </w:r>
      <w:hyperlink r:id="rId11" w:history="1">
        <w:r w:rsidRPr="00651E55">
          <w:rPr>
            <w:rStyle w:val="Hipervnculo"/>
            <w:rFonts w:ascii="Times New Roman" w:hAnsi="Times New Roman"/>
            <w:color w:val="FFFFFF" w:themeColor="background1"/>
            <w:sz w:val="4"/>
            <w:szCs w:val="4"/>
          </w:rPr>
          <w:t>https://doi.org/10.15332/s1794-3841.2013.0019.08</w:t>
        </w:r>
      </w:hyperlink>
    </w:p>
    <w:p w:rsidR="00651E55" w:rsidRPr="00651E55" w:rsidRDefault="00651E55" w:rsidP="00651E55">
      <w:pPr>
        <w:widowControl w:val="0"/>
        <w:autoSpaceDE w:val="0"/>
        <w:autoSpaceDN w:val="0"/>
        <w:adjustRightInd w:val="0"/>
        <w:spacing w:after="0" w:line="480" w:lineRule="auto"/>
        <w:ind w:left="720" w:hanging="720"/>
        <w:rPr>
          <w:color w:val="FFFFFF" w:themeColor="background1"/>
          <w:sz w:val="4"/>
          <w:szCs w:val="4"/>
        </w:rPr>
      </w:pPr>
      <w:r w:rsidRPr="00651E55">
        <w:rPr>
          <w:color w:val="FFFFFF" w:themeColor="background1"/>
          <w:sz w:val="4"/>
          <w:szCs w:val="4"/>
        </w:rPr>
        <w:t xml:space="preserve">Gómez Jaramillo, A., Carvajal Martínez, J. E., Romero Sánchez, A., Pérez Salazar, B., Beltrán Hernández, D., Romero </w:t>
      </w:r>
      <w:proofErr w:type="spellStart"/>
      <w:r w:rsidRPr="00651E55">
        <w:rPr>
          <w:color w:val="FFFFFF" w:themeColor="background1"/>
          <w:sz w:val="4"/>
          <w:szCs w:val="4"/>
        </w:rPr>
        <w:t>Romero</w:t>
      </w:r>
      <w:proofErr w:type="spellEnd"/>
      <w:r w:rsidRPr="00651E55">
        <w:rPr>
          <w:color w:val="FFFFFF" w:themeColor="background1"/>
          <w:sz w:val="4"/>
          <w:szCs w:val="4"/>
        </w:rPr>
        <w:t>, C. &amp; Sierra Zamora, P. (2015). El entramado penal, las políticas públicas y la seguridad. Bogotá: Universidad Católica de Colombia</w:t>
      </w:r>
    </w:p>
    <w:p w:rsidR="00651E55" w:rsidRPr="00651E55" w:rsidRDefault="00651E55" w:rsidP="00651E55">
      <w:pPr>
        <w:widowControl w:val="0"/>
        <w:autoSpaceDE w:val="0"/>
        <w:autoSpaceDN w:val="0"/>
        <w:adjustRightInd w:val="0"/>
        <w:spacing w:after="0" w:line="480" w:lineRule="auto"/>
        <w:ind w:left="720" w:hanging="720"/>
        <w:rPr>
          <w:rFonts w:ascii="Calibri" w:hAnsi="Calibri" w:cs="Calibri"/>
          <w:color w:val="FFFFFF" w:themeColor="background1"/>
          <w:sz w:val="4"/>
          <w:szCs w:val="4"/>
        </w:rPr>
      </w:pPr>
      <w:proofErr w:type="spellStart"/>
      <w:r w:rsidRPr="00651E55">
        <w:rPr>
          <w:rFonts w:ascii="Calibri" w:hAnsi="Calibri" w:cs="Calibri"/>
          <w:color w:val="FFFFFF" w:themeColor="background1"/>
          <w:sz w:val="4"/>
          <w:szCs w:val="4"/>
        </w:rPr>
        <w:lastRenderedPageBreak/>
        <w:t>Gomez</w:t>
      </w:r>
      <w:proofErr w:type="spellEnd"/>
      <w:r w:rsidRPr="00651E55">
        <w:rPr>
          <w:rFonts w:ascii="Calibri" w:hAnsi="Calibri" w:cs="Calibri"/>
          <w:color w:val="FFFFFF" w:themeColor="background1"/>
          <w:sz w:val="4"/>
          <w:szCs w:val="4"/>
        </w:rPr>
        <w:t xml:space="preserve"> Jaramillo, A., &amp; Valencia Villamizar, D. (2014). </w:t>
      </w:r>
      <w:r w:rsidRPr="00651E55">
        <w:rPr>
          <w:rFonts w:ascii="Calibri" w:hAnsi="Calibri" w:cs="Calibri"/>
          <w:i/>
          <w:iCs/>
          <w:color w:val="FFFFFF" w:themeColor="background1"/>
          <w:sz w:val="4"/>
          <w:szCs w:val="4"/>
        </w:rPr>
        <w:t>Del derecho al cine</w:t>
      </w:r>
      <w:r w:rsidRPr="00651E55">
        <w:rPr>
          <w:rFonts w:ascii="Calibri" w:hAnsi="Calibri" w:cs="Calibri"/>
          <w:color w:val="FFFFFF" w:themeColor="background1"/>
          <w:sz w:val="4"/>
          <w:szCs w:val="4"/>
        </w:rPr>
        <w:t xml:space="preserve"> (2a ed.). Bogotá: Ediciones Doctrina y Ley. Recuperado de http://repository.usta.edu.co/handle/11634/13472</w:t>
      </w:r>
    </w:p>
    <w:p w:rsidR="00651E55" w:rsidRPr="00651E55" w:rsidRDefault="00651E55" w:rsidP="00651E55">
      <w:pPr>
        <w:pStyle w:val="Bibliografa"/>
        <w:rPr>
          <w:rFonts w:ascii="TimesNewRomanPSMT" w:hAnsi="TimesNewRomanPSMT"/>
          <w:color w:val="FFFFFF" w:themeColor="background1"/>
          <w:sz w:val="4"/>
          <w:szCs w:val="4"/>
        </w:rPr>
      </w:pPr>
      <w:r w:rsidRPr="00651E55">
        <w:rPr>
          <w:rFonts w:ascii="TimesNewRomanPSMT" w:hAnsi="TimesNewRomanPSMT" w:cs="TimesNewRomanPSMT"/>
          <w:color w:val="FFFFFF" w:themeColor="background1"/>
          <w:sz w:val="4"/>
          <w:szCs w:val="4"/>
        </w:rPr>
        <w:fldChar w:fldCharType="begin"/>
      </w:r>
      <w:r w:rsidRPr="00651E55">
        <w:rPr>
          <w:rFonts w:ascii="TimesNewRomanPSMT" w:hAnsi="TimesNewRomanPSMT" w:cs="TimesNewRomanPSMT"/>
          <w:color w:val="FFFFFF" w:themeColor="background1"/>
          <w:sz w:val="4"/>
          <w:szCs w:val="4"/>
        </w:rPr>
        <w:instrText xml:space="preserve"> ADDIN ZOTERO_BIBL {"uncited":[],"omitted":[],"custom":[]} CSL_BIBLIOGRAPHY </w:instrText>
      </w:r>
      <w:r w:rsidRPr="00651E55">
        <w:rPr>
          <w:rFonts w:ascii="TimesNewRomanPSMT" w:hAnsi="TimesNewRomanPSMT" w:cs="TimesNewRomanPSMT"/>
          <w:color w:val="FFFFFF" w:themeColor="background1"/>
          <w:sz w:val="4"/>
          <w:szCs w:val="4"/>
        </w:rPr>
        <w:fldChar w:fldCharType="separate"/>
      </w:r>
      <w:proofErr w:type="spellStart"/>
      <w:r w:rsidRPr="00651E55">
        <w:rPr>
          <w:rFonts w:ascii="TimesNewRomanPSMT" w:hAnsi="TimesNewRomanPSMT"/>
          <w:color w:val="FFFFFF" w:themeColor="background1"/>
          <w:sz w:val="4"/>
          <w:szCs w:val="4"/>
        </w:rPr>
        <w:t>Corchuelo</w:t>
      </w:r>
      <w:proofErr w:type="spellEnd"/>
      <w:r w:rsidRPr="00651E55">
        <w:rPr>
          <w:rFonts w:ascii="TimesNewRomanPSMT" w:hAnsi="TimesNewRomanPSMT"/>
          <w:color w:val="FFFFFF" w:themeColor="background1"/>
          <w:sz w:val="4"/>
          <w:szCs w:val="4"/>
        </w:rPr>
        <w:t xml:space="preserve"> </w:t>
      </w:r>
      <w:proofErr w:type="spellStart"/>
      <w:r w:rsidRPr="00651E55">
        <w:rPr>
          <w:rFonts w:ascii="TimesNewRomanPSMT" w:hAnsi="TimesNewRomanPSMT"/>
          <w:color w:val="FFFFFF" w:themeColor="background1"/>
          <w:sz w:val="4"/>
          <w:szCs w:val="4"/>
        </w:rPr>
        <w:t>Rodriguez</w:t>
      </w:r>
      <w:proofErr w:type="spellEnd"/>
      <w:r w:rsidRPr="00651E55">
        <w:rPr>
          <w:rFonts w:ascii="TimesNewRomanPSMT" w:hAnsi="TimesNewRomanPSMT"/>
          <w:color w:val="FFFFFF" w:themeColor="background1"/>
          <w:sz w:val="4"/>
          <w:szCs w:val="4"/>
        </w:rPr>
        <w:t xml:space="preserve">, C. A., &amp; González </w:t>
      </w:r>
      <w:proofErr w:type="spellStart"/>
      <w:r w:rsidRPr="00651E55">
        <w:rPr>
          <w:rFonts w:ascii="TimesNewRomanPSMT" w:hAnsi="TimesNewRomanPSMT"/>
          <w:color w:val="FFFFFF" w:themeColor="background1"/>
          <w:sz w:val="4"/>
          <w:szCs w:val="4"/>
        </w:rPr>
        <w:t>Devia</w:t>
      </w:r>
      <w:proofErr w:type="spellEnd"/>
      <w:r w:rsidRPr="00651E55">
        <w:rPr>
          <w:rFonts w:ascii="TimesNewRomanPSMT" w:hAnsi="TimesNewRomanPSMT"/>
          <w:color w:val="FFFFFF" w:themeColor="background1"/>
          <w:sz w:val="4"/>
          <w:szCs w:val="4"/>
        </w:rPr>
        <w:t xml:space="preserve">, J. L. (2018). Guía para la creación de perfil en CVLAC. </w:t>
      </w:r>
      <w:r w:rsidRPr="00651E55">
        <w:rPr>
          <w:rFonts w:ascii="TimesNewRomanPSMT" w:hAnsi="TimesNewRomanPSMT"/>
          <w:i/>
          <w:iCs/>
          <w:color w:val="FFFFFF" w:themeColor="background1"/>
          <w:sz w:val="4"/>
          <w:szCs w:val="4"/>
        </w:rPr>
        <w:t>Ciencia y Tecnología Para Todos. (</w:t>
      </w:r>
      <w:proofErr w:type="gramStart"/>
      <w:r w:rsidRPr="00651E55">
        <w:rPr>
          <w:rFonts w:ascii="TimesNewRomanPSMT" w:hAnsi="TimesNewRomanPSMT"/>
          <w:i/>
          <w:iCs/>
          <w:color w:val="FFFFFF" w:themeColor="background1"/>
          <w:sz w:val="4"/>
          <w:szCs w:val="4"/>
        </w:rPr>
        <w:t>s</w:t>
      </w:r>
      <w:proofErr w:type="gramEnd"/>
      <w:r w:rsidRPr="00651E55">
        <w:rPr>
          <w:rFonts w:ascii="TimesNewRomanPSMT" w:hAnsi="TimesNewRomanPSMT"/>
          <w:i/>
          <w:iCs/>
          <w:color w:val="FFFFFF" w:themeColor="background1"/>
          <w:sz w:val="4"/>
          <w:szCs w:val="4"/>
        </w:rPr>
        <w:t>. f.-a). Recuperado a partir de http://scienti.colciencias.gov.co:8083/ciencia-war/busquedaGruposPorInstitucion.do?maxRows=15&amp;all_grupos_ins_tr_=true&amp;all_grupos_ins_p_=36&amp;all_grupos_ins_mr_=15</w:t>
      </w:r>
      <w:r w:rsidRPr="00651E55">
        <w:rPr>
          <w:rFonts w:ascii="TimesNewRomanPSMT" w:hAnsi="TimesNewRomanPSMT"/>
          <w:color w:val="FFFFFF" w:themeColor="background1"/>
          <w:sz w:val="4"/>
          <w:szCs w:val="4"/>
        </w:rPr>
        <w:t>. https://doi.org/10.15332/dt.inv.2018.00032</w:t>
      </w:r>
    </w:p>
    <w:p w:rsidR="00651E55" w:rsidRPr="00651E55" w:rsidRDefault="00651E55" w:rsidP="00651E55">
      <w:pPr>
        <w:rPr>
          <w:color w:val="FFFFFF" w:themeColor="background1"/>
          <w:sz w:val="4"/>
          <w:szCs w:val="4"/>
        </w:rPr>
      </w:pPr>
    </w:p>
    <w:p w:rsidR="00651E55" w:rsidRPr="00651E55" w:rsidRDefault="00651E55" w:rsidP="00651E55">
      <w:pPr>
        <w:pStyle w:val="Bibliografa"/>
        <w:rPr>
          <w:rFonts w:ascii="TimesNewRomanPSMT" w:hAnsi="TimesNewRomanPSMT"/>
          <w:color w:val="FFFFFF" w:themeColor="background1"/>
          <w:sz w:val="4"/>
          <w:szCs w:val="4"/>
        </w:rPr>
      </w:pPr>
      <w:r w:rsidRPr="00651E55">
        <w:rPr>
          <w:rFonts w:ascii="TimesNewRomanPSMT" w:hAnsi="TimesNewRomanPSMT" w:cs="TimesNewRomanPSMT"/>
          <w:color w:val="FFFFFF" w:themeColor="background1"/>
          <w:sz w:val="4"/>
          <w:szCs w:val="4"/>
        </w:rPr>
        <w:fldChar w:fldCharType="begin"/>
      </w:r>
      <w:r w:rsidRPr="00651E55">
        <w:rPr>
          <w:rFonts w:ascii="TimesNewRomanPSMT" w:hAnsi="TimesNewRomanPSMT" w:cs="TimesNewRomanPSMT"/>
          <w:color w:val="FFFFFF" w:themeColor="background1"/>
          <w:sz w:val="4"/>
          <w:szCs w:val="4"/>
        </w:rPr>
        <w:instrText xml:space="preserve"> ADDIN ZOTERO_BIBL {"uncited":[],"omitted":[],"custom":[]} CSL_BIBLIOGRAPHY </w:instrText>
      </w:r>
      <w:r w:rsidRPr="00651E55">
        <w:rPr>
          <w:rFonts w:ascii="TimesNewRomanPSMT" w:hAnsi="TimesNewRomanPSMT" w:cs="TimesNewRomanPSMT"/>
          <w:color w:val="FFFFFF" w:themeColor="background1"/>
          <w:sz w:val="4"/>
          <w:szCs w:val="4"/>
        </w:rPr>
        <w:fldChar w:fldCharType="separate"/>
      </w:r>
      <w:r w:rsidRPr="00651E55">
        <w:rPr>
          <w:rFonts w:ascii="TimesNewRomanPSMT" w:hAnsi="TimesNewRomanPSMT"/>
          <w:color w:val="FFFFFF" w:themeColor="background1"/>
          <w:sz w:val="4"/>
          <w:szCs w:val="4"/>
        </w:rPr>
        <w:t xml:space="preserve">Corchuelo Rodriguez, C. A., &amp; González Devia, J. L. (2018). Guía para la creación de perfil en CVLAC. </w:t>
      </w:r>
      <w:r w:rsidRPr="00651E55">
        <w:rPr>
          <w:rFonts w:ascii="TimesNewRomanPSMT" w:hAnsi="TimesNewRomanPSMT"/>
          <w:i/>
          <w:iCs/>
          <w:color w:val="FFFFFF" w:themeColor="background1"/>
          <w:sz w:val="4"/>
          <w:szCs w:val="4"/>
        </w:rPr>
        <w:t>Ciencia y Tecnología Para Todos. (s. f.-a). Recuperado a partir de http://scienti.colciencias.gov.co:8083/ciencia-war/busquedaGruposPorInstitucion.do?maxRows=15&amp;all_grupos_ins_tr_=true&amp;all_grupos_ins_p_=36&amp;all_grupos_ins_mr_=15</w:t>
      </w:r>
      <w:r w:rsidRPr="00651E55">
        <w:rPr>
          <w:rFonts w:ascii="TimesNewRomanPSMT" w:hAnsi="TimesNewRomanPSMT"/>
          <w:color w:val="FFFFFF" w:themeColor="background1"/>
          <w:sz w:val="4"/>
          <w:szCs w:val="4"/>
        </w:rPr>
        <w:t>. https://doi.org/10.15332/dt.inv.2018.00032</w:t>
      </w:r>
    </w:p>
    <w:p w:rsidR="00651E55" w:rsidRPr="00651E55" w:rsidRDefault="00651E55" w:rsidP="00651E55">
      <w:pPr>
        <w:pStyle w:val="Bibliografa"/>
        <w:rPr>
          <w:color w:val="FFFFFF" w:themeColor="background1"/>
          <w:sz w:val="4"/>
          <w:szCs w:val="4"/>
        </w:rPr>
      </w:pPr>
      <w:r w:rsidRPr="00651E55">
        <w:rPr>
          <w:rFonts w:ascii="TimesNewRomanPSMT" w:hAnsi="TimesNewRomanPSMT" w:cs="TimesNewRomanPSMT"/>
          <w:color w:val="FFFFFF" w:themeColor="background1"/>
          <w:sz w:val="4"/>
          <w:szCs w:val="4"/>
        </w:rPr>
        <w:fldChar w:fldCharType="end"/>
      </w:r>
    </w:p>
    <w:p w:rsidR="00651E55" w:rsidRPr="00651E55" w:rsidRDefault="00651E55" w:rsidP="00651E55">
      <w:pPr>
        <w:pStyle w:val="Bibliografa"/>
        <w:rPr>
          <w:rFonts w:ascii="TimesNewRomanPSMT" w:hAnsi="TimesNewRomanPSMT"/>
          <w:color w:val="FFFFFF" w:themeColor="background1"/>
          <w:sz w:val="4"/>
          <w:szCs w:val="4"/>
        </w:rPr>
      </w:pPr>
      <w:proofErr w:type="spellStart"/>
      <w:r w:rsidRPr="00651E55">
        <w:rPr>
          <w:rFonts w:ascii="TimesNewRomanPSMT" w:hAnsi="TimesNewRomanPSMT"/>
          <w:color w:val="FFFFFF" w:themeColor="background1"/>
          <w:sz w:val="4"/>
          <w:szCs w:val="4"/>
        </w:rPr>
        <w:t>Gomez</w:t>
      </w:r>
      <w:proofErr w:type="spellEnd"/>
      <w:r w:rsidRPr="00651E55">
        <w:rPr>
          <w:rFonts w:ascii="TimesNewRomanPSMT" w:hAnsi="TimesNewRomanPSMT"/>
          <w:color w:val="FFFFFF" w:themeColor="background1"/>
          <w:sz w:val="4"/>
          <w:szCs w:val="4"/>
        </w:rPr>
        <w:t xml:space="preserve">- Jaramillo, A. G. (2008). </w:t>
      </w:r>
      <w:r w:rsidRPr="00651E55">
        <w:rPr>
          <w:rFonts w:ascii="TimesNewRomanPSMT" w:hAnsi="TimesNewRomanPSMT"/>
          <w:i/>
          <w:iCs/>
          <w:color w:val="FFFFFF" w:themeColor="background1"/>
          <w:sz w:val="4"/>
          <w:szCs w:val="4"/>
        </w:rPr>
        <w:t>Un mundo sin cárceles es posible</w:t>
      </w:r>
      <w:r w:rsidRPr="00651E55">
        <w:rPr>
          <w:rFonts w:ascii="TimesNewRomanPSMT" w:hAnsi="TimesNewRomanPSMT"/>
          <w:color w:val="FFFFFF" w:themeColor="background1"/>
          <w:sz w:val="4"/>
          <w:szCs w:val="4"/>
        </w:rPr>
        <w:t>. México: Coyoacán Ediciones. Recuperado de https://books.google.com.co/books/about/Un_mundo_sin_c%C3%A1rceles_es_posible.html?id=Q8hHAAAAYAAJ&amp;redir_esc=y</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roofErr w:type="spellStart"/>
      <w:r w:rsidRPr="00651E55">
        <w:rPr>
          <w:rFonts w:ascii="Times New Roman" w:hAnsi="Times New Roman"/>
          <w:color w:val="FFFFFF" w:themeColor="background1"/>
          <w:sz w:val="4"/>
          <w:szCs w:val="4"/>
        </w:rPr>
        <w:t>Miravalle</w:t>
      </w:r>
      <w:proofErr w:type="spellEnd"/>
      <w:r w:rsidRPr="00651E55">
        <w:rPr>
          <w:rFonts w:ascii="Times New Roman" w:hAnsi="Times New Roman"/>
          <w:color w:val="FFFFFF" w:themeColor="background1"/>
          <w:sz w:val="4"/>
          <w:szCs w:val="4"/>
        </w:rPr>
        <w:t xml:space="preserve">, A. F. (2014). </w:t>
      </w:r>
      <w:proofErr w:type="gramStart"/>
      <w:r w:rsidRPr="00651E55">
        <w:rPr>
          <w:rFonts w:ascii="Times New Roman" w:hAnsi="Times New Roman"/>
          <w:color w:val="FFFFFF" w:themeColor="background1"/>
          <w:sz w:val="4"/>
          <w:szCs w:val="4"/>
        </w:rPr>
        <w:t>Las tic</w:t>
      </w:r>
      <w:proofErr w:type="gramEnd"/>
      <w:r w:rsidRPr="00651E55">
        <w:rPr>
          <w:rFonts w:ascii="Times New Roman" w:hAnsi="Times New Roman"/>
          <w:color w:val="FFFFFF" w:themeColor="background1"/>
          <w:sz w:val="4"/>
          <w:szCs w:val="4"/>
        </w:rPr>
        <w:t xml:space="preserve"> en el aprendizaje universitario, según la edad. </w:t>
      </w:r>
      <w:r w:rsidRPr="00651E55">
        <w:rPr>
          <w:rFonts w:ascii="Times New Roman" w:hAnsi="Times New Roman"/>
          <w:i/>
          <w:iCs/>
          <w:color w:val="FFFFFF" w:themeColor="background1"/>
          <w:sz w:val="4"/>
          <w:szCs w:val="4"/>
        </w:rPr>
        <w:t>Revista Interamericana de Investigación, Educación y Pedagogía, RIIEP</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7</w:t>
      </w:r>
      <w:r w:rsidRPr="00651E55">
        <w:rPr>
          <w:rFonts w:ascii="Times New Roman" w:hAnsi="Times New Roman"/>
          <w:color w:val="FFFFFF" w:themeColor="background1"/>
          <w:sz w:val="4"/>
          <w:szCs w:val="4"/>
        </w:rPr>
        <w:t>(1). https://doi.org/10.15332/s1657-107X.2014.0001.01</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NewRomanPSMT" w:hAnsi="TimesNewRomanPSMT" w:cs="TimesNewRomanPSMT"/>
          <w:color w:val="FFFFFF" w:themeColor="background1"/>
          <w:sz w:val="4"/>
          <w:szCs w:val="4"/>
        </w:rPr>
        <w:fldChar w:fldCharType="end"/>
      </w:r>
      <w:r w:rsidRPr="00651E55">
        <w:rPr>
          <w:rFonts w:ascii="Times New Roman" w:hAnsi="Times New Roman"/>
          <w:color w:val="FFFFFF" w:themeColor="background1"/>
          <w:sz w:val="4"/>
          <w:szCs w:val="4"/>
        </w:rPr>
        <w:t xml:space="preserve">Navarro, M. M. O. (2013). Atención integral de la embarazada en la comunidad.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10</w:t>
      </w:r>
      <w:r w:rsidRPr="00651E55">
        <w:rPr>
          <w:rFonts w:ascii="Times New Roman" w:hAnsi="Times New Roman"/>
          <w:color w:val="FFFFFF" w:themeColor="background1"/>
          <w:sz w:val="4"/>
          <w:szCs w:val="4"/>
        </w:rPr>
        <w:t xml:space="preserve">(20). </w:t>
      </w:r>
      <w:hyperlink r:id="rId12" w:history="1">
        <w:r w:rsidRPr="00651E55">
          <w:rPr>
            <w:rStyle w:val="Hipervnculo"/>
            <w:rFonts w:ascii="Times New Roman" w:hAnsi="Times New Roman"/>
            <w:color w:val="FFFFFF" w:themeColor="background1"/>
            <w:sz w:val="4"/>
            <w:szCs w:val="4"/>
          </w:rPr>
          <w:t>https://doi.org/10.15332/s1794-3841.2013.0020.09</w:t>
        </w:r>
      </w:hyperlink>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roofErr w:type="spellStart"/>
      <w:r w:rsidRPr="00651E55">
        <w:rPr>
          <w:rFonts w:ascii="Times New Roman" w:hAnsi="Times New Roman"/>
          <w:color w:val="FFFFFF" w:themeColor="background1"/>
          <w:sz w:val="4"/>
          <w:szCs w:val="4"/>
        </w:rPr>
        <w:t>Ortíz</w:t>
      </w:r>
      <w:proofErr w:type="spellEnd"/>
      <w:r w:rsidRPr="00651E55">
        <w:rPr>
          <w:rFonts w:ascii="Times New Roman" w:hAnsi="Times New Roman"/>
          <w:color w:val="FFFFFF" w:themeColor="background1"/>
          <w:sz w:val="4"/>
          <w:szCs w:val="4"/>
        </w:rPr>
        <w:t xml:space="preserve">,  </w:t>
      </w:r>
      <w:proofErr w:type="spellStart"/>
      <w:r w:rsidRPr="00651E55">
        <w:rPr>
          <w:rFonts w:ascii="Times New Roman" w:hAnsi="Times New Roman"/>
          <w:color w:val="FFFFFF" w:themeColor="background1"/>
          <w:sz w:val="4"/>
          <w:szCs w:val="4"/>
        </w:rPr>
        <w:t>faber</w:t>
      </w:r>
      <w:proofErr w:type="spellEnd"/>
      <w:r w:rsidRPr="00651E55">
        <w:rPr>
          <w:rFonts w:ascii="Times New Roman" w:hAnsi="Times New Roman"/>
          <w:color w:val="FFFFFF" w:themeColor="background1"/>
          <w:sz w:val="4"/>
          <w:szCs w:val="4"/>
        </w:rPr>
        <w:t xml:space="preserve"> A. A. (2014). La </w:t>
      </w:r>
      <w:proofErr w:type="spellStart"/>
      <w:r w:rsidRPr="00651E55">
        <w:rPr>
          <w:rFonts w:ascii="Times New Roman" w:hAnsi="Times New Roman"/>
          <w:color w:val="FFFFFF" w:themeColor="background1"/>
          <w:sz w:val="4"/>
          <w:szCs w:val="4"/>
        </w:rPr>
        <w:t>neopedagogía</w:t>
      </w:r>
      <w:proofErr w:type="spellEnd"/>
      <w:r w:rsidRPr="00651E55">
        <w:rPr>
          <w:rFonts w:ascii="Times New Roman" w:hAnsi="Times New Roman"/>
          <w:color w:val="FFFFFF" w:themeColor="background1"/>
          <w:sz w:val="4"/>
          <w:szCs w:val="4"/>
        </w:rPr>
        <w:t xml:space="preserve">: contextos y emergencias.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11</w:t>
      </w:r>
      <w:r w:rsidRPr="00651E55">
        <w:rPr>
          <w:rFonts w:ascii="Times New Roman" w:hAnsi="Times New Roman"/>
          <w:color w:val="FFFFFF" w:themeColor="background1"/>
          <w:sz w:val="4"/>
          <w:szCs w:val="4"/>
        </w:rPr>
        <w:t xml:space="preserve">(21). </w:t>
      </w:r>
      <w:hyperlink r:id="rId13" w:history="1">
        <w:r w:rsidRPr="00651E55">
          <w:rPr>
            <w:rStyle w:val="Hipervnculo"/>
            <w:rFonts w:ascii="Times New Roman" w:hAnsi="Times New Roman"/>
            <w:color w:val="FFFFFF" w:themeColor="background1"/>
            <w:sz w:val="4"/>
            <w:szCs w:val="4"/>
          </w:rPr>
          <w:t>https://doi.org/10.15332/s1794-3841.2014.0021.12</w:t>
        </w:r>
      </w:hyperlink>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Ortiz, A. P., Pérez, V. R. D., &amp; Salazar, O. C. (2014). Una aproximación conceptual a la retención estudiantil en Latinoamérica. </w:t>
      </w:r>
      <w:r w:rsidRPr="00651E55">
        <w:rPr>
          <w:rFonts w:ascii="Times New Roman" w:hAnsi="Times New Roman"/>
          <w:i/>
          <w:iCs/>
          <w:color w:val="FFFFFF" w:themeColor="background1"/>
          <w:sz w:val="4"/>
          <w:szCs w:val="4"/>
        </w:rPr>
        <w:t>Revista Interamericana de Investigación, Educación y Pedagogía, RIIEP</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7</w:t>
      </w:r>
      <w:r w:rsidRPr="00651E55">
        <w:rPr>
          <w:rFonts w:ascii="Times New Roman" w:hAnsi="Times New Roman"/>
          <w:color w:val="FFFFFF" w:themeColor="background1"/>
          <w:sz w:val="4"/>
          <w:szCs w:val="4"/>
        </w:rPr>
        <w:t xml:space="preserve">(2). </w:t>
      </w:r>
      <w:hyperlink r:id="rId14" w:history="1">
        <w:r w:rsidRPr="00651E55">
          <w:rPr>
            <w:rStyle w:val="Hipervnculo"/>
            <w:rFonts w:ascii="Times New Roman" w:hAnsi="Times New Roman"/>
            <w:color w:val="FFFFFF" w:themeColor="background1"/>
            <w:sz w:val="4"/>
            <w:szCs w:val="4"/>
          </w:rPr>
          <w:t>https://doi.org/10.15332/s1657-107X.2014.0002.05</w:t>
        </w:r>
      </w:hyperlink>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Rodríguez, N. J. R., Torres, M. R. M., &amp; Ferrer, L. G. (2014). Influencia de las Tecnologías de Información y Comunicación en los roles e interrelaciones entre estudiantes y docentes en programas presenciales de educación superior.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11</w:t>
      </w:r>
      <w:r w:rsidRPr="00651E55">
        <w:rPr>
          <w:rFonts w:ascii="Times New Roman" w:hAnsi="Times New Roman"/>
          <w:color w:val="FFFFFF" w:themeColor="background1"/>
          <w:sz w:val="4"/>
          <w:szCs w:val="4"/>
        </w:rPr>
        <w:t>(22). https://doi.org/10.15332/s1794-3841.2014.0022.22</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Tarazona, A. H., &amp; Martínez, J. A. P. (2013). Estrategias para mejorar el impacto de las publicaciones indexadas en </w:t>
      </w:r>
      <w:proofErr w:type="spellStart"/>
      <w:r w:rsidRPr="00651E55">
        <w:rPr>
          <w:rFonts w:ascii="Times New Roman" w:hAnsi="Times New Roman"/>
          <w:color w:val="FFFFFF" w:themeColor="background1"/>
          <w:sz w:val="4"/>
          <w:szCs w:val="4"/>
        </w:rPr>
        <w:t>Publindex</w:t>
      </w:r>
      <w:proofErr w:type="spellEnd"/>
      <w:r w:rsidRPr="00651E55">
        <w:rPr>
          <w:rFonts w:ascii="Times New Roman" w:hAnsi="Times New Roman"/>
          <w:color w:val="FFFFFF" w:themeColor="background1"/>
          <w:sz w:val="4"/>
          <w:szCs w:val="4"/>
        </w:rPr>
        <w:t xml:space="preserve">, ISI, </w:t>
      </w:r>
      <w:proofErr w:type="spellStart"/>
      <w:r w:rsidRPr="00651E55">
        <w:rPr>
          <w:rFonts w:ascii="Times New Roman" w:hAnsi="Times New Roman"/>
          <w:color w:val="FFFFFF" w:themeColor="background1"/>
          <w:sz w:val="4"/>
          <w:szCs w:val="4"/>
        </w:rPr>
        <w:t>Scopus</w:t>
      </w:r>
      <w:proofErr w:type="spellEnd"/>
      <w:r w:rsidRPr="00651E55">
        <w:rPr>
          <w:rFonts w:ascii="Times New Roman" w:hAnsi="Times New Roman"/>
          <w:color w:val="FFFFFF" w:themeColor="background1"/>
          <w:sz w:val="4"/>
          <w:szCs w:val="4"/>
        </w:rPr>
        <w:t xml:space="preserve"> y </w:t>
      </w:r>
      <w:proofErr w:type="spellStart"/>
      <w:r w:rsidRPr="00651E55">
        <w:rPr>
          <w:rFonts w:ascii="Times New Roman" w:hAnsi="Times New Roman"/>
          <w:color w:val="FFFFFF" w:themeColor="background1"/>
          <w:sz w:val="4"/>
          <w:szCs w:val="4"/>
        </w:rPr>
        <w:t>SciELO</w:t>
      </w:r>
      <w:proofErr w:type="spellEnd"/>
      <w:r w:rsidRPr="00651E55">
        <w:rPr>
          <w:rFonts w:ascii="Times New Roman" w:hAnsi="Times New Roman"/>
          <w:color w:val="FFFFFF" w:themeColor="background1"/>
          <w:sz w:val="4"/>
          <w:szCs w:val="4"/>
        </w:rPr>
        <w:t xml:space="preserve">: el caso de la Universidad Santo Tomás, Colombia.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10</w:t>
      </w:r>
      <w:r w:rsidRPr="00651E55">
        <w:rPr>
          <w:rFonts w:ascii="Times New Roman" w:hAnsi="Times New Roman"/>
          <w:color w:val="FFFFFF" w:themeColor="background1"/>
          <w:sz w:val="4"/>
          <w:szCs w:val="4"/>
        </w:rPr>
        <w:t xml:space="preserve">(19). </w:t>
      </w:r>
      <w:hyperlink r:id="rId15" w:history="1">
        <w:r w:rsidRPr="00651E55">
          <w:rPr>
            <w:rStyle w:val="Hipervnculo"/>
            <w:rFonts w:ascii="Times New Roman" w:hAnsi="Times New Roman"/>
            <w:color w:val="FFFFFF" w:themeColor="background1"/>
            <w:sz w:val="4"/>
            <w:szCs w:val="4"/>
          </w:rPr>
          <w:t>https://doi.org/10.15332/s1794-3841.2013.0019.11</w:t>
        </w:r>
      </w:hyperlink>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r w:rsidRPr="00651E55">
        <w:rPr>
          <w:rFonts w:ascii="Times New Roman" w:hAnsi="Times New Roman"/>
          <w:color w:val="FFFFFF" w:themeColor="background1"/>
          <w:sz w:val="4"/>
          <w:szCs w:val="4"/>
        </w:rPr>
        <w:t xml:space="preserve">Valdivieso, E. J. S. (2013). ¿Igualdad de oportunidades en la Universidad Mayor de San Simón?: Una mirada desde el género. </w:t>
      </w:r>
      <w:r w:rsidRPr="00651E55">
        <w:rPr>
          <w:rFonts w:ascii="Times New Roman" w:hAnsi="Times New Roman"/>
          <w:i/>
          <w:iCs/>
          <w:color w:val="FFFFFF" w:themeColor="background1"/>
          <w:sz w:val="4"/>
          <w:szCs w:val="4"/>
        </w:rPr>
        <w:t>Revista Interamericana de Investigación, Educación y Pedagogía, RIIEP</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6</w:t>
      </w:r>
      <w:r w:rsidRPr="00651E55">
        <w:rPr>
          <w:rFonts w:ascii="Times New Roman" w:hAnsi="Times New Roman"/>
          <w:color w:val="FFFFFF" w:themeColor="background1"/>
          <w:sz w:val="4"/>
          <w:szCs w:val="4"/>
        </w:rPr>
        <w:t>(2). https://doi.org/10.15332/s1657-107X.2013.0002.05</w:t>
      </w: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
    <w:p w:rsidR="00651E55" w:rsidRPr="00651E55" w:rsidRDefault="00651E55" w:rsidP="00651E55">
      <w:pPr>
        <w:widowControl w:val="0"/>
        <w:autoSpaceDE w:val="0"/>
        <w:autoSpaceDN w:val="0"/>
        <w:adjustRightInd w:val="0"/>
        <w:spacing w:after="0" w:line="480" w:lineRule="auto"/>
        <w:ind w:left="720" w:hanging="720"/>
        <w:rPr>
          <w:rFonts w:ascii="Times New Roman" w:hAnsi="Times New Roman"/>
          <w:color w:val="FFFFFF" w:themeColor="background1"/>
          <w:sz w:val="4"/>
          <w:szCs w:val="4"/>
        </w:rPr>
      </w:pPr>
      <w:proofErr w:type="spellStart"/>
      <w:r w:rsidRPr="00651E55">
        <w:rPr>
          <w:rFonts w:ascii="Times New Roman" w:hAnsi="Times New Roman"/>
          <w:color w:val="FFFFFF" w:themeColor="background1"/>
          <w:sz w:val="4"/>
          <w:szCs w:val="4"/>
        </w:rPr>
        <w:t>Vitale</w:t>
      </w:r>
      <w:proofErr w:type="spellEnd"/>
      <w:r w:rsidRPr="00651E55">
        <w:rPr>
          <w:rFonts w:ascii="Times New Roman" w:hAnsi="Times New Roman"/>
          <w:color w:val="FFFFFF" w:themeColor="background1"/>
          <w:sz w:val="4"/>
          <w:szCs w:val="4"/>
        </w:rPr>
        <w:t xml:space="preserve">, M. A., &amp; </w:t>
      </w:r>
      <w:proofErr w:type="spellStart"/>
      <w:r w:rsidRPr="00651E55">
        <w:rPr>
          <w:rFonts w:ascii="Times New Roman" w:hAnsi="Times New Roman"/>
          <w:color w:val="FFFFFF" w:themeColor="background1"/>
          <w:sz w:val="4"/>
          <w:szCs w:val="4"/>
        </w:rPr>
        <w:t>Dagatti</w:t>
      </w:r>
      <w:proofErr w:type="spellEnd"/>
      <w:r w:rsidRPr="00651E55">
        <w:rPr>
          <w:rFonts w:ascii="Times New Roman" w:hAnsi="Times New Roman"/>
          <w:color w:val="FFFFFF" w:themeColor="background1"/>
          <w:sz w:val="4"/>
          <w:szCs w:val="4"/>
        </w:rPr>
        <w:t xml:space="preserve">, M. (2016). La constitución de la Argentina democrática en el discurso de asunción presidencial de Raúl Alfonsín. </w:t>
      </w:r>
      <w:r w:rsidRPr="00651E55">
        <w:rPr>
          <w:rFonts w:ascii="Times New Roman" w:hAnsi="Times New Roman"/>
          <w:i/>
          <w:iCs/>
          <w:color w:val="FFFFFF" w:themeColor="background1"/>
          <w:sz w:val="4"/>
          <w:szCs w:val="4"/>
        </w:rPr>
        <w:t>Hallazgos</w:t>
      </w:r>
      <w:r w:rsidRPr="00651E55">
        <w:rPr>
          <w:rFonts w:ascii="Times New Roman" w:hAnsi="Times New Roman"/>
          <w:color w:val="FFFFFF" w:themeColor="background1"/>
          <w:sz w:val="4"/>
          <w:szCs w:val="4"/>
        </w:rPr>
        <w:t xml:space="preserve">, </w:t>
      </w:r>
      <w:r w:rsidRPr="00651E55">
        <w:rPr>
          <w:rFonts w:ascii="Times New Roman" w:hAnsi="Times New Roman"/>
          <w:i/>
          <w:iCs/>
          <w:color w:val="FFFFFF" w:themeColor="background1"/>
          <w:sz w:val="4"/>
          <w:szCs w:val="4"/>
        </w:rPr>
        <w:t>13</w:t>
      </w:r>
      <w:r w:rsidRPr="00651E55">
        <w:rPr>
          <w:rFonts w:ascii="Times New Roman" w:hAnsi="Times New Roman"/>
          <w:color w:val="FFFFFF" w:themeColor="background1"/>
          <w:sz w:val="4"/>
          <w:szCs w:val="4"/>
        </w:rPr>
        <w:t>(26), 65-91. https://doi.org/10.15332/s1794-3841.2016.0026.03</w:t>
      </w:r>
    </w:p>
    <w:p w:rsidR="00651E55" w:rsidRDefault="00651E55" w:rsidP="006C3C5D">
      <w:pPr>
        <w:spacing w:after="0" w:line="360" w:lineRule="auto"/>
        <w:jc w:val="both"/>
        <w:rPr>
          <w:rFonts w:ascii="Arial" w:hAnsi="Arial" w:cs="Arial"/>
          <w:sz w:val="24"/>
          <w:szCs w:val="24"/>
        </w:rPr>
      </w:pPr>
    </w:p>
    <w:sectPr w:rsidR="00651E55" w:rsidSect="00037A00">
      <w:type w:val="continuous"/>
      <w:pgSz w:w="11907" w:h="16839"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49F6" w:rsidRDefault="005A49F6" w:rsidP="001F19A3">
      <w:pPr>
        <w:spacing w:after="0" w:line="240" w:lineRule="auto"/>
      </w:pPr>
      <w:r>
        <w:separator/>
      </w:r>
    </w:p>
  </w:endnote>
  <w:endnote w:type="continuationSeparator" w:id="0">
    <w:p w:rsidR="005A49F6" w:rsidRDefault="005A49F6" w:rsidP="001F19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49F6" w:rsidRDefault="005A49F6" w:rsidP="001F19A3">
      <w:pPr>
        <w:spacing w:after="0" w:line="240" w:lineRule="auto"/>
      </w:pPr>
      <w:r>
        <w:separator/>
      </w:r>
    </w:p>
  </w:footnote>
  <w:footnote w:type="continuationSeparator" w:id="0">
    <w:p w:rsidR="005A49F6" w:rsidRDefault="005A49F6" w:rsidP="001F19A3">
      <w:pPr>
        <w:spacing w:after="0" w:line="240" w:lineRule="auto"/>
      </w:pPr>
      <w:r>
        <w:continuationSeparator/>
      </w:r>
    </w:p>
  </w:footnote>
  <w:footnote w:id="1">
    <w:p w:rsidR="00AB1A4A" w:rsidRPr="00A94F3E" w:rsidRDefault="00AB1A4A" w:rsidP="00AB1A4A">
      <w:pPr>
        <w:pStyle w:val="Textonotapie"/>
        <w:jc w:val="both"/>
        <w:rPr>
          <w:rFonts w:ascii="Arial" w:hAnsi="Arial" w:cs="Arial"/>
        </w:rPr>
      </w:pPr>
      <w:r w:rsidRPr="00A94F3E">
        <w:rPr>
          <w:rStyle w:val="Refdenotaalpie"/>
          <w:rFonts w:ascii="Arial" w:hAnsi="Arial" w:cs="Arial"/>
        </w:rPr>
        <w:footnoteRef/>
      </w:r>
      <w:r w:rsidRPr="00A94F3E">
        <w:rPr>
          <w:rFonts w:ascii="Arial" w:eastAsia="Times New Roman" w:hAnsi="Arial" w:cs="Arial"/>
          <w:lang w:eastAsia="es-CO"/>
        </w:rPr>
        <w:t xml:space="preserve"> Este artículo presenta los primeros hallazgos de la investigación titulada “Derecho a la Propiedad privada en Colombia: una mirada desde los procesos constituyentes (1810 – 1991)”; dicha investigación cuenta con el apoyo del Fondo de Investigación y Desarrollo Investigativo FODEIN de la Universidad Santo Tomás, sede principal, Convocatoria 2018. </w:t>
      </w:r>
    </w:p>
  </w:footnote>
  <w:footnote w:id="2">
    <w:p w:rsidR="00037A00" w:rsidRPr="00A94F3E" w:rsidRDefault="001F19A3" w:rsidP="00A94F3E">
      <w:pPr>
        <w:pStyle w:val="Textonotapie"/>
        <w:jc w:val="both"/>
        <w:rPr>
          <w:rFonts w:ascii="Arial" w:hAnsi="Arial" w:cs="Arial"/>
        </w:rPr>
      </w:pPr>
      <w:r w:rsidRPr="00A94F3E">
        <w:rPr>
          <w:rStyle w:val="Refdenotaalpie"/>
          <w:rFonts w:ascii="Arial" w:hAnsi="Arial" w:cs="Arial"/>
        </w:rPr>
        <w:footnoteRef/>
      </w:r>
      <w:r w:rsidRPr="00A94F3E">
        <w:rPr>
          <w:rFonts w:ascii="Arial" w:hAnsi="Arial" w:cs="Arial"/>
        </w:rPr>
        <w:t xml:space="preserve"> Investigadora principal. Docente de la Facultad de Gobierno y Relaciones Internacionales. Correo:</w:t>
      </w:r>
      <w:r w:rsidR="007A4FEC" w:rsidRPr="00A94F3E">
        <w:rPr>
          <w:rFonts w:ascii="Arial" w:hAnsi="Arial" w:cs="Arial"/>
        </w:rPr>
        <w:t xml:space="preserve"> </w:t>
      </w:r>
      <w:hyperlink r:id="rId1" w:history="1">
        <w:r w:rsidR="00037A00" w:rsidRPr="00A94F3E">
          <w:rPr>
            <w:rStyle w:val="Hipervnculo"/>
            <w:rFonts w:ascii="Arial" w:hAnsi="Arial" w:cs="Arial"/>
          </w:rPr>
          <w:t>milenagonzalez@usantotomas.edu.co</w:t>
        </w:r>
      </w:hyperlink>
    </w:p>
  </w:footnote>
  <w:footnote w:id="3">
    <w:p w:rsidR="00037A00" w:rsidRPr="00A94F3E" w:rsidRDefault="001F19A3" w:rsidP="00A94F3E">
      <w:pPr>
        <w:pStyle w:val="Textonotapie"/>
        <w:jc w:val="both"/>
        <w:rPr>
          <w:rFonts w:ascii="Arial" w:hAnsi="Arial" w:cs="Arial"/>
        </w:rPr>
      </w:pPr>
      <w:r w:rsidRPr="00A94F3E">
        <w:rPr>
          <w:rStyle w:val="Refdenotaalpie"/>
          <w:rFonts w:ascii="Arial" w:hAnsi="Arial" w:cs="Arial"/>
        </w:rPr>
        <w:footnoteRef/>
      </w:r>
      <w:r w:rsidRPr="00A94F3E">
        <w:rPr>
          <w:rFonts w:ascii="Arial" w:hAnsi="Arial" w:cs="Arial"/>
        </w:rPr>
        <w:t xml:space="preserve"> Joven investigadora. Estudiante de la Facultad de Gobierno y Relaciones Internacionales. Correo: </w:t>
      </w:r>
      <w:hyperlink r:id="rId2" w:history="1">
        <w:r w:rsidR="00037A00" w:rsidRPr="00A94F3E">
          <w:rPr>
            <w:rStyle w:val="Hipervnculo"/>
            <w:rFonts w:ascii="Arial" w:hAnsi="Arial" w:cs="Arial"/>
          </w:rPr>
          <w:t>lauragarnica@usantotomas.edu.co</w:t>
        </w:r>
      </w:hyperlink>
    </w:p>
  </w:footnote>
  <w:footnote w:id="4">
    <w:p w:rsidR="00A94F3E" w:rsidRPr="00A94F3E" w:rsidRDefault="00A94F3E" w:rsidP="00A94F3E">
      <w:pPr>
        <w:pStyle w:val="Textonotapie"/>
        <w:jc w:val="both"/>
        <w:rPr>
          <w:rFonts w:ascii="Arial" w:hAnsi="Arial" w:cs="Arial"/>
        </w:rPr>
      </w:pPr>
      <w:r w:rsidRPr="00A94F3E">
        <w:rPr>
          <w:rStyle w:val="Refdenotaalpie"/>
          <w:rFonts w:ascii="Arial" w:hAnsi="Arial" w:cs="Arial"/>
        </w:rPr>
        <w:footnoteRef/>
      </w:r>
      <w:r w:rsidRPr="00A94F3E">
        <w:rPr>
          <w:rFonts w:ascii="Arial" w:hAnsi="Arial" w:cs="Arial"/>
        </w:rPr>
        <w:t xml:space="preserve"> La investigación se realizó entre 2008 y 2010 en Bolivia donde se identificaron transformaciones en la definición de dicho derecho como resultado del debate social y político en el escenario constituyente. Para más información se puede consultar González (2009)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9A3"/>
    <w:rsid w:val="000337F9"/>
    <w:rsid w:val="00037A00"/>
    <w:rsid w:val="00104DCE"/>
    <w:rsid w:val="001257F0"/>
    <w:rsid w:val="00185D44"/>
    <w:rsid w:val="001F19A3"/>
    <w:rsid w:val="001F657C"/>
    <w:rsid w:val="0028726F"/>
    <w:rsid w:val="00330BAA"/>
    <w:rsid w:val="005A49F6"/>
    <w:rsid w:val="0060192A"/>
    <w:rsid w:val="006029C7"/>
    <w:rsid w:val="00651E55"/>
    <w:rsid w:val="00657F2A"/>
    <w:rsid w:val="006A2622"/>
    <w:rsid w:val="006C3C5D"/>
    <w:rsid w:val="007A4FEC"/>
    <w:rsid w:val="008E1441"/>
    <w:rsid w:val="00991AC0"/>
    <w:rsid w:val="00A37F39"/>
    <w:rsid w:val="00A94F3E"/>
    <w:rsid w:val="00AB1A4A"/>
    <w:rsid w:val="00AC114C"/>
    <w:rsid w:val="00B100F1"/>
    <w:rsid w:val="00B37F7E"/>
    <w:rsid w:val="00B83BE5"/>
    <w:rsid w:val="00B92DE8"/>
    <w:rsid w:val="00BF3611"/>
    <w:rsid w:val="00EB24E8"/>
    <w:rsid w:val="00F74EA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D83508-D9B3-4797-B1E4-1017F3110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1F19A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F19A3"/>
    <w:rPr>
      <w:sz w:val="20"/>
      <w:szCs w:val="20"/>
    </w:rPr>
  </w:style>
  <w:style w:type="character" w:styleId="Refdenotaalpie">
    <w:name w:val="footnote reference"/>
    <w:basedOn w:val="Fuentedeprrafopredeter"/>
    <w:uiPriority w:val="99"/>
    <w:semiHidden/>
    <w:unhideWhenUsed/>
    <w:rsid w:val="001F19A3"/>
    <w:rPr>
      <w:vertAlign w:val="superscript"/>
    </w:rPr>
  </w:style>
  <w:style w:type="character" w:styleId="Hipervnculo">
    <w:name w:val="Hyperlink"/>
    <w:basedOn w:val="Fuentedeprrafopredeter"/>
    <w:uiPriority w:val="99"/>
    <w:unhideWhenUsed/>
    <w:rsid w:val="00037A00"/>
    <w:rPr>
      <w:color w:val="0000FF" w:themeColor="hyperlink"/>
      <w:u w:val="single"/>
    </w:rPr>
  </w:style>
  <w:style w:type="paragraph" w:styleId="Bibliografa">
    <w:name w:val="Bibliography"/>
    <w:basedOn w:val="Normal"/>
    <w:next w:val="Normal"/>
    <w:uiPriority w:val="37"/>
    <w:semiHidden/>
    <w:unhideWhenUsed/>
    <w:rsid w:val="00651E55"/>
    <w:pPr>
      <w:spacing w:after="160" w:line="259"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1265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nidadinvestigacion.usta.edu.co/index.php/217-convocatoria-jovenes-investigadores-2018" TargetMode="External"/><Relationship Id="rId13" Type="http://schemas.openxmlformats.org/officeDocument/2006/relationships/hyperlink" Target="https://doi.org/10.15332/s1794-3841.2014.0021.12" TargetMode="External"/><Relationship Id="rId3" Type="http://schemas.openxmlformats.org/officeDocument/2006/relationships/settings" Target="settings.xml"/><Relationship Id="rId7" Type="http://schemas.openxmlformats.org/officeDocument/2006/relationships/hyperlink" Target="https://repository.usta.edu.co/handle/11634/11690" TargetMode="External"/><Relationship Id="rId12" Type="http://schemas.openxmlformats.org/officeDocument/2006/relationships/hyperlink" Target="https://doi.org/10.15332/s1794-3841.2013.0020.09"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5332/s1794-3841.2013.0019.08" TargetMode="External"/><Relationship Id="rId5" Type="http://schemas.openxmlformats.org/officeDocument/2006/relationships/footnotes" Target="footnotes.xml"/><Relationship Id="rId15" Type="http://schemas.openxmlformats.org/officeDocument/2006/relationships/hyperlink" Target="https://doi.org/10.15332/s1794-3841.2013.0019.11" TargetMode="External"/><Relationship Id="rId10" Type="http://schemas.openxmlformats.org/officeDocument/2006/relationships/hyperlink" Target="http://repository.usta.edu.co/handle/11634/10358" TargetMode="External"/><Relationship Id="rId4" Type="http://schemas.openxmlformats.org/officeDocument/2006/relationships/webSettings" Target="webSettings.xml"/><Relationship Id="rId9" Type="http://schemas.openxmlformats.org/officeDocument/2006/relationships/hyperlink" Target="https://doi.org/10.15332/s1794-3841.2014.0022.07" TargetMode="External"/><Relationship Id="rId14" Type="http://schemas.openxmlformats.org/officeDocument/2006/relationships/hyperlink" Target="https://doi.org/10.15332/s1657-107X.2014.0002.05"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mailto:lauragarnica@usantotomas.edu.co" TargetMode="External"/><Relationship Id="rId1" Type="http://schemas.openxmlformats.org/officeDocument/2006/relationships/hyperlink" Target="mailto:milenagonzalez@usantotomas.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D4C32-E27A-47FC-A8CF-5242DA8BD4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6</Pages>
  <Words>2225</Words>
  <Characters>12242</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1</dc:creator>
  <cp:lastModifiedBy>Docentes Unidad de Investigación</cp:lastModifiedBy>
  <cp:revision>5</cp:revision>
  <cp:lastPrinted>2019-01-28T14:29:00Z</cp:lastPrinted>
  <dcterms:created xsi:type="dcterms:W3CDTF">2018-09-12T22:22:00Z</dcterms:created>
  <dcterms:modified xsi:type="dcterms:W3CDTF">2019-01-28T14:41:00Z</dcterms:modified>
</cp:coreProperties>
</file>