
<file path=[Content_Types].xml><?xml version="1.0" encoding="utf-8"?>
<Types xmlns="http://schemas.openxmlformats.org/package/2006/content-types">
  <Default ContentType="image/jpeg" Extension="jpg"/>
  <Default ContentType="application/xml" Extension="xml"/>
  <Default ContentType="application/x-font-ttf" Extension="ttf"/>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oter+xml" PartName="/word/footer1.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Override ContentType="application/vnd.openxmlformats-officedocument.wordprocessingml.header+xml" PartName="/word/header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pStyle w:val="Heading1"/>
        <w:numPr>
          <w:ilvl w:val="0"/>
          <w:numId w:val="3"/>
        </w:numPr>
        <w:ind w:left="360" w:hanging="360"/>
        <w:rPr/>
      </w:pPr>
      <w:r w:rsidDel="00000000" w:rsidR="00000000" w:rsidRPr="00000000">
        <w:rPr>
          <w:rtl w:val="0"/>
        </w:rPr>
        <w:t xml:space="preserve">OBJETIVO</w:t>
      </w:r>
    </w:p>
    <w:p w:rsidR="00000000" w:rsidDel="00000000" w:rsidP="00000000" w:rsidRDefault="00000000" w:rsidRPr="00000000" w14:paraId="0000000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3">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Definir las acciones generadas por INDUBRIZ S.A.S para planificar, controlar, ajustar y hacer seguimiento al desempeño del planeamiento estratégico con el fin de verificar su eficacia. </w:t>
      </w:r>
    </w:p>
    <w:p w:rsidR="00000000" w:rsidDel="00000000" w:rsidP="00000000" w:rsidRDefault="00000000" w:rsidRPr="00000000" w14:paraId="0000000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5">
      <w:pPr>
        <w:pStyle w:val="Heading1"/>
        <w:numPr>
          <w:ilvl w:val="0"/>
          <w:numId w:val="3"/>
        </w:numPr>
        <w:ind w:left="360" w:hanging="360"/>
        <w:rPr/>
      </w:pPr>
      <w:r w:rsidDel="00000000" w:rsidR="00000000" w:rsidRPr="00000000">
        <w:rPr>
          <w:rtl w:val="0"/>
        </w:rPr>
        <w:t xml:space="preserve">ALCANCE</w:t>
      </w:r>
    </w:p>
    <w:p w:rsidR="00000000" w:rsidDel="00000000" w:rsidP="00000000" w:rsidRDefault="00000000" w:rsidRPr="00000000" w14:paraId="0000000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7">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Aplica a las actividades y/o procesos involucrados en la planeación estratégica y el Sistema de Gestión Integral, incluyendo las evaluaciones y medición de los indicadores hasta la identificación de los planes de acción.</w:t>
      </w:r>
    </w:p>
    <w:p w:rsidR="00000000" w:rsidDel="00000000" w:rsidP="00000000" w:rsidRDefault="00000000" w:rsidRPr="00000000" w14:paraId="0000000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9">
      <w:pPr>
        <w:pStyle w:val="Heading1"/>
        <w:numPr>
          <w:ilvl w:val="0"/>
          <w:numId w:val="3"/>
        </w:numPr>
        <w:ind w:left="360" w:hanging="360"/>
        <w:rPr/>
      </w:pPr>
      <w:r w:rsidDel="00000000" w:rsidR="00000000" w:rsidRPr="00000000">
        <w:rPr>
          <w:rtl w:val="0"/>
        </w:rPr>
        <w:t xml:space="preserve">DOCUMENTOS DE REFERENCIA</w:t>
      </w:r>
    </w:p>
    <w:p w:rsidR="00000000" w:rsidDel="00000000" w:rsidP="00000000" w:rsidRDefault="00000000" w:rsidRPr="00000000" w14:paraId="0000000A">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B">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CONTROL DE DOCUMENTOS Y REGISTROS: </w:t>
      </w:r>
      <w:r w:rsidDel="00000000" w:rsidR="00000000" w:rsidRPr="00000000">
        <w:rPr>
          <w:rFonts w:ascii="Tahoma" w:cs="Tahoma" w:eastAsia="Tahoma" w:hAnsi="Tahoma"/>
          <w:sz w:val="20"/>
          <w:szCs w:val="20"/>
          <w:rtl w:val="0"/>
        </w:rPr>
        <w:t xml:space="preserve">Procedimiento que establece los parámetros para la codificación, elaboración, revisión, aprobación y actualización de la documentación.</w:t>
      </w:r>
    </w:p>
    <w:p w:rsidR="00000000" w:rsidDel="00000000" w:rsidP="00000000" w:rsidRDefault="00000000" w:rsidRPr="00000000" w14:paraId="0000000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D">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ACCIONES PREVENTIVAS Y CORRECTIVAS: </w:t>
      </w:r>
      <w:r w:rsidDel="00000000" w:rsidR="00000000" w:rsidRPr="00000000">
        <w:rPr>
          <w:rFonts w:ascii="Tahoma" w:cs="Tahoma" w:eastAsia="Tahoma" w:hAnsi="Tahoma"/>
          <w:sz w:val="20"/>
          <w:szCs w:val="20"/>
          <w:rtl w:val="0"/>
        </w:rPr>
        <w:t xml:space="preserve">Procedimiento encargado de analizar e implementar las acciones preventivas y correctivas que permitan eliminar la causa de las no conformidades reales o potenciales en los sistemas de gestión. </w:t>
      </w:r>
    </w:p>
    <w:p w:rsidR="00000000" w:rsidDel="00000000" w:rsidP="00000000" w:rsidRDefault="00000000" w:rsidRPr="00000000" w14:paraId="0000000E">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0F">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DESPLIEGUE DE LOS INDICADORES POR PROCESO: </w:t>
      </w:r>
      <w:r w:rsidDel="00000000" w:rsidR="00000000" w:rsidRPr="00000000">
        <w:rPr>
          <w:rFonts w:ascii="Tahoma" w:cs="Tahoma" w:eastAsia="Tahoma" w:hAnsi="Tahoma"/>
          <w:sz w:val="20"/>
          <w:szCs w:val="20"/>
          <w:rtl w:val="0"/>
        </w:rPr>
        <w:t xml:space="preserve">Formato donde se lleva el inventario de los indicadores establecidos y aprobados en cada uno de los procesos.</w:t>
      </w:r>
    </w:p>
    <w:p w:rsidR="00000000" w:rsidDel="00000000" w:rsidP="00000000" w:rsidRDefault="00000000" w:rsidRPr="00000000" w14:paraId="00000010">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1">
      <w:pPr>
        <w:pStyle w:val="Heading1"/>
        <w:numPr>
          <w:ilvl w:val="0"/>
          <w:numId w:val="3"/>
        </w:numPr>
        <w:ind w:left="360" w:hanging="360"/>
        <w:rPr/>
      </w:pPr>
      <w:r w:rsidDel="00000000" w:rsidR="00000000" w:rsidRPr="00000000">
        <w:rPr>
          <w:rtl w:val="0"/>
        </w:rPr>
        <w:t xml:space="preserve">DEFINICIONES</w:t>
      </w:r>
    </w:p>
    <w:p w:rsidR="00000000" w:rsidDel="00000000" w:rsidP="00000000" w:rsidRDefault="00000000" w:rsidRPr="00000000" w14:paraId="0000001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3">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DETERMINACIÓN:</w:t>
      </w:r>
      <w:r w:rsidDel="00000000" w:rsidR="00000000" w:rsidRPr="00000000">
        <w:rPr>
          <w:rFonts w:ascii="Tahoma" w:cs="Tahoma" w:eastAsia="Tahoma" w:hAnsi="Tahoma"/>
          <w:sz w:val="20"/>
          <w:szCs w:val="20"/>
          <w:rtl w:val="0"/>
        </w:rPr>
        <w:t xml:space="preserve"> Actividad para encontrar una o más características y sus valores característicos.</w:t>
      </w:r>
    </w:p>
    <w:p w:rsidR="00000000" w:rsidDel="00000000" w:rsidP="00000000" w:rsidRDefault="00000000" w:rsidRPr="00000000" w14:paraId="0000001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5">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EFICACIA:</w:t>
      </w:r>
      <w:r w:rsidDel="00000000" w:rsidR="00000000" w:rsidRPr="00000000">
        <w:rPr>
          <w:rFonts w:ascii="Tahoma" w:cs="Tahoma" w:eastAsia="Tahoma" w:hAnsi="Tahoma"/>
          <w:sz w:val="20"/>
          <w:szCs w:val="20"/>
          <w:rtl w:val="0"/>
        </w:rPr>
        <w:t xml:space="preserve"> Grado en el que se realiza las actividades planificadas y se logran los resultados planificados.</w:t>
      </w:r>
    </w:p>
    <w:p w:rsidR="00000000" w:rsidDel="00000000" w:rsidP="00000000" w:rsidRDefault="00000000" w:rsidRPr="00000000" w14:paraId="0000001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7">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GESTIONAR:</w:t>
      </w:r>
      <w:r w:rsidDel="00000000" w:rsidR="00000000" w:rsidRPr="00000000">
        <w:rPr>
          <w:rFonts w:ascii="Tahoma" w:cs="Tahoma" w:eastAsia="Tahoma" w:hAnsi="Tahoma"/>
          <w:sz w:val="20"/>
          <w:szCs w:val="20"/>
          <w:rtl w:val="0"/>
        </w:rPr>
        <w:t xml:space="preserve"> Tomar acciones correctivas, preventivas y de mejora con base en el análisis de causa y efecto. La lidera el dueño del proceso y en la mayoría de los casos es responsable de la gestión de todo el Equipo Directivo. </w:t>
      </w:r>
    </w:p>
    <w:p w:rsidR="00000000" w:rsidDel="00000000" w:rsidP="00000000" w:rsidRDefault="00000000" w:rsidRPr="00000000" w14:paraId="0000001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9">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MEDIR:</w:t>
      </w:r>
      <w:r w:rsidDel="00000000" w:rsidR="00000000" w:rsidRPr="00000000">
        <w:rPr>
          <w:rFonts w:ascii="Tahoma" w:cs="Tahoma" w:eastAsia="Tahoma" w:hAnsi="Tahoma"/>
          <w:sz w:val="20"/>
          <w:szCs w:val="20"/>
          <w:rtl w:val="0"/>
        </w:rPr>
        <w:t xml:space="preserve"> Llevar el registro histórico de la evolución del indicador y hacer el análisis.</w:t>
      </w:r>
    </w:p>
    <w:p w:rsidR="00000000" w:rsidDel="00000000" w:rsidP="00000000" w:rsidRDefault="00000000" w:rsidRPr="00000000" w14:paraId="0000001A">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B">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OBJETIVO: </w:t>
      </w:r>
      <w:r w:rsidDel="00000000" w:rsidR="00000000" w:rsidRPr="00000000">
        <w:rPr>
          <w:rFonts w:ascii="Tahoma" w:cs="Tahoma" w:eastAsia="Tahoma" w:hAnsi="Tahoma"/>
          <w:sz w:val="20"/>
          <w:szCs w:val="20"/>
          <w:rtl w:val="0"/>
        </w:rPr>
        <w:t xml:space="preserve">Algo ambicionado, o pretendido, relacionado con la calidad.  </w:t>
      </w:r>
    </w:p>
    <w:p w:rsidR="00000000" w:rsidDel="00000000" w:rsidP="00000000" w:rsidRDefault="00000000" w:rsidRPr="00000000" w14:paraId="0000001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D">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PARTES INTERESADAS:</w:t>
      </w:r>
      <w:r w:rsidDel="00000000" w:rsidR="00000000" w:rsidRPr="00000000">
        <w:rPr>
          <w:rFonts w:ascii="Tahoma" w:cs="Tahoma" w:eastAsia="Tahoma" w:hAnsi="Tahoma"/>
          <w:sz w:val="20"/>
          <w:szCs w:val="20"/>
          <w:rtl w:val="0"/>
        </w:rPr>
        <w:t xml:space="preserve"> Persona o grupo que tiene interés o está afectado por el desempeño ambiental de una organización.</w:t>
      </w:r>
    </w:p>
    <w:p w:rsidR="00000000" w:rsidDel="00000000" w:rsidP="00000000" w:rsidRDefault="00000000" w:rsidRPr="00000000" w14:paraId="0000001E">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1F">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PLANEACIÓN ESTRATÉGICA: </w:t>
      </w:r>
      <w:r w:rsidDel="00000000" w:rsidR="00000000" w:rsidRPr="00000000">
        <w:rPr>
          <w:rFonts w:ascii="Tahoma" w:cs="Tahoma" w:eastAsia="Tahoma" w:hAnsi="Tahoma"/>
          <w:sz w:val="20"/>
          <w:szCs w:val="20"/>
          <w:rtl w:val="0"/>
        </w:rPr>
        <w:t xml:space="preserve">Elaboración, desarrollo y puesta en marcha de distintos planes operativos por parte de las organizaciones, con la intención de alcanzar objetivos y metas planteadas. Estos planes pueden ser a corto, mediano o largo plazo.</w:t>
      </w:r>
    </w:p>
    <w:p w:rsidR="00000000" w:rsidDel="00000000" w:rsidP="00000000" w:rsidRDefault="00000000" w:rsidRPr="00000000" w14:paraId="00000020">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1">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PLANIFICACIÓN DEL SISTEMA DE GESTIÓN INTEGRAL:</w:t>
      </w:r>
      <w:r w:rsidDel="00000000" w:rsidR="00000000" w:rsidRPr="00000000">
        <w:rPr>
          <w:rFonts w:ascii="Tahoma" w:cs="Tahoma" w:eastAsia="Tahoma" w:hAnsi="Tahoma"/>
          <w:sz w:val="20"/>
          <w:szCs w:val="20"/>
          <w:rtl w:val="0"/>
        </w:rPr>
        <w:t xml:space="preserve"> Parte de la gestión enfocada al establecimiento de los objetivos y a la especificación de los procesos operativos necesarios y de los recursos relacionados para cumplir con los objetivos del sistema de gestión integral. </w:t>
      </w:r>
    </w:p>
    <w:p w:rsidR="00000000" w:rsidDel="00000000" w:rsidP="00000000" w:rsidRDefault="00000000" w:rsidRPr="00000000" w14:paraId="0000002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3">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PROCESO</w:t>
      </w:r>
      <w:r w:rsidDel="00000000" w:rsidR="00000000" w:rsidRPr="00000000">
        <w:rPr>
          <w:rFonts w:ascii="Tahoma" w:cs="Tahoma" w:eastAsia="Tahoma" w:hAnsi="Tahoma"/>
          <w:sz w:val="20"/>
          <w:szCs w:val="20"/>
          <w:rtl w:val="0"/>
        </w:rPr>
        <w:t xml:space="preserve">: Conjunto de actividades mutuamente relacionadas o que interactúan, las cuales transforman elementos de entrada en resultados.</w:t>
      </w:r>
    </w:p>
    <w:p w:rsidR="00000000" w:rsidDel="00000000" w:rsidP="00000000" w:rsidRDefault="00000000" w:rsidRPr="00000000" w14:paraId="0000002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5">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REVISIÓN: </w:t>
      </w:r>
      <w:r w:rsidDel="00000000" w:rsidR="00000000" w:rsidRPr="00000000">
        <w:rPr>
          <w:rFonts w:ascii="Tahoma" w:cs="Tahoma" w:eastAsia="Tahoma" w:hAnsi="Tahoma"/>
          <w:sz w:val="20"/>
          <w:szCs w:val="20"/>
          <w:rtl w:val="0"/>
        </w:rPr>
        <w:t xml:space="preserve">Determinación de la conveniencia, adecuación o eficacia de un objeto para lograr unos objetivos establecidos.</w:t>
      </w:r>
    </w:p>
    <w:p w:rsidR="00000000" w:rsidDel="00000000" w:rsidP="00000000" w:rsidRDefault="00000000" w:rsidRPr="00000000" w14:paraId="0000002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7">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SEGUIMIENTO:</w:t>
      </w:r>
      <w:r w:rsidDel="00000000" w:rsidR="00000000" w:rsidRPr="00000000">
        <w:rPr>
          <w:rFonts w:ascii="Tahoma" w:cs="Tahoma" w:eastAsia="Tahoma" w:hAnsi="Tahoma"/>
          <w:sz w:val="20"/>
          <w:szCs w:val="20"/>
          <w:rtl w:val="0"/>
        </w:rPr>
        <w:t xml:space="preserve"> Determinación del estado de un sistema, un proceso, un producto, un servicio o una actividad.</w:t>
      </w:r>
    </w:p>
    <w:p w:rsidR="00000000" w:rsidDel="00000000" w:rsidP="00000000" w:rsidRDefault="00000000" w:rsidRPr="00000000" w14:paraId="0000002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9">
      <w:pPr>
        <w:pStyle w:val="Heading1"/>
        <w:numPr>
          <w:ilvl w:val="0"/>
          <w:numId w:val="3"/>
        </w:numPr>
        <w:ind w:left="360" w:hanging="360"/>
        <w:rPr/>
      </w:pPr>
      <w:r w:rsidDel="00000000" w:rsidR="00000000" w:rsidRPr="00000000">
        <w:rPr>
          <w:rtl w:val="0"/>
        </w:rPr>
        <w:t xml:space="preserve">RESPONSABLE</w:t>
      </w:r>
    </w:p>
    <w:p w:rsidR="00000000" w:rsidDel="00000000" w:rsidP="00000000" w:rsidRDefault="00000000" w:rsidRPr="00000000" w14:paraId="0000002A">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B">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El proceso inicia con la definición del Direccionamiento estratégico, continúa con la revisión del sistema de gestión Integral, finalizando con la determinación de decisiones y acciones correctivas y de mejora. El responsable de hacer cumplir y mantener actualizado este procedimiento es el Coordinador de Gestión Humana y SGI.</w:t>
      </w:r>
    </w:p>
    <w:p w:rsidR="00000000" w:rsidDel="00000000" w:rsidP="00000000" w:rsidRDefault="00000000" w:rsidRPr="00000000" w14:paraId="0000002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D">
      <w:pPr>
        <w:pStyle w:val="Heading1"/>
        <w:numPr>
          <w:ilvl w:val="0"/>
          <w:numId w:val="3"/>
        </w:numPr>
        <w:ind w:left="360" w:hanging="360"/>
        <w:rPr/>
      </w:pPr>
      <w:r w:rsidDel="00000000" w:rsidR="00000000" w:rsidRPr="00000000">
        <w:rPr>
          <w:rtl w:val="0"/>
        </w:rPr>
        <w:t xml:space="preserve">POLÍTICAS</w:t>
      </w:r>
    </w:p>
    <w:p w:rsidR="00000000" w:rsidDel="00000000" w:rsidP="00000000" w:rsidRDefault="00000000" w:rsidRPr="00000000" w14:paraId="0000002E">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2F">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6.1 Planificación Estratégica: </w:t>
      </w:r>
      <w:r w:rsidDel="00000000" w:rsidR="00000000" w:rsidRPr="00000000">
        <w:rPr>
          <w:rtl w:val="0"/>
        </w:rPr>
      </w:r>
    </w:p>
    <w:p w:rsidR="00000000" w:rsidDel="00000000" w:rsidP="00000000" w:rsidRDefault="00000000" w:rsidRPr="00000000" w14:paraId="00000030">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1">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En un ejercicio de la gerencia en el que se definen los elementos esenciales de la planeación estratégica, (Misión, Visión, Políticas y Objetivos Estratégicos).</w:t>
      </w:r>
    </w:p>
    <w:p w:rsidR="00000000" w:rsidDel="00000000" w:rsidP="00000000" w:rsidRDefault="00000000" w:rsidRPr="00000000" w14:paraId="0000003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3">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Los elementos estratégicos deben ser revisados periódicamente con el fin de evidenciar el cumplimiento o hacer ajustes a los mismos.</w:t>
      </w:r>
    </w:p>
    <w:p w:rsidR="00000000" w:rsidDel="00000000" w:rsidP="00000000" w:rsidRDefault="00000000" w:rsidRPr="00000000" w14:paraId="0000003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5">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Si se presentan observaciones o no, en la revisión por la dirección se debe realizar la reinducción de la planificación estratégica y el sistema de gestión integral a los empleados por lo menos una vez al año. </w:t>
      </w:r>
    </w:p>
    <w:p w:rsidR="00000000" w:rsidDel="00000000" w:rsidP="00000000" w:rsidRDefault="00000000" w:rsidRPr="00000000" w14:paraId="0000003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7">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6.2 Planificación del Sistema de Gestión Integral:</w:t>
      </w:r>
      <w:r w:rsidDel="00000000" w:rsidR="00000000" w:rsidRPr="00000000">
        <w:rPr>
          <w:rtl w:val="0"/>
        </w:rPr>
      </w:r>
    </w:p>
    <w:p w:rsidR="00000000" w:rsidDel="00000000" w:rsidP="00000000" w:rsidRDefault="00000000" w:rsidRPr="00000000" w14:paraId="0000003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9">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En un ejercicio del Gestor de SGI junto con la Gerencia General, el Gerente de Recursos e Infraestructura, el Gestor del Talento Humano y el Coordinador de Gestión Humana y SGI deben definir y establecer los procesos que van a ser esenciales para el cumplimiento de la actividad económica de la compañía.</w:t>
      </w:r>
    </w:p>
    <w:p w:rsidR="00000000" w:rsidDel="00000000" w:rsidP="00000000" w:rsidRDefault="00000000" w:rsidRPr="00000000" w14:paraId="0000003A">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B">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Estos procesos deben estar establecidos y alineados a los niveles correspondiente (Misionales, Estratégico y de Apoyo) según se defina.</w:t>
      </w:r>
    </w:p>
    <w:p w:rsidR="00000000" w:rsidDel="00000000" w:rsidP="00000000" w:rsidRDefault="00000000" w:rsidRPr="00000000" w14:paraId="0000003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D">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Luego de definidos, el proceso y sus niveles, se definen los responsables por los procesos, los cuales deben garantizar la documentación de acuerdo con el procedimiento ¨Control de Documentos y Registros¨.</w:t>
      </w:r>
    </w:p>
    <w:p w:rsidR="00000000" w:rsidDel="00000000" w:rsidP="00000000" w:rsidRDefault="00000000" w:rsidRPr="00000000" w14:paraId="0000003E">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3F">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La Junta Directiva con la gerencia, definen los objetivos e indicadores que evaluarán el desempeño de cada proceso.  </w:t>
      </w:r>
    </w:p>
    <w:p w:rsidR="00000000" w:rsidDel="00000000" w:rsidP="00000000" w:rsidRDefault="00000000" w:rsidRPr="00000000" w14:paraId="00000040">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1">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6.3 Planificación de procesos:</w:t>
      </w:r>
      <w:r w:rsidDel="00000000" w:rsidR="00000000" w:rsidRPr="00000000">
        <w:rPr>
          <w:rFonts w:ascii="Tahoma" w:cs="Tahoma" w:eastAsia="Tahoma" w:hAnsi="Tahoma"/>
          <w:sz w:val="20"/>
          <w:szCs w:val="20"/>
          <w:rtl w:val="0"/>
        </w:rPr>
        <w:t xml:space="preserve">  </w:t>
      </w:r>
    </w:p>
    <w:p w:rsidR="00000000" w:rsidDel="00000000" w:rsidP="00000000" w:rsidRDefault="00000000" w:rsidRPr="00000000" w14:paraId="0000004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3">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El Comité Gerencial de INDUBRIZ S.A.S, debe estar integrado por los Gerentes, y dueños de proceso o responsables de los procesos. </w:t>
      </w:r>
    </w:p>
    <w:p w:rsidR="00000000" w:rsidDel="00000000" w:rsidP="00000000" w:rsidRDefault="00000000" w:rsidRPr="00000000" w14:paraId="0000004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5">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La identificación de los procesos claves de la organización se evidenciará en el mapa de procesos haciendo un trabajo conjunto de análisis en Comité Gerencial para definirlos. </w:t>
      </w:r>
    </w:p>
    <w:p w:rsidR="00000000" w:rsidDel="00000000" w:rsidP="00000000" w:rsidRDefault="00000000" w:rsidRPr="00000000" w14:paraId="0000004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7">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Los procesos, considerados importantes para la implementación del sistema requieren seguimiento, documentación e indicador, como soporte para su ejecución. </w:t>
      </w:r>
    </w:p>
    <w:p w:rsidR="00000000" w:rsidDel="00000000" w:rsidP="00000000" w:rsidRDefault="00000000" w:rsidRPr="00000000" w14:paraId="0000004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9">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Todos los procesos de la organización deben ser gestionados por el dueño de proceso responsable y este tendrá la responsabilidad sobre el entrenamiento, capacitación, divulgación y demás aspectos necesarios para que las personas involucradas en el proceso conozcan, gestionen, controlen y ejecutan los procesos conforme al plan y las directrices. INDUBRIZ S.A.S. definen la gestión de cada proceso como su planificación, ejecución, verificación y actuar sobre los resultados (Ciclo PHVA):</w:t>
      </w:r>
    </w:p>
    <w:p w:rsidR="00000000" w:rsidDel="00000000" w:rsidP="00000000" w:rsidRDefault="00000000" w:rsidRPr="00000000" w14:paraId="0000004A">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B">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Planear:</w:t>
      </w:r>
      <w:r w:rsidDel="00000000" w:rsidR="00000000" w:rsidRPr="00000000">
        <w:rPr>
          <w:rFonts w:ascii="Tahoma" w:cs="Tahoma" w:eastAsia="Tahoma" w:hAnsi="Tahoma"/>
          <w:sz w:val="20"/>
          <w:szCs w:val="20"/>
          <w:rtl w:val="0"/>
        </w:rPr>
        <w:t xml:space="preserve"> Implica definir el propósito de cada proceso, las entradas, las salidas, los proveedores y los clientes. Además, documentar los métodos de trabajo en los documentos, definir los registros, identificar los recursos necesarios para su operación y determinar los métodos de seguimiento y medición. </w:t>
      </w:r>
    </w:p>
    <w:p w:rsidR="00000000" w:rsidDel="00000000" w:rsidP="00000000" w:rsidRDefault="00000000" w:rsidRPr="00000000" w14:paraId="0000004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D">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Hacer:</w:t>
      </w:r>
      <w:r w:rsidDel="00000000" w:rsidR="00000000" w:rsidRPr="00000000">
        <w:rPr>
          <w:rFonts w:ascii="Tahoma" w:cs="Tahoma" w:eastAsia="Tahoma" w:hAnsi="Tahoma"/>
          <w:sz w:val="20"/>
          <w:szCs w:val="20"/>
          <w:rtl w:val="0"/>
        </w:rPr>
        <w:t xml:space="preserve"> Corresponde al día a día de trabajo. Es la aplicación de las disposiciones establecidas en los procedimientos y evidenciada a través de los registros del sistema de gestión integral.</w:t>
      </w:r>
    </w:p>
    <w:p w:rsidR="00000000" w:rsidDel="00000000" w:rsidP="00000000" w:rsidRDefault="00000000" w:rsidRPr="00000000" w14:paraId="0000004E">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4F">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Verificar:</w:t>
      </w:r>
      <w:r w:rsidDel="00000000" w:rsidR="00000000" w:rsidRPr="00000000">
        <w:rPr>
          <w:rFonts w:ascii="Tahoma" w:cs="Tahoma" w:eastAsia="Tahoma" w:hAnsi="Tahoma"/>
          <w:sz w:val="20"/>
          <w:szCs w:val="20"/>
          <w:rtl w:val="0"/>
        </w:rPr>
        <w:t xml:space="preserve"> Son todas las actividades de control de los procesos. Hacen parte de la verificación de las actividades de seguimiento a través de reuniones, actas, comités, llamadas, etc. También incluye las actividades de medición a través de los indicadores de gestión de cada proceso de INDUBRIZ S.A.S.   </w:t>
      </w:r>
    </w:p>
    <w:p w:rsidR="00000000" w:rsidDel="00000000" w:rsidP="00000000" w:rsidRDefault="00000000" w:rsidRPr="00000000" w14:paraId="00000050">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1">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Actuar:</w:t>
      </w:r>
      <w:r w:rsidDel="00000000" w:rsidR="00000000" w:rsidRPr="00000000">
        <w:rPr>
          <w:rFonts w:ascii="Tahoma" w:cs="Tahoma" w:eastAsia="Tahoma" w:hAnsi="Tahoma"/>
          <w:sz w:val="20"/>
          <w:szCs w:val="20"/>
          <w:rtl w:val="0"/>
        </w:rPr>
        <w:t xml:space="preserve"> Después del seguimiento y medición de cada proceso, se requiere tomar acciones preventivas, correctivas y de mejoramiento. Los responsables de los procesos propician el análisis de los problemas, evaluación de alternativas, diseño de los planes de acción enfocados al mejoramiento, y definen tareas, responsables y fechas. La metodología para el análisis y solución de problemas encaminados al mejoramiento de la calidad son documentados en los reportes de las no conformidades definidos por INDUBRIZ S.A.S. </w:t>
      </w:r>
    </w:p>
    <w:p w:rsidR="00000000" w:rsidDel="00000000" w:rsidP="00000000" w:rsidRDefault="00000000" w:rsidRPr="00000000" w14:paraId="00000052">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3">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6.4 Planificación del mejoramiento continúo.</w:t>
      </w:r>
      <w:r w:rsidDel="00000000" w:rsidR="00000000" w:rsidRPr="00000000">
        <w:rPr>
          <w:rtl w:val="0"/>
        </w:rPr>
      </w:r>
    </w:p>
    <w:p w:rsidR="00000000" w:rsidDel="00000000" w:rsidP="00000000" w:rsidRDefault="00000000" w:rsidRPr="00000000" w14:paraId="00000054">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5">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INDUBRIZ S.A.S, debe mejorar continuamente la eficacia del sistema de gestión integral mediante el uso de la política integral, los objetivos, los resultados de las auditorías, el análisis de datos, las acciones correctivas, preventivas y revisión parte de la Gerencia. </w:t>
      </w:r>
    </w:p>
    <w:p w:rsidR="00000000" w:rsidDel="00000000" w:rsidP="00000000" w:rsidRDefault="00000000" w:rsidRPr="00000000" w14:paraId="00000056">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7">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La documentación del proceso de análisis de las anomalías, su análisis, la determinación de las causas y los planes de acción son considerados factores de éxito para el logro de los resultados. Todos ellos se documentan.</w:t>
      </w:r>
    </w:p>
    <w:p w:rsidR="00000000" w:rsidDel="00000000" w:rsidP="00000000" w:rsidRDefault="00000000" w:rsidRPr="00000000" w14:paraId="00000058">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9">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La ruta de mejoramiento está dada por el ciclo Deming o PHVA.</w:t>
      </w:r>
    </w:p>
    <w:p w:rsidR="00000000" w:rsidDel="00000000" w:rsidP="00000000" w:rsidRDefault="00000000" w:rsidRPr="00000000" w14:paraId="0000005A">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B">
      <w:pPr>
        <w:spacing w:after="0" w:lineRule="auto"/>
        <w:jc w:val="both"/>
        <w:rPr>
          <w:rFonts w:ascii="Tahoma" w:cs="Tahoma" w:eastAsia="Tahoma" w:hAnsi="Tahoma"/>
          <w:sz w:val="20"/>
          <w:szCs w:val="20"/>
        </w:rPr>
      </w:pPr>
      <w:r w:rsidDel="00000000" w:rsidR="00000000" w:rsidRPr="00000000">
        <w:rPr>
          <w:rFonts w:ascii="Tahoma" w:cs="Tahoma" w:eastAsia="Tahoma" w:hAnsi="Tahoma"/>
          <w:b w:val="1"/>
          <w:sz w:val="20"/>
          <w:szCs w:val="20"/>
          <w:rtl w:val="0"/>
        </w:rPr>
        <w:t xml:space="preserve">6.5 Revisión del sistema de gestión integral.</w:t>
      </w:r>
      <w:r w:rsidDel="00000000" w:rsidR="00000000" w:rsidRPr="00000000">
        <w:rPr>
          <w:rtl w:val="0"/>
        </w:rPr>
      </w:r>
    </w:p>
    <w:p w:rsidR="00000000" w:rsidDel="00000000" w:rsidP="00000000" w:rsidRDefault="00000000" w:rsidRPr="00000000" w14:paraId="0000005C">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D">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Anualmente o cuando se presenten situaciones que puedan impactar el desempeño del Sistema de Gestión Integral SGI (Calidad, Ambiental, Seguridad y Salud en el Trabajo), se programará una revisión gerencial del SGI. La fecha de dicha revisión será determinada y se procederá a convocar a la Junta Directiva.</w:t>
      </w:r>
    </w:p>
    <w:p w:rsidR="00000000" w:rsidDel="00000000" w:rsidP="00000000" w:rsidRDefault="00000000" w:rsidRPr="00000000" w14:paraId="0000005E">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5F">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Para llevar a cabo esta revisión, cada responsable de proceso deberá proporcionar la información pertinente relacionada con su área de gestión, que incluirá:</w:t>
      </w:r>
    </w:p>
    <w:p w:rsidR="00000000" w:rsidDel="00000000" w:rsidP="00000000" w:rsidRDefault="00000000" w:rsidRPr="00000000" w14:paraId="00000060">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El estado de las acciones de las revisiones por la dirección previas;</w:t>
      </w:r>
    </w:p>
    <w:p w:rsidR="00000000" w:rsidDel="00000000" w:rsidP="00000000" w:rsidRDefault="00000000" w:rsidRPr="00000000" w14:paraId="00000061">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Los cambios en las cuestiones externas e internas que sean pertinentes al SGI;</w:t>
      </w:r>
    </w:p>
    <w:p w:rsidR="00000000" w:rsidDel="00000000" w:rsidP="00000000" w:rsidRDefault="00000000" w:rsidRPr="00000000" w14:paraId="00000062">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 información sobre el desempeño y la eficacia del SGI, incluidas las tendencias relativas a:</w:t>
      </w:r>
    </w:p>
    <w:p w:rsidR="00000000" w:rsidDel="00000000" w:rsidP="00000000" w:rsidRDefault="00000000" w:rsidRPr="00000000" w14:paraId="00000063">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 satisfacción del cliente y la retroalimentación de las partes interesadas pertinentes;</w:t>
      </w:r>
    </w:p>
    <w:p w:rsidR="00000000" w:rsidDel="00000000" w:rsidP="00000000" w:rsidRDefault="00000000" w:rsidRPr="00000000" w14:paraId="00000064">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El grado en que se han logrado los objetivos del SGI;</w:t>
      </w:r>
    </w:p>
    <w:p w:rsidR="00000000" w:rsidDel="00000000" w:rsidP="00000000" w:rsidRDefault="00000000" w:rsidRPr="00000000" w14:paraId="00000065">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El desempeño de los procesos y conformidad de los productos y servicios;</w:t>
      </w:r>
    </w:p>
    <w:p w:rsidR="00000000" w:rsidDel="00000000" w:rsidP="00000000" w:rsidRDefault="00000000" w:rsidRPr="00000000" w14:paraId="00000066">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Las no conformidades y acciones correctivas;</w:t>
      </w:r>
    </w:p>
    <w:p w:rsidR="00000000" w:rsidDel="00000000" w:rsidP="00000000" w:rsidRDefault="00000000" w:rsidRPr="00000000" w14:paraId="00000067">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Los resultados de seguimiento y medición;</w:t>
      </w:r>
    </w:p>
    <w:p w:rsidR="00000000" w:rsidDel="00000000" w:rsidP="00000000" w:rsidRDefault="00000000" w:rsidRPr="00000000" w14:paraId="00000068">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Los resultados de las auditorias;</w:t>
      </w:r>
    </w:p>
    <w:p w:rsidR="00000000" w:rsidDel="00000000" w:rsidP="00000000" w:rsidRDefault="00000000" w:rsidRPr="00000000" w14:paraId="00000069">
      <w:pPr>
        <w:keepNext w:val="0"/>
        <w:keepLines w:val="0"/>
        <w:pageBreakBefore w:val="0"/>
        <w:widowControl w:val="1"/>
        <w:numPr>
          <w:ilvl w:val="1"/>
          <w:numId w:val="1"/>
        </w:numPr>
        <w:pBdr>
          <w:top w:space="0" w:sz="0" w:val="nil"/>
          <w:left w:space="0" w:sz="0" w:val="nil"/>
          <w:bottom w:space="0" w:sz="0" w:val="nil"/>
          <w:right w:space="0" w:sz="0" w:val="nil"/>
          <w:between w:space="0" w:sz="0" w:val="nil"/>
        </w:pBdr>
        <w:shd w:fill="auto" w:val="clear"/>
        <w:spacing w:after="0" w:before="0" w:line="259" w:lineRule="auto"/>
        <w:ind w:left="709"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El desempeño de los proveedores</w:t>
      </w:r>
      <w:r w:rsidDel="00000000" w:rsidR="00000000" w:rsidRPr="00000000">
        <w:rPr>
          <w:rFonts w:ascii="Calibri" w:cs="Calibri" w:eastAsia="Calibri" w:hAnsi="Calibri"/>
          <w:b w:val="0"/>
          <w:i w:val="0"/>
          <w:smallCaps w:val="0"/>
          <w:strike w:val="0"/>
          <w:color w:val="000000"/>
          <w:sz w:val="22"/>
          <w:szCs w:val="22"/>
          <w:u w:val="none"/>
          <w:shd w:fill="auto" w:val="clear"/>
          <w:vertAlign w:val="baseline"/>
          <w:rtl w:val="0"/>
        </w:rPr>
        <w:t xml:space="preserve"> </w:t>
      </w: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externos;</w:t>
      </w:r>
    </w:p>
    <w:p w:rsidR="00000000" w:rsidDel="00000000" w:rsidP="00000000" w:rsidRDefault="00000000" w:rsidRPr="00000000" w14:paraId="0000006A">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 adecuación de los recursos;</w:t>
      </w:r>
    </w:p>
    <w:p w:rsidR="00000000" w:rsidDel="00000000" w:rsidP="00000000" w:rsidRDefault="00000000" w:rsidRPr="00000000" w14:paraId="0000006B">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 eficacia de las acciones tomadas para abordar los riesgos y las oportunidades;</w:t>
      </w:r>
    </w:p>
    <w:p w:rsidR="00000000" w:rsidDel="00000000" w:rsidP="00000000" w:rsidRDefault="00000000" w:rsidRPr="00000000" w14:paraId="0000006C">
      <w:pPr>
        <w:keepNext w:val="0"/>
        <w:keepLines w:val="0"/>
        <w:pageBreakBefore w:val="0"/>
        <w:widowControl w:val="1"/>
        <w:numPr>
          <w:ilvl w:val="0"/>
          <w:numId w:val="1"/>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Las oportunidades de mejora.</w:t>
      </w:r>
    </w:p>
    <w:p w:rsidR="00000000" w:rsidDel="00000000" w:rsidP="00000000" w:rsidRDefault="00000000" w:rsidRPr="00000000" w14:paraId="0000006D">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6E">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Los lideres de procesos a través de la rendición de cuentas deben suministrar la información al Asesor SGI. Una vez recopilada la información de cada proceso relacionada con el desempeño del SGI, debe consolidarla y preparar el informe en el formato FR-GDE-004 REVISIÓN GERENCIAL. Es fundamental verificar dicha información para asegurar su confiabilidad.</w:t>
      </w:r>
    </w:p>
    <w:p w:rsidR="00000000" w:rsidDel="00000000" w:rsidP="00000000" w:rsidRDefault="00000000" w:rsidRPr="00000000" w14:paraId="0000006F">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0">
      <w:pPr>
        <w:spacing w:after="0" w:lineRule="auto"/>
        <w:jc w:val="both"/>
        <w:rPr>
          <w:rFonts w:ascii="Tahoma" w:cs="Tahoma" w:eastAsia="Tahoma" w:hAnsi="Tahoma"/>
          <w:sz w:val="20"/>
          <w:szCs w:val="20"/>
        </w:rPr>
      </w:pPr>
      <w:r w:rsidDel="00000000" w:rsidR="00000000" w:rsidRPr="00000000">
        <w:rPr>
          <w:rFonts w:ascii="Tahoma" w:cs="Tahoma" w:eastAsia="Tahoma" w:hAnsi="Tahoma"/>
          <w:sz w:val="20"/>
          <w:szCs w:val="20"/>
          <w:rtl w:val="0"/>
        </w:rPr>
        <w:t xml:space="preserve">A continuación, se elaborará el informe correspondiente a la Revisión por la Dirección, utilizando el formato de </w:t>
      </w:r>
      <w:r w:rsidDel="00000000" w:rsidR="00000000" w:rsidRPr="00000000">
        <w:rPr>
          <w:rFonts w:ascii="Tahoma" w:cs="Tahoma" w:eastAsia="Tahoma" w:hAnsi="Tahoma"/>
          <w:i w:val="1"/>
          <w:sz w:val="20"/>
          <w:szCs w:val="20"/>
          <w:rtl w:val="0"/>
        </w:rPr>
        <w:t xml:space="preserve">Revisión Gerencial</w:t>
      </w:r>
      <w:r w:rsidDel="00000000" w:rsidR="00000000" w:rsidRPr="00000000">
        <w:rPr>
          <w:rFonts w:ascii="Tahoma" w:cs="Tahoma" w:eastAsia="Tahoma" w:hAnsi="Tahoma"/>
          <w:sz w:val="20"/>
          <w:szCs w:val="20"/>
          <w:rtl w:val="0"/>
        </w:rPr>
        <w:t xml:space="preserve">. En dicho informe se deben registrar también las sugerencias, decisiones y conclusiones generadas durante la revisión del SGI, incluyendo la siguiente información:</w:t>
      </w:r>
    </w:p>
    <w:p w:rsidR="00000000" w:rsidDel="00000000" w:rsidP="00000000" w:rsidRDefault="00000000" w:rsidRPr="00000000" w14:paraId="00000071">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Las oportunidades de mejora;</w:t>
      </w:r>
    </w:p>
    <w:p w:rsidR="00000000" w:rsidDel="00000000" w:rsidP="00000000" w:rsidRDefault="00000000" w:rsidRPr="00000000" w14:paraId="00000072">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Cualquier necesidad de cambio en el SGI;</w:t>
      </w:r>
    </w:p>
    <w:p w:rsidR="00000000" w:rsidDel="00000000" w:rsidP="00000000" w:rsidRDefault="00000000" w:rsidRPr="00000000" w14:paraId="00000073">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Las necesidades de recursos;</w:t>
      </w:r>
    </w:p>
    <w:p w:rsidR="00000000" w:rsidDel="00000000" w:rsidP="00000000" w:rsidRDefault="00000000" w:rsidRPr="00000000" w14:paraId="00000074">
      <w:pPr>
        <w:keepNext w:val="0"/>
        <w:keepLines w:val="0"/>
        <w:pageBreakBefore w:val="0"/>
        <w:widowControl w:val="1"/>
        <w:numPr>
          <w:ilvl w:val="0"/>
          <w:numId w:val="2"/>
        </w:numPr>
        <w:pBdr>
          <w:top w:space="0" w:sz="0" w:val="nil"/>
          <w:left w:space="0" w:sz="0" w:val="nil"/>
          <w:bottom w:space="0" w:sz="0" w:val="nil"/>
          <w:right w:space="0" w:sz="0" w:val="nil"/>
          <w:between w:space="0" w:sz="0" w:val="nil"/>
        </w:pBdr>
        <w:shd w:fill="auto" w:val="clear"/>
        <w:spacing w:after="0" w:before="0" w:line="259" w:lineRule="auto"/>
        <w:ind w:left="360" w:right="0" w:hanging="360"/>
        <w:jc w:val="both"/>
        <w:rPr>
          <w:rFonts w:ascii="Tahoma" w:cs="Tahoma" w:eastAsia="Tahoma" w:hAnsi="Tahoma"/>
          <w:b w:val="0"/>
          <w:i w:val="0"/>
          <w:smallCaps w:val="0"/>
          <w:strike w:val="0"/>
          <w:color w:val="000000"/>
          <w:sz w:val="20"/>
          <w:szCs w:val="20"/>
          <w:u w:val="none"/>
          <w:shd w:fill="auto" w:val="clear"/>
          <w:vertAlign w:val="baseline"/>
        </w:rPr>
      </w:pPr>
      <w:r w:rsidDel="00000000" w:rsidR="00000000" w:rsidRPr="00000000">
        <w:rPr>
          <w:rFonts w:ascii="Tahoma" w:cs="Tahoma" w:eastAsia="Tahoma" w:hAnsi="Tahoma"/>
          <w:b w:val="0"/>
          <w:i w:val="0"/>
          <w:smallCaps w:val="0"/>
          <w:strike w:val="0"/>
          <w:color w:val="000000"/>
          <w:sz w:val="20"/>
          <w:szCs w:val="20"/>
          <w:u w:val="none"/>
          <w:shd w:fill="auto" w:val="clear"/>
          <w:vertAlign w:val="baseline"/>
          <w:rtl w:val="0"/>
        </w:rPr>
        <w:t xml:space="preserve">Los responsables y tiempos de implementación si es necesario.</w:t>
      </w:r>
    </w:p>
    <w:p w:rsidR="00000000" w:rsidDel="00000000" w:rsidP="00000000" w:rsidRDefault="00000000" w:rsidRPr="00000000" w14:paraId="00000075">
      <w:pPr>
        <w:spacing w:after="0" w:lineRule="auto"/>
        <w:jc w:val="both"/>
        <w:rPr>
          <w:rFonts w:ascii="Tahoma" w:cs="Tahoma" w:eastAsia="Tahoma" w:hAnsi="Tahoma"/>
          <w:color w:val="4f81bd"/>
          <w:sz w:val="20"/>
          <w:szCs w:val="20"/>
        </w:rPr>
      </w:pPr>
      <w:r w:rsidDel="00000000" w:rsidR="00000000" w:rsidRPr="00000000">
        <w:rPr>
          <w:rtl w:val="0"/>
        </w:rPr>
      </w:r>
    </w:p>
    <w:p w:rsidR="00000000" w:rsidDel="00000000" w:rsidP="00000000" w:rsidRDefault="00000000" w:rsidRPr="00000000" w14:paraId="00000076">
      <w:pPr>
        <w:pStyle w:val="Heading1"/>
        <w:numPr>
          <w:ilvl w:val="0"/>
          <w:numId w:val="3"/>
        </w:numPr>
        <w:ind w:left="360" w:hanging="360"/>
        <w:rPr/>
      </w:pPr>
      <w:r w:rsidDel="00000000" w:rsidR="00000000" w:rsidRPr="00000000">
        <w:rPr>
          <w:rtl w:val="0"/>
        </w:rPr>
        <w:t xml:space="preserve">DESCRIPCIÓN</w:t>
      </w:r>
    </w:p>
    <w:p w:rsidR="00000000" w:rsidDel="00000000" w:rsidP="00000000" w:rsidRDefault="00000000" w:rsidRPr="00000000" w14:paraId="00000077">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78">
      <w:pPr>
        <w:spacing w:after="0" w:lineRule="auto"/>
        <w:jc w:val="both"/>
        <w:rPr>
          <w:rFonts w:ascii="Tahoma" w:cs="Tahoma" w:eastAsia="Tahoma" w:hAnsi="Tahoma"/>
          <w:sz w:val="20"/>
          <w:szCs w:val="20"/>
        </w:rPr>
      </w:pPr>
      <w:bookmarkStart w:colFirst="0" w:colLast="0" w:name="_heading=h.r705l8bekcr7" w:id="0"/>
      <w:bookmarkEnd w:id="0"/>
      <w:r w:rsidDel="00000000" w:rsidR="00000000" w:rsidRPr="00000000">
        <w:rPr>
          <w:rFonts w:ascii="Tahoma" w:cs="Tahoma" w:eastAsia="Tahoma" w:hAnsi="Tahoma"/>
          <w:sz w:val="20"/>
          <w:szCs w:val="20"/>
          <w:rtl w:val="0"/>
        </w:rPr>
        <w:t xml:space="preserve">Analizar la situación interna y externa de INDUBRIZ S.A.S. Y del entorno, para evaluar la situación actual, se procede a la planificación de la planeación estratégica (Definir direccionamiento estratégico de la compañía), y determinar las acciones para abordar las oportunidades (revisando el despliegue de objetivos). Internamente la revisión y planeación también (Definir, Revisar el Sistema de Gestión Integral para determinar si es adecuado conveniente y eficaz). </w:t>
      </w:r>
    </w:p>
    <w:p w:rsidR="00000000" w:rsidDel="00000000" w:rsidP="00000000" w:rsidRDefault="00000000" w:rsidRPr="00000000" w14:paraId="00000079">
      <w:pPr>
        <w:spacing w:after="0" w:lineRule="auto"/>
        <w:jc w:val="both"/>
        <w:rPr>
          <w:rFonts w:ascii="Tahoma" w:cs="Tahoma" w:eastAsia="Tahoma" w:hAnsi="Tahoma"/>
          <w:sz w:val="20"/>
          <w:szCs w:val="20"/>
        </w:rPr>
      </w:pPr>
      <w:bookmarkStart w:colFirst="0" w:colLast="0" w:name="_heading=h.u2a73pq2q8r1" w:id="1"/>
      <w:bookmarkEnd w:id="1"/>
      <w:r w:rsidDel="00000000" w:rsidR="00000000" w:rsidRPr="00000000">
        <w:rPr>
          <w:rtl w:val="0"/>
        </w:rPr>
      </w:r>
    </w:p>
    <w:p w:rsidR="00000000" w:rsidDel="00000000" w:rsidP="00000000" w:rsidRDefault="00000000" w:rsidRPr="00000000" w14:paraId="0000007A">
      <w:pPr>
        <w:spacing w:after="0" w:lineRule="auto"/>
        <w:jc w:val="both"/>
        <w:rPr>
          <w:rFonts w:ascii="Tahoma" w:cs="Tahoma" w:eastAsia="Tahoma" w:hAnsi="Tahoma"/>
          <w:sz w:val="20"/>
          <w:szCs w:val="20"/>
        </w:rPr>
      </w:pPr>
      <w:bookmarkStart w:colFirst="0" w:colLast="0" w:name="_heading=h.x0m0qsggdfur" w:id="2"/>
      <w:bookmarkEnd w:id="2"/>
      <w:r w:rsidDel="00000000" w:rsidR="00000000" w:rsidRPr="00000000">
        <w:rPr>
          <w:rFonts w:ascii="Tahoma" w:cs="Tahoma" w:eastAsia="Tahoma" w:hAnsi="Tahoma"/>
          <w:sz w:val="20"/>
          <w:szCs w:val="20"/>
          <w:rtl w:val="0"/>
        </w:rPr>
        <w:t xml:space="preserve">Se asignan responsables de proceso para llevarlo al desarrollo y que realice el seguimiento y control del mismo, del personal y de los recursos que se le asigne. </w:t>
      </w:r>
    </w:p>
    <w:p w:rsidR="00000000" w:rsidDel="00000000" w:rsidP="00000000" w:rsidRDefault="00000000" w:rsidRPr="00000000" w14:paraId="0000007B">
      <w:pPr>
        <w:spacing w:after="0" w:lineRule="auto"/>
        <w:jc w:val="both"/>
        <w:rPr>
          <w:rFonts w:ascii="Tahoma" w:cs="Tahoma" w:eastAsia="Tahoma" w:hAnsi="Tahoma"/>
          <w:sz w:val="20"/>
          <w:szCs w:val="20"/>
        </w:rPr>
      </w:pPr>
      <w:bookmarkStart w:colFirst="0" w:colLast="0" w:name="_heading=h.35nz3avnjgim" w:id="3"/>
      <w:bookmarkEnd w:id="3"/>
      <w:r w:rsidDel="00000000" w:rsidR="00000000" w:rsidRPr="00000000">
        <w:rPr>
          <w:rtl w:val="0"/>
        </w:rPr>
      </w:r>
    </w:p>
    <w:p w:rsidR="00000000" w:rsidDel="00000000" w:rsidP="00000000" w:rsidRDefault="00000000" w:rsidRPr="00000000" w14:paraId="0000007C">
      <w:pPr>
        <w:spacing w:after="0" w:lineRule="auto"/>
        <w:jc w:val="both"/>
        <w:rPr>
          <w:rFonts w:ascii="Tahoma" w:cs="Tahoma" w:eastAsia="Tahoma" w:hAnsi="Tahoma"/>
          <w:sz w:val="20"/>
          <w:szCs w:val="20"/>
        </w:rPr>
      </w:pPr>
      <w:bookmarkStart w:colFirst="0" w:colLast="0" w:name="_heading=h.19skeoo85x30" w:id="4"/>
      <w:bookmarkEnd w:id="4"/>
      <w:r w:rsidDel="00000000" w:rsidR="00000000" w:rsidRPr="00000000">
        <w:rPr>
          <w:rFonts w:ascii="Tahoma" w:cs="Tahoma" w:eastAsia="Tahoma" w:hAnsi="Tahoma"/>
          <w:sz w:val="20"/>
          <w:szCs w:val="20"/>
          <w:rtl w:val="0"/>
        </w:rPr>
        <w:t xml:space="preserve">Se tiene que realizar verificación por parte de la Gerencia General, Gerencia de Recursos e Infraestructura con apoyo del Gestor SGI y el Coordinador de Gestión human y SGI, en esta se revisa la solicitud, anexos y documentos soportes, formatos, programa de capacitaciones, indicadores por gestión, hojas de vida de indicador y procesos en funcionamiento. En este punto de la verificación se ejecuta el procedimiento ¨Control de Documentos y Registros”, ya que con este se determina la forma como se debe realizar la verificación documental de los procesos.</w:t>
      </w:r>
    </w:p>
    <w:p w:rsidR="00000000" w:rsidDel="00000000" w:rsidP="00000000" w:rsidRDefault="00000000" w:rsidRPr="00000000" w14:paraId="0000007D">
      <w:pPr>
        <w:spacing w:after="0" w:lineRule="auto"/>
        <w:jc w:val="both"/>
        <w:rPr>
          <w:rFonts w:ascii="Tahoma" w:cs="Tahoma" w:eastAsia="Tahoma" w:hAnsi="Tahoma"/>
          <w:sz w:val="20"/>
          <w:szCs w:val="20"/>
        </w:rPr>
      </w:pPr>
      <w:bookmarkStart w:colFirst="0" w:colLast="0" w:name="_heading=h.chclbxzhphp0" w:id="5"/>
      <w:bookmarkEnd w:id="5"/>
      <w:r w:rsidDel="00000000" w:rsidR="00000000" w:rsidRPr="00000000">
        <w:rPr>
          <w:rtl w:val="0"/>
        </w:rPr>
      </w:r>
    </w:p>
    <w:p w:rsidR="00000000" w:rsidDel="00000000" w:rsidP="00000000" w:rsidRDefault="00000000" w:rsidRPr="00000000" w14:paraId="0000007E">
      <w:pPr>
        <w:spacing w:after="0" w:lineRule="auto"/>
        <w:jc w:val="both"/>
        <w:rPr>
          <w:rFonts w:ascii="Tahoma" w:cs="Tahoma" w:eastAsia="Tahoma" w:hAnsi="Tahoma"/>
          <w:sz w:val="20"/>
          <w:szCs w:val="20"/>
        </w:rPr>
      </w:pPr>
      <w:bookmarkStart w:colFirst="0" w:colLast="0" w:name="_heading=h.w86askxkwgio" w:id="6"/>
      <w:bookmarkEnd w:id="6"/>
      <w:r w:rsidDel="00000000" w:rsidR="00000000" w:rsidRPr="00000000">
        <w:rPr>
          <w:rFonts w:ascii="Tahoma" w:cs="Tahoma" w:eastAsia="Tahoma" w:hAnsi="Tahoma"/>
          <w:sz w:val="20"/>
          <w:szCs w:val="20"/>
          <w:rtl w:val="0"/>
        </w:rPr>
        <w:t xml:space="preserve">Después de verificar lo anteriormente mencionado se determinan acciones correctivas y de mejora y también se determinará la forma de evaluación del cumplimiento y la implementación de los requisitos legales y reglamentarios, en este paso es donde cada proceso realiza planes de acción según los resultados de los indicadores de su gestión ya sean de mejora o seguimiento. El Gestor SGI y el Coordinador de gestión Humana y SGI, se encargarán de realizar el apoyo en el desarrollo de los planes de acción por áreas, pero también ellos realizarán la revisión final con la gerencia, para así determinar si los planes propuestos son efectivos para cerrar las no conformidades o para mejorar. En este punto se ejecuta el procedimiento ¨Acciones Preventivas y Correctivas¨, el cual establece la forma de cómo reaccionar ante los indicadores, auditorías internas o externas o PQRS y así mejorar los procesos mediante las acciones propuestas.</w:t>
      </w:r>
    </w:p>
    <w:p w:rsidR="00000000" w:rsidDel="00000000" w:rsidP="00000000" w:rsidRDefault="00000000" w:rsidRPr="00000000" w14:paraId="0000007F">
      <w:pPr>
        <w:spacing w:after="0" w:lineRule="auto"/>
        <w:jc w:val="both"/>
        <w:rPr>
          <w:rFonts w:ascii="Tahoma" w:cs="Tahoma" w:eastAsia="Tahoma" w:hAnsi="Tahoma"/>
          <w:sz w:val="20"/>
          <w:szCs w:val="20"/>
        </w:rPr>
      </w:pPr>
      <w:bookmarkStart w:colFirst="0" w:colLast="0" w:name="_heading=h.y269vko9jjsu" w:id="7"/>
      <w:bookmarkEnd w:id="7"/>
      <w:r w:rsidDel="00000000" w:rsidR="00000000" w:rsidRPr="00000000">
        <w:rPr>
          <w:rtl w:val="0"/>
        </w:rPr>
      </w:r>
    </w:p>
    <w:p w:rsidR="00000000" w:rsidDel="00000000" w:rsidP="00000000" w:rsidRDefault="00000000" w:rsidRPr="00000000" w14:paraId="00000080">
      <w:pPr>
        <w:spacing w:after="0" w:lineRule="auto"/>
        <w:jc w:val="both"/>
        <w:rPr>
          <w:rFonts w:ascii="Tahoma" w:cs="Tahoma" w:eastAsia="Tahoma" w:hAnsi="Tahoma"/>
          <w:sz w:val="20"/>
          <w:szCs w:val="20"/>
        </w:rPr>
      </w:pPr>
      <w:bookmarkStart w:colFirst="0" w:colLast="0" w:name="_heading=h.d58hw9ckxv6w" w:id="8"/>
      <w:bookmarkEnd w:id="8"/>
      <w:r w:rsidDel="00000000" w:rsidR="00000000" w:rsidRPr="00000000">
        <w:rPr>
          <w:rFonts w:ascii="Tahoma" w:cs="Tahoma" w:eastAsia="Tahoma" w:hAnsi="Tahoma"/>
          <w:sz w:val="20"/>
          <w:szCs w:val="20"/>
          <w:rtl w:val="0"/>
        </w:rPr>
        <w:t xml:space="preserve">Toda la documentación, desde el planteamiento hasta las acciones correctivas o de mejora, debe ser archivada y controlada por el Coordinador de Gestión Humana y SGI, este también se encargará de la publicación de estos documentos.</w:t>
      </w:r>
    </w:p>
    <w:p w:rsidR="00000000" w:rsidDel="00000000" w:rsidP="00000000" w:rsidRDefault="00000000" w:rsidRPr="00000000" w14:paraId="00000081">
      <w:pPr>
        <w:spacing w:after="0" w:lineRule="auto"/>
        <w:jc w:val="both"/>
        <w:rPr>
          <w:rFonts w:ascii="Tahoma" w:cs="Tahoma" w:eastAsia="Tahoma" w:hAnsi="Tahoma"/>
          <w:sz w:val="20"/>
          <w:szCs w:val="20"/>
        </w:rPr>
      </w:pPr>
      <w:r w:rsidDel="00000000" w:rsidR="00000000" w:rsidRPr="00000000">
        <w:rPr>
          <w:rtl w:val="0"/>
        </w:rPr>
      </w:r>
    </w:p>
    <w:p w:rsidR="00000000" w:rsidDel="00000000" w:rsidP="00000000" w:rsidRDefault="00000000" w:rsidRPr="00000000" w14:paraId="00000082">
      <w:pPr>
        <w:pStyle w:val="Heading1"/>
        <w:numPr>
          <w:ilvl w:val="0"/>
          <w:numId w:val="3"/>
        </w:numPr>
        <w:ind w:left="360" w:hanging="360"/>
        <w:rPr/>
      </w:pPr>
      <w:r w:rsidDel="00000000" w:rsidR="00000000" w:rsidRPr="00000000">
        <w:rPr>
          <w:rtl w:val="0"/>
        </w:rPr>
        <w:t xml:space="preserve">CONTROL DE CAMBIOS</w:t>
      </w:r>
    </w:p>
    <w:p w:rsidR="00000000" w:rsidDel="00000000" w:rsidP="00000000" w:rsidRDefault="00000000" w:rsidRPr="00000000" w14:paraId="00000083">
      <w:pPr>
        <w:rPr>
          <w:rFonts w:ascii="Tahoma" w:cs="Tahoma" w:eastAsia="Tahoma" w:hAnsi="Tahoma"/>
          <w:sz w:val="20"/>
          <w:szCs w:val="20"/>
        </w:rPr>
      </w:pPr>
      <w:r w:rsidDel="00000000" w:rsidR="00000000" w:rsidRPr="00000000">
        <w:rPr>
          <w:rtl w:val="0"/>
        </w:rPr>
      </w:r>
    </w:p>
    <w:tbl>
      <w:tblPr>
        <w:tblStyle w:val="Table1"/>
        <w:tblW w:w="9238.0" w:type="dxa"/>
        <w:jc w:val="center"/>
        <w:tblLayout w:type="fixed"/>
        <w:tblLook w:val="0400"/>
      </w:tblPr>
      <w:tblGrid>
        <w:gridCol w:w="1075"/>
        <w:gridCol w:w="1188"/>
        <w:gridCol w:w="2722"/>
        <w:gridCol w:w="1415"/>
        <w:gridCol w:w="1403"/>
        <w:gridCol w:w="1435"/>
        <w:tblGridChange w:id="0">
          <w:tblGrid>
            <w:gridCol w:w="1075"/>
            <w:gridCol w:w="1188"/>
            <w:gridCol w:w="2722"/>
            <w:gridCol w:w="1415"/>
            <w:gridCol w:w="1403"/>
            <w:gridCol w:w="1435"/>
          </w:tblGrid>
        </w:tblGridChange>
      </w:tblGrid>
      <w:tr>
        <w:trPr>
          <w:cantSplit w:val="0"/>
          <w:trHeight w:val="510" w:hRule="atLeast"/>
          <w:tblHeader w:val="1"/>
        </w:trPr>
        <w:tc>
          <w:tcPr>
            <w:tcBorders>
              <w:top w:color="000000" w:space="0" w:sz="4" w:val="single"/>
              <w:left w:color="000000" w:space="0" w:sz="4" w:val="single"/>
              <w:bottom w:color="000000" w:space="0" w:sz="4" w:val="single"/>
              <w:right w:color="000000" w:space="0" w:sz="4" w:val="single"/>
            </w:tcBorders>
            <w:shd w:fill="b8cce4" w:val="clear"/>
            <w:vAlign w:val="center"/>
          </w:tcPr>
          <w:p w:rsidR="00000000" w:rsidDel="00000000" w:rsidP="00000000" w:rsidRDefault="00000000" w:rsidRPr="00000000" w14:paraId="00000084">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VERSIÓN</w:t>
            </w:r>
          </w:p>
        </w:tc>
        <w:tc>
          <w:tcPr>
            <w:tcBorders>
              <w:top w:color="000000" w:space="0" w:sz="4" w:val="single"/>
              <w:left w:color="000000" w:space="0" w:sz="4" w:val="single"/>
              <w:bottom w:color="000000" w:space="0" w:sz="4" w:val="single"/>
              <w:right w:color="000000" w:space="0" w:sz="4" w:val="single"/>
            </w:tcBorders>
            <w:shd w:fill="b8cce4" w:val="clear"/>
            <w:vAlign w:val="center"/>
          </w:tcPr>
          <w:p w:rsidR="00000000" w:rsidDel="00000000" w:rsidP="00000000" w:rsidRDefault="00000000" w:rsidRPr="00000000" w14:paraId="00000085">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FECHA</w:t>
            </w:r>
          </w:p>
        </w:tc>
        <w:tc>
          <w:tcPr>
            <w:tcBorders>
              <w:top w:color="000000" w:space="0" w:sz="4" w:val="single"/>
              <w:left w:color="000000" w:space="0" w:sz="4" w:val="single"/>
              <w:bottom w:color="000000" w:space="0" w:sz="4" w:val="single"/>
              <w:right w:color="000000" w:space="0" w:sz="4" w:val="single"/>
            </w:tcBorders>
            <w:shd w:fill="b8cce4" w:val="clear"/>
            <w:vAlign w:val="center"/>
          </w:tcPr>
          <w:p w:rsidR="00000000" w:rsidDel="00000000" w:rsidP="00000000" w:rsidRDefault="00000000" w:rsidRPr="00000000" w14:paraId="00000086">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DESCRIPCIÓN DE CAMBIOS</w:t>
            </w:r>
          </w:p>
        </w:tc>
        <w:tc>
          <w:tcPr>
            <w:tcBorders>
              <w:top w:color="000000" w:space="0" w:sz="4" w:val="single"/>
              <w:left w:color="000000" w:space="0" w:sz="0" w:val="nil"/>
              <w:bottom w:color="000000" w:space="0" w:sz="4" w:val="single"/>
              <w:right w:color="000000" w:space="0" w:sz="4" w:val="single"/>
            </w:tcBorders>
            <w:shd w:fill="b8cce4" w:val="clear"/>
            <w:vAlign w:val="center"/>
          </w:tcPr>
          <w:p w:rsidR="00000000" w:rsidDel="00000000" w:rsidP="00000000" w:rsidRDefault="00000000" w:rsidRPr="00000000" w14:paraId="00000087">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ELABORADO POR</w:t>
            </w:r>
          </w:p>
        </w:tc>
        <w:tc>
          <w:tcPr>
            <w:tcBorders>
              <w:top w:color="000000" w:space="0" w:sz="4" w:val="single"/>
              <w:left w:color="000000" w:space="0" w:sz="0" w:val="nil"/>
              <w:bottom w:color="000000" w:space="0" w:sz="4" w:val="single"/>
              <w:right w:color="000000" w:space="0" w:sz="4" w:val="single"/>
            </w:tcBorders>
            <w:shd w:fill="b8cce4" w:val="clear"/>
            <w:vAlign w:val="center"/>
          </w:tcPr>
          <w:p w:rsidR="00000000" w:rsidDel="00000000" w:rsidP="00000000" w:rsidRDefault="00000000" w:rsidRPr="00000000" w14:paraId="00000088">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REVISADO POR</w:t>
            </w:r>
          </w:p>
        </w:tc>
        <w:tc>
          <w:tcPr>
            <w:tcBorders>
              <w:top w:color="000000" w:space="0" w:sz="4" w:val="single"/>
              <w:left w:color="000000" w:space="0" w:sz="0" w:val="nil"/>
              <w:bottom w:color="000000" w:space="0" w:sz="4" w:val="single"/>
              <w:right w:color="000000" w:space="0" w:sz="4" w:val="single"/>
            </w:tcBorders>
            <w:shd w:fill="b8cce4" w:val="clear"/>
            <w:vAlign w:val="center"/>
          </w:tcPr>
          <w:p w:rsidR="00000000" w:rsidDel="00000000" w:rsidP="00000000" w:rsidRDefault="00000000" w:rsidRPr="00000000" w14:paraId="00000089">
            <w:pPr>
              <w:spacing w:after="0" w:line="240" w:lineRule="auto"/>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APROBADO POR</w:t>
            </w:r>
          </w:p>
        </w:tc>
      </w:tr>
      <w:tr>
        <w:trPr>
          <w:cantSplit w:val="0"/>
          <w:trHeight w:val="567" w:hRule="atLeast"/>
          <w:tblHeader w:val="0"/>
        </w:trPr>
        <w:tc>
          <w:tcPr>
            <w:tcBorders>
              <w:top w:color="000000" w:space="0" w:sz="4" w:val="single"/>
              <w:left w:color="000000" w:space="0" w:sz="8" w:val="single"/>
              <w:bottom w:color="000000" w:space="0" w:sz="4" w:val="single"/>
              <w:right w:color="000000" w:space="0" w:sz="4" w:val="single"/>
            </w:tcBorders>
            <w:shd w:fill="ffffff" w:val="clear"/>
            <w:vAlign w:val="center"/>
          </w:tcPr>
          <w:p w:rsidR="00000000" w:rsidDel="00000000" w:rsidP="00000000" w:rsidRDefault="00000000" w:rsidRPr="00000000" w14:paraId="0000008A">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01</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B">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28/10/2019</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8C">
            <w:pPr>
              <w:spacing w:after="0" w:line="24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Elaboración</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08D">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GERMAN MARTINEZ</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08E">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FELIPE MARTINEZ</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08F">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MARIA CIFUENTES</w:t>
            </w:r>
          </w:p>
        </w:tc>
      </w:tr>
      <w:tr>
        <w:trPr>
          <w:cantSplit w:val="0"/>
          <w:trHeight w:val="567" w:hRule="atLeast"/>
          <w:tblHeader w:val="0"/>
        </w:trPr>
        <w:tc>
          <w:tcPr>
            <w:tcBorders>
              <w:top w:color="000000" w:space="0" w:sz="4" w:val="single"/>
              <w:left w:color="000000" w:space="0" w:sz="8" w:val="single"/>
              <w:bottom w:color="000000" w:space="0" w:sz="4" w:val="single"/>
              <w:right w:color="000000" w:space="0" w:sz="4" w:val="single"/>
            </w:tcBorders>
            <w:shd w:fill="ffffff" w:val="clear"/>
            <w:vAlign w:val="center"/>
          </w:tcPr>
          <w:p w:rsidR="00000000" w:rsidDel="00000000" w:rsidP="00000000" w:rsidRDefault="00000000" w:rsidRPr="00000000" w14:paraId="00000090">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02</w:t>
            </w:r>
          </w:p>
        </w:tc>
        <w:tc>
          <w:tcPr>
            <w:tcBorders>
              <w:top w:color="000000" w:space="0" w:sz="4" w:val="single"/>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91">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17/02/2025</w:t>
            </w:r>
          </w:p>
        </w:tc>
        <w:tc>
          <w:tcPr>
            <w:tcBorders>
              <w:top w:color="000000" w:space="0" w:sz="0" w:val="nil"/>
              <w:left w:color="000000" w:space="0" w:sz="0" w:val="nil"/>
              <w:bottom w:color="000000" w:space="0" w:sz="4" w:val="single"/>
              <w:right w:color="000000" w:space="0" w:sz="4" w:val="single"/>
            </w:tcBorders>
            <w:shd w:fill="ffffff" w:val="clear"/>
            <w:vAlign w:val="center"/>
          </w:tcPr>
          <w:p w:rsidR="00000000" w:rsidDel="00000000" w:rsidP="00000000" w:rsidRDefault="00000000" w:rsidRPr="00000000" w14:paraId="00000092">
            <w:pPr>
              <w:spacing w:after="0" w:line="24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Se incluyen definiciones de: determinación, eficacia, revisión y seguimiento</w:t>
            </w:r>
          </w:p>
          <w:p w:rsidR="00000000" w:rsidDel="00000000" w:rsidP="00000000" w:rsidRDefault="00000000" w:rsidRPr="00000000" w14:paraId="00000093">
            <w:pPr>
              <w:spacing w:after="0" w:line="240" w:lineRule="auto"/>
              <w:rPr>
                <w:rFonts w:ascii="Tahoma" w:cs="Tahoma" w:eastAsia="Tahoma" w:hAnsi="Tahoma"/>
                <w:sz w:val="20"/>
                <w:szCs w:val="20"/>
              </w:rPr>
            </w:pPr>
            <w:r w:rsidDel="00000000" w:rsidR="00000000" w:rsidRPr="00000000">
              <w:rPr>
                <w:rFonts w:ascii="Tahoma" w:cs="Tahoma" w:eastAsia="Tahoma" w:hAnsi="Tahoma"/>
                <w:sz w:val="20"/>
                <w:szCs w:val="20"/>
                <w:rtl w:val="0"/>
              </w:rPr>
              <w:t xml:space="preserve">Actualización del numeral 6.5 Revisión del sistema de gestión integral.</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094">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Equipo de Consultoría - Maestría en Calidad y Sistemas Integrados de Gestión (Erika Parra, Luisa Torres y Felipe Parada)</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095">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Diana Catalina Londoño (Directora del Trabajo de Grado)</w:t>
            </w:r>
          </w:p>
        </w:tc>
        <w:tc>
          <w:tcPr>
            <w:tcBorders>
              <w:top w:color="000000" w:space="0" w:sz="4" w:val="single"/>
              <w:left w:color="000000" w:space="0" w:sz="4" w:val="single"/>
              <w:bottom w:color="000000" w:space="0" w:sz="4" w:val="single"/>
              <w:right w:color="000000" w:space="0" w:sz="4" w:val="single"/>
            </w:tcBorders>
            <w:tcMar>
              <w:top w:w="100.0" w:type="dxa"/>
              <w:left w:w="100.0" w:type="dxa"/>
              <w:bottom w:w="100.0" w:type="dxa"/>
              <w:right w:w="100.0" w:type="dxa"/>
            </w:tcMar>
            <w:vAlign w:val="center"/>
          </w:tcPr>
          <w:p w:rsidR="00000000" w:rsidDel="00000000" w:rsidP="00000000" w:rsidRDefault="00000000" w:rsidRPr="00000000" w14:paraId="00000096">
            <w:pPr>
              <w:spacing w:after="0" w:line="240" w:lineRule="auto"/>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María Cifuentes (Gerente General)</w:t>
            </w:r>
          </w:p>
        </w:tc>
      </w:tr>
    </w:tbl>
    <w:p w:rsidR="00000000" w:rsidDel="00000000" w:rsidP="00000000" w:rsidRDefault="00000000" w:rsidRPr="00000000" w14:paraId="00000097">
      <w:pPr>
        <w:spacing w:after="0" w:lineRule="auto"/>
        <w:jc w:val="both"/>
        <w:rPr>
          <w:rFonts w:ascii="Tahoma" w:cs="Tahoma" w:eastAsia="Tahoma" w:hAnsi="Tahoma"/>
          <w:sz w:val="20"/>
          <w:szCs w:val="20"/>
        </w:rPr>
      </w:pPr>
      <w:r w:rsidDel="00000000" w:rsidR="00000000" w:rsidRPr="00000000">
        <w:rPr>
          <w:rtl w:val="0"/>
        </w:rPr>
      </w:r>
    </w:p>
    <w:sectPr>
      <w:headerReference r:id="rId7" w:type="default"/>
      <w:footerReference r:id="rId8" w:type="default"/>
      <w:pgSz w:h="15840" w:w="12240" w:orient="portrait"/>
      <w:pgMar w:bottom="1134" w:top="1134" w:left="1418" w:right="1134" w:header="708" w:footer="708"/>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Calibri"/>
  <w:font w:name="Georgia"/>
  <w:font w:name="Courier New"/>
  <w:font w:name="Tahoma">
    <w:embedRegular w:fontKey="{00000000-0000-0000-0000-000000000000}" r:id="rId1" w:subsetted="0"/>
    <w:embedBold w:fontKey="{00000000-0000-0000-0000-000000000000}" r:id="rId2" w:subsetted="0"/>
  </w:font>
  <w:font w:name="Noto Sans Symbols">
    <w:embedRegular w:fontKey="{00000000-0000-0000-0000-000000000000}" r:id="rId3" w:subsetted="0"/>
    <w:embedBold w:fontKey="{00000000-0000-0000-0000-000000000000}" r:id="rId4" w:subsetted="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A4">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jc w:val="right"/>
      <w:rPr>
        <w:rFonts w:ascii="Tahoma" w:cs="Tahoma" w:eastAsia="Tahoma" w:hAnsi="Tahoma"/>
        <w:color w:val="000000"/>
        <w:sz w:val="20"/>
        <w:szCs w:val="20"/>
      </w:rPr>
    </w:pPr>
    <w:r w:rsidDel="00000000" w:rsidR="00000000" w:rsidRPr="00000000">
      <w:rPr>
        <w:rFonts w:ascii="Tahoma" w:cs="Tahoma" w:eastAsia="Tahoma" w:hAnsi="Tahoma"/>
        <w:color w:val="000000"/>
        <w:sz w:val="20"/>
        <w:szCs w:val="20"/>
        <w:rtl w:val="0"/>
      </w:rPr>
      <w:t xml:space="preserve">Página </w:t>
    </w:r>
    <w:r w:rsidDel="00000000" w:rsidR="00000000" w:rsidRPr="00000000">
      <w:rPr>
        <w:rFonts w:ascii="Tahoma" w:cs="Tahoma" w:eastAsia="Tahoma" w:hAnsi="Tahoma"/>
        <w:b w:val="1"/>
        <w:color w:val="000000"/>
        <w:sz w:val="20"/>
        <w:szCs w:val="20"/>
      </w:rPr>
      <w:fldChar w:fldCharType="begin"/>
      <w:instrText xml:space="preserve">PAGE</w:instrText>
      <w:fldChar w:fldCharType="separate"/>
      <w:fldChar w:fldCharType="end"/>
    </w:r>
    <w:r w:rsidDel="00000000" w:rsidR="00000000" w:rsidRPr="00000000">
      <w:rPr>
        <w:rFonts w:ascii="Tahoma" w:cs="Tahoma" w:eastAsia="Tahoma" w:hAnsi="Tahoma"/>
        <w:color w:val="000000"/>
        <w:sz w:val="20"/>
        <w:szCs w:val="20"/>
        <w:rtl w:val="0"/>
      </w:rPr>
      <w:t xml:space="preserve"> de </w:t>
    </w:r>
    <w:r w:rsidDel="00000000" w:rsidR="00000000" w:rsidRPr="00000000">
      <w:rPr>
        <w:rFonts w:ascii="Tahoma" w:cs="Tahoma" w:eastAsia="Tahoma" w:hAnsi="Tahoma"/>
        <w:b w:val="1"/>
        <w:color w:val="000000"/>
        <w:sz w:val="20"/>
        <w:szCs w:val="20"/>
      </w:rPr>
      <w:fldChar w:fldCharType="begin"/>
      <w:instrText xml:space="preserve">NUMPAGES</w:instrText>
      <w:fldChar w:fldCharType="separate"/>
      <w:fldChar w:fldCharType="end"/>
    </w:r>
    <w:r w:rsidDel="00000000" w:rsidR="00000000" w:rsidRPr="00000000">
      <w:rPr>
        <w:rtl w:val="0"/>
      </w:rPr>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p w:rsidR="00000000" w:rsidDel="00000000" w:rsidP="00000000" w:rsidRDefault="00000000" w:rsidRPr="00000000" w14:paraId="00000098">
    <w:pPr>
      <w:widowControl w:val="0"/>
      <w:pBdr>
        <w:top w:space="0" w:sz="0" w:val="nil"/>
        <w:left w:space="0" w:sz="0" w:val="nil"/>
        <w:bottom w:space="0" w:sz="0" w:val="nil"/>
        <w:right w:space="0" w:sz="0" w:val="nil"/>
        <w:between w:space="0" w:sz="0" w:val="nil"/>
      </w:pBdr>
      <w:spacing w:after="0" w:line="276" w:lineRule="auto"/>
      <w:rPr>
        <w:rFonts w:ascii="Tahoma" w:cs="Tahoma" w:eastAsia="Tahoma" w:hAnsi="Tahoma"/>
        <w:sz w:val="20"/>
        <w:szCs w:val="20"/>
      </w:rPr>
    </w:pPr>
    <w:r w:rsidDel="00000000" w:rsidR="00000000" w:rsidRPr="00000000">
      <w:rPr>
        <w:rtl w:val="0"/>
      </w:rPr>
    </w:r>
  </w:p>
  <w:tbl>
    <w:tblPr>
      <w:tblStyle w:val="Table2"/>
      <w:tblW w:w="9904.0" w:type="dxa"/>
      <w:jc w:val="left"/>
      <w:tblInd w:w="-108.0" w:type="dxa"/>
      <w:tblBorders>
        <w:top w:color="000000" w:space="0" w:sz="4" w:val="single"/>
        <w:left w:color="000000" w:space="0" w:sz="4" w:val="single"/>
        <w:bottom w:color="000000" w:space="0" w:sz="4" w:val="single"/>
        <w:right w:color="000000" w:space="0" w:sz="4" w:val="single"/>
        <w:insideH w:color="000000" w:space="0" w:sz="4" w:val="single"/>
        <w:insideV w:color="000000" w:space="0" w:sz="4" w:val="single"/>
      </w:tblBorders>
      <w:tblLayout w:type="fixed"/>
      <w:tblLook w:val="0400"/>
    </w:tblPr>
    <w:tblGrid>
      <w:gridCol w:w="2026"/>
      <w:gridCol w:w="5285"/>
      <w:gridCol w:w="2593"/>
      <w:tblGridChange w:id="0">
        <w:tblGrid>
          <w:gridCol w:w="2026"/>
          <w:gridCol w:w="5285"/>
          <w:gridCol w:w="2593"/>
        </w:tblGrid>
      </w:tblGridChange>
    </w:tblGrid>
    <w:tr>
      <w:trPr>
        <w:cantSplit w:val="0"/>
        <w:tblHeader w:val="0"/>
      </w:trPr>
      <w:tc>
        <w:tcPr>
          <w:vMerge w:val="restart"/>
          <w:vAlign w:val="center"/>
        </w:tcPr>
        <w:p w:rsidR="00000000" w:rsidDel="00000000" w:rsidP="00000000" w:rsidRDefault="00000000" w:rsidRPr="00000000" w14:paraId="00000099">
          <w:pPr>
            <w:jc w:val="center"/>
            <w:rPr>
              <w:rFonts w:ascii="Tahoma" w:cs="Tahoma" w:eastAsia="Tahoma" w:hAnsi="Tahoma"/>
            </w:rPr>
          </w:pPr>
          <w:r w:rsidDel="00000000" w:rsidR="00000000" w:rsidRPr="00000000">
            <w:rPr/>
            <w:drawing>
              <wp:inline distB="0" distT="0" distL="0" distR="0">
                <wp:extent cx="1033385" cy="595825"/>
                <wp:effectExtent b="0" l="0" r="0" t="0"/>
                <wp:docPr id="2" name="image1.jpg"/>
                <a:graphic>
                  <a:graphicData uri="http://schemas.openxmlformats.org/drawingml/2006/picture">
                    <pic:pic>
                      <pic:nvPicPr>
                        <pic:cNvPr id="0" name="image1.jpg"/>
                        <pic:cNvPicPr preferRelativeResize="0"/>
                      </pic:nvPicPr>
                      <pic:blipFill>
                        <a:blip r:embed="rId1"/>
                        <a:srcRect b="11313" l="0" r="0" t="14069"/>
                        <a:stretch>
                          <a:fillRect/>
                        </a:stretch>
                      </pic:blipFill>
                      <pic:spPr>
                        <a:xfrm>
                          <a:off x="0" y="0"/>
                          <a:ext cx="1033385" cy="595825"/>
                        </a:xfrm>
                        <a:prstGeom prst="rect"/>
                        <a:ln/>
                      </pic:spPr>
                    </pic:pic>
                  </a:graphicData>
                </a:graphic>
              </wp:inline>
            </w:drawing>
          </w:r>
          <w:r w:rsidDel="00000000" w:rsidR="00000000" w:rsidRPr="00000000">
            <w:rPr>
              <w:rtl w:val="0"/>
            </w:rPr>
          </w:r>
        </w:p>
      </w:tc>
      <w:tc>
        <w:tcPr>
          <w:vMerge w:val="restart"/>
          <w:vAlign w:val="center"/>
        </w:tcPr>
        <w:p w:rsidR="00000000" w:rsidDel="00000000" w:rsidP="00000000" w:rsidRDefault="00000000" w:rsidRPr="00000000" w14:paraId="0000009A">
          <w:pPr>
            <w:jc w:val="center"/>
            <w:rPr>
              <w:rFonts w:ascii="Tahoma" w:cs="Tahoma" w:eastAsia="Tahoma" w:hAnsi="Tahoma"/>
              <w:b w:val="1"/>
              <w:sz w:val="24"/>
              <w:szCs w:val="24"/>
            </w:rPr>
          </w:pPr>
          <w:r w:rsidDel="00000000" w:rsidR="00000000" w:rsidRPr="00000000">
            <w:rPr>
              <w:rFonts w:ascii="Tahoma" w:cs="Tahoma" w:eastAsia="Tahoma" w:hAnsi="Tahoma"/>
              <w:b w:val="1"/>
              <w:sz w:val="24"/>
              <w:szCs w:val="24"/>
              <w:rtl w:val="0"/>
            </w:rPr>
            <w:t xml:space="preserve">DIRECCIONAMIENTO ESTRATÉGICO</w:t>
          </w:r>
        </w:p>
      </w:tc>
      <w:tc>
        <w:tcPr/>
        <w:p w:rsidR="00000000" w:rsidDel="00000000" w:rsidP="00000000" w:rsidRDefault="00000000" w:rsidRPr="00000000" w14:paraId="0000009B">
          <w:pPr>
            <w:jc w:val="center"/>
            <w:rPr>
              <w:rFonts w:ascii="Tahoma" w:cs="Tahoma" w:eastAsia="Tahoma" w:hAnsi="Tahoma"/>
              <w:b w:val="1"/>
              <w:sz w:val="20"/>
              <w:szCs w:val="20"/>
            </w:rPr>
          </w:pPr>
          <w:r w:rsidDel="00000000" w:rsidR="00000000" w:rsidRPr="00000000">
            <w:rPr>
              <w:rFonts w:ascii="Tahoma" w:cs="Tahoma" w:eastAsia="Tahoma" w:hAnsi="Tahoma"/>
              <w:b w:val="1"/>
              <w:sz w:val="20"/>
              <w:szCs w:val="20"/>
              <w:rtl w:val="0"/>
            </w:rPr>
            <w:t xml:space="preserve">PR-GDE-001</w:t>
          </w:r>
        </w:p>
      </w:tc>
    </w:tr>
    <w:tr>
      <w:trPr>
        <w:cantSplit w:val="0"/>
        <w:trHeight w:val="60" w:hRule="atLeast"/>
        <w:tblHeader w:val="0"/>
      </w:trPr>
      <w:tc>
        <w:tcPr>
          <w:vMerge w:val="continue"/>
          <w:vAlign w:val="center"/>
        </w:tcPr>
        <w:p w:rsidR="00000000" w:rsidDel="00000000" w:rsidP="00000000" w:rsidRDefault="00000000" w:rsidRPr="00000000" w14:paraId="0000009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b w:val="1"/>
              <w:sz w:val="20"/>
              <w:szCs w:val="20"/>
            </w:rPr>
          </w:pPr>
          <w:r w:rsidDel="00000000" w:rsidR="00000000" w:rsidRPr="00000000">
            <w:rPr>
              <w:rtl w:val="0"/>
            </w:rPr>
          </w:r>
        </w:p>
      </w:tc>
      <w:tc>
        <w:tcPr>
          <w:vMerge w:val="continue"/>
          <w:vAlign w:val="center"/>
        </w:tcPr>
        <w:p w:rsidR="00000000" w:rsidDel="00000000" w:rsidP="00000000" w:rsidRDefault="00000000" w:rsidRPr="00000000" w14:paraId="0000009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b w:val="1"/>
              <w:sz w:val="20"/>
              <w:szCs w:val="20"/>
            </w:rPr>
          </w:pPr>
          <w:r w:rsidDel="00000000" w:rsidR="00000000" w:rsidRPr="00000000">
            <w:rPr>
              <w:rtl w:val="0"/>
            </w:rPr>
          </w:r>
        </w:p>
      </w:tc>
      <w:tc>
        <w:tcPr/>
        <w:p w:rsidR="00000000" w:rsidDel="00000000" w:rsidP="00000000" w:rsidRDefault="00000000" w:rsidRPr="00000000" w14:paraId="0000009E">
          <w:pPr>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Versión: 02</w:t>
          </w:r>
        </w:p>
      </w:tc>
    </w:tr>
    <w:tr>
      <w:trPr>
        <w:cantSplit w:val="0"/>
        <w:trHeight w:val="60" w:hRule="atLeast"/>
        <w:tblHeader w:val="0"/>
      </w:trPr>
      <w:tc>
        <w:tcPr>
          <w:vMerge w:val="continue"/>
          <w:vAlign w:val="center"/>
        </w:tcPr>
        <w:p w:rsidR="00000000" w:rsidDel="00000000" w:rsidP="00000000" w:rsidRDefault="00000000" w:rsidRPr="00000000" w14:paraId="0000009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sz w:val="20"/>
              <w:szCs w:val="20"/>
            </w:rPr>
          </w:pPr>
          <w:r w:rsidDel="00000000" w:rsidR="00000000" w:rsidRPr="00000000">
            <w:rPr>
              <w:rtl w:val="0"/>
            </w:rPr>
          </w:r>
        </w:p>
      </w:tc>
      <w:tc>
        <w:tcPr>
          <w:vMerge w:val="continue"/>
          <w:vAlign w:val="center"/>
        </w:tcPr>
        <w:p w:rsidR="00000000" w:rsidDel="00000000" w:rsidP="00000000" w:rsidRDefault="00000000" w:rsidRPr="00000000" w14:paraId="000000A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Tahoma" w:cs="Tahoma" w:eastAsia="Tahoma" w:hAnsi="Tahoma"/>
              <w:sz w:val="20"/>
              <w:szCs w:val="20"/>
            </w:rPr>
          </w:pPr>
          <w:r w:rsidDel="00000000" w:rsidR="00000000" w:rsidRPr="00000000">
            <w:rPr>
              <w:rtl w:val="0"/>
            </w:rPr>
          </w:r>
        </w:p>
      </w:tc>
      <w:tc>
        <w:tcPr/>
        <w:p w:rsidR="00000000" w:rsidDel="00000000" w:rsidP="00000000" w:rsidRDefault="00000000" w:rsidRPr="00000000" w14:paraId="000000A1">
          <w:pPr>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Fecha de actualización:</w:t>
          </w:r>
        </w:p>
        <w:p w:rsidR="00000000" w:rsidDel="00000000" w:rsidP="00000000" w:rsidRDefault="00000000" w:rsidRPr="00000000" w14:paraId="000000A2">
          <w:pPr>
            <w:jc w:val="center"/>
            <w:rPr>
              <w:rFonts w:ascii="Tahoma" w:cs="Tahoma" w:eastAsia="Tahoma" w:hAnsi="Tahoma"/>
              <w:sz w:val="20"/>
              <w:szCs w:val="20"/>
            </w:rPr>
          </w:pPr>
          <w:r w:rsidDel="00000000" w:rsidR="00000000" w:rsidRPr="00000000">
            <w:rPr>
              <w:rFonts w:ascii="Tahoma" w:cs="Tahoma" w:eastAsia="Tahoma" w:hAnsi="Tahoma"/>
              <w:sz w:val="20"/>
              <w:szCs w:val="20"/>
              <w:rtl w:val="0"/>
            </w:rPr>
            <w:t xml:space="preserve">17/02/2025</w:t>
          </w:r>
        </w:p>
      </w:tc>
    </w:tr>
  </w:tbl>
  <w:p w:rsidR="00000000" w:rsidDel="00000000" w:rsidP="00000000" w:rsidRDefault="00000000" w:rsidRPr="00000000" w14:paraId="000000A3">
    <w:pPr>
      <w:pBdr>
        <w:top w:space="0" w:sz="0" w:val="nil"/>
        <w:left w:space="0" w:sz="0" w:val="nil"/>
        <w:bottom w:space="0" w:sz="0" w:val="nil"/>
        <w:right w:space="0" w:sz="0" w:val="nil"/>
        <w:between w:space="0" w:sz="0" w:val="nil"/>
      </w:pBdr>
      <w:tabs>
        <w:tab w:val="center" w:leader="none" w:pos="4419"/>
        <w:tab w:val="right" w:leader="none" w:pos="8838"/>
      </w:tabs>
      <w:spacing w:after="0" w:line="240" w:lineRule="auto"/>
      <w:rPr>
        <w:color w:val="000000"/>
        <w:sz w:val="10"/>
        <w:szCs w:val="10"/>
      </w:rPr>
    </w:pPr>
    <w:r w:rsidDel="00000000" w:rsidR="00000000" w:rsidRPr="00000000">
      <w:rPr>
        <w:rtl w:val="0"/>
      </w:rPr>
    </w:r>
  </w:p>
</w:hdr>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2">
    <w:lvl w:ilvl="0">
      <w:start w:val="1"/>
      <w:numFmt w:val="bullet"/>
      <w:lvlText w:val="✔"/>
      <w:lvlJc w:val="left"/>
      <w:pPr>
        <w:ind w:left="360" w:hanging="360"/>
      </w:pPr>
      <w:rPr>
        <w:rFonts w:ascii="Noto Sans Symbols" w:cs="Noto Sans Symbols" w:eastAsia="Noto Sans Symbols" w:hAnsi="Noto Sans Symbols"/>
      </w:rPr>
    </w:lvl>
    <w:lvl w:ilvl="1">
      <w:start w:val="1"/>
      <w:numFmt w:val="bullet"/>
      <w:lvlText w:val="o"/>
      <w:lvlJc w:val="left"/>
      <w:pPr>
        <w:ind w:left="1080" w:hanging="360"/>
      </w:pPr>
      <w:rPr>
        <w:rFonts w:ascii="Courier New" w:cs="Courier New" w:eastAsia="Courier New" w:hAnsi="Courier New"/>
      </w:rPr>
    </w:lvl>
    <w:lvl w:ilvl="2">
      <w:start w:val="1"/>
      <w:numFmt w:val="bullet"/>
      <w:lvlText w:val="▪"/>
      <w:lvlJc w:val="left"/>
      <w:pPr>
        <w:ind w:left="1800" w:hanging="360"/>
      </w:pPr>
      <w:rPr>
        <w:rFonts w:ascii="Noto Sans Symbols" w:cs="Noto Sans Symbols" w:eastAsia="Noto Sans Symbols" w:hAnsi="Noto Sans Symbols"/>
      </w:rPr>
    </w:lvl>
    <w:lvl w:ilvl="3">
      <w:start w:val="1"/>
      <w:numFmt w:val="bullet"/>
      <w:lvlText w:val="●"/>
      <w:lvlJc w:val="left"/>
      <w:pPr>
        <w:ind w:left="2520" w:hanging="360"/>
      </w:pPr>
      <w:rPr>
        <w:rFonts w:ascii="Noto Sans Symbols" w:cs="Noto Sans Symbols" w:eastAsia="Noto Sans Symbols" w:hAnsi="Noto Sans Symbols"/>
      </w:rPr>
    </w:lvl>
    <w:lvl w:ilvl="4">
      <w:start w:val="1"/>
      <w:numFmt w:val="bullet"/>
      <w:lvlText w:val="o"/>
      <w:lvlJc w:val="left"/>
      <w:pPr>
        <w:ind w:left="3240" w:hanging="360"/>
      </w:pPr>
      <w:rPr>
        <w:rFonts w:ascii="Courier New" w:cs="Courier New" w:eastAsia="Courier New" w:hAnsi="Courier New"/>
      </w:rPr>
    </w:lvl>
    <w:lvl w:ilvl="5">
      <w:start w:val="1"/>
      <w:numFmt w:val="bullet"/>
      <w:lvlText w:val="▪"/>
      <w:lvlJc w:val="left"/>
      <w:pPr>
        <w:ind w:left="3960" w:hanging="360"/>
      </w:pPr>
      <w:rPr>
        <w:rFonts w:ascii="Noto Sans Symbols" w:cs="Noto Sans Symbols" w:eastAsia="Noto Sans Symbols" w:hAnsi="Noto Sans Symbols"/>
      </w:rPr>
    </w:lvl>
    <w:lvl w:ilvl="6">
      <w:start w:val="1"/>
      <w:numFmt w:val="bullet"/>
      <w:lvlText w:val="●"/>
      <w:lvlJc w:val="left"/>
      <w:pPr>
        <w:ind w:left="4680" w:hanging="360"/>
      </w:pPr>
      <w:rPr>
        <w:rFonts w:ascii="Noto Sans Symbols" w:cs="Noto Sans Symbols" w:eastAsia="Noto Sans Symbols" w:hAnsi="Noto Sans Symbols"/>
      </w:rPr>
    </w:lvl>
    <w:lvl w:ilvl="7">
      <w:start w:val="1"/>
      <w:numFmt w:val="bullet"/>
      <w:lvlText w:val="o"/>
      <w:lvlJc w:val="left"/>
      <w:pPr>
        <w:ind w:left="5400" w:hanging="360"/>
      </w:pPr>
      <w:rPr>
        <w:rFonts w:ascii="Courier New" w:cs="Courier New" w:eastAsia="Courier New" w:hAnsi="Courier New"/>
      </w:rPr>
    </w:lvl>
    <w:lvl w:ilvl="8">
      <w:start w:val="1"/>
      <w:numFmt w:val="bullet"/>
      <w:lvlText w:val="▪"/>
      <w:lvlJc w:val="left"/>
      <w:pPr>
        <w:ind w:left="6120" w:hanging="360"/>
      </w:pPr>
      <w:rPr>
        <w:rFonts w:ascii="Noto Sans Symbols" w:cs="Noto Sans Symbols" w:eastAsia="Noto Sans Symbols" w:hAnsi="Noto Sans Symbols"/>
      </w:rPr>
    </w:lvl>
  </w:abstractNum>
  <w:abstractNum w:abstractNumId="3">
    <w:lvl w:ilvl="0">
      <w:start w:val="1"/>
      <w:numFmt w:val="decimal"/>
      <w:lvlText w:val="%1."/>
      <w:lvlJc w:val="left"/>
      <w:pPr>
        <w:ind w:left="360" w:hanging="360"/>
      </w:pPr>
      <w:rPr/>
    </w:lvl>
    <w:lvl w:ilvl="1">
      <w:start w:val="1"/>
      <w:numFmt w:val="lowerLetter"/>
      <w:lvlText w:val="%2."/>
      <w:lvlJc w:val="left"/>
      <w:pPr>
        <w:ind w:left="1080" w:hanging="360"/>
      </w:pPr>
      <w:rPr/>
    </w:lvl>
    <w:lvl w:ilvl="2">
      <w:start w:val="1"/>
      <w:numFmt w:val="lowerRoman"/>
      <w:lvlText w:val="%3."/>
      <w:lvlJc w:val="right"/>
      <w:pPr>
        <w:ind w:left="1800" w:hanging="180"/>
      </w:pPr>
      <w:rPr/>
    </w:lvl>
    <w:lvl w:ilvl="3">
      <w:start w:val="1"/>
      <w:numFmt w:val="decimal"/>
      <w:lvlText w:val="%4."/>
      <w:lvlJc w:val="left"/>
      <w:pPr>
        <w:ind w:left="2520" w:hanging="360"/>
      </w:pPr>
      <w:rPr/>
    </w:lvl>
    <w:lvl w:ilvl="4">
      <w:start w:val="1"/>
      <w:numFmt w:val="lowerLetter"/>
      <w:lvlText w:val="%5."/>
      <w:lvlJc w:val="left"/>
      <w:pPr>
        <w:ind w:left="3240" w:hanging="360"/>
      </w:pPr>
      <w:rPr/>
    </w:lvl>
    <w:lvl w:ilvl="5">
      <w:start w:val="1"/>
      <w:numFmt w:val="lowerRoman"/>
      <w:lvlText w:val="%6."/>
      <w:lvlJc w:val="right"/>
      <w:pPr>
        <w:ind w:left="3960" w:hanging="180"/>
      </w:pPr>
      <w:rPr/>
    </w:lvl>
    <w:lvl w:ilvl="6">
      <w:start w:val="1"/>
      <w:numFmt w:val="decimal"/>
      <w:lvlText w:val="%7."/>
      <w:lvlJc w:val="left"/>
      <w:pPr>
        <w:ind w:left="4680" w:hanging="360"/>
      </w:pPr>
      <w:rPr/>
    </w:lvl>
    <w:lvl w:ilvl="7">
      <w:start w:val="1"/>
      <w:numFmt w:val="lowerLetter"/>
      <w:lvlText w:val="%8."/>
      <w:lvlJc w:val="left"/>
      <w:pPr>
        <w:ind w:left="5400" w:hanging="360"/>
      </w:pPr>
      <w:rPr/>
    </w:lvl>
    <w:lvl w:ilvl="8">
      <w:start w:val="1"/>
      <w:numFmt w:val="lowerRoman"/>
      <w:lvlText w:val="%9."/>
      <w:lvlJc w:val="right"/>
      <w:pPr>
        <w:ind w:left="6120" w:hanging="180"/>
      </w:pPr>
      <w:rPr/>
    </w:lvl>
  </w:abstractNum>
  <w:num w:numId="1">
    <w:abstractNumId w:val="1"/>
  </w:num>
  <w:num w:numId="2">
    <w:abstractNumId w:val="2"/>
  </w:num>
  <w:num w:numId="3">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Calibri" w:cs="Calibri" w:eastAsia="Calibri" w:hAnsi="Calibri"/>
        <w:sz w:val="22"/>
        <w:szCs w:val="22"/>
        <w:lang w:val="es-CO"/>
      </w:rPr>
    </w:rPrDefault>
    <w:pPrDefault>
      <w:pPr>
        <w:spacing w:after="160" w:line="259"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spacing w:after="0" w:lineRule="auto"/>
      <w:ind w:left="360" w:hanging="360"/>
      <w:jc w:val="both"/>
    </w:pPr>
    <w:rPr>
      <w:rFonts w:ascii="Tahoma" w:cs="Tahoma" w:eastAsia="Tahoma" w:hAnsi="Tahoma"/>
      <w:b w:val="1"/>
      <w:sz w:val="20"/>
      <w:szCs w:val="20"/>
    </w:rPr>
  </w:style>
  <w:style w:type="paragraph" w:styleId="Heading2">
    <w:name w:val="heading 2"/>
    <w:basedOn w:val="Normal"/>
    <w:next w:val="Normal"/>
    <w:pPr>
      <w:keepNext w:val="1"/>
      <w:keepLines w:val="1"/>
      <w:spacing w:after="80" w:before="360" w:lineRule="auto"/>
    </w:pPr>
    <w:rPr>
      <w:b w:val="1"/>
      <w:sz w:val="36"/>
      <w:szCs w:val="36"/>
    </w:rPr>
  </w:style>
  <w:style w:type="paragraph" w:styleId="Heading3">
    <w:name w:val="heading 3"/>
    <w:basedOn w:val="Normal"/>
    <w:next w:val="Normal"/>
    <w:pPr>
      <w:keepNext w:val="1"/>
      <w:keepLines w:val="1"/>
      <w:spacing w:after="80" w:before="280" w:lineRule="auto"/>
    </w:pPr>
    <w:rPr>
      <w:b w:val="1"/>
      <w:sz w:val="28"/>
      <w:szCs w:val="28"/>
    </w:rPr>
  </w:style>
  <w:style w:type="paragraph" w:styleId="Heading4">
    <w:name w:val="heading 4"/>
    <w:basedOn w:val="Normal"/>
    <w:next w:val="Normal"/>
    <w:pPr>
      <w:keepNext w:val="1"/>
      <w:keepLines w:val="1"/>
      <w:spacing w:after="40" w:before="240" w:lineRule="auto"/>
    </w:pPr>
    <w:rPr>
      <w:b w:val="1"/>
      <w:sz w:val="24"/>
      <w:szCs w:val="24"/>
    </w:rPr>
  </w:style>
  <w:style w:type="paragraph" w:styleId="Heading5">
    <w:name w:val="heading 5"/>
    <w:basedOn w:val="Normal"/>
    <w:next w:val="Normal"/>
    <w:pPr>
      <w:keepNext w:val="1"/>
      <w:keepLines w:val="1"/>
      <w:spacing w:after="40" w:before="220" w:lineRule="auto"/>
    </w:pPr>
    <w:rPr>
      <w:b w:val="1"/>
    </w:rPr>
  </w:style>
  <w:style w:type="paragraph" w:styleId="Heading6">
    <w:name w:val="heading 6"/>
    <w:basedOn w:val="Normal"/>
    <w:next w:val="Normal"/>
    <w:pPr>
      <w:keepNext w:val="1"/>
      <w:keepLines w:val="1"/>
      <w:spacing w:after="40" w:before="200" w:lineRule="auto"/>
    </w:pPr>
    <w:rPr>
      <w:b w:val="1"/>
      <w:sz w:val="20"/>
      <w:szCs w:val="20"/>
    </w:rPr>
  </w:style>
  <w:style w:type="paragraph" w:styleId="Title">
    <w:name w:val="Title"/>
    <w:basedOn w:val="Normal"/>
    <w:next w:val="Normal"/>
    <w:pPr>
      <w:keepNext w:val="1"/>
      <w:keepLines w:val="1"/>
      <w:spacing w:after="120" w:before="480" w:lineRule="auto"/>
    </w:pPr>
    <w:rPr>
      <w:b w:val="1"/>
      <w:sz w:val="72"/>
      <w:szCs w:val="72"/>
    </w:rPr>
  </w:style>
  <w:style w:type="paragraph" w:styleId="Normal" w:default="1">
    <w:name w:val="Normal"/>
    <w:qFormat w:val="1"/>
  </w:style>
  <w:style w:type="paragraph" w:styleId="Ttulo1">
    <w:name w:val="heading 1"/>
    <w:basedOn w:val="Normal"/>
    <w:next w:val="Normal"/>
    <w:uiPriority w:val="9"/>
    <w:qFormat w:val="1"/>
    <w:rsid w:val="001D79E9"/>
    <w:pPr>
      <w:numPr>
        <w:numId w:val="4"/>
      </w:numPr>
      <w:spacing w:after="0"/>
      <w:jc w:val="both"/>
      <w:outlineLvl w:val="0"/>
    </w:pPr>
    <w:rPr>
      <w:rFonts w:ascii="Tahoma" w:cs="Tahoma" w:eastAsia="Tahoma" w:hAnsi="Tahoma"/>
      <w:b w:val="1"/>
      <w:sz w:val="20"/>
      <w:szCs w:val="20"/>
    </w:rPr>
  </w:style>
  <w:style w:type="paragraph" w:styleId="Ttulo2">
    <w:name w:val="heading 2"/>
    <w:basedOn w:val="Normal"/>
    <w:next w:val="Normal"/>
    <w:uiPriority w:val="9"/>
    <w:semiHidden w:val="1"/>
    <w:unhideWhenUsed w:val="1"/>
    <w:qFormat w:val="1"/>
    <w:pPr>
      <w:keepNext w:val="1"/>
      <w:keepLines w:val="1"/>
      <w:spacing w:after="80" w:before="360"/>
      <w:outlineLvl w:val="1"/>
    </w:pPr>
    <w:rPr>
      <w:b w:val="1"/>
      <w:sz w:val="36"/>
      <w:szCs w:val="36"/>
    </w:rPr>
  </w:style>
  <w:style w:type="paragraph" w:styleId="Ttulo3">
    <w:name w:val="heading 3"/>
    <w:basedOn w:val="Normal"/>
    <w:next w:val="Normal"/>
    <w:uiPriority w:val="9"/>
    <w:semiHidden w:val="1"/>
    <w:unhideWhenUsed w:val="1"/>
    <w:qFormat w:val="1"/>
    <w:pPr>
      <w:keepNext w:val="1"/>
      <w:keepLines w:val="1"/>
      <w:spacing w:after="80" w:before="280"/>
      <w:outlineLvl w:val="2"/>
    </w:pPr>
    <w:rPr>
      <w:b w:val="1"/>
      <w:sz w:val="28"/>
      <w:szCs w:val="28"/>
    </w:rPr>
  </w:style>
  <w:style w:type="paragraph" w:styleId="Ttulo4">
    <w:name w:val="heading 4"/>
    <w:basedOn w:val="Normal"/>
    <w:next w:val="Normal"/>
    <w:uiPriority w:val="9"/>
    <w:semiHidden w:val="1"/>
    <w:unhideWhenUsed w:val="1"/>
    <w:qFormat w:val="1"/>
    <w:pPr>
      <w:keepNext w:val="1"/>
      <w:keepLines w:val="1"/>
      <w:spacing w:after="40" w:before="240"/>
      <w:outlineLvl w:val="3"/>
    </w:pPr>
    <w:rPr>
      <w:b w:val="1"/>
      <w:sz w:val="24"/>
      <w:szCs w:val="24"/>
    </w:rPr>
  </w:style>
  <w:style w:type="paragraph" w:styleId="Ttulo5">
    <w:name w:val="heading 5"/>
    <w:basedOn w:val="Normal"/>
    <w:next w:val="Normal"/>
    <w:uiPriority w:val="9"/>
    <w:semiHidden w:val="1"/>
    <w:unhideWhenUsed w:val="1"/>
    <w:qFormat w:val="1"/>
    <w:pPr>
      <w:keepNext w:val="1"/>
      <w:keepLines w:val="1"/>
      <w:spacing w:after="40" w:before="220"/>
      <w:outlineLvl w:val="4"/>
    </w:pPr>
    <w:rPr>
      <w:b w:val="1"/>
    </w:rPr>
  </w:style>
  <w:style w:type="paragraph" w:styleId="Ttulo6">
    <w:name w:val="heading 6"/>
    <w:basedOn w:val="Normal"/>
    <w:next w:val="Normal"/>
    <w:uiPriority w:val="9"/>
    <w:semiHidden w:val="1"/>
    <w:unhideWhenUsed w:val="1"/>
    <w:qFormat w:val="1"/>
    <w:pPr>
      <w:keepNext w:val="1"/>
      <w:keepLines w:val="1"/>
      <w:spacing w:after="40" w:before="200"/>
      <w:outlineLvl w:val="5"/>
    </w:pPr>
    <w:rPr>
      <w:b w:val="1"/>
      <w:sz w:val="20"/>
      <w:szCs w:val="20"/>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paragraph" w:styleId="Ttulo">
    <w:name w:val="Title"/>
    <w:basedOn w:val="Normal"/>
    <w:next w:val="Normal"/>
    <w:uiPriority w:val="10"/>
    <w:qFormat w:val="1"/>
    <w:pPr>
      <w:keepNext w:val="1"/>
      <w:keepLines w:val="1"/>
      <w:spacing w:after="120" w:before="480"/>
    </w:pPr>
    <w:rPr>
      <w:b w:val="1"/>
      <w:sz w:val="72"/>
      <w:szCs w:val="72"/>
    </w:rPr>
  </w:style>
  <w:style w:type="paragraph" w:styleId="Subttulo">
    <w:name w:val="Subtitle"/>
    <w:basedOn w:val="Normal"/>
    <w:next w:val="Normal"/>
    <w:uiPriority w:val="11"/>
    <w:qFormat w:val="1"/>
    <w:pPr>
      <w:keepNext w:val="1"/>
      <w:keepLines w:val="1"/>
      <w:spacing w:after="80" w:before="360"/>
    </w:pPr>
    <w:rPr>
      <w:rFonts w:ascii="Georgia" w:cs="Georgia" w:eastAsia="Georgia" w:hAnsi="Georgia"/>
      <w:i w:val="1"/>
      <w:color w:val="666666"/>
      <w:sz w:val="48"/>
      <w:szCs w:val="48"/>
    </w:rPr>
  </w:style>
  <w:style w:type="table" w:styleId="a" w:customStyle="1">
    <w:basedOn w:val="TableNormal"/>
    <w:pPr>
      <w:spacing w:after="0" w:line="240" w:lineRule="auto"/>
    </w:pPr>
    <w:tblPr>
      <w:tblStyleRowBandSize w:val="1"/>
      <w:tblStyleColBandSize w:val="1"/>
      <w:tblCellMar>
        <w:left w:w="108.0" w:type="dxa"/>
        <w:right w:w="108.0" w:type="dxa"/>
      </w:tblCellMar>
    </w:tblPr>
  </w:style>
  <w:style w:type="paragraph" w:styleId="Prrafodelista">
    <w:name w:val="List Paragraph"/>
    <w:basedOn w:val="Normal"/>
    <w:uiPriority w:val="34"/>
    <w:qFormat w:val="1"/>
    <w:rsid w:val="00D03404"/>
    <w:pPr>
      <w:ind w:left="720"/>
      <w:contextualSpacing w:val="1"/>
    </w:pPr>
  </w:style>
  <w:style w:type="paragraph" w:styleId="Encabezado">
    <w:name w:val="header"/>
    <w:basedOn w:val="Normal"/>
    <w:link w:val="EncabezadoCar"/>
    <w:uiPriority w:val="99"/>
    <w:unhideWhenUsed w:val="1"/>
    <w:rsid w:val="00F97EAA"/>
    <w:pPr>
      <w:tabs>
        <w:tab w:val="center" w:pos="4419"/>
        <w:tab w:val="right" w:pos="8838"/>
      </w:tabs>
      <w:spacing w:after="0" w:line="240" w:lineRule="auto"/>
    </w:pPr>
  </w:style>
  <w:style w:type="character" w:styleId="EncabezadoCar" w:customStyle="1">
    <w:name w:val="Encabezado Car"/>
    <w:basedOn w:val="Fuentedeprrafopredeter"/>
    <w:link w:val="Encabezado"/>
    <w:uiPriority w:val="99"/>
    <w:rsid w:val="00F97EAA"/>
  </w:style>
  <w:style w:type="paragraph" w:styleId="Piedepgina">
    <w:name w:val="footer"/>
    <w:basedOn w:val="Normal"/>
    <w:link w:val="PiedepginaCar"/>
    <w:uiPriority w:val="99"/>
    <w:unhideWhenUsed w:val="1"/>
    <w:rsid w:val="00F97EAA"/>
    <w:pPr>
      <w:tabs>
        <w:tab w:val="center" w:pos="4419"/>
        <w:tab w:val="right" w:pos="8838"/>
      </w:tabs>
      <w:spacing w:after="0" w:line="240" w:lineRule="auto"/>
    </w:pPr>
  </w:style>
  <w:style w:type="character" w:styleId="PiedepginaCar" w:customStyle="1">
    <w:name w:val="Pie de página Car"/>
    <w:basedOn w:val="Fuentedeprrafopredeter"/>
    <w:link w:val="Piedepgina"/>
    <w:uiPriority w:val="99"/>
    <w:rsid w:val="00F97EAA"/>
  </w:style>
  <w:style w:type="paragraph" w:styleId="Subtitle">
    <w:name w:val="Subtitle"/>
    <w:basedOn w:val="Normal"/>
    <w:next w:val="Normal"/>
    <w:pPr>
      <w:keepNext w:val="1"/>
      <w:keepLines w:val="1"/>
      <w:spacing w:after="80" w:before="360" w:lineRule="auto"/>
    </w:pPr>
    <w:rPr>
      <w:rFonts w:ascii="Georgia" w:cs="Georgia" w:eastAsia="Georgia" w:hAnsi="Georgia"/>
      <w:i w:val="1"/>
      <w:color w:val="666666"/>
      <w:sz w:val="48"/>
      <w:szCs w:val="48"/>
    </w:rPr>
  </w:style>
  <w:style w:type="table" w:styleId="Table1">
    <w:basedOn w:val="TableNormal"/>
    <w:tblPr>
      <w:tblStyleRowBandSize w:val="1"/>
      <w:tblStyleColBandSize w:val="1"/>
      <w:tblCellMar>
        <w:top w:w="0.0" w:type="dxa"/>
        <w:left w:w="70.0" w:type="dxa"/>
        <w:bottom w:w="0.0" w:type="dxa"/>
        <w:right w:w="70.0" w:type="dxa"/>
      </w:tblCellMar>
    </w:tblPr>
  </w:style>
  <w:style w:type="table" w:styleId="Table2">
    <w:basedOn w:val="TableNormal"/>
    <w:pPr>
      <w:spacing w:after="0" w:line="240" w:lineRule="auto"/>
    </w:p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header" Target="header1.xml"/><Relationship Id="rId8" Type="http://schemas.openxmlformats.org/officeDocument/2006/relationships/footer" Target="footer1.xml"/></Relationships>
</file>

<file path=word/_rels/fontTable.xml.rels><?xml version="1.0" encoding="UTF-8" standalone="yes"?><Relationships xmlns="http://schemas.openxmlformats.org/package/2006/relationships"><Relationship Id="rId1" Type="http://schemas.openxmlformats.org/officeDocument/2006/relationships/font" Target="fonts/Tahoma-regular.ttf"/><Relationship Id="rId2" Type="http://schemas.openxmlformats.org/officeDocument/2006/relationships/font" Target="fonts/Tahoma-bold.ttf"/><Relationship Id="rId3" Type="http://schemas.openxmlformats.org/officeDocument/2006/relationships/font" Target="fonts/NotoSansSymbols-regular.ttf"/><Relationship Id="rId4" Type="http://schemas.openxmlformats.org/officeDocument/2006/relationships/font" Target="fonts/NotoSansSymbols-bold.ttf"/></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VvrwKVEQ/RGAhkjqqIGeXzLCFRw==">CgMxLjAyDmgucjcwNWw4YmVrY3I3Mg5oLnUyYTczcHEycThyMTIOaC54MG0wcXNnZ2RmdXIyDmguMzVuejNhdm5qZ2ltMg5oLjE5c2tlb284NXgzMDIOaC5jaGNsYnh6aHBocDAyDmgudzg2YXNreGt3Z2lvMg5oLnkyNjl2a285ampzdTIOaC5kNThodzlja3h2Nnc4AHIhMU5pM1dOWl9fdS1TaWpfWTRBeE1wekhQU04xb085TVBy</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2025-01-28T03:07:00Z</dcterms:created>
</cp:coreProperties>
</file>