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5B5" w:rsidRPr="006A55B5" w:rsidRDefault="006A55B5" w:rsidP="006A55B5">
      <w:pPr>
        <w:shd w:val="clear" w:color="auto" w:fill="F3F3F3"/>
        <w:spacing w:before="100" w:beforeAutospacing="1" w:after="100" w:afterAutospacing="1" w:line="240" w:lineRule="auto"/>
        <w:jc w:val="center"/>
        <w:outlineLvl w:val="0"/>
        <w:rPr>
          <w:rFonts w:ascii="Arial" w:eastAsia="Times New Roman" w:hAnsi="Arial" w:cs="Arial"/>
          <w:b/>
          <w:bCs/>
          <w:kern w:val="36"/>
          <w:sz w:val="48"/>
          <w:szCs w:val="48"/>
          <w:lang w:eastAsia="es-CO"/>
        </w:rPr>
      </w:pPr>
      <w:r w:rsidRPr="006A55B5">
        <w:rPr>
          <w:rFonts w:ascii="Arial" w:eastAsia="Times New Roman" w:hAnsi="Arial" w:cs="Arial"/>
          <w:b/>
          <w:bCs/>
          <w:kern w:val="36"/>
          <w:sz w:val="48"/>
          <w:szCs w:val="48"/>
          <w:lang w:eastAsia="es-CO"/>
        </w:rPr>
        <w:t>Informe de Proyecto de Investigación</w:t>
      </w:r>
    </w:p>
    <w:tbl>
      <w:tblPr>
        <w:tblW w:w="4500" w:type="pct"/>
        <w:shd w:val="clear" w:color="auto" w:fill="FFFFFF"/>
        <w:tblCellMar>
          <w:top w:w="15" w:type="dxa"/>
          <w:left w:w="15" w:type="dxa"/>
          <w:bottom w:w="15" w:type="dxa"/>
          <w:right w:w="15" w:type="dxa"/>
        </w:tblCellMar>
        <w:tblLook w:val="04A0" w:firstRow="1" w:lastRow="0" w:firstColumn="1" w:lastColumn="0" w:noHBand="0" w:noVBand="1"/>
      </w:tblPr>
      <w:tblGrid>
        <w:gridCol w:w="3897"/>
        <w:gridCol w:w="3897"/>
        <w:gridCol w:w="3897"/>
      </w:tblGrid>
      <w:tr w:rsidR="006A55B5" w:rsidRPr="006A55B5" w:rsidTr="006A55B5">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Título del proyecto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Duración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Lugar de ejecución</w:t>
            </w:r>
          </w:p>
        </w:tc>
      </w:tr>
      <w:tr w:rsidR="006A55B5" w:rsidRPr="006A55B5" w:rsidTr="006A55B5">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 xml:space="preserve">la propiedad en </w:t>
            </w:r>
            <w:r w:rsidR="006047A5" w:rsidRPr="006A55B5">
              <w:rPr>
                <w:rFonts w:ascii="Arial" w:eastAsia="Times New Roman" w:hAnsi="Arial" w:cs="Arial"/>
                <w:sz w:val="24"/>
                <w:szCs w:val="24"/>
                <w:lang w:eastAsia="es-CO"/>
              </w:rPr>
              <w:t>Bolivia</w:t>
            </w:r>
            <w:r w:rsidRPr="006A55B5">
              <w:rPr>
                <w:rFonts w:ascii="Arial" w:eastAsia="Times New Roman" w:hAnsi="Arial" w:cs="Arial"/>
                <w:sz w:val="24"/>
                <w:szCs w:val="24"/>
                <w:lang w:eastAsia="es-CO"/>
              </w:rPr>
              <w:t>: ideologías, discursos y luchas políticas</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10</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Bogotá</w:t>
            </w:r>
          </w:p>
        </w:tc>
      </w:tr>
    </w:tbl>
    <w:p w:rsidR="006A55B5" w:rsidRPr="006A55B5" w:rsidRDefault="006A55B5" w:rsidP="006A55B5">
      <w:pPr>
        <w:spacing w:after="0" w:line="240" w:lineRule="auto"/>
        <w:rPr>
          <w:rFonts w:ascii="Times New Roman" w:eastAsia="Times New Roman" w:hAnsi="Times New Roman" w:cs="Times New Roman"/>
          <w:sz w:val="24"/>
          <w:szCs w:val="24"/>
          <w:lang w:eastAsia="es-CO"/>
        </w:rPr>
      </w:pPr>
    </w:p>
    <w:tbl>
      <w:tblPr>
        <w:tblW w:w="4500" w:type="pct"/>
        <w:shd w:val="clear" w:color="auto" w:fill="FFFFFF"/>
        <w:tblCellMar>
          <w:top w:w="15" w:type="dxa"/>
          <w:left w:w="15" w:type="dxa"/>
          <w:bottom w:w="15" w:type="dxa"/>
          <w:right w:w="15" w:type="dxa"/>
        </w:tblCellMar>
        <w:tblLook w:val="04A0" w:firstRow="1" w:lastRow="0" w:firstColumn="1" w:lastColumn="0" w:noHBand="0" w:noVBand="1"/>
      </w:tblPr>
      <w:tblGrid>
        <w:gridCol w:w="2922"/>
        <w:gridCol w:w="2923"/>
        <w:gridCol w:w="2923"/>
        <w:gridCol w:w="2923"/>
      </w:tblGrid>
      <w:tr w:rsidR="006A55B5" w:rsidRPr="006A55B5" w:rsidTr="006A55B5">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Nombre del Investigador principal</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Enlace CvLAC</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Enlace Google Académico</w:t>
            </w:r>
          </w:p>
        </w:tc>
      </w:tr>
      <w:tr w:rsidR="006A55B5" w:rsidRPr="006A55B5" w:rsidTr="00A1481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r>
    </w:tbl>
    <w:p w:rsidR="006A55B5" w:rsidRPr="006A55B5" w:rsidRDefault="006A55B5" w:rsidP="006A55B5">
      <w:pPr>
        <w:spacing w:after="0" w:line="240" w:lineRule="auto"/>
        <w:rPr>
          <w:rFonts w:ascii="Times New Roman" w:eastAsia="Times New Roman" w:hAnsi="Times New Roman" w:cs="Times New Roman"/>
          <w:vanish/>
          <w:sz w:val="24"/>
          <w:szCs w:val="24"/>
          <w:lang w:eastAsia="es-CO"/>
        </w:rPr>
      </w:pPr>
    </w:p>
    <w:tbl>
      <w:tblPr>
        <w:tblW w:w="4500" w:type="pct"/>
        <w:shd w:val="clear" w:color="auto" w:fill="FFFFFF"/>
        <w:tblCellMar>
          <w:top w:w="15" w:type="dxa"/>
          <w:left w:w="15" w:type="dxa"/>
          <w:bottom w:w="15" w:type="dxa"/>
          <w:right w:w="15" w:type="dxa"/>
        </w:tblCellMar>
        <w:tblLook w:val="04A0" w:firstRow="1" w:lastRow="0" w:firstColumn="1" w:lastColumn="0" w:noHBand="0" w:noVBand="1"/>
      </w:tblPr>
      <w:tblGrid>
        <w:gridCol w:w="1949"/>
        <w:gridCol w:w="1949"/>
        <w:gridCol w:w="1949"/>
        <w:gridCol w:w="1948"/>
        <w:gridCol w:w="1948"/>
        <w:gridCol w:w="1948"/>
      </w:tblGrid>
      <w:tr w:rsidR="006A55B5" w:rsidRPr="006A55B5" w:rsidTr="006A55B5">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Grupo de investigación</w:t>
            </w:r>
          </w:p>
        </w:tc>
      </w:tr>
      <w:tr w:rsidR="006A55B5" w:rsidRPr="006A55B5" w:rsidTr="006A55B5">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Facultad de Gobierno y Relaciones Internacionales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Gobierno y Relaciones Internacionales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Política pública como eje de gobernabilidad y gobernanza del Estado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Grupo de estudios en gobierno y relaciones internacionales – gegri</w:t>
            </w:r>
          </w:p>
        </w:tc>
      </w:tr>
    </w:tbl>
    <w:p w:rsidR="006A55B5" w:rsidRPr="006A55B5" w:rsidRDefault="006A55B5" w:rsidP="006A55B5">
      <w:pPr>
        <w:spacing w:after="0" w:line="240" w:lineRule="auto"/>
        <w:rPr>
          <w:rFonts w:ascii="Times New Roman" w:eastAsia="Times New Roman" w:hAnsi="Times New Roman" w:cs="Times New Roman"/>
          <w:sz w:val="24"/>
          <w:szCs w:val="24"/>
          <w:lang w:eastAsia="es-CO"/>
        </w:rPr>
      </w:pPr>
    </w:p>
    <w:tbl>
      <w:tblPr>
        <w:tblW w:w="4500" w:type="pct"/>
        <w:shd w:val="clear" w:color="auto" w:fill="FFFFFF"/>
        <w:tblCellMar>
          <w:top w:w="15" w:type="dxa"/>
          <w:left w:w="15" w:type="dxa"/>
          <w:bottom w:w="15" w:type="dxa"/>
          <w:right w:w="15" w:type="dxa"/>
        </w:tblCellMar>
        <w:tblLook w:val="04A0" w:firstRow="1" w:lastRow="0" w:firstColumn="1" w:lastColumn="0" w:noHBand="0" w:noVBand="1"/>
      </w:tblPr>
      <w:tblGrid>
        <w:gridCol w:w="2922"/>
        <w:gridCol w:w="2923"/>
        <w:gridCol w:w="2923"/>
        <w:gridCol w:w="2923"/>
      </w:tblGrid>
      <w:tr w:rsidR="006A55B5" w:rsidRPr="006A55B5" w:rsidTr="006A55B5">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Nombre(s) CO-Investigadores</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Enlace CvLAC</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Enlace Google Académico</w:t>
            </w:r>
          </w:p>
        </w:tc>
      </w:tr>
      <w:tr w:rsidR="006A55B5" w:rsidRPr="006A55B5" w:rsidTr="00A1481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r>
    </w:tbl>
    <w:p w:rsidR="006A55B5" w:rsidRPr="006A55B5" w:rsidRDefault="006A55B5" w:rsidP="006A55B5">
      <w:pPr>
        <w:spacing w:after="0" w:line="240" w:lineRule="auto"/>
        <w:rPr>
          <w:rFonts w:ascii="Times New Roman" w:eastAsia="Times New Roman" w:hAnsi="Times New Roman" w:cs="Times New Roman"/>
          <w:vanish/>
          <w:sz w:val="24"/>
          <w:szCs w:val="24"/>
          <w:lang w:eastAsia="es-CO"/>
        </w:rPr>
      </w:pPr>
    </w:p>
    <w:tbl>
      <w:tblPr>
        <w:tblW w:w="4500" w:type="pct"/>
        <w:shd w:val="clear" w:color="auto" w:fill="FFFFFF"/>
        <w:tblCellMar>
          <w:top w:w="15" w:type="dxa"/>
          <w:left w:w="15" w:type="dxa"/>
          <w:bottom w:w="15" w:type="dxa"/>
          <w:right w:w="15" w:type="dxa"/>
        </w:tblCellMar>
        <w:tblLook w:val="04A0" w:firstRow="1" w:lastRow="0" w:firstColumn="1" w:lastColumn="0" w:noHBand="0" w:noVBand="1"/>
      </w:tblPr>
      <w:tblGrid>
        <w:gridCol w:w="1949"/>
        <w:gridCol w:w="1949"/>
        <w:gridCol w:w="1949"/>
        <w:gridCol w:w="1948"/>
        <w:gridCol w:w="1948"/>
        <w:gridCol w:w="1948"/>
      </w:tblGrid>
      <w:tr w:rsidR="006A55B5" w:rsidRPr="006A55B5" w:rsidTr="006A55B5">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Grupo de investigación</w:t>
            </w:r>
          </w:p>
        </w:tc>
      </w:tr>
      <w:tr w:rsidR="006A55B5" w:rsidRPr="006A55B5" w:rsidTr="006A55B5">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Facultad de Gobierno y Relaciones Internacionales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Gobierno y Relaciones Internacionales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Política pública como eje de gobernabilidad y gobernanza del Estado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Grupo de estudios en gobierno y relaciones internacionales – gegri</w:t>
            </w:r>
          </w:p>
        </w:tc>
      </w:tr>
    </w:tbl>
    <w:p w:rsidR="006A55B5" w:rsidRPr="006A55B5" w:rsidRDefault="006A55B5" w:rsidP="006A55B5">
      <w:pPr>
        <w:spacing w:after="0" w:line="240" w:lineRule="auto"/>
        <w:rPr>
          <w:rFonts w:ascii="Times New Roman" w:eastAsia="Times New Roman" w:hAnsi="Times New Roman" w:cs="Times New Roman"/>
          <w:sz w:val="24"/>
          <w:szCs w:val="24"/>
          <w:lang w:eastAsia="es-CO"/>
        </w:rPr>
      </w:pPr>
    </w:p>
    <w:tbl>
      <w:tblPr>
        <w:tblW w:w="4500" w:type="pct"/>
        <w:shd w:val="clear" w:color="auto" w:fill="FFFFFF"/>
        <w:tblCellMar>
          <w:top w:w="15" w:type="dxa"/>
          <w:left w:w="15" w:type="dxa"/>
          <w:bottom w:w="15" w:type="dxa"/>
          <w:right w:w="15" w:type="dxa"/>
        </w:tblCellMar>
        <w:tblLook w:val="04A0" w:firstRow="1" w:lastRow="0" w:firstColumn="1" w:lastColumn="0" w:noHBand="0" w:noVBand="1"/>
      </w:tblPr>
      <w:tblGrid>
        <w:gridCol w:w="5845"/>
        <w:gridCol w:w="5846"/>
      </w:tblGrid>
      <w:tr w:rsidR="006A55B5" w:rsidRPr="006A55B5" w:rsidTr="006A55B5">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Palabras clave</w:t>
            </w:r>
          </w:p>
        </w:tc>
      </w:tr>
      <w:tr w:rsidR="006A55B5" w:rsidRPr="006A55B5" w:rsidTr="006A55B5">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both"/>
              <w:rPr>
                <w:rFonts w:ascii="Arial" w:eastAsia="Times New Roman" w:hAnsi="Arial" w:cs="Arial"/>
                <w:sz w:val="24"/>
                <w:szCs w:val="24"/>
                <w:lang w:eastAsia="es-CO"/>
              </w:rPr>
            </w:pPr>
            <w:r w:rsidRPr="006A55B5">
              <w:rPr>
                <w:rFonts w:ascii="Arial" w:eastAsia="Times New Roman" w:hAnsi="Arial" w:cs="Arial"/>
                <w:sz w:val="24"/>
                <w:szCs w:val="24"/>
                <w:lang w:eastAsia="es-CO"/>
              </w:rPr>
              <w:t>El discurso político jurídico que ha blindado a la propiedad privada se ha encargado de extinguir, en el plano de lo formal, otras formas de propiedad como la colectiva o comunitaria. La coexistencia conflictiva de estas dos formas de propiedad: la privada y la colectiva han hecho parte de las luchas políticas donde se ha puesto en juego hasta el tipo de Estado; entre 2006 y 2009, se gestó una lucha política entre la Nación Camba y el Pacto de Unidad, dos plataformas ideológicas opuestas en dotar de sentido al concepto de propiedad. El estudio sobre las ideologías, los discursos y las luchas políticas en torno a la propiedad en Bolivia propone el uso del análisis morfológico de las ideologías a través de un abordaje metodológico descriptivo cualitativo basado en análisis documental y en las intervenciones de los actores políticos.</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both"/>
              <w:rPr>
                <w:rFonts w:ascii="Arial" w:eastAsia="Times New Roman" w:hAnsi="Arial" w:cs="Arial"/>
                <w:sz w:val="24"/>
                <w:szCs w:val="24"/>
                <w:lang w:eastAsia="es-CO"/>
              </w:rPr>
            </w:pPr>
            <w:r w:rsidRPr="006A55B5">
              <w:rPr>
                <w:rFonts w:ascii="Arial" w:eastAsia="Times New Roman" w:hAnsi="Arial" w:cs="Arial"/>
                <w:sz w:val="24"/>
                <w:szCs w:val="24"/>
                <w:lang w:eastAsia="es-CO"/>
              </w:rPr>
              <w:t>Propiedad, Ideologías, Lucha Política, Discurso, Constitución, Estado, Bolivia</w:t>
            </w:r>
          </w:p>
        </w:tc>
      </w:tr>
    </w:tbl>
    <w:p w:rsidR="006A55B5" w:rsidRPr="006A55B5" w:rsidRDefault="006A55B5" w:rsidP="006A55B5">
      <w:pPr>
        <w:spacing w:after="0" w:line="240" w:lineRule="auto"/>
        <w:rPr>
          <w:rFonts w:ascii="Times New Roman" w:eastAsia="Times New Roman" w:hAnsi="Times New Roman" w:cs="Times New Roman"/>
          <w:sz w:val="24"/>
          <w:szCs w:val="24"/>
          <w:lang w:eastAsia="es-CO"/>
        </w:rPr>
      </w:pPr>
    </w:p>
    <w:tbl>
      <w:tblPr>
        <w:tblW w:w="4500" w:type="pct"/>
        <w:shd w:val="clear" w:color="auto" w:fill="FFFFFF"/>
        <w:tblCellMar>
          <w:top w:w="15" w:type="dxa"/>
          <w:left w:w="15" w:type="dxa"/>
          <w:bottom w:w="15" w:type="dxa"/>
          <w:right w:w="15" w:type="dxa"/>
        </w:tblCellMar>
        <w:tblLook w:val="04A0" w:firstRow="1" w:lastRow="0" w:firstColumn="1" w:lastColumn="0" w:noHBand="0" w:noVBand="1"/>
      </w:tblPr>
      <w:tblGrid>
        <w:gridCol w:w="11691"/>
      </w:tblGrid>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Planteamiento del problema y pregunta de investigación</w:t>
            </w: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both"/>
              <w:rPr>
                <w:rFonts w:ascii="Arial" w:eastAsia="Times New Roman" w:hAnsi="Arial" w:cs="Arial"/>
                <w:sz w:val="24"/>
                <w:szCs w:val="24"/>
                <w:lang w:eastAsia="es-CO"/>
              </w:rPr>
            </w:pPr>
            <w:r w:rsidRPr="006A55B5">
              <w:rPr>
                <w:rFonts w:ascii="Arial" w:eastAsia="Times New Roman" w:hAnsi="Arial" w:cs="Arial"/>
                <w:sz w:val="24"/>
                <w:szCs w:val="24"/>
                <w:lang w:eastAsia="es-CO"/>
              </w:rPr>
              <w:t xml:space="preserve">Bajo la suposición moderna que la propiedad privada debe ser garantizada por el Estado a través del discurso jurídico, en especial por la máxima norma: la Constitución, implica dotar de sentido y legitimidad política dicho derecho, el cual se ha caracterizado por ser el núcleo esencial del liberalismo. Sin embargo, esta postura ha sido cuestionada por las pretensiones de quienes históricamente no han logrado un reconocimiento como propietarios y defienden la idea de que la propiedad no sólo le pertenece a un individuo, sino que desde las prácticas ancestrales han mostrado que la propiedad debe ejercerse de manera colectiva. En ese sentido, el comunitarismo interpela a la propiedad liberal inscripta en las constituciones, proponiendo otras formas de propiedad como la colectiva, la cual ha existido históricamente y requiere de inclusión en los marcos normativos. Todo ello, en el marco de la despolemización ideológica por definir el significado de la propiedad y su relación con el tipo de Estado. En este sentido, este trabajo busca indagar de qué manera las ideologías, los discursos y las luchas políticas sobre la propiedad en Bolivia posibilitaron un orden político plurinacional. </w:t>
            </w:r>
            <w:r w:rsidRPr="006A55B5">
              <w:rPr>
                <w:rFonts w:ascii="Arial" w:eastAsia="Times New Roman" w:hAnsi="Arial" w:cs="Arial"/>
                <w:sz w:val="24"/>
                <w:szCs w:val="24"/>
                <w:lang w:eastAsia="es-CO"/>
              </w:rPr>
              <w:lastRenderedPageBreak/>
              <w:t>Otras preguntas son: ¿qué características tenían los discursos liberales y colectivistas sobre la propiedad en las constituciones bolivianas de 1826 a 2004?, ¿qué cambios en el escenario político provocaron la irrupción de la idea de la propiedad colectiva?, ¿cuáles fueron las diferencias y las similitudes en los discursos de la Nación Camba y el Pacto de Unidad sobre la propiedad en las propuestas presentadas ante la Asamblea Constituyente? ¿De qué manera las luchas políticas sobre la propiedad incidieron en el proceso de creación del estado plurinacional en Bolivia?</w:t>
            </w:r>
          </w:p>
        </w:tc>
      </w:tr>
    </w:tbl>
    <w:p w:rsidR="006A55B5" w:rsidRPr="006A55B5" w:rsidRDefault="006A55B5" w:rsidP="006A55B5">
      <w:pPr>
        <w:spacing w:after="0" w:line="240" w:lineRule="auto"/>
        <w:rPr>
          <w:rFonts w:ascii="Times New Roman" w:eastAsia="Times New Roman" w:hAnsi="Times New Roman" w:cs="Times New Roman"/>
          <w:sz w:val="24"/>
          <w:szCs w:val="24"/>
          <w:lang w:eastAsia="es-CO"/>
        </w:rPr>
      </w:pPr>
    </w:p>
    <w:tbl>
      <w:tblPr>
        <w:tblW w:w="4500" w:type="pct"/>
        <w:shd w:val="clear" w:color="auto" w:fill="FFFFFF"/>
        <w:tblCellMar>
          <w:top w:w="15" w:type="dxa"/>
          <w:left w:w="15" w:type="dxa"/>
          <w:bottom w:w="15" w:type="dxa"/>
          <w:right w:w="15" w:type="dxa"/>
        </w:tblCellMar>
        <w:tblLook w:val="04A0" w:firstRow="1" w:lastRow="0" w:firstColumn="1" w:lastColumn="0" w:noHBand="0" w:noVBand="1"/>
      </w:tblPr>
      <w:tblGrid>
        <w:gridCol w:w="11691"/>
      </w:tblGrid>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Justificación</w:t>
            </w: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both"/>
              <w:rPr>
                <w:rFonts w:ascii="Arial" w:eastAsia="Times New Roman" w:hAnsi="Arial" w:cs="Arial"/>
                <w:sz w:val="24"/>
                <w:szCs w:val="24"/>
                <w:lang w:eastAsia="es-CO"/>
              </w:rPr>
            </w:pPr>
            <w:r w:rsidRPr="006A55B5">
              <w:rPr>
                <w:rFonts w:ascii="Arial" w:eastAsia="Times New Roman" w:hAnsi="Arial" w:cs="Arial"/>
                <w:sz w:val="24"/>
                <w:szCs w:val="24"/>
                <w:lang w:eastAsia="es-CO"/>
              </w:rPr>
              <w:t>De manera recurrente la propiedad hace parte cada vez más de la agenda política. Informaciones y noticias sobre conflictos asociados a la propiedad están a la orden del día, en ellos se observa la lucha por el significado de ésta. Por ejemplo, en el ámbito internacional las luchas por las fronteras y los territorios se dirimen a través de enfrentamientos armados que han generado un fenómeno migratorio de gran escala en los últimos tiempos, es el caso de algunos países de África como: Nigeria, Kenia, Somalia, Sudán y Libia, o como en el caso de Asia y Oriente Medio. En América Latina, las luchas por la propiedad, se materializan en quién es el propietario de la tierra o de los recursos naturales, en el cuestionamiento a los gobiernos nacionales sobre el uso y el aprovechamiento de dichos recursos, que en ocasiones pasa por onerosos negocios con multinacionales o por su falta de presencia en zonas donde los actores armados o los narcotraficantes se hacen dueños de dichos lugares. En estos escenarios, se evidencia una lucha por el significado de la propiedad desde las ideologías que coexisten en una sociedad. Para abordar estas temáticas desde la academia, se hace necesaria tanto una articulación entre el estudio del pensamiento filosófico político de las macro ideologías, como un análisis empírico de los procesos políticos. En este sentido esta investigación aporta a la comprensión del estudio de las ideologías, los discursos y las luchas políticas sobre la propiedad en Bolivia que posibilitaron un orden político plurinacional. Para ello, se recurrió a la estrategia metodológica del análisis morfológico del discurso.</w:t>
            </w:r>
          </w:p>
        </w:tc>
      </w:tr>
    </w:tbl>
    <w:p w:rsidR="006A55B5" w:rsidRPr="006A55B5" w:rsidRDefault="006A55B5" w:rsidP="006A55B5">
      <w:pPr>
        <w:spacing w:after="0" w:line="240" w:lineRule="auto"/>
        <w:rPr>
          <w:rFonts w:ascii="Times New Roman" w:eastAsia="Times New Roman" w:hAnsi="Times New Roman" w:cs="Times New Roman"/>
          <w:sz w:val="24"/>
          <w:szCs w:val="24"/>
          <w:lang w:eastAsia="es-CO"/>
        </w:rPr>
      </w:pPr>
    </w:p>
    <w:tbl>
      <w:tblPr>
        <w:tblW w:w="4500" w:type="pct"/>
        <w:shd w:val="clear" w:color="auto" w:fill="FFFFFF"/>
        <w:tblCellMar>
          <w:top w:w="15" w:type="dxa"/>
          <w:left w:w="15" w:type="dxa"/>
          <w:bottom w:w="15" w:type="dxa"/>
          <w:right w:w="15" w:type="dxa"/>
        </w:tblCellMar>
        <w:tblLook w:val="04A0" w:firstRow="1" w:lastRow="0" w:firstColumn="1" w:lastColumn="0" w:noHBand="0" w:noVBand="1"/>
      </w:tblPr>
      <w:tblGrid>
        <w:gridCol w:w="11691"/>
      </w:tblGrid>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Objetivo general</w:t>
            </w: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both"/>
              <w:rPr>
                <w:rFonts w:ascii="Arial" w:eastAsia="Times New Roman" w:hAnsi="Arial" w:cs="Arial"/>
                <w:sz w:val="24"/>
                <w:szCs w:val="24"/>
                <w:lang w:eastAsia="es-CO"/>
              </w:rPr>
            </w:pPr>
            <w:r w:rsidRPr="006A55B5">
              <w:rPr>
                <w:rFonts w:ascii="Arial" w:eastAsia="Times New Roman" w:hAnsi="Arial" w:cs="Arial"/>
                <w:sz w:val="24"/>
                <w:szCs w:val="24"/>
                <w:lang w:eastAsia="es-CO"/>
              </w:rPr>
              <w:t>Comprender y analizar las maneras en que las ideologías, los discursos y las luchas políticas sobre la propiedad en Bolivia posibilitaron un orden político plurinacional.</w:t>
            </w:r>
          </w:p>
        </w:tc>
      </w:tr>
    </w:tbl>
    <w:p w:rsidR="006A55B5" w:rsidRPr="006A55B5" w:rsidRDefault="006A55B5" w:rsidP="006A55B5">
      <w:pPr>
        <w:spacing w:after="0" w:line="240" w:lineRule="auto"/>
        <w:rPr>
          <w:rFonts w:ascii="Times New Roman" w:eastAsia="Times New Roman" w:hAnsi="Times New Roman" w:cs="Times New Roman"/>
          <w:sz w:val="24"/>
          <w:szCs w:val="24"/>
          <w:lang w:eastAsia="es-CO"/>
        </w:rPr>
      </w:pPr>
    </w:p>
    <w:tbl>
      <w:tblPr>
        <w:tblW w:w="4500" w:type="pct"/>
        <w:shd w:val="clear" w:color="auto" w:fill="FFFFFF"/>
        <w:tblCellMar>
          <w:top w:w="15" w:type="dxa"/>
          <w:left w:w="15" w:type="dxa"/>
          <w:bottom w:w="15" w:type="dxa"/>
          <w:right w:w="15" w:type="dxa"/>
        </w:tblCellMar>
        <w:tblLook w:val="04A0" w:firstRow="1" w:lastRow="0" w:firstColumn="1" w:lastColumn="0" w:noHBand="0" w:noVBand="1"/>
      </w:tblPr>
      <w:tblGrid>
        <w:gridCol w:w="11691"/>
      </w:tblGrid>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Objetivos específicos</w:t>
            </w: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both"/>
              <w:rPr>
                <w:rFonts w:ascii="Arial" w:eastAsia="Times New Roman" w:hAnsi="Arial" w:cs="Arial"/>
                <w:sz w:val="24"/>
                <w:szCs w:val="24"/>
                <w:lang w:eastAsia="es-CO"/>
              </w:rPr>
            </w:pPr>
            <w:r w:rsidRPr="006A55B5">
              <w:rPr>
                <w:rFonts w:ascii="Arial" w:eastAsia="Times New Roman" w:hAnsi="Arial" w:cs="Arial"/>
                <w:sz w:val="24"/>
                <w:szCs w:val="24"/>
                <w:lang w:eastAsia="es-CO"/>
              </w:rPr>
              <w:lastRenderedPageBreak/>
              <w:t>a. Indagar sobre características de los discursos liberales y colectivistas sobre la propiedad en las constituciones bolivianas de 1826 a 2004 a partir del estudio de los conceptos nucleares, adyacentes y periféricos; b. Analizar los cambios en el escenario político que posibilitaron la comprensión de la propiedad desde diferentes posturas ideológicas en la época reciente en Bolivia; c. Examinar la esencial disputabilidad de las plataformas ideológicas de la Nación Camba y el Pacto de Unidad sobre la propiedad en las propuestas presentadas ante la Asamblea Constituyente</w:t>
            </w:r>
          </w:p>
        </w:tc>
      </w:tr>
    </w:tbl>
    <w:p w:rsidR="006A55B5" w:rsidRPr="006A55B5" w:rsidRDefault="006A55B5" w:rsidP="006A55B5">
      <w:pPr>
        <w:spacing w:after="0" w:line="240" w:lineRule="auto"/>
        <w:rPr>
          <w:rFonts w:ascii="Times New Roman" w:eastAsia="Times New Roman" w:hAnsi="Times New Roman" w:cs="Times New Roman"/>
          <w:sz w:val="24"/>
          <w:szCs w:val="24"/>
          <w:lang w:eastAsia="es-CO"/>
        </w:rPr>
      </w:pPr>
    </w:p>
    <w:tbl>
      <w:tblPr>
        <w:tblW w:w="4500" w:type="pct"/>
        <w:shd w:val="clear" w:color="auto" w:fill="FFFFFF"/>
        <w:tblCellMar>
          <w:top w:w="15" w:type="dxa"/>
          <w:left w:w="15" w:type="dxa"/>
          <w:bottom w:w="15" w:type="dxa"/>
          <w:right w:w="15" w:type="dxa"/>
        </w:tblCellMar>
        <w:tblLook w:val="04A0" w:firstRow="1" w:lastRow="0" w:firstColumn="1" w:lastColumn="0" w:noHBand="0" w:noVBand="1"/>
      </w:tblPr>
      <w:tblGrid>
        <w:gridCol w:w="11691"/>
      </w:tblGrid>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Marco teórico</w:t>
            </w: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both"/>
              <w:rPr>
                <w:rFonts w:ascii="Arial" w:eastAsia="Times New Roman" w:hAnsi="Arial" w:cs="Arial"/>
                <w:sz w:val="24"/>
                <w:szCs w:val="24"/>
                <w:lang w:eastAsia="es-CO"/>
              </w:rPr>
            </w:pPr>
            <w:r w:rsidRPr="006A55B5">
              <w:rPr>
                <w:rFonts w:ascii="Arial" w:eastAsia="Times New Roman" w:hAnsi="Arial" w:cs="Arial"/>
                <w:sz w:val="24"/>
                <w:szCs w:val="24"/>
                <w:lang w:eastAsia="es-CO"/>
              </w:rPr>
              <w:t>El archivo adjunto es: MARCO TEÓRICO.pdf</w:t>
            </w:r>
          </w:p>
        </w:tc>
      </w:tr>
    </w:tbl>
    <w:p w:rsidR="006A55B5" w:rsidRPr="006A55B5" w:rsidRDefault="006A55B5" w:rsidP="006A55B5">
      <w:pPr>
        <w:spacing w:after="0" w:line="240" w:lineRule="auto"/>
        <w:rPr>
          <w:rFonts w:ascii="Times New Roman" w:eastAsia="Times New Roman" w:hAnsi="Times New Roman" w:cs="Times New Roman"/>
          <w:sz w:val="24"/>
          <w:szCs w:val="24"/>
          <w:lang w:eastAsia="es-CO"/>
        </w:rPr>
      </w:pPr>
    </w:p>
    <w:tbl>
      <w:tblPr>
        <w:tblW w:w="4500" w:type="pct"/>
        <w:shd w:val="clear" w:color="auto" w:fill="FFFFFF"/>
        <w:tblCellMar>
          <w:top w:w="15" w:type="dxa"/>
          <w:left w:w="15" w:type="dxa"/>
          <w:bottom w:w="15" w:type="dxa"/>
          <w:right w:w="15" w:type="dxa"/>
        </w:tblCellMar>
        <w:tblLook w:val="04A0" w:firstRow="1" w:lastRow="0" w:firstColumn="1" w:lastColumn="0" w:noHBand="0" w:noVBand="1"/>
      </w:tblPr>
      <w:tblGrid>
        <w:gridCol w:w="11691"/>
      </w:tblGrid>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Metodología</w:t>
            </w: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14815" w:rsidRPr="0097188E" w:rsidRDefault="00A14815" w:rsidP="00A14815">
            <w:pPr>
              <w:spacing w:line="480" w:lineRule="auto"/>
              <w:ind w:firstLine="432"/>
              <w:rPr>
                <w:sz w:val="24"/>
                <w:szCs w:val="24"/>
              </w:rPr>
            </w:pPr>
            <w:r w:rsidRPr="0097188E">
              <w:rPr>
                <w:sz w:val="24"/>
                <w:szCs w:val="24"/>
              </w:rPr>
              <w:t xml:space="preserve">Esta investigación se estructura en dos vértices teóricos: la propiedad como concepto político y la relación entre las ideologías y la política. </w:t>
            </w:r>
            <w:r>
              <w:rPr>
                <w:sz w:val="24"/>
                <w:szCs w:val="24"/>
              </w:rPr>
              <w:t xml:space="preserve">A continuación se desarrolla cada apartado. </w:t>
            </w:r>
          </w:p>
          <w:p w:rsidR="00A14815" w:rsidRPr="0097188E" w:rsidRDefault="00A14815" w:rsidP="00A14815">
            <w:pPr>
              <w:pStyle w:val="Ttulo2"/>
              <w:keepLines w:val="0"/>
              <w:numPr>
                <w:ilvl w:val="0"/>
                <w:numId w:val="1"/>
              </w:numPr>
              <w:spacing w:before="240" w:after="60" w:line="480" w:lineRule="auto"/>
              <w:jc w:val="both"/>
              <w:rPr>
                <w:rFonts w:ascii="Times New Roman" w:hAnsi="Times New Roman"/>
                <w:i/>
                <w:sz w:val="24"/>
                <w:szCs w:val="24"/>
              </w:rPr>
            </w:pPr>
            <w:bookmarkStart w:id="0" w:name="_Toc508281379"/>
            <w:r w:rsidRPr="0097188E">
              <w:rPr>
                <w:rFonts w:ascii="Times New Roman" w:hAnsi="Times New Roman"/>
                <w:sz w:val="24"/>
                <w:szCs w:val="24"/>
              </w:rPr>
              <w:t>La propiedad como concepto político</w:t>
            </w:r>
            <w:bookmarkEnd w:id="0"/>
            <w:r w:rsidRPr="0097188E">
              <w:rPr>
                <w:rFonts w:ascii="Times New Roman" w:hAnsi="Times New Roman"/>
                <w:sz w:val="24"/>
                <w:szCs w:val="24"/>
              </w:rPr>
              <w:t xml:space="preserve">  </w:t>
            </w:r>
          </w:p>
          <w:p w:rsidR="00A14815" w:rsidRPr="0097188E" w:rsidRDefault="00A14815" w:rsidP="00A14815">
            <w:pPr>
              <w:spacing w:line="480" w:lineRule="auto"/>
              <w:ind w:firstLine="360"/>
              <w:rPr>
                <w:sz w:val="24"/>
                <w:szCs w:val="24"/>
              </w:rPr>
            </w:pPr>
            <w:r w:rsidRPr="0097188E">
              <w:rPr>
                <w:sz w:val="24"/>
                <w:szCs w:val="24"/>
              </w:rPr>
              <w:t xml:space="preserve">La categoría </w:t>
            </w:r>
            <w:r w:rsidRPr="0097188E">
              <w:rPr>
                <w:i/>
                <w:sz w:val="24"/>
                <w:szCs w:val="24"/>
              </w:rPr>
              <w:t>propiedad</w:t>
            </w:r>
            <w:r w:rsidRPr="0097188E">
              <w:rPr>
                <w:sz w:val="24"/>
                <w:szCs w:val="24"/>
              </w:rPr>
              <w:t xml:space="preserve"> ha sido analizada desde diferentes perspectivas por las ciencias sociales, a partir de las cuales se han desarrollado investigaciones sobre la propiedad en Bolivia. A continuación se presentan algunas perspectivas disciplinares que han abordado el problema de la propiedad, reconociendo de antemano dos cosas: por un lado, que en la inmensidad de las ciencias sociales existen otros aportes para abordar el estudio de la propiedad, como podrían ser las contribuciones desde los campos como la geografía o la filosofía; y por otro, que la ordenación </w:t>
            </w:r>
            <w:r w:rsidRPr="0097188E">
              <w:rPr>
                <w:sz w:val="24"/>
                <w:szCs w:val="24"/>
              </w:rPr>
              <w:lastRenderedPageBreak/>
              <w:t xml:space="preserve">propuesta es susceptible de ser modificada y sólo obedece a una búsqueda práctica por presentar las influencias y los aportes que cada una de ellas ha hecho, de alguna forma, a esta investigación.   </w:t>
            </w:r>
          </w:p>
          <w:p w:rsidR="00A14815" w:rsidRPr="0097188E" w:rsidRDefault="00A14815" w:rsidP="00A14815">
            <w:pPr>
              <w:spacing w:line="480" w:lineRule="auto"/>
              <w:rPr>
                <w:sz w:val="24"/>
                <w:szCs w:val="24"/>
              </w:rPr>
            </w:pPr>
            <w:r w:rsidRPr="0097188E">
              <w:rPr>
                <w:sz w:val="24"/>
                <w:szCs w:val="24"/>
              </w:rPr>
              <w:tab/>
              <w:t xml:space="preserve">Desde la economía, en su vertiente institucionalista, la propiedad ha sido abordada desde dos extremos teóricos: la teoría marginal y el viejo institucionalismo. En el primer extremo, Walras (1936) elabora su teoría sobre la propiedad, la cual inicia con la definición de la </w:t>
            </w:r>
            <w:r w:rsidRPr="0097188E">
              <w:rPr>
                <w:i/>
                <w:sz w:val="24"/>
                <w:szCs w:val="24"/>
              </w:rPr>
              <w:t>propiedad como un derecho</w:t>
            </w:r>
            <w:r w:rsidRPr="0097188E">
              <w:rPr>
                <w:sz w:val="24"/>
                <w:szCs w:val="24"/>
              </w:rPr>
              <w:t xml:space="preserve">, es decir un </w:t>
            </w:r>
            <w:r w:rsidRPr="0097188E">
              <w:rPr>
                <w:i/>
                <w:sz w:val="24"/>
                <w:szCs w:val="24"/>
              </w:rPr>
              <w:t>poder moral</w:t>
            </w:r>
            <w:r w:rsidRPr="0097188E">
              <w:rPr>
                <w:sz w:val="24"/>
                <w:szCs w:val="24"/>
              </w:rPr>
              <w:t xml:space="preserve"> que se otorga a quien es propietario. Seguidamente establece sobre qué cosas se puede ejercer ese derecho: “son aquellas que a la vez son útiles y limitadas en cantidad, las cosas escasas o la riqueza social. La riqueza social se compone de bienes durables que sirven más de una vez y de bienes fungibles que sólo sirven una vez, es decir, capitales e ingresos” (1936, 348). Estas cosas que pueden ser apropiadas se clasifican en siete categorías: las tierras, las facultades personales, los demás capitales existentes que no son capitales inmobiliarios ni personales, los servicios cotidianos (tierras o rentas, facultades personales o trabajos), los servicios de los capitales artificiales y los productos. Y por último propone una </w:t>
            </w:r>
            <w:r w:rsidRPr="0097188E">
              <w:rPr>
                <w:sz w:val="24"/>
                <w:szCs w:val="24"/>
              </w:rPr>
              <w:lastRenderedPageBreak/>
              <w:t>serie de reglas sobre el comportamiento que los individuos deben cumplir para el óptimo funcionamiento del mercado</w:t>
            </w:r>
            <w:r w:rsidRPr="0097188E">
              <w:rPr>
                <w:rStyle w:val="Refdenotaalpie"/>
                <w:sz w:val="24"/>
                <w:szCs w:val="24"/>
              </w:rPr>
              <w:footnoteReference w:id="1"/>
            </w:r>
            <w:r w:rsidRPr="0097188E">
              <w:rPr>
                <w:sz w:val="24"/>
                <w:szCs w:val="24"/>
              </w:rPr>
              <w:t xml:space="preserve">. </w:t>
            </w:r>
          </w:p>
          <w:p w:rsidR="00A14815" w:rsidRPr="0097188E" w:rsidRDefault="00A14815" w:rsidP="00A14815">
            <w:pPr>
              <w:autoSpaceDE w:val="0"/>
              <w:autoSpaceDN w:val="0"/>
              <w:adjustRightInd w:val="0"/>
              <w:spacing w:line="480" w:lineRule="auto"/>
              <w:rPr>
                <w:sz w:val="24"/>
                <w:szCs w:val="24"/>
              </w:rPr>
            </w:pPr>
            <w:r w:rsidRPr="0097188E">
              <w:rPr>
                <w:sz w:val="24"/>
                <w:szCs w:val="24"/>
              </w:rPr>
              <w:tab/>
              <w:t>En el otro extremo, Veblen (1906) define su teoría sobre las instituciones a partir de la costumbre y el pensamiento</w:t>
            </w:r>
            <w:r w:rsidRPr="0097188E">
              <w:rPr>
                <w:sz w:val="24"/>
                <w:szCs w:val="24"/>
                <w:vertAlign w:val="superscript"/>
              </w:rPr>
              <w:footnoteReference w:id="2"/>
            </w:r>
            <w:r w:rsidRPr="0097188E">
              <w:rPr>
                <w:sz w:val="24"/>
                <w:szCs w:val="24"/>
              </w:rPr>
              <w:t xml:space="preserve">; en su planteamiento reconoce que los comportamientos humanos pueden ser influenciados tanto por el factor del ambiente material como por las inclinaciones persistentes de la naturaleza humana. En este sentido, Veblen propone una </w:t>
            </w:r>
            <w:r w:rsidRPr="0097188E">
              <w:rPr>
                <w:i/>
                <w:sz w:val="24"/>
                <w:szCs w:val="24"/>
              </w:rPr>
              <w:t>revuelta</w:t>
            </w:r>
            <w:r w:rsidRPr="0097188E">
              <w:rPr>
                <w:sz w:val="24"/>
                <w:szCs w:val="24"/>
              </w:rPr>
              <w:t xml:space="preserve"> en contra del </w:t>
            </w:r>
            <w:r w:rsidRPr="0097188E">
              <w:rPr>
                <w:i/>
                <w:sz w:val="24"/>
                <w:szCs w:val="24"/>
              </w:rPr>
              <w:t>homo economicus</w:t>
            </w:r>
            <w:r w:rsidRPr="0097188E">
              <w:rPr>
                <w:rStyle w:val="Refdenotaalpie"/>
                <w:i/>
                <w:sz w:val="24"/>
                <w:szCs w:val="24"/>
              </w:rPr>
              <w:footnoteReference w:id="3"/>
            </w:r>
            <w:r w:rsidRPr="0097188E">
              <w:rPr>
                <w:sz w:val="24"/>
                <w:szCs w:val="24"/>
              </w:rPr>
              <w:t xml:space="preserve"> y la construcción de una nueva concepción sobre la naturaleza humana, que implica la reincorporación de la economía dentro de la sociedad y de la cultura, a partir de la secuencia acumulativa de las instituciones económicas</w:t>
            </w:r>
            <w:r w:rsidRPr="0097188E">
              <w:rPr>
                <w:rStyle w:val="Refdenotaalpie"/>
                <w:sz w:val="24"/>
                <w:szCs w:val="24"/>
              </w:rPr>
              <w:footnoteReference w:id="4"/>
            </w:r>
            <w:r w:rsidRPr="0097188E">
              <w:rPr>
                <w:sz w:val="24"/>
                <w:szCs w:val="24"/>
              </w:rPr>
              <w:t xml:space="preserve">. En su estudio sobre la propiedad privada, como manifestación de la clase ociosa, explica cómo ésta se consolidó a partir de la formación de los gustos y </w:t>
            </w:r>
            <w:r w:rsidRPr="0097188E">
              <w:rPr>
                <w:iCs/>
                <w:sz w:val="24"/>
                <w:szCs w:val="24"/>
              </w:rPr>
              <w:t xml:space="preserve">las </w:t>
            </w:r>
            <w:r w:rsidRPr="0097188E">
              <w:rPr>
                <w:sz w:val="24"/>
                <w:szCs w:val="24"/>
              </w:rPr>
              <w:t xml:space="preserve">prácticas de consumo; este </w:t>
            </w:r>
            <w:r w:rsidRPr="0097188E">
              <w:rPr>
                <w:sz w:val="24"/>
                <w:szCs w:val="24"/>
              </w:rPr>
              <w:lastRenderedPageBreak/>
              <w:t xml:space="preserve">tipo de apreciaciones que incluyen dimensiones culturales, y hasta psicológicas, con un cimiento histórico, coinciden con los planteamientos de Grossi (1994) sobre la </w:t>
            </w:r>
            <w:r w:rsidRPr="0097188E">
              <w:rPr>
                <w:i/>
                <w:sz w:val="24"/>
                <w:szCs w:val="24"/>
              </w:rPr>
              <w:t>mentalidad propietaria</w:t>
            </w:r>
            <w:r w:rsidRPr="0097188E">
              <w:rPr>
                <w:sz w:val="24"/>
                <w:szCs w:val="24"/>
              </w:rPr>
              <w:t xml:space="preserve">.  </w:t>
            </w:r>
          </w:p>
          <w:p w:rsidR="00A14815" w:rsidRPr="0097188E" w:rsidRDefault="00A14815" w:rsidP="00A14815">
            <w:pPr>
              <w:spacing w:line="480" w:lineRule="auto"/>
              <w:rPr>
                <w:sz w:val="24"/>
                <w:szCs w:val="24"/>
              </w:rPr>
            </w:pPr>
            <w:r w:rsidRPr="0097188E">
              <w:rPr>
                <w:sz w:val="24"/>
                <w:szCs w:val="24"/>
              </w:rPr>
              <w:tab/>
              <w:t xml:space="preserve">En esta perspectiva analítica, entre los estudios desarrollados sobre la economía boliviana, se puede mencionar el trabajo de Grebe (2007) quien presenta los rasgos básicos de esta economía a través de variables macroeconómicas donde la propiedad es asimilada como un hecho natural; o las investigaciones lideradas por Capra (2005) y Jiménez (2002) sobre la privatización y el desempeño de las empresas en Bolivia, y los efectos de la liberalización sobre el crecimiento, el empleo y la pobreza, donde no se cuestiona el hecho mismo de la apropiación privada frente a la propiedad pública sino que se asume como una decisión necesaria para el desarrollo económico.  </w:t>
            </w:r>
          </w:p>
          <w:p w:rsidR="00A14815" w:rsidRPr="0097188E" w:rsidRDefault="00A14815" w:rsidP="00A14815">
            <w:pPr>
              <w:spacing w:line="480" w:lineRule="auto"/>
              <w:rPr>
                <w:sz w:val="24"/>
                <w:szCs w:val="24"/>
              </w:rPr>
            </w:pPr>
            <w:r w:rsidRPr="0097188E">
              <w:rPr>
                <w:sz w:val="24"/>
                <w:szCs w:val="24"/>
              </w:rPr>
              <w:tab/>
              <w:t>Desde la perspectiva de la historia, desde el materialismo dialéctico, la propiedad ha sido definida como una estructura productiva de construcción histórica. Una de las primeras reflexiones en este campo, la aportó Engels (1884) quien, a través de la elaboración de una teoría materialista de la historia basada en la producción y reproducción de la vida misma, logra establecer las conexiones entre el régimen familiar, las relaciones de propiedad y el lugar del Estado</w:t>
            </w:r>
            <w:r w:rsidRPr="0097188E">
              <w:rPr>
                <w:rStyle w:val="Refdenotaalpie"/>
                <w:sz w:val="24"/>
                <w:szCs w:val="24"/>
              </w:rPr>
              <w:footnoteReference w:id="5"/>
            </w:r>
            <w:r w:rsidRPr="0097188E">
              <w:rPr>
                <w:sz w:val="24"/>
                <w:szCs w:val="24"/>
              </w:rPr>
              <w:t xml:space="preserve">. </w:t>
            </w:r>
            <w:r w:rsidRPr="0097188E">
              <w:rPr>
                <w:sz w:val="24"/>
                <w:szCs w:val="24"/>
              </w:rPr>
              <w:lastRenderedPageBreak/>
              <w:t xml:space="preserve">En los estudios sobre Bolivia, los trabajos históricos se desarrollan en torno a categorías de apoyo como campesinado, reforma agraria y tierra; entre ellos se destacan el de Larson (1992) y el de Klein (1995) quienes desarrollan una investigación archivística sobre los cambios en las </w:t>
            </w:r>
            <w:r w:rsidRPr="0097188E">
              <w:rPr>
                <w:i/>
                <w:sz w:val="24"/>
                <w:szCs w:val="24"/>
              </w:rPr>
              <w:t>estructuras productivas</w:t>
            </w:r>
            <w:r w:rsidRPr="0097188E">
              <w:rPr>
                <w:sz w:val="24"/>
                <w:szCs w:val="24"/>
              </w:rPr>
              <w:t xml:space="preserve"> entre el siglo XVI y XIX; en la misma línea se encuentra el trabajo de Gotkowitz (2011) quien hace una mirada a las luchas indígenas por la tierra entre 1880 y 1952. Estos trabajos aportan significativas trayectorias de larga duración para la comprensión de las relaciones sociales sobre la propiedad, sin embargo, no lo realizan desde la concepción de la propiedad como derecho, que como se desarrollará más adelante, implica un relacionamiento también con el Estado investido por el manto jurídico.     </w:t>
            </w:r>
          </w:p>
          <w:p w:rsidR="00A14815" w:rsidRPr="0097188E" w:rsidRDefault="00A14815" w:rsidP="00A14815">
            <w:pPr>
              <w:spacing w:line="480" w:lineRule="auto"/>
              <w:rPr>
                <w:sz w:val="24"/>
                <w:szCs w:val="24"/>
              </w:rPr>
            </w:pPr>
            <w:r w:rsidRPr="0097188E">
              <w:rPr>
                <w:sz w:val="24"/>
                <w:szCs w:val="24"/>
              </w:rPr>
              <w:tab/>
              <w:t xml:space="preserve">Desde la sociología, en su mirada crítica, la propiedad es uno de los ejes que dinamiza los conflictos por el poder en las sociedades contemporáneas. Para Hardt y Negri (2009) la propiedad privada y la apropiación de los bienes comunes han impulsado las revoluciones actuales por el </w:t>
            </w:r>
            <w:r w:rsidRPr="0097188E">
              <w:rPr>
                <w:i/>
                <w:sz w:val="24"/>
                <w:szCs w:val="24"/>
              </w:rPr>
              <w:t>common wealth</w:t>
            </w:r>
            <w:r w:rsidRPr="0097188E">
              <w:rPr>
                <w:sz w:val="24"/>
                <w:szCs w:val="24"/>
              </w:rPr>
              <w:t xml:space="preserve">; en este estudio los autores analizan un episodio de la historia reciente de Bolivia: la guerra por el agua en Cochabamba como manifestación de la altermodernidad. Sobre el discurso agrario en Bolivia, Radhuber (2008) propone una investigación de las relaciones en torno a la tierra, a partir de entrevistas con actores claves donde se identifican los sentidos construidos de manera individual y colectiva alrededor de la condición de ser o no propietarios de la tierra. De estos estudios se aprecia las </w:t>
            </w:r>
            <w:r w:rsidRPr="0097188E">
              <w:rPr>
                <w:sz w:val="24"/>
                <w:szCs w:val="24"/>
              </w:rPr>
              <w:lastRenderedPageBreak/>
              <w:t xml:space="preserve">dimensiones interrelacionales que se proponen abarcando lo macro estructural de un proyecto alternativo de revolución y el plano subjetivo de los actores que viven cotidianamente esta relación con la propiedad.      </w:t>
            </w:r>
          </w:p>
          <w:p w:rsidR="00A14815" w:rsidRPr="0097188E" w:rsidRDefault="00A14815" w:rsidP="00A14815">
            <w:pPr>
              <w:spacing w:line="480" w:lineRule="auto"/>
              <w:ind w:firstLine="708"/>
              <w:rPr>
                <w:sz w:val="24"/>
                <w:szCs w:val="24"/>
              </w:rPr>
            </w:pPr>
            <w:r w:rsidRPr="0097188E">
              <w:rPr>
                <w:sz w:val="24"/>
                <w:szCs w:val="24"/>
                <w:lang w:val="es-ES_tradnl"/>
              </w:rPr>
              <w:t xml:space="preserve">Ahora bien, en perspectiva de un análisis crítico del derecho de propiedad, es clave despejar cuestiones que no se deducen de la formulación abstracta de la cuestión. Pisarello y Tedeschi proponen una serie de preguntas que pueden ayudar a levantar sospechas frente a esa aparente abstracción que propone el derecho: </w:t>
            </w:r>
          </w:p>
          <w:p w:rsidR="00A14815" w:rsidRPr="0097188E" w:rsidRDefault="00A14815" w:rsidP="00A14815">
            <w:pPr>
              <w:ind w:left="708"/>
              <w:rPr>
                <w:sz w:val="24"/>
                <w:szCs w:val="24"/>
              </w:rPr>
            </w:pPr>
            <w:r w:rsidRPr="0097188E">
              <w:rPr>
                <w:sz w:val="20"/>
                <w:szCs w:val="20"/>
                <w:lang w:val="es-ES_tradnl"/>
              </w:rPr>
              <w:t xml:space="preserve">Para comenzar, cuando se habla del derecho de propiedad: ¿quiénes son los sujetos activos involucrados?, ¿cuáles son los objetos, los bienes sobre los que se pretende hacer recaer el derecho?, ¿cuáles son las facultades, límites y obligaciones que el reconocimiento del derecho de propiedad comporta para su titular? y ¿cuáles son las consecuencias de la falta de cumplimiento de estas obligaciones? Propiedad, sí; pero ¿De quiénes? ¿Sobre qué? ¿Para hacer qué? (2011, 124). </w:t>
            </w:r>
          </w:p>
          <w:p w:rsidR="00A14815" w:rsidRPr="0097188E" w:rsidRDefault="00A14815" w:rsidP="00A14815">
            <w:pPr>
              <w:spacing w:line="480" w:lineRule="auto"/>
              <w:rPr>
                <w:sz w:val="24"/>
              </w:rPr>
            </w:pPr>
          </w:p>
          <w:p w:rsidR="00A14815" w:rsidRPr="0097188E" w:rsidRDefault="00A14815" w:rsidP="00A14815">
            <w:pPr>
              <w:spacing w:line="480" w:lineRule="auto"/>
              <w:ind w:firstLine="708"/>
              <w:rPr>
                <w:sz w:val="20"/>
                <w:szCs w:val="20"/>
              </w:rPr>
            </w:pPr>
            <w:r w:rsidRPr="0097188E">
              <w:rPr>
                <w:sz w:val="24"/>
                <w:szCs w:val="24"/>
              </w:rPr>
              <w:t xml:space="preserve">En conclusión, la propiedad como concepto político ha sido abordada desde diferentes campos del conocimiento. Para efectos de este trabajo, se escoge un concepto histórico, construido socialmente y que guarda una relación intrínseca con la política misma. Para ello, en esta investigación se pretende mostrar de qué manera la propiedad puede ser disputada en el texto constitucional como proceso político que trata de hacer perdurable la Constitución. </w:t>
            </w:r>
          </w:p>
          <w:p w:rsidR="00A14815" w:rsidRPr="0097188E" w:rsidRDefault="00A14815" w:rsidP="00A14815">
            <w:pPr>
              <w:pStyle w:val="Ttulo2"/>
              <w:keepLines w:val="0"/>
              <w:numPr>
                <w:ilvl w:val="0"/>
                <w:numId w:val="1"/>
              </w:numPr>
              <w:spacing w:before="240" w:after="60" w:line="480" w:lineRule="auto"/>
              <w:jc w:val="both"/>
              <w:rPr>
                <w:rFonts w:ascii="Times New Roman" w:hAnsi="Times New Roman"/>
                <w:i/>
                <w:sz w:val="24"/>
                <w:szCs w:val="24"/>
              </w:rPr>
            </w:pPr>
            <w:bookmarkStart w:id="1" w:name="_Toc508281382"/>
            <w:r w:rsidRPr="0097188E">
              <w:rPr>
                <w:rFonts w:ascii="Times New Roman" w:hAnsi="Times New Roman"/>
                <w:sz w:val="24"/>
                <w:szCs w:val="24"/>
              </w:rPr>
              <w:lastRenderedPageBreak/>
              <w:t>Las ideologías y la política</w:t>
            </w:r>
            <w:bookmarkEnd w:id="1"/>
            <w:r w:rsidRPr="0097188E">
              <w:rPr>
                <w:rFonts w:ascii="Times New Roman" w:hAnsi="Times New Roman"/>
                <w:sz w:val="24"/>
                <w:szCs w:val="24"/>
              </w:rPr>
              <w:t xml:space="preserve">  </w:t>
            </w:r>
          </w:p>
          <w:p w:rsidR="00A14815" w:rsidRPr="0097188E" w:rsidRDefault="00A14815" w:rsidP="00A14815">
            <w:pPr>
              <w:spacing w:line="480" w:lineRule="auto"/>
              <w:ind w:firstLine="708"/>
              <w:rPr>
                <w:sz w:val="24"/>
              </w:rPr>
            </w:pPr>
            <w:r w:rsidRPr="0097188E">
              <w:rPr>
                <w:sz w:val="24"/>
              </w:rPr>
              <w:t>Definir ideología como concepto político, implica recorrer las perspectivas de quienes han aportado en su estudio. Trazando una línea histórica, el recorrido inicia con Destutt de Tracy y el honor de las ideas, Marx y Engels, Mannheim y su comprensión como una manifestación social y psicológica, Gramsci, Althusser y Michael</w:t>
            </w:r>
            <w:r w:rsidRPr="0097188E">
              <w:rPr>
                <w:rFonts w:eastAsia="Times New Roman"/>
                <w:sz w:val="24"/>
                <w:szCs w:val="24"/>
                <w:lang w:eastAsia="es-ES"/>
              </w:rPr>
              <w:t xml:space="preserve"> Freeden.</w:t>
            </w:r>
          </w:p>
          <w:p w:rsidR="00A14815" w:rsidRPr="0097188E" w:rsidRDefault="00A14815" w:rsidP="00A14815">
            <w:pPr>
              <w:spacing w:line="480" w:lineRule="auto"/>
              <w:ind w:firstLine="708"/>
              <w:rPr>
                <w:sz w:val="24"/>
              </w:rPr>
            </w:pPr>
            <w:r w:rsidRPr="0097188E">
              <w:rPr>
                <w:sz w:val="24"/>
              </w:rPr>
              <w:t xml:space="preserve">De acuerdo con la historia del concepto, Destutt de Tracy propone una ciencia que estudie las ideas, donde ellas pudiesen ser verificables siguiendo la tradición científica francesa del siglo XIX; sin embargo, esta tarea aún sigue siendo motivo de investigadores que buscan evidenciar fenómenos asociados con el pensamiento humano. En el recorrido, Marx y Engels, proponen que desde la filosofía es posible mostrar cómo este campo del conocimiento funciona como una “cámara oscura”, es decir, la ideología puede ser entendida como una imagen especular invertida del mundo material, ya que esta se encontraba bajo el capitalismo y este sometía a la sociedad a relaciones deshumanizadoras; así pues, el papel de la ideología era suavizar esas condiciones para que pareciesen normales y congruentes, y poder así cohesionar a la sociedad; en este sentido, relacionaron a la ideología con la clase social denotando que las ideas de la clase dominante eran las que dirigían todo, las que gobernaban el poder del Estado ejerciendo control y obrando bajo sus intereses. </w:t>
            </w:r>
          </w:p>
          <w:p w:rsidR="00A14815" w:rsidRPr="0097188E" w:rsidRDefault="00A14815" w:rsidP="00A14815">
            <w:pPr>
              <w:spacing w:line="480" w:lineRule="auto"/>
              <w:ind w:firstLine="708"/>
              <w:rPr>
                <w:sz w:val="24"/>
              </w:rPr>
            </w:pPr>
            <w:r w:rsidRPr="0097188E">
              <w:rPr>
                <w:sz w:val="24"/>
              </w:rPr>
              <w:lastRenderedPageBreak/>
              <w:t xml:space="preserve">En esta perspectiva, Eagleton (1995) analiza el concepto de ideología usando un vasto espectro histórico que va desde el amplio sentido de la determinación social del pensamiento a la idea sospechosa del despliegue de ideas falsas en interés de una clase dominante; así lo propone el autor: </w:t>
            </w:r>
          </w:p>
          <w:p w:rsidR="00A14815" w:rsidRPr="0097188E" w:rsidRDefault="00A14815" w:rsidP="00A14815">
            <w:pPr>
              <w:ind w:left="708" w:firstLine="1"/>
              <w:rPr>
                <w:sz w:val="24"/>
              </w:rPr>
            </w:pPr>
            <w:r w:rsidRPr="0097188E">
              <w:rPr>
                <w:sz w:val="24"/>
              </w:rPr>
              <w:t xml:space="preserve">“A menudo se refiere a la manera en que los signos, significados y valores que contribuyen a reproducir un poder social dominante; pero eso también puede denotar cualquier fusión significativa entre discurso e intereses políticos. Desde una perspectiva radical el primer sentido es peyorativo, mientras que el segundo es neutral. Mi opinión es que ambos sentidos del término tienen sus usos, pero se ha generado una considerable confusión a raíz del fracaso al tratar de separarlos (1995: 275).  </w:t>
            </w:r>
          </w:p>
          <w:p w:rsidR="00A14815" w:rsidRPr="0097188E" w:rsidRDefault="00A14815" w:rsidP="00A14815">
            <w:pPr>
              <w:spacing w:line="480" w:lineRule="auto"/>
              <w:ind w:firstLine="708"/>
              <w:rPr>
                <w:sz w:val="24"/>
              </w:rPr>
            </w:pPr>
          </w:p>
          <w:p w:rsidR="00A14815" w:rsidRPr="0097188E" w:rsidRDefault="00A14815" w:rsidP="00A14815">
            <w:pPr>
              <w:spacing w:line="480" w:lineRule="auto"/>
              <w:ind w:firstLine="708"/>
              <w:rPr>
                <w:sz w:val="24"/>
              </w:rPr>
            </w:pPr>
            <w:r w:rsidRPr="0097188E">
              <w:rPr>
                <w:sz w:val="24"/>
              </w:rPr>
              <w:t xml:space="preserve">En el siglo XX, Karl Mannheim, Antonio Gramsci y Louis Althusser aportan sus conocimientos para desarrollar la concepción de la ideología marxista, por un concepto que tendría vocación de permanencia en lo político. Mannheim toma como base para sus planteamientos la mirada contextual histórico social del momento y propone que una ideología es un rasgo propio del medio social que influye en los pensamientos de la sociedad y en el proceso político de la vida en grupo. Con esta aproximación, se producen los primeros destellos del pluralismo ideológico, es decir, una sociedad con muchos grupos y clases sociales es una multiplicidad de pensamientos que generan más de una ideología. </w:t>
            </w:r>
          </w:p>
          <w:p w:rsidR="00A14815" w:rsidRPr="0097188E" w:rsidRDefault="00A14815" w:rsidP="00A14815">
            <w:pPr>
              <w:spacing w:line="480" w:lineRule="auto"/>
              <w:ind w:firstLine="708"/>
              <w:rPr>
                <w:sz w:val="24"/>
              </w:rPr>
            </w:pPr>
            <w:r w:rsidRPr="0097188E">
              <w:rPr>
                <w:sz w:val="24"/>
              </w:rPr>
              <w:lastRenderedPageBreak/>
              <w:t xml:space="preserve">En esta vía, es posible marcar que el aporte de Mannheim, en primer lugar, se distancia de la connotación negativa dada a la ideología desde el marxismo; así mismo, comprobó que las ideologías estaban en constantes flujo de cambio y eran dinámicas, tal como sucedía con el conocimiento. Siguiendo el camino de la ideología, Gramsci propuso el concepto de hegemonía ideológica, la cual es ejercida por la clase dominante, no sólo a través de la coerción sino también usando los medios culturales. Para Gramsci la ideología no sólo es una herramienta del Estado, sino que más bien es producida y manejada desde la sociedad civil. Uno de los aportes del autor fue investigar el funcionamiento de la ideología como práctica en el mundo real, planteando a esta como una especie de pensamiento-praxis, lo que tuvo como resultado la comprensión de la ideología como una actividad concreta y no como un supuesto lejano. Así, el pensamiento político se hace visible de dos formas, siendo una reflexión sobre cómo organizar a la colectividad o pudiendo ser aprehendido por medio de un estudio empírico de actos observables. </w:t>
            </w:r>
          </w:p>
          <w:p w:rsidR="00A14815" w:rsidRPr="0097188E" w:rsidRDefault="00A14815" w:rsidP="00A14815">
            <w:pPr>
              <w:spacing w:line="480" w:lineRule="auto"/>
              <w:ind w:firstLine="708"/>
              <w:rPr>
                <w:sz w:val="24"/>
              </w:rPr>
            </w:pPr>
            <w:r w:rsidRPr="0097188E">
              <w:rPr>
                <w:sz w:val="24"/>
              </w:rPr>
              <w:t xml:space="preserve">En esa dirección, la ideología es elevada por este autor a un fenómeno distintivo que merecía atención y estudio. Para él, la ideología habita un extenso espacio político en las normas y comprensiones morales y culturales difundidas a través de los medios de información y las asociaciones civiles. Es decir, la ideología toma unidad dentro de </w:t>
            </w:r>
            <w:r w:rsidRPr="0097188E">
              <w:rPr>
                <w:sz w:val="24"/>
              </w:rPr>
              <w:lastRenderedPageBreak/>
              <w:t xml:space="preserve">un bloque social, y guarda la esperanza de lograr una ideología total y homogénea que alcanzase la verdad social, aunque sabía que existían diversas formas en las que esta se presenta. </w:t>
            </w:r>
          </w:p>
          <w:p w:rsidR="00A14815" w:rsidRPr="0097188E" w:rsidRDefault="00A14815" w:rsidP="00A14815">
            <w:pPr>
              <w:spacing w:line="480" w:lineRule="auto"/>
              <w:ind w:firstLine="708"/>
              <w:rPr>
                <w:sz w:val="24"/>
              </w:rPr>
            </w:pPr>
            <w:r w:rsidRPr="0097188E">
              <w:rPr>
                <w:sz w:val="24"/>
              </w:rPr>
              <w:t xml:space="preserve">Althusser conservó la visión marxista de la ideología como la garante de la sumisión del proletariado a la clase dominante. Esto es posible, porque a través de esta se imparten una serie de normas que conlleva al respeto del orden establecido; sumado al hecho de que los aparatos del Estado, la iglesia y el ejército ejerce control sobre el conocimiento de las mismas. Althusser se distancia de Marx cuando postula que la ideología es una nueva realidad y no un factor de distorsión de la misma. Para él, la ideología se impone sobre la base económica y productiva y sobre las instituciones políticas y legales. Así, aunque la fuerza política es el aparato represivo del Estado, la ideología tiene vida propia como controlador simbólico, pues se ubica en estructuras religiosas, legales y culturales, en los medios de información de masas y en la familia, especialmente en el sistema educativo. </w:t>
            </w:r>
          </w:p>
          <w:p w:rsidR="00A14815" w:rsidRPr="0097188E" w:rsidRDefault="00A14815" w:rsidP="00A14815">
            <w:pPr>
              <w:spacing w:line="480" w:lineRule="auto"/>
              <w:ind w:firstLine="360"/>
              <w:rPr>
                <w:rFonts w:eastAsia="Times New Roman"/>
                <w:sz w:val="24"/>
                <w:szCs w:val="24"/>
                <w:lang w:eastAsia="es-ES"/>
              </w:rPr>
            </w:pPr>
            <w:r w:rsidRPr="0097188E">
              <w:rPr>
                <w:rFonts w:eastAsia="Times New Roman"/>
                <w:sz w:val="24"/>
                <w:szCs w:val="24"/>
                <w:lang w:eastAsia="es-ES"/>
              </w:rPr>
              <w:t xml:space="preserve">Finalmente, Michael Freeden, ha desarrollado varios trabajos sobre las ideologías en diferentes lugares. Para este autor, la definición de ideología política incluye varios elementos, que según el enfoque de Freeden “es un conjunto de ideas, creencias, opiniones y valores que exhibe un patrón recurrente; es seguida por grupos relevantes; compite por la formulación y el control de planes en materia de políticas públicas; y lo hace con el fin de justificar, oponerse o cambiar </w:t>
            </w:r>
            <w:r w:rsidRPr="0097188E">
              <w:rPr>
                <w:rFonts w:eastAsia="Times New Roman"/>
                <w:sz w:val="24"/>
                <w:szCs w:val="24"/>
                <w:lang w:eastAsia="es-ES"/>
              </w:rPr>
              <w:lastRenderedPageBreak/>
              <w:t xml:space="preserve">las bases y los acuerdos sociales y políticos de una comunidad política” (2013, 50).  Esta definición que implica la construcción de la política servirá como soporte teórico para el desarrollo de esta investigación. </w:t>
            </w:r>
          </w:p>
          <w:p w:rsidR="00A14815" w:rsidRPr="0097188E" w:rsidRDefault="00A14815" w:rsidP="00A14815">
            <w:pPr>
              <w:spacing w:line="480" w:lineRule="auto"/>
              <w:ind w:firstLine="360"/>
              <w:rPr>
                <w:sz w:val="24"/>
              </w:rPr>
            </w:pPr>
            <w:r w:rsidRPr="0097188E">
              <w:rPr>
                <w:rFonts w:eastAsia="Times New Roman"/>
                <w:sz w:val="24"/>
                <w:szCs w:val="24"/>
                <w:lang w:eastAsia="es-ES"/>
              </w:rPr>
              <w:t xml:space="preserve">El planteamiento teórico de Freeden inicia con la definición de ideologías como sistemas de pensamiento que confieren significados a cada concepto político de su ámbito; esto lo logran porque le dan legitimidad a un solo significado para cada concepto y anulan los demás, pero los conceptos políticos en sí mismos son demasiado vagos como para aportar significados inteligibles, por ello se usan conceptos adyacentes. Para lograr certezas dentro del debate acerca de cómo las ideologías dotan de significados los conceptos políticos, es necesario estudiar la despolemización de dichos conceptos; si bien, la función de las ideologías es ayudar a definir los conceptos como medios para tomar decisiones colectivas, no es posible determinar cuál es el sentido de un concepto de manera idónea, por tanto se hace necesaria la esencial disputabilidad de los conceptos, donde al final del debate las ideologías podrán dar certidumbre al proceso político; en esa vía, la competencia entre las ideologías por el control del lenguaje político, y por tanto, por los planes de políticas públicas, competencia que se realiza, en un primer momento, a través del lenguaje político. Esta competencia por los conceptos está constreñida, tanto por elementos de tipo lógico como de tipo cultural. En el análisis de esta competencia, </w:t>
            </w:r>
            <w:r w:rsidRPr="0097188E">
              <w:rPr>
                <w:sz w:val="24"/>
                <w:szCs w:val="24"/>
              </w:rPr>
              <w:t xml:space="preserve">la dimensión morfológica de las ideologías propuesta por Freeden </w:t>
            </w:r>
            <w:r w:rsidRPr="0097188E">
              <w:rPr>
                <w:sz w:val="24"/>
                <w:szCs w:val="24"/>
              </w:rPr>
              <w:lastRenderedPageBreak/>
              <w:t>cobra relevancia porque propone un estudio sobre la composición ideológica a partir de las 4 P: proximidad, prioridad, permeabilidad y proporcionalidad.</w:t>
            </w:r>
          </w:p>
          <w:p w:rsidR="00A14815" w:rsidRPr="0097188E" w:rsidRDefault="00A14815" w:rsidP="00A14815"/>
          <w:p w:rsidR="00A14815" w:rsidRPr="0097188E" w:rsidRDefault="00A14815" w:rsidP="00A14815"/>
          <w:p w:rsidR="006A55B5" w:rsidRPr="00EE7305" w:rsidRDefault="006A55B5" w:rsidP="00EE7305">
            <w:pPr>
              <w:spacing w:after="0" w:line="240" w:lineRule="atLeast"/>
              <w:ind w:firstLine="360"/>
              <w:rPr>
                <w:sz w:val="24"/>
              </w:rPr>
            </w:pPr>
          </w:p>
        </w:tc>
      </w:tr>
    </w:tbl>
    <w:p w:rsidR="006A55B5" w:rsidRPr="006A55B5" w:rsidRDefault="006A55B5" w:rsidP="006A55B5">
      <w:pPr>
        <w:spacing w:after="0" w:line="240" w:lineRule="auto"/>
        <w:rPr>
          <w:rFonts w:ascii="Times New Roman" w:eastAsia="Times New Roman" w:hAnsi="Times New Roman" w:cs="Times New Roman"/>
          <w:sz w:val="24"/>
          <w:szCs w:val="24"/>
          <w:lang w:eastAsia="es-CO"/>
        </w:rPr>
      </w:pPr>
    </w:p>
    <w:tbl>
      <w:tblPr>
        <w:tblW w:w="4500" w:type="pct"/>
        <w:shd w:val="clear" w:color="auto" w:fill="FFFFFF"/>
        <w:tblCellMar>
          <w:top w:w="15" w:type="dxa"/>
          <w:left w:w="15" w:type="dxa"/>
          <w:bottom w:w="15" w:type="dxa"/>
          <w:right w:w="15" w:type="dxa"/>
        </w:tblCellMar>
        <w:tblLook w:val="04A0" w:firstRow="1" w:lastRow="0" w:firstColumn="1" w:lastColumn="0" w:noHBand="0" w:noVBand="1"/>
      </w:tblPr>
      <w:tblGrid>
        <w:gridCol w:w="3897"/>
        <w:gridCol w:w="3897"/>
        <w:gridCol w:w="3897"/>
      </w:tblGrid>
      <w:tr w:rsidR="006A55B5" w:rsidRPr="006A55B5" w:rsidTr="006A55B5">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Resultados esperados</w:t>
            </w:r>
          </w:p>
        </w:tc>
      </w:tr>
      <w:tr w:rsidR="006A55B5" w:rsidRPr="006A55B5" w:rsidTr="006A55B5">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Tipo de producto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Detalle</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Cantidad</w:t>
            </w:r>
          </w:p>
        </w:tc>
      </w:tr>
      <w:tr w:rsidR="006A55B5" w:rsidRPr="006A55B5" w:rsidTr="006A55B5">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Generación de nuevo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Artículos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1</w:t>
            </w:r>
          </w:p>
        </w:tc>
      </w:tr>
      <w:tr w:rsidR="006A55B5" w:rsidRPr="006A55B5" w:rsidTr="006A55B5">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Libros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1</w:t>
            </w:r>
          </w:p>
        </w:tc>
      </w:tr>
      <w:tr w:rsidR="006A55B5" w:rsidRPr="006A55B5" w:rsidTr="006A55B5">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Capítulos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r>
      <w:tr w:rsidR="006A55B5" w:rsidRPr="006A55B5" w:rsidTr="006A55B5">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Productos tecnológicos patentados o en proceso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r>
      <w:tr w:rsidR="006A55B5" w:rsidRPr="006A55B5" w:rsidTr="006A55B5">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Variedades vegetales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r>
      <w:tr w:rsidR="006A55B5" w:rsidRPr="006A55B5" w:rsidTr="006A55B5">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Actividades de investigación, desarrollo e innovación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Productos tecnológicos certificados o validos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r>
      <w:tr w:rsidR="006A55B5" w:rsidRPr="006A55B5" w:rsidTr="006A55B5">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Productos empresariales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r>
      <w:tr w:rsidR="006A55B5" w:rsidRPr="006A55B5" w:rsidTr="006A55B5">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Regulaciones, normas, reglamentos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r>
      <w:tr w:rsidR="006A55B5" w:rsidRPr="006A55B5" w:rsidTr="006A55B5">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Consultorías científicas y tecnológicas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r>
      <w:tr w:rsidR="006A55B5" w:rsidRPr="006A55B5" w:rsidTr="006A55B5">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Innovación social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r>
      <w:tr w:rsidR="006A55B5" w:rsidRPr="006A55B5" w:rsidTr="006A55B5">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Apropiación social del conocimento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Participación ciudadana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r>
      <w:tr w:rsidR="006A55B5" w:rsidRPr="006A55B5" w:rsidTr="006A55B5">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Transferencia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r>
      <w:tr w:rsidR="006A55B5" w:rsidRPr="006A55B5" w:rsidTr="006A55B5">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Gestión del conocimento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r>
      <w:tr w:rsidR="006A55B5" w:rsidRPr="006A55B5" w:rsidTr="006A55B5">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Comunicación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1</w:t>
            </w:r>
          </w:p>
        </w:tc>
      </w:tr>
      <w:tr w:rsidR="006A55B5" w:rsidRPr="006A55B5" w:rsidTr="006A55B5">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Circulación del conocimiento especializado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1</w:t>
            </w:r>
          </w:p>
        </w:tc>
      </w:tr>
      <w:tr w:rsidR="006A55B5" w:rsidRPr="006A55B5" w:rsidTr="006A55B5">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Formación de recursos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Tesis de doctorado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r>
      <w:tr w:rsidR="006A55B5" w:rsidRPr="006A55B5" w:rsidTr="006A55B5">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Tesis de maestría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r>
      <w:tr w:rsidR="006A55B5" w:rsidRPr="006A55B5" w:rsidTr="006A55B5">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Trabajos de grado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2</w:t>
            </w:r>
          </w:p>
        </w:tc>
      </w:tr>
      <w:tr w:rsidR="006A55B5" w:rsidRPr="006A55B5" w:rsidTr="006A55B5">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Proyectos de ID+i con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r>
      <w:tr w:rsidR="006A55B5" w:rsidRPr="006A55B5" w:rsidTr="006A55B5">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Apoyo a programas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r>
    </w:tbl>
    <w:p w:rsidR="006A55B5" w:rsidRPr="006A55B5" w:rsidRDefault="006A55B5" w:rsidP="006A55B5">
      <w:pPr>
        <w:spacing w:after="0" w:line="240" w:lineRule="auto"/>
        <w:rPr>
          <w:rFonts w:ascii="Times New Roman" w:eastAsia="Times New Roman" w:hAnsi="Times New Roman" w:cs="Times New Roman"/>
          <w:sz w:val="24"/>
          <w:szCs w:val="24"/>
          <w:lang w:eastAsia="es-CO"/>
        </w:rPr>
      </w:pPr>
    </w:p>
    <w:tbl>
      <w:tblPr>
        <w:tblW w:w="4500" w:type="pct"/>
        <w:shd w:val="clear" w:color="auto" w:fill="FFFFFF"/>
        <w:tblCellMar>
          <w:top w:w="15" w:type="dxa"/>
          <w:left w:w="15" w:type="dxa"/>
          <w:bottom w:w="15" w:type="dxa"/>
          <w:right w:w="15" w:type="dxa"/>
        </w:tblCellMar>
        <w:tblLook w:val="04A0" w:firstRow="1" w:lastRow="0" w:firstColumn="1" w:lastColumn="0" w:noHBand="0" w:noVBand="1"/>
      </w:tblPr>
      <w:tblGrid>
        <w:gridCol w:w="11691"/>
      </w:tblGrid>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Contribución del proyecto al cumplimiento con la misión institucional</w:t>
            </w: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both"/>
              <w:rPr>
                <w:rFonts w:ascii="Arial" w:eastAsia="Times New Roman" w:hAnsi="Arial" w:cs="Arial"/>
                <w:sz w:val="24"/>
                <w:szCs w:val="24"/>
                <w:lang w:eastAsia="es-CO"/>
              </w:rPr>
            </w:pPr>
            <w:r w:rsidRPr="006A55B5">
              <w:rPr>
                <w:rFonts w:ascii="Arial" w:eastAsia="Times New Roman" w:hAnsi="Arial" w:cs="Arial"/>
                <w:sz w:val="24"/>
                <w:szCs w:val="24"/>
                <w:lang w:eastAsia="es-CO"/>
              </w:rPr>
              <w:t>• Investigación de campo con calidad. Análisis de problemas sociales actuales a partir de una investigación interdisciplinar, con un equipo de trabajo que incluye egresados, estudiantes, docentes de otras facultades. • Integración docencia, investigación y proyección social. El desarrollo de este proyecto tendrá una contribución significativa al integrar la docencia de los espacios académicos Técnicas de Investigación e Investigación asistida, de la Facultad de Gobierno al planear una salida de campo para conocer el Archivo General de la Nación como experiencia de familiarización en terreno de las fuentes históricas. Esta actividad es una apuesta didáctica para enseñar a investigar desde una aproximación a una de las técnicas de investigación: el análisis documental. • Impacto y visibilidad de la Facultad y de la Universidad. Aportar en la focalización y articulación de la investigación y la proyección social USTA Colombia con visibilidad e impacto nacional y global, a través de diversos productos académicos de alta calidad tanto en la generación de nuevo conocimiento con el libro resultado de la investigación, en el ámbito de la Latinoamericano como área disciplinar en constante cambio, que requiere trabajos con bases en la Historia como sustento para la comprensión de fenómenos actuales que impliquen cambios impulsados por procesos constituyentes y en materia de propiedad privada. • Producción y diálogo académico de alto nivel. Participación en un evento internacional para socializar el conocimiento generado e incentivar el diálogo entorno a los procesos constituyentes contemporáneos con participantes nacionales e internacionales.</w:t>
            </w:r>
          </w:p>
        </w:tc>
      </w:tr>
    </w:tbl>
    <w:p w:rsidR="006A55B5" w:rsidRPr="006A55B5" w:rsidRDefault="006A55B5" w:rsidP="006A55B5">
      <w:pPr>
        <w:spacing w:after="0" w:line="240" w:lineRule="auto"/>
        <w:rPr>
          <w:rFonts w:ascii="Times New Roman" w:eastAsia="Times New Roman" w:hAnsi="Times New Roman" w:cs="Times New Roman"/>
          <w:sz w:val="24"/>
          <w:szCs w:val="24"/>
          <w:lang w:eastAsia="es-CO"/>
        </w:rPr>
      </w:pPr>
    </w:p>
    <w:tbl>
      <w:tblPr>
        <w:tblW w:w="4500" w:type="pct"/>
        <w:shd w:val="clear" w:color="auto" w:fill="FFFFFF"/>
        <w:tblCellMar>
          <w:top w:w="15" w:type="dxa"/>
          <w:left w:w="15" w:type="dxa"/>
          <w:bottom w:w="15" w:type="dxa"/>
          <w:right w:w="15" w:type="dxa"/>
        </w:tblCellMar>
        <w:tblLook w:val="04A0" w:firstRow="1" w:lastRow="0" w:firstColumn="1" w:lastColumn="0" w:noHBand="0" w:noVBand="1"/>
      </w:tblPr>
      <w:tblGrid>
        <w:gridCol w:w="11691"/>
      </w:tblGrid>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Líneas del PIM con las qye vincula el proyecto</w:t>
            </w: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both"/>
              <w:rPr>
                <w:rFonts w:ascii="Arial" w:eastAsia="Times New Roman" w:hAnsi="Arial" w:cs="Arial"/>
                <w:sz w:val="24"/>
                <w:szCs w:val="24"/>
                <w:lang w:eastAsia="es-CO"/>
              </w:rPr>
            </w:pPr>
            <w:r w:rsidRPr="006A55B5">
              <w:rPr>
                <w:rFonts w:ascii="Arial" w:eastAsia="Times New Roman" w:hAnsi="Arial" w:cs="Arial"/>
                <w:sz w:val="24"/>
                <w:szCs w:val="24"/>
                <w:lang w:eastAsia="es-CO"/>
              </w:rPr>
              <w:lastRenderedPageBreak/>
              <w:t>2. Compromiso con el proyecto educativo</w:t>
            </w:r>
            <w:r w:rsidRPr="006A55B5">
              <w:rPr>
                <w:rFonts w:ascii="Arial" w:eastAsia="Times New Roman" w:hAnsi="Arial" w:cs="Arial"/>
                <w:sz w:val="24"/>
                <w:szCs w:val="24"/>
                <w:lang w:eastAsia="es-CO"/>
              </w:rPr>
              <w:br/>
              <w:t>3. Proyección social e investigación pertinentes</w:t>
            </w:r>
            <w:r w:rsidRPr="006A55B5">
              <w:rPr>
                <w:rFonts w:ascii="Arial" w:eastAsia="Times New Roman" w:hAnsi="Arial" w:cs="Arial"/>
                <w:sz w:val="24"/>
                <w:szCs w:val="24"/>
                <w:lang w:eastAsia="es-CO"/>
              </w:rPr>
              <w:br/>
              <w:t>5. Personas que transforman sociedad</w:t>
            </w:r>
          </w:p>
        </w:tc>
      </w:tr>
    </w:tbl>
    <w:p w:rsidR="006A55B5" w:rsidRPr="006A55B5" w:rsidRDefault="006A55B5" w:rsidP="006A55B5">
      <w:pPr>
        <w:spacing w:after="0" w:line="240" w:lineRule="auto"/>
        <w:rPr>
          <w:rFonts w:ascii="Times New Roman" w:eastAsia="Times New Roman" w:hAnsi="Times New Roman" w:cs="Times New Roman"/>
          <w:sz w:val="24"/>
          <w:szCs w:val="24"/>
          <w:lang w:eastAsia="es-CO"/>
        </w:rPr>
      </w:pPr>
    </w:p>
    <w:tbl>
      <w:tblPr>
        <w:tblW w:w="4500" w:type="pct"/>
        <w:shd w:val="clear" w:color="auto" w:fill="FFFFFF"/>
        <w:tblCellMar>
          <w:top w:w="15" w:type="dxa"/>
          <w:left w:w="15" w:type="dxa"/>
          <w:bottom w:w="15" w:type="dxa"/>
          <w:right w:w="15" w:type="dxa"/>
        </w:tblCellMar>
        <w:tblLook w:val="04A0" w:firstRow="1" w:lastRow="0" w:firstColumn="1" w:lastColumn="0" w:noHBand="0" w:noVBand="1"/>
      </w:tblPr>
      <w:tblGrid>
        <w:gridCol w:w="11691"/>
      </w:tblGrid>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Acciones del Plan General de Desarrollo 2016-2019 con el que se articula el proyecto</w:t>
            </w: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both"/>
              <w:rPr>
                <w:rFonts w:ascii="Arial" w:eastAsia="Times New Roman" w:hAnsi="Arial" w:cs="Arial"/>
                <w:sz w:val="24"/>
                <w:szCs w:val="24"/>
                <w:lang w:eastAsia="es-CO"/>
              </w:rPr>
            </w:pPr>
            <w:r w:rsidRPr="006A55B5">
              <w:rPr>
                <w:rFonts w:ascii="Arial" w:eastAsia="Times New Roman" w:hAnsi="Arial" w:cs="Arial"/>
                <w:sz w:val="24"/>
                <w:szCs w:val="24"/>
                <w:lang w:eastAsia="es-CO"/>
              </w:rPr>
              <w:t>Línea 2: Compromiso con el proyecto educativo.en la investigación se prevé la realización de una salida de campo con los estudiantes del Programa de Gobierno en el espacio académico Técnicas de Investigación, para conocer el Archivo General de la Nación como experiencia de familiarización en terreno de las fuentes históricas. Esta actividad es una apuesta didáctica para enseñar a investigar desde una aproximación a una de las técnicas de investigación: el análisis documental. Línea 3: Proyección social e investigación pertinentes. Los productos comprometidos en esta investigación estarán orientados a aportar en la generación de nuevo conocimiento, a saber: un libro resultado de investigación, una ponencia, una tesis de pregrado; dichos productos aportarán en las metas del plan de acción en investigación en la sede Bogotá. Línea 5: Personas que transforman sociedad. En el equipo de investigación se contará con la vinculación de un docente de la Facultad y un egresado.</w:t>
            </w:r>
          </w:p>
        </w:tc>
      </w:tr>
    </w:tbl>
    <w:p w:rsidR="006A55B5" w:rsidRPr="006A55B5" w:rsidRDefault="006A55B5" w:rsidP="006A55B5">
      <w:pPr>
        <w:spacing w:after="0" w:line="240" w:lineRule="auto"/>
        <w:rPr>
          <w:rFonts w:ascii="Times New Roman" w:eastAsia="Times New Roman" w:hAnsi="Times New Roman" w:cs="Times New Roman"/>
          <w:sz w:val="24"/>
          <w:szCs w:val="24"/>
          <w:lang w:eastAsia="es-CO"/>
        </w:rPr>
      </w:pPr>
    </w:p>
    <w:tbl>
      <w:tblPr>
        <w:tblW w:w="4500" w:type="pct"/>
        <w:shd w:val="clear" w:color="auto" w:fill="FFFFFF"/>
        <w:tblCellMar>
          <w:top w:w="15" w:type="dxa"/>
          <w:left w:w="15" w:type="dxa"/>
          <w:bottom w:w="15" w:type="dxa"/>
          <w:right w:w="15" w:type="dxa"/>
        </w:tblCellMar>
        <w:tblLook w:val="04A0" w:firstRow="1" w:lastRow="0" w:firstColumn="1" w:lastColumn="0" w:noHBand="0" w:noVBand="1"/>
      </w:tblPr>
      <w:tblGrid>
        <w:gridCol w:w="2339"/>
        <w:gridCol w:w="2338"/>
        <w:gridCol w:w="2338"/>
        <w:gridCol w:w="2338"/>
        <w:gridCol w:w="2338"/>
      </w:tblGrid>
      <w:tr w:rsidR="006A55B5" w:rsidRPr="006A55B5" w:rsidTr="006A55B5">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FODEIN</w:t>
            </w:r>
          </w:p>
        </w:tc>
      </w:tr>
      <w:tr w:rsidR="006A55B5" w:rsidRPr="006A55B5" w:rsidTr="006A55B5">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Total ($)</w:t>
            </w: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A14815" w:rsidP="006A55B5">
            <w:pPr>
              <w:spacing w:before="100" w:beforeAutospacing="1" w:after="100" w:afterAutospacing="1" w:line="240" w:lineRule="auto"/>
              <w:jc w:val="center"/>
              <w:rPr>
                <w:rFonts w:ascii="Arial" w:eastAsia="Times New Roman" w:hAnsi="Arial" w:cs="Arial"/>
                <w:sz w:val="24"/>
                <w:szCs w:val="24"/>
                <w:lang w:eastAsia="es-CO"/>
              </w:rPr>
            </w:pPr>
            <w:r>
              <w:rPr>
                <w:rFonts w:ascii="Arial" w:eastAsia="Times New Roman" w:hAnsi="Arial" w:cs="Arial"/>
                <w:sz w:val="24"/>
                <w:szCs w:val="24"/>
                <w:lang w:eastAsia="es-CO"/>
              </w:rPr>
              <w:t>Investigador 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80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$ 2.897.000</w:t>
            </w:r>
          </w:p>
        </w:tc>
      </w:tr>
      <w:tr w:rsidR="006A55B5" w:rsidRPr="006A55B5" w:rsidTr="006A55B5">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Horas Nomina (Co-Investigadores)</w:t>
            </w:r>
          </w:p>
        </w:tc>
        <w:tc>
          <w:tcPr>
            <w:tcW w:w="0" w:type="auto"/>
            <w:shd w:val="clear" w:color="auto" w:fill="FFFFFF"/>
            <w:vAlign w:val="center"/>
            <w:hideMark/>
          </w:tcPr>
          <w:p w:rsidR="006A55B5" w:rsidRPr="006A55B5" w:rsidRDefault="006A55B5" w:rsidP="006A55B5">
            <w:pPr>
              <w:spacing w:before="100" w:beforeAutospacing="1" w:after="10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6A55B5" w:rsidRPr="006A55B5" w:rsidRDefault="006A55B5" w:rsidP="006A55B5">
            <w:pPr>
              <w:spacing w:before="100" w:beforeAutospacing="1" w:after="10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6A55B5" w:rsidRPr="006A55B5" w:rsidRDefault="006A55B5" w:rsidP="006A55B5">
            <w:pPr>
              <w:spacing w:before="100" w:beforeAutospacing="1" w:after="10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6A55B5" w:rsidRPr="006A55B5" w:rsidRDefault="006A55B5" w:rsidP="006A55B5">
            <w:pPr>
              <w:spacing w:before="100" w:beforeAutospacing="1" w:after="100" w:afterAutospacing="1" w:line="240" w:lineRule="auto"/>
              <w:jc w:val="center"/>
              <w:rPr>
                <w:rFonts w:ascii="Times New Roman" w:eastAsia="Times New Roman" w:hAnsi="Times New Roman" w:cs="Times New Roman"/>
                <w:sz w:val="20"/>
                <w:szCs w:val="20"/>
                <w:lang w:eastAsia="es-CO"/>
              </w:rPr>
            </w:pPr>
          </w:p>
        </w:tc>
      </w:tr>
      <w:tr w:rsidR="006A55B5" w:rsidRPr="006A55B5" w:rsidTr="006A55B5">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A14815" w:rsidP="006A55B5">
            <w:pPr>
              <w:spacing w:before="100" w:beforeAutospacing="1" w:after="100" w:afterAutospacing="1" w:line="240" w:lineRule="auto"/>
              <w:jc w:val="center"/>
              <w:rPr>
                <w:rFonts w:ascii="Arial" w:eastAsia="Times New Roman" w:hAnsi="Arial" w:cs="Arial"/>
                <w:sz w:val="24"/>
                <w:szCs w:val="24"/>
                <w:lang w:eastAsia="es-CO"/>
              </w:rPr>
            </w:pPr>
            <w:r>
              <w:rPr>
                <w:rFonts w:ascii="Arial" w:eastAsia="Times New Roman" w:hAnsi="Arial" w:cs="Arial"/>
                <w:sz w:val="24"/>
                <w:szCs w:val="24"/>
                <w:lang w:eastAsia="es-CO"/>
              </w:rPr>
              <w:t>Investigador 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$ 181.060</w:t>
            </w:r>
          </w:p>
        </w:tc>
      </w:tr>
    </w:tbl>
    <w:p w:rsidR="006A55B5" w:rsidRPr="006A55B5" w:rsidRDefault="006A55B5" w:rsidP="006A55B5">
      <w:pPr>
        <w:spacing w:after="0" w:line="240" w:lineRule="auto"/>
        <w:rPr>
          <w:rFonts w:ascii="Times New Roman" w:eastAsia="Times New Roman" w:hAnsi="Times New Roman" w:cs="Times New Roman"/>
          <w:sz w:val="24"/>
          <w:szCs w:val="24"/>
          <w:lang w:eastAsia="es-CO"/>
        </w:rPr>
      </w:pPr>
    </w:p>
    <w:tbl>
      <w:tblPr>
        <w:tblW w:w="4500" w:type="pct"/>
        <w:shd w:val="clear" w:color="auto" w:fill="FFFFFF"/>
        <w:tblCellMar>
          <w:top w:w="15" w:type="dxa"/>
          <w:left w:w="15" w:type="dxa"/>
          <w:bottom w:w="15" w:type="dxa"/>
          <w:right w:w="15" w:type="dxa"/>
        </w:tblCellMar>
        <w:tblLook w:val="04A0" w:firstRow="1" w:lastRow="0" w:firstColumn="1" w:lastColumn="0" w:noHBand="0" w:noVBand="1"/>
      </w:tblPr>
      <w:tblGrid>
        <w:gridCol w:w="3897"/>
        <w:gridCol w:w="3897"/>
        <w:gridCol w:w="3897"/>
      </w:tblGrid>
      <w:tr w:rsidR="006A55B5" w:rsidRPr="006A55B5" w:rsidTr="006A55B5">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Total ($)</w:t>
            </w: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Material bibliográfico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10 libros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$ 500.000</w:t>
            </w: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Total FODEIN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$ 31.480.600</w:t>
            </w:r>
          </w:p>
        </w:tc>
        <w:tc>
          <w:tcPr>
            <w:tcW w:w="0" w:type="auto"/>
            <w:shd w:val="clear" w:color="auto" w:fill="FFFFFF"/>
            <w:vAlign w:val="center"/>
            <w:hideMark/>
          </w:tcPr>
          <w:p w:rsidR="006A55B5" w:rsidRPr="006A55B5" w:rsidRDefault="006A55B5" w:rsidP="006A55B5">
            <w:pPr>
              <w:spacing w:before="100" w:beforeAutospacing="1" w:after="100" w:afterAutospacing="1" w:line="240" w:lineRule="auto"/>
              <w:jc w:val="center"/>
              <w:rPr>
                <w:rFonts w:ascii="Times New Roman" w:eastAsia="Times New Roman" w:hAnsi="Times New Roman" w:cs="Times New Roman"/>
                <w:sz w:val="20"/>
                <w:szCs w:val="20"/>
                <w:lang w:eastAsia="es-CO"/>
              </w:rPr>
            </w:pPr>
          </w:p>
        </w:tc>
      </w:tr>
    </w:tbl>
    <w:p w:rsidR="006A55B5" w:rsidRPr="006A55B5" w:rsidRDefault="006A55B5" w:rsidP="006A55B5">
      <w:pPr>
        <w:spacing w:after="0" w:line="240" w:lineRule="auto"/>
        <w:rPr>
          <w:rFonts w:ascii="Times New Roman" w:eastAsia="Times New Roman" w:hAnsi="Times New Roman" w:cs="Times New Roman"/>
          <w:sz w:val="24"/>
          <w:szCs w:val="24"/>
          <w:lang w:eastAsia="es-CO"/>
        </w:rPr>
      </w:pPr>
    </w:p>
    <w:tbl>
      <w:tblPr>
        <w:tblW w:w="4500" w:type="pct"/>
        <w:shd w:val="clear" w:color="auto" w:fill="FFFFFF"/>
        <w:tblCellMar>
          <w:top w:w="15" w:type="dxa"/>
          <w:left w:w="15" w:type="dxa"/>
          <w:bottom w:w="15" w:type="dxa"/>
          <w:right w:w="15" w:type="dxa"/>
        </w:tblCellMar>
        <w:tblLook w:val="04A0" w:firstRow="1" w:lastRow="0" w:firstColumn="1" w:lastColumn="0" w:noHBand="0" w:noVBand="1"/>
      </w:tblPr>
      <w:tblGrid>
        <w:gridCol w:w="2339"/>
        <w:gridCol w:w="2338"/>
        <w:gridCol w:w="2338"/>
        <w:gridCol w:w="2338"/>
        <w:gridCol w:w="2338"/>
      </w:tblGrid>
      <w:tr w:rsidR="006A55B5" w:rsidRPr="006A55B5" w:rsidTr="006A55B5">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CONTRAPARTIDA EXTERNA</w:t>
            </w:r>
          </w:p>
        </w:tc>
      </w:tr>
      <w:tr w:rsidR="006A55B5" w:rsidRPr="006A55B5" w:rsidTr="006A55B5">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lastRenderedPageBreak/>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Total</w:t>
            </w:r>
          </w:p>
        </w:tc>
      </w:tr>
      <w:tr w:rsidR="006A55B5" w:rsidRPr="006A55B5" w:rsidTr="006A55B5">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Horas Nomina</w:t>
            </w:r>
          </w:p>
        </w:tc>
        <w:tc>
          <w:tcPr>
            <w:tcW w:w="0" w:type="auto"/>
            <w:shd w:val="clear" w:color="auto" w:fill="FFFFFF"/>
            <w:vAlign w:val="center"/>
            <w:hideMark/>
          </w:tcPr>
          <w:p w:rsidR="006A55B5" w:rsidRPr="006A55B5" w:rsidRDefault="006A55B5" w:rsidP="006A55B5">
            <w:pPr>
              <w:spacing w:before="100" w:beforeAutospacing="1" w:after="10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6A55B5" w:rsidRPr="006A55B5" w:rsidRDefault="006A55B5" w:rsidP="006A55B5">
            <w:pPr>
              <w:spacing w:before="100" w:beforeAutospacing="1" w:after="10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6A55B5" w:rsidRPr="006A55B5" w:rsidRDefault="006A55B5" w:rsidP="006A55B5">
            <w:pPr>
              <w:spacing w:before="100" w:beforeAutospacing="1" w:after="10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6A55B5" w:rsidRPr="006A55B5" w:rsidRDefault="006A55B5" w:rsidP="006A55B5">
            <w:pPr>
              <w:spacing w:before="100" w:beforeAutospacing="1" w:after="100" w:afterAutospacing="1" w:line="240" w:lineRule="auto"/>
              <w:jc w:val="center"/>
              <w:rPr>
                <w:rFonts w:ascii="Times New Roman" w:eastAsia="Times New Roman" w:hAnsi="Times New Roman" w:cs="Times New Roman"/>
                <w:sz w:val="20"/>
                <w:szCs w:val="20"/>
                <w:lang w:eastAsia="es-CO"/>
              </w:rPr>
            </w:pPr>
          </w:p>
        </w:tc>
      </w:tr>
      <w:tr w:rsidR="006A55B5" w:rsidRPr="006A55B5" w:rsidTr="006A55B5">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 xml:space="preserve">$ </w:t>
            </w:r>
          </w:p>
        </w:tc>
      </w:tr>
    </w:tbl>
    <w:p w:rsidR="006A55B5" w:rsidRPr="006A55B5" w:rsidRDefault="006A55B5" w:rsidP="006A55B5">
      <w:pPr>
        <w:spacing w:after="0" w:line="240" w:lineRule="auto"/>
        <w:rPr>
          <w:rFonts w:ascii="Times New Roman" w:eastAsia="Times New Roman" w:hAnsi="Times New Roman" w:cs="Times New Roman"/>
          <w:sz w:val="24"/>
          <w:szCs w:val="24"/>
          <w:lang w:eastAsia="es-CO"/>
        </w:rPr>
      </w:pPr>
    </w:p>
    <w:tbl>
      <w:tblPr>
        <w:tblW w:w="4500" w:type="pct"/>
        <w:shd w:val="clear" w:color="auto" w:fill="FFFFFF"/>
        <w:tblCellMar>
          <w:top w:w="15" w:type="dxa"/>
          <w:left w:w="15" w:type="dxa"/>
          <w:bottom w:w="15" w:type="dxa"/>
          <w:right w:w="15" w:type="dxa"/>
        </w:tblCellMar>
        <w:tblLook w:val="04A0" w:firstRow="1" w:lastRow="0" w:firstColumn="1" w:lastColumn="0" w:noHBand="0" w:noVBand="1"/>
      </w:tblPr>
      <w:tblGrid>
        <w:gridCol w:w="3897"/>
        <w:gridCol w:w="3897"/>
        <w:gridCol w:w="3897"/>
      </w:tblGrid>
      <w:tr w:rsidR="006A55B5" w:rsidRPr="006A55B5" w:rsidTr="006A55B5">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Total</w:t>
            </w: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 xml:space="preserve">$ </w:t>
            </w: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Total Contrapartida externa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 xml:space="preserve">$ </w:t>
            </w:r>
          </w:p>
        </w:tc>
        <w:tc>
          <w:tcPr>
            <w:tcW w:w="0" w:type="auto"/>
            <w:shd w:val="clear" w:color="auto" w:fill="FFFFFF"/>
            <w:vAlign w:val="center"/>
            <w:hideMark/>
          </w:tcPr>
          <w:p w:rsidR="006A55B5" w:rsidRPr="006A55B5" w:rsidRDefault="006A55B5" w:rsidP="006A55B5">
            <w:pPr>
              <w:spacing w:before="100" w:beforeAutospacing="1" w:after="100" w:afterAutospacing="1" w:line="240" w:lineRule="auto"/>
              <w:jc w:val="center"/>
              <w:rPr>
                <w:rFonts w:ascii="Times New Roman" w:eastAsia="Times New Roman" w:hAnsi="Times New Roman" w:cs="Times New Roman"/>
                <w:sz w:val="20"/>
                <w:szCs w:val="20"/>
                <w:lang w:eastAsia="es-CO"/>
              </w:rPr>
            </w:pP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TOTAL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b/>
                <w:bCs/>
                <w:sz w:val="24"/>
                <w:szCs w:val="24"/>
                <w:lang w:eastAsia="es-CO"/>
              </w:rPr>
              <w:t>$ 31.480.600</w:t>
            </w:r>
          </w:p>
        </w:tc>
        <w:tc>
          <w:tcPr>
            <w:tcW w:w="0" w:type="auto"/>
            <w:shd w:val="clear" w:color="auto" w:fill="FFFFFF"/>
            <w:vAlign w:val="center"/>
            <w:hideMark/>
          </w:tcPr>
          <w:p w:rsidR="006A55B5" w:rsidRPr="006A55B5" w:rsidRDefault="006A55B5" w:rsidP="006A55B5">
            <w:pPr>
              <w:spacing w:before="100" w:beforeAutospacing="1" w:after="100" w:afterAutospacing="1" w:line="240" w:lineRule="auto"/>
              <w:jc w:val="center"/>
              <w:rPr>
                <w:rFonts w:ascii="Times New Roman" w:eastAsia="Times New Roman" w:hAnsi="Times New Roman" w:cs="Times New Roman"/>
                <w:sz w:val="20"/>
                <w:szCs w:val="20"/>
                <w:lang w:eastAsia="es-CO"/>
              </w:rPr>
            </w:pPr>
          </w:p>
        </w:tc>
      </w:tr>
    </w:tbl>
    <w:p w:rsidR="006A55B5" w:rsidRPr="006A55B5" w:rsidRDefault="006A55B5" w:rsidP="006A55B5">
      <w:pPr>
        <w:spacing w:after="0" w:line="240" w:lineRule="auto"/>
        <w:rPr>
          <w:rFonts w:ascii="Times New Roman" w:eastAsia="Times New Roman" w:hAnsi="Times New Roman" w:cs="Times New Roman"/>
          <w:sz w:val="24"/>
          <w:szCs w:val="24"/>
          <w:lang w:eastAsia="es-CO"/>
        </w:rPr>
      </w:pPr>
    </w:p>
    <w:tbl>
      <w:tblPr>
        <w:tblW w:w="4500" w:type="pct"/>
        <w:shd w:val="clear" w:color="auto" w:fill="FFFFFF"/>
        <w:tblCellMar>
          <w:top w:w="15" w:type="dxa"/>
          <w:left w:w="15" w:type="dxa"/>
          <w:bottom w:w="15" w:type="dxa"/>
          <w:right w:w="15" w:type="dxa"/>
        </w:tblCellMar>
        <w:tblLook w:val="04A0" w:firstRow="1" w:lastRow="0" w:firstColumn="1" w:lastColumn="0" w:noHBand="0" w:noVBand="1"/>
      </w:tblPr>
      <w:tblGrid>
        <w:gridCol w:w="7015"/>
        <w:gridCol w:w="2338"/>
        <w:gridCol w:w="2338"/>
      </w:tblGrid>
      <w:tr w:rsidR="006A55B5" w:rsidRPr="006A55B5" w:rsidTr="006A55B5">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CRONOGRAMA</w:t>
            </w:r>
          </w:p>
        </w:tc>
      </w:tr>
      <w:tr w:rsidR="006A55B5" w:rsidRPr="006A55B5" w:rsidTr="006A55B5">
        <w:tc>
          <w:tcPr>
            <w:tcW w:w="3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Actividad</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Fecha Inicio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Fecha Fin</w:t>
            </w: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Revisión y ajuste al proyecto de investigación. Revisión bibliográfica sobre: derecho a la propiedad, Procesos constituyentes, Constitución, Bolivia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2019-02-01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2019-02-28</w:t>
            </w: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 xml:space="preserve">Ajuste y reelaboración del marco teórico de la investigación. Preparación de trabajo de campo: identificación de fuentes, elaboración de base de datos. Elaboración de la base de datos para recolectar la información requerida. </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2019-03-01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2019-03-30</w:t>
            </w: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 xml:space="preserve">Trabajo de campo en el Archivo: Consulta de los fondos de la Enciclopedia Constitucional </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2019-04-01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2019-05-30</w:t>
            </w: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Sistematización de fuentes escritas (material bibliográfico, de archivo)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2019-06-01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2019-06-30</w:t>
            </w: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 xml:space="preserve">Análisis de las sistematizaciones. Elaboración de la estructura del manuscrito para el libro. Presentación de un informe parcial </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2019-07-01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2019-07-30</w:t>
            </w: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 xml:space="preserve">Escritura de dos capítulos del manuscrito </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2019-08-01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2019-08-30</w:t>
            </w: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Escritura de dos capítulos del manuscrito. Presentación de manuscrito para aprobación ante Comité editorial de la Facultad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2019-09-01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2019-09-30</w:t>
            </w: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Correcciones y ajustes del manuscrito completo Presentación de manuscrito a la Editorial de la Universidad</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2019-10-01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2019-10-30</w:t>
            </w: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lastRenderedPageBreak/>
              <w:t>Correcciones y ajustes del manuscrito revisado por la Editorial Socialización de resultados. Presentación de informes finales académico y financiero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2019-11-01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sz w:val="24"/>
                <w:szCs w:val="24"/>
                <w:lang w:eastAsia="es-CO"/>
              </w:rPr>
            </w:pPr>
            <w:r w:rsidRPr="006A55B5">
              <w:rPr>
                <w:rFonts w:ascii="Arial" w:eastAsia="Times New Roman" w:hAnsi="Arial" w:cs="Arial"/>
                <w:sz w:val="24"/>
                <w:szCs w:val="24"/>
                <w:lang w:eastAsia="es-CO"/>
              </w:rPr>
              <w:t>2019-11-30</w:t>
            </w:r>
          </w:p>
        </w:tc>
      </w:tr>
    </w:tbl>
    <w:p w:rsidR="006A55B5" w:rsidRPr="006A55B5" w:rsidRDefault="006A55B5" w:rsidP="006A55B5">
      <w:pPr>
        <w:spacing w:after="0" w:line="240" w:lineRule="auto"/>
        <w:rPr>
          <w:rFonts w:ascii="Times New Roman" w:eastAsia="Times New Roman" w:hAnsi="Times New Roman" w:cs="Times New Roman"/>
          <w:sz w:val="24"/>
          <w:szCs w:val="24"/>
          <w:lang w:eastAsia="es-CO"/>
        </w:rPr>
      </w:pPr>
    </w:p>
    <w:tbl>
      <w:tblPr>
        <w:tblW w:w="4500" w:type="pct"/>
        <w:shd w:val="clear" w:color="auto" w:fill="FFFFFF"/>
        <w:tblCellMar>
          <w:top w:w="15" w:type="dxa"/>
          <w:left w:w="15" w:type="dxa"/>
          <w:bottom w:w="15" w:type="dxa"/>
          <w:right w:w="15" w:type="dxa"/>
        </w:tblCellMar>
        <w:tblLook w:val="04A0" w:firstRow="1" w:lastRow="0" w:firstColumn="1" w:lastColumn="0" w:noHBand="0" w:noVBand="1"/>
      </w:tblPr>
      <w:tblGrid>
        <w:gridCol w:w="11691"/>
      </w:tblGrid>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Posibles evaluadores</w:t>
            </w: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both"/>
              <w:rPr>
                <w:rFonts w:ascii="Arial" w:eastAsia="Times New Roman" w:hAnsi="Arial" w:cs="Arial"/>
                <w:sz w:val="24"/>
                <w:szCs w:val="24"/>
                <w:lang w:eastAsia="es-CO"/>
              </w:rPr>
            </w:pPr>
            <w:bookmarkStart w:id="2" w:name="_GoBack"/>
            <w:bookmarkEnd w:id="2"/>
          </w:p>
        </w:tc>
      </w:tr>
    </w:tbl>
    <w:p w:rsidR="006A55B5" w:rsidRPr="006A55B5" w:rsidRDefault="006A55B5" w:rsidP="006A55B5">
      <w:pPr>
        <w:spacing w:after="0" w:line="240" w:lineRule="auto"/>
        <w:rPr>
          <w:rFonts w:ascii="Times New Roman" w:eastAsia="Times New Roman" w:hAnsi="Times New Roman" w:cs="Times New Roman"/>
          <w:sz w:val="24"/>
          <w:szCs w:val="24"/>
          <w:lang w:eastAsia="es-CO"/>
        </w:rPr>
      </w:pPr>
    </w:p>
    <w:tbl>
      <w:tblPr>
        <w:tblW w:w="4500" w:type="pct"/>
        <w:shd w:val="clear" w:color="auto" w:fill="FFFFFF"/>
        <w:tblCellMar>
          <w:top w:w="15" w:type="dxa"/>
          <w:left w:w="15" w:type="dxa"/>
          <w:bottom w:w="15" w:type="dxa"/>
          <w:right w:w="15" w:type="dxa"/>
        </w:tblCellMar>
        <w:tblLook w:val="04A0" w:firstRow="1" w:lastRow="0" w:firstColumn="1" w:lastColumn="0" w:noHBand="0" w:noVBand="1"/>
      </w:tblPr>
      <w:tblGrid>
        <w:gridCol w:w="11691"/>
      </w:tblGrid>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Referencia(s)</w:t>
            </w:r>
          </w:p>
        </w:tc>
      </w:tr>
      <w:tr w:rsidR="006A55B5" w:rsidRPr="006A55B5" w:rsidTr="006A55B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both"/>
              <w:rPr>
                <w:rFonts w:ascii="Arial" w:eastAsia="Times New Roman" w:hAnsi="Arial" w:cs="Arial"/>
                <w:sz w:val="24"/>
                <w:szCs w:val="24"/>
                <w:lang w:eastAsia="es-CO"/>
              </w:rPr>
            </w:pPr>
            <w:r w:rsidRPr="006A55B5">
              <w:rPr>
                <w:rFonts w:ascii="Arial" w:eastAsia="Times New Roman" w:hAnsi="Arial" w:cs="Arial"/>
                <w:sz w:val="24"/>
                <w:szCs w:val="24"/>
                <w:lang w:eastAsia="es-CO"/>
              </w:rPr>
              <w:t xml:space="preserve">Bobbio, Norberto y otros (2002), “Diccionario de política”. Siglo Veintiuno, México D. F. Bobbio, Norberto, (1993) Libertad e igualdad. Barcelona, Paidós. Foucault, M. (2007) Nacimiento de la biopolítica. Buenos Aires: Fondo de Cultura Económica de Argentina. Freeden, M. (2013) Ideologías. Editorial de la Universidad de Cantabria, España Freeden, M. (1996) Ideologies and Political Theory: A Conceptual Approach, Clarendon Press Freeden, M. (2015) Liberalism: A Very Short Introduction, Oxford University Press García, Á. et al. (2008a). Sociología de los movimientos sociales. Estructuras de movilización, repertorios culturales y acción política. Bolivia: Plural editores. Gargarella, R. (2005). Los fundamentos legales de la desigualdad. El constitucionalismo en América (1776-1860). Buenos Aires: Siglo XXI. Gargarella, R. y Courtis, C. (2010). El nuevo constitucionalismo latinoamericano. Santiago de Chile, CEPAL/ASDI. González, M. (2011). “El proceso constituyente boliviano como escenario de luchas por la economía”. Nómadas 34. Bogotá, abril de 2011. Instituto de Estudios Sociales Contemporáneos de la Universidad Central, Colombia Harvey, D. (2009). Breve historia del neoliberalismo. Madrid: Akal Editores. Kelsen, H. (1929), “Essência e valor da democracia”, In: A Democracia. 2.ª ed. São Paulo: Martins Fontes, 2002, pp. 23-102. Kennedy, D. (2006). “Three Globalizations of Law and Legal Thought: 1850 – 2000”, en David M. Trubek, y Álvaro Santos (eds) The New Law and Development a Critical Apparsaisal, Nueva York, Cambridge University Press, disponible en: </w:t>
            </w:r>
            <w:hyperlink r:id="rId7" w:tgtFrame="_blank" w:history="1">
              <w:r w:rsidRPr="006A55B5">
                <w:rPr>
                  <w:rFonts w:ascii="Arial" w:eastAsia="Times New Roman" w:hAnsi="Arial" w:cs="Arial"/>
                  <w:color w:val="0000FF"/>
                  <w:sz w:val="24"/>
                  <w:szCs w:val="24"/>
                  <w:u w:val="single"/>
                  <w:lang w:eastAsia="es-CO"/>
                </w:rPr>
                <w:t>http://digitalcommons.osgoode.yorku.ca/cgi/viewcontent.cgi?article=1191&amp;context=ohlj</w:t>
              </w:r>
            </w:hyperlink>
            <w:r w:rsidRPr="006A55B5">
              <w:rPr>
                <w:rFonts w:ascii="Arial" w:eastAsia="Times New Roman" w:hAnsi="Arial" w:cs="Arial"/>
                <w:sz w:val="24"/>
                <w:szCs w:val="24"/>
                <w:lang w:eastAsia="es-CO"/>
              </w:rPr>
              <w:t xml:space="preserve"> Kennedy, D. (2006). “Some Caution about Property Rights as a Recipe for Economic Development”, En Social Through and Global Governance, Research paper, N. 1, Brown University Law, disponible en: </w:t>
            </w:r>
            <w:hyperlink r:id="rId8" w:tgtFrame="_blank" w:history="1">
              <w:r w:rsidRPr="006A55B5">
                <w:rPr>
                  <w:rFonts w:ascii="Arial" w:eastAsia="Times New Roman" w:hAnsi="Arial" w:cs="Arial"/>
                  <w:color w:val="0000FF"/>
                  <w:sz w:val="24"/>
                  <w:szCs w:val="24"/>
                  <w:u w:val="single"/>
                  <w:lang w:eastAsia="es-CO"/>
                </w:rPr>
                <w:t>http://dash.harvard.edu/bitstream/handle/1/15413225/DKennedy_CautionPropertyRights.pdf?sequence=3</w:t>
              </w:r>
            </w:hyperlink>
            <w:r w:rsidRPr="006A55B5">
              <w:rPr>
                <w:rFonts w:ascii="Arial" w:eastAsia="Times New Roman" w:hAnsi="Arial" w:cs="Arial"/>
                <w:sz w:val="24"/>
                <w:szCs w:val="24"/>
                <w:lang w:eastAsia="es-CO"/>
              </w:rPr>
              <w:t xml:space="preserve"> Kiessling, C. (2013). Movimientos autonomistas en Bolivia, La refundación sobre la riqueza del Potosí, Editorial de la Universidad Católica de Córdoba, Córdoba, Argentina Klein, H. (1995). Haciendas y ayllus en Bolivia, ss. XVIII y XIX. Perú: IEP ediciones. Kolesov, N (1961). La propiedad social sobre los medios de producción en la URSS. Moscú, Ediciones en Lenguas Extranjeras Krause, C. (2001). “The right to Property”, en A. Eide, C. </w:t>
            </w:r>
            <w:r w:rsidRPr="006A55B5">
              <w:rPr>
                <w:rFonts w:ascii="Arial" w:eastAsia="Times New Roman" w:hAnsi="Arial" w:cs="Arial"/>
                <w:sz w:val="24"/>
                <w:szCs w:val="24"/>
                <w:lang w:eastAsia="es-CO"/>
              </w:rPr>
              <w:lastRenderedPageBreak/>
              <w:t xml:space="preserve">Krause y A. Rosas (eds) Economic, Social, Dordrecht, Martinus Nijhoff Publisshers. Larson, B. (1992). Colonialismo y transformación agraria en Bolivia: Cochabamba, 1550-1900. CERES, Centro de Estudios de la Realidad Economica y Social, Bolivia Lassalle, F. (1931) ¿Qué es una constitución? Ariel derecho, España Loewenstein, K. (1968). Teoría de la Constitución. España, Ariel Mill, J. (1943). Principios de economía política, con algunas consideraciones de filosofía social, Méjico, Fondo de Cultura Económica Nación Camba, (2001), Memorándum, Santa Cruz de la Sierra, Consultado: 29/04/2015. Disponible en </w:t>
            </w:r>
            <w:hyperlink r:id="rId9" w:tgtFrame="_blank" w:history="1">
              <w:r w:rsidRPr="006A55B5">
                <w:rPr>
                  <w:rFonts w:ascii="Arial" w:eastAsia="Times New Roman" w:hAnsi="Arial" w:cs="Arial"/>
                  <w:color w:val="0000FF"/>
                  <w:sz w:val="24"/>
                  <w:szCs w:val="24"/>
                  <w:u w:val="single"/>
                  <w:lang w:eastAsia="es-CO"/>
                </w:rPr>
                <w:t>http://nacioncamba.org/memorandum/</w:t>
              </w:r>
            </w:hyperlink>
            <w:r w:rsidRPr="006A55B5">
              <w:rPr>
                <w:rFonts w:ascii="Arial" w:eastAsia="Times New Roman" w:hAnsi="Arial" w:cs="Arial"/>
                <w:sz w:val="24"/>
                <w:szCs w:val="24"/>
                <w:lang w:eastAsia="es-CO"/>
              </w:rPr>
              <w:t xml:space="preserve"> Orellana, R. et al. (2005). Asamblea Constituyente. Inventario de propuestas campesino – indígenas, sus características y procedimientos, en Participación política, democracia y movimientos indígenas en Los Andes, Fundación PIEB, IFEA, Embajada de Francia en Bolivia, Lima Organización de los Estados Americanos (1948) “Declaración americana de los derechos y deberes del hombre” URL: </w:t>
            </w:r>
            <w:hyperlink r:id="rId10" w:tgtFrame="_blank" w:history="1">
              <w:r w:rsidRPr="006A55B5">
                <w:rPr>
                  <w:rFonts w:ascii="Arial" w:eastAsia="Times New Roman" w:hAnsi="Arial" w:cs="Arial"/>
                  <w:color w:val="0000FF"/>
                  <w:sz w:val="24"/>
                  <w:szCs w:val="24"/>
                  <w:u w:val="single"/>
                  <w:lang w:eastAsia="es-CO"/>
                </w:rPr>
                <w:t>http://www.cidh.org/basicos/Basicos1.htm</w:t>
              </w:r>
            </w:hyperlink>
            <w:r w:rsidRPr="006A55B5">
              <w:rPr>
                <w:rFonts w:ascii="Arial" w:eastAsia="Times New Roman" w:hAnsi="Arial" w:cs="Arial"/>
                <w:sz w:val="24"/>
                <w:szCs w:val="24"/>
                <w:lang w:eastAsia="es-CO"/>
              </w:rPr>
              <w:t xml:space="preserve"> Pacto de Unidad (2006). Asamblea Nacional de Organizaciones Campesinas, Indígenas, Originarias y de Colonizadores de Bolivia Santos, S. B. (2010). Refundación del Estado en América Latina. Bogotá: Siglo del Hombre. Sartori, G. 1995, Elementos de teoría política, Madrid, Alianza Savigny, M. (2005). Tratado de la Posesión según los Principios del Derecho Romano. Granada: Comares. Schmitt, C. (1934). La Teoría de la Constitución, Madrid: Revista de Derecho Privado. Schumpeter, J. A. (1942), Capitalism, Socialism and Democracy, Nueva York; Londres: Harper &amp; brothers. Sieyés, E. (1994). ¿Qué es el Tercer Estado?. Madrid: Alianza Editorial Spota, A. (1981). Lo político, lo jurídico, el derecho y el poder constituyente. Editorial Plus Ultra Veblen, T. (1898). Why is Economics not evolutionary science?, The Quarterly Journal of Economics, volume 12, disponible en: &lt; </w:t>
            </w:r>
            <w:hyperlink r:id="rId11" w:tgtFrame="_blank" w:history="1">
              <w:r w:rsidRPr="006A55B5">
                <w:rPr>
                  <w:rFonts w:ascii="Arial" w:eastAsia="Times New Roman" w:hAnsi="Arial" w:cs="Arial"/>
                  <w:color w:val="0000FF"/>
                  <w:sz w:val="24"/>
                  <w:szCs w:val="24"/>
                  <w:u w:val="single"/>
                  <w:lang w:eastAsia="es-CO"/>
                </w:rPr>
                <w:t>http://www.elegant-technology.com/resource/ECO_SCI.PDF</w:t>
              </w:r>
            </w:hyperlink>
            <w:r w:rsidRPr="006A55B5">
              <w:rPr>
                <w:rFonts w:ascii="Arial" w:eastAsia="Times New Roman" w:hAnsi="Arial" w:cs="Arial"/>
                <w:sz w:val="24"/>
                <w:szCs w:val="24"/>
                <w:lang w:eastAsia="es-CO"/>
              </w:rPr>
              <w:t xml:space="preserve"> &gt; Waldron, J. (1988). The Right to private property, Oxford, Clarendon Press Walras, L. [1936], Teoría de la propiedad, Revista de Economía Institucional, vol. 10, N.º 18, primer semestre/2008, pp. 345-376 Normas y Decretos Congreso de la República. (1826). Constitución de la República de Bolivia. Congreso de la República. (1831). Constitución de la República de Bolivia. Congreso de la República. (1834). Constitución de la República de Bolivia. Congreso de la República. (1839). Constitución de la República de Bolivia. Congreso de la República. (1843). Constitución de la República de Bolivia. Congreso de la República. (1851). Constitución de la República de Bolivia. Congreso de la República. (1861). Constitución de la República de Bolivia. Congreso de la República. (1868). Constitución de la República de Bolivia. Congreso de la República. (1871). Constitución de la República de Bolivia. Congreso de la República. (1878). Constitución de la República de Bolivia. Congreso de la República. (1880). Constitución de la República de Bolivia. Congreso de la República. (1938). Constitución de la República de Bolivia. Congreso de la República. (1945). Constitución de la República de Bolivia. Congreso de la República. (1947). Constitución de </w:t>
            </w:r>
            <w:r w:rsidRPr="006A55B5">
              <w:rPr>
                <w:rFonts w:ascii="Arial" w:eastAsia="Times New Roman" w:hAnsi="Arial" w:cs="Arial"/>
                <w:sz w:val="24"/>
                <w:szCs w:val="24"/>
                <w:lang w:eastAsia="es-CO"/>
              </w:rPr>
              <w:lastRenderedPageBreak/>
              <w:t>la República de Bolivia. Congreso de la República. (1961). Constitución de la República de Bolivia. Congreso de la República. (1967). Constitución de la República de Bolivia. Congreso de la República. (1995). Constitución de la República de Bolivia. Congreso de la República. (2004). Constitución de la República de Bolivia. Congreso de la República. (2009). Nueva Constitución Política del Estado, Bolivia Congreso de la República. (2004). Ley No. 2631 para la convocatoria a la Asamblea Constituyente y reforma de la Constitución de 1967. Congreso de la República (2009). Constitución Política del Estado Plurinacional de Bolivia. Fuentes oficiales de Bolivia Corte Nacional Electoral (2005). Democracia en Bolivia: Cinco análisis temáticos del Segundo Estudio Nacional sobre Democracia y Valores Democráticos, La Paz. Corte Nacional Electoral (2006). Resultados Asamblea Nacional Constituyente y Referéndum sobre autonomías. Documento de información pública N. 3, La Paz. Corte Nacional Electoral (2006a). La representación política en Bolivia. Agrupaciones Ciudadanas y Pueblos Indígenas. Unidad de Análisis e Investigación del Área de Educación Ciudadana, La Paz. Representación Presidencial para la Asamblea Constituyente y el Referéndum Autonómico REPAC (2006). Sistematización de propuestas para la Asamblea Constituyente. La Paz Representación Presidencial para la Asamblea Constituyente y el Referéndum Autonómico. Memoria institucional 2006-2009. La Paz: Repac/Vicepresidencia del Estado Plurinacional. La Paz. Vicepresidencia del Estado Plurinacional de Bolivia. (2011). Enciclopedia Histórica Documental del Proceso Constituyente Boliviano. La Paz.</w:t>
            </w:r>
          </w:p>
        </w:tc>
      </w:tr>
    </w:tbl>
    <w:p w:rsidR="006A55B5" w:rsidRPr="006A55B5" w:rsidRDefault="006A55B5" w:rsidP="006A55B5">
      <w:pPr>
        <w:spacing w:after="0" w:line="240" w:lineRule="auto"/>
        <w:rPr>
          <w:rFonts w:ascii="Times New Roman" w:eastAsia="Times New Roman" w:hAnsi="Times New Roman" w:cs="Times New Roman"/>
          <w:sz w:val="24"/>
          <w:szCs w:val="24"/>
          <w:lang w:eastAsia="es-CO"/>
        </w:rPr>
      </w:pPr>
    </w:p>
    <w:tbl>
      <w:tblPr>
        <w:tblW w:w="4500" w:type="pct"/>
        <w:shd w:val="clear" w:color="auto" w:fill="FFFFFF"/>
        <w:tblCellMar>
          <w:top w:w="15" w:type="dxa"/>
          <w:left w:w="15" w:type="dxa"/>
          <w:bottom w:w="15" w:type="dxa"/>
          <w:right w:w="15" w:type="dxa"/>
        </w:tblCellMar>
        <w:tblLook w:val="04A0" w:firstRow="1" w:lastRow="0" w:firstColumn="1" w:lastColumn="0" w:noHBand="0" w:noVBand="1"/>
      </w:tblPr>
      <w:tblGrid>
        <w:gridCol w:w="3885"/>
        <w:gridCol w:w="3885"/>
        <w:gridCol w:w="3885"/>
        <w:gridCol w:w="36"/>
      </w:tblGrid>
      <w:tr w:rsidR="006A55B5" w:rsidRPr="006A55B5" w:rsidTr="006A55B5">
        <w:tc>
          <w:tcPr>
            <w:tcW w:w="0" w:type="auto"/>
            <w:gridSpan w:val="4"/>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6A55B5" w:rsidRPr="006A55B5" w:rsidRDefault="006A55B5" w:rsidP="006A55B5">
            <w:pPr>
              <w:spacing w:before="100" w:beforeAutospacing="1" w:after="100" w:afterAutospacing="1" w:line="240" w:lineRule="auto"/>
              <w:jc w:val="center"/>
              <w:rPr>
                <w:rFonts w:ascii="Arial" w:eastAsia="Times New Roman" w:hAnsi="Arial" w:cs="Arial"/>
                <w:b/>
                <w:bCs/>
                <w:sz w:val="24"/>
                <w:szCs w:val="24"/>
                <w:lang w:eastAsia="es-CO"/>
              </w:rPr>
            </w:pPr>
            <w:r w:rsidRPr="006A55B5">
              <w:rPr>
                <w:rFonts w:ascii="Arial" w:eastAsia="Times New Roman" w:hAnsi="Arial" w:cs="Arial"/>
                <w:b/>
                <w:bCs/>
                <w:sz w:val="24"/>
                <w:szCs w:val="24"/>
                <w:lang w:eastAsia="es-CO"/>
              </w:rPr>
              <w:t>Documentos adjuntos</w:t>
            </w:r>
          </w:p>
        </w:tc>
      </w:tr>
      <w:tr w:rsidR="006A55B5" w:rsidRPr="006A55B5" w:rsidTr="006A55B5">
        <w:tc>
          <w:tcPr>
            <w:tcW w:w="1666"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both"/>
              <w:rPr>
                <w:rFonts w:ascii="Arial" w:eastAsia="Times New Roman" w:hAnsi="Arial" w:cs="Arial"/>
                <w:sz w:val="24"/>
                <w:szCs w:val="24"/>
                <w:lang w:eastAsia="es-CO"/>
              </w:rPr>
            </w:pPr>
            <w:r w:rsidRPr="006A55B5">
              <w:rPr>
                <w:rFonts w:ascii="Arial" w:eastAsia="Times New Roman" w:hAnsi="Arial" w:cs="Arial"/>
                <w:sz w:val="24"/>
                <w:szCs w:val="24"/>
                <w:lang w:eastAsia="es-CO"/>
              </w:rPr>
              <w:t>Cartas avales proyecto Milena.pdf</w:t>
            </w:r>
          </w:p>
        </w:tc>
        <w:tc>
          <w:tcPr>
            <w:tcW w:w="1666"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both"/>
              <w:rPr>
                <w:rFonts w:ascii="Arial" w:eastAsia="Times New Roman" w:hAnsi="Arial" w:cs="Arial"/>
                <w:sz w:val="24"/>
                <w:szCs w:val="24"/>
                <w:lang w:eastAsia="es-CO"/>
              </w:rPr>
            </w:pPr>
            <w:r w:rsidRPr="006A55B5">
              <w:rPr>
                <w:rFonts w:ascii="Arial" w:eastAsia="Times New Roman" w:hAnsi="Arial" w:cs="Arial"/>
                <w:sz w:val="24"/>
                <w:szCs w:val="24"/>
                <w:lang w:eastAsia="es-CO"/>
              </w:rPr>
              <w:t>acta comite de investigación FAGORI.pdf</w:t>
            </w:r>
          </w:p>
        </w:tc>
        <w:tc>
          <w:tcPr>
            <w:tcW w:w="1666"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A55B5" w:rsidRPr="006A55B5" w:rsidRDefault="006A55B5" w:rsidP="006A55B5">
            <w:pPr>
              <w:spacing w:before="100" w:beforeAutospacing="1" w:after="100" w:afterAutospacing="1" w:line="240" w:lineRule="auto"/>
              <w:jc w:val="both"/>
              <w:rPr>
                <w:rFonts w:ascii="Arial" w:eastAsia="Times New Roman" w:hAnsi="Arial" w:cs="Arial"/>
                <w:sz w:val="24"/>
                <w:szCs w:val="24"/>
                <w:lang w:eastAsia="es-CO"/>
              </w:rPr>
            </w:pPr>
          </w:p>
        </w:tc>
        <w:tc>
          <w:tcPr>
            <w:tcW w:w="0" w:type="auto"/>
            <w:shd w:val="clear" w:color="auto" w:fill="FFFFFF"/>
            <w:vAlign w:val="center"/>
            <w:hideMark/>
          </w:tcPr>
          <w:p w:rsidR="006A55B5" w:rsidRPr="006A55B5" w:rsidRDefault="006A55B5" w:rsidP="006A55B5">
            <w:pPr>
              <w:spacing w:before="100" w:beforeAutospacing="1" w:after="100" w:afterAutospacing="1" w:line="240" w:lineRule="auto"/>
              <w:jc w:val="center"/>
              <w:rPr>
                <w:rFonts w:ascii="Times New Roman" w:eastAsia="Times New Roman" w:hAnsi="Times New Roman" w:cs="Times New Roman"/>
                <w:sz w:val="20"/>
                <w:szCs w:val="20"/>
                <w:lang w:eastAsia="es-CO"/>
              </w:rPr>
            </w:pPr>
          </w:p>
        </w:tc>
      </w:tr>
    </w:tbl>
    <w:p w:rsidR="006238B6" w:rsidRPr="002C6E84" w:rsidRDefault="006238B6" w:rsidP="002C6E84"/>
    <w:sectPr w:rsidR="006238B6" w:rsidRPr="002C6E84" w:rsidSect="005C0357">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0DB" w:rsidRDefault="009640DB" w:rsidP="00A14815">
      <w:pPr>
        <w:spacing w:after="0" w:line="240" w:lineRule="auto"/>
      </w:pPr>
      <w:r>
        <w:separator/>
      </w:r>
    </w:p>
  </w:endnote>
  <w:endnote w:type="continuationSeparator" w:id="0">
    <w:p w:rsidR="009640DB" w:rsidRDefault="009640DB" w:rsidP="00A14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0DB" w:rsidRDefault="009640DB" w:rsidP="00A14815">
      <w:pPr>
        <w:spacing w:after="0" w:line="240" w:lineRule="auto"/>
      </w:pPr>
      <w:r>
        <w:separator/>
      </w:r>
    </w:p>
  </w:footnote>
  <w:footnote w:type="continuationSeparator" w:id="0">
    <w:p w:rsidR="009640DB" w:rsidRDefault="009640DB" w:rsidP="00A14815">
      <w:pPr>
        <w:spacing w:after="0" w:line="240" w:lineRule="auto"/>
      </w:pPr>
      <w:r>
        <w:continuationSeparator/>
      </w:r>
    </w:p>
  </w:footnote>
  <w:footnote w:id="1">
    <w:p w:rsidR="00A14815" w:rsidRDefault="00A14815" w:rsidP="00A14815">
      <w:pPr>
        <w:pStyle w:val="Textonotapie"/>
      </w:pPr>
      <w:r>
        <w:rPr>
          <w:rStyle w:val="Refdenotaalpie"/>
        </w:rPr>
        <w:footnoteRef/>
      </w:r>
      <w:r>
        <w:t xml:space="preserve"> Walras formula 2 lemas y 2 teoremas (1936): Lema 1: El propietario de una cosa es propietario del servicio de esta cosa. Lema 2: El propietario de una cosa es propietario del precio de esa cosa. Teorema 1: Las facultades personales son, por derecho natural, propiedad del individuo. Teorema 2 Las tierras son, por derecho natural, propiedad del estado.</w:t>
      </w:r>
    </w:p>
  </w:footnote>
  <w:footnote w:id="2">
    <w:p w:rsidR="00A14815" w:rsidRPr="004F1FFC" w:rsidRDefault="00A14815" w:rsidP="00A14815">
      <w:pPr>
        <w:pStyle w:val="Textonotapie"/>
      </w:pPr>
      <w:r w:rsidRPr="006D4C0E">
        <w:rPr>
          <w:rStyle w:val="Refdenotaalpie"/>
        </w:rPr>
        <w:footnoteRef/>
      </w:r>
      <w:r w:rsidRPr="007F7730">
        <w:t xml:space="preserve"> </w:t>
      </w:r>
      <w:r>
        <w:t xml:space="preserve">Para ello Veblen analiza las instituciones primitivas y remotas como la esclavitud y la riqueza territorial, en comparación con la institución de la propiedad del capital en la industria. </w:t>
      </w:r>
    </w:p>
  </w:footnote>
  <w:footnote w:id="3">
    <w:p w:rsidR="00A14815" w:rsidRDefault="00A14815" w:rsidP="00A14815">
      <w:pPr>
        <w:pStyle w:val="Textonotapie"/>
      </w:pPr>
      <w:r>
        <w:rPr>
          <w:rStyle w:val="Refdenotaalpie"/>
        </w:rPr>
        <w:footnoteRef/>
      </w:r>
      <w:r>
        <w:t xml:space="preserve"> E</w:t>
      </w:r>
      <w:r w:rsidRPr="009E5287">
        <w:t>l homo economicus que cuestiona Veblen presenta tres rasgos particulares: la aceptación del dominio del cálculo hedonista, la aceptación de la teleología benévola del curso natural de los acontecimientos y la cuestionable idealización del marco institucional la cual se relaciona con el derecho positivista.</w:t>
      </w:r>
    </w:p>
  </w:footnote>
  <w:footnote w:id="4">
    <w:p w:rsidR="00A14815" w:rsidRDefault="00A14815" w:rsidP="00A14815">
      <w:pPr>
        <w:pStyle w:val="Textonotapie"/>
      </w:pPr>
      <w:r>
        <w:rPr>
          <w:rStyle w:val="Refdenotaalpie"/>
        </w:rPr>
        <w:footnoteRef/>
      </w:r>
      <w:r>
        <w:t xml:space="preserve"> E</w:t>
      </w:r>
      <w:r w:rsidRPr="009E5287">
        <w:t>sta secuencia se desarrolla a partir del proceso de construcción social de identidad, iniciado exclusivamente por la respuesta humana ante las exigencias institucionales y materiales, e influenciado de manera constante por los factores culturales. Un ejemplo de esta secuencia acumulativa es “La teor</w:t>
      </w:r>
      <w:r>
        <w:t>ía de la clase ociosa” (1899).</w:t>
      </w:r>
    </w:p>
  </w:footnote>
  <w:footnote w:id="5">
    <w:p w:rsidR="00A14815" w:rsidRDefault="00A14815" w:rsidP="00A14815">
      <w:pPr>
        <w:pStyle w:val="Textonotapie"/>
      </w:pPr>
      <w:r>
        <w:rPr>
          <w:rStyle w:val="Refdenotaalpie"/>
        </w:rPr>
        <w:footnoteRef/>
      </w:r>
      <w:r>
        <w:t xml:space="preserve"> En su análisis, Engels rastrea la raíz misma de la propiedad privada, vinculándola a la consolidación de las familias y sus riquezas: “aquí la domesticación de animales y la cría de ganado habían abierto manantiales de riqueza desconocidos hasta entonces, creando relaciones sociales enteramente nuevas (…) pero ¿a quién le pertenecía aquella riqueza? (1884, 52)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DF178B"/>
    <w:multiLevelType w:val="hybridMultilevel"/>
    <w:tmpl w:val="95CE83A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357"/>
    <w:rsid w:val="002C6E84"/>
    <w:rsid w:val="004F097F"/>
    <w:rsid w:val="005C0357"/>
    <w:rsid w:val="006047A5"/>
    <w:rsid w:val="006238B6"/>
    <w:rsid w:val="006A55B5"/>
    <w:rsid w:val="008D550D"/>
    <w:rsid w:val="009640DB"/>
    <w:rsid w:val="00A14815"/>
    <w:rsid w:val="00C06B22"/>
    <w:rsid w:val="00EE730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5C2A8A-0697-4896-B942-42E949D7A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5C03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next w:val="Normal"/>
    <w:link w:val="Ttulo2Car"/>
    <w:uiPriority w:val="9"/>
    <w:semiHidden/>
    <w:unhideWhenUsed/>
    <w:qFormat/>
    <w:rsid w:val="00A148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0357"/>
    <w:rPr>
      <w:rFonts w:ascii="Times New Roman" w:eastAsia="Times New Roman" w:hAnsi="Times New Roman" w:cs="Times New Roman"/>
      <w:b/>
      <w:bCs/>
      <w:kern w:val="36"/>
      <w:sz w:val="48"/>
      <w:szCs w:val="48"/>
      <w:lang w:eastAsia="es-CO"/>
    </w:rPr>
  </w:style>
  <w:style w:type="character" w:styleId="Hipervnculo">
    <w:name w:val="Hyperlink"/>
    <w:basedOn w:val="Fuentedeprrafopredeter"/>
    <w:uiPriority w:val="99"/>
    <w:semiHidden/>
    <w:unhideWhenUsed/>
    <w:rsid w:val="005C0357"/>
    <w:rPr>
      <w:color w:val="0000FF"/>
      <w:u w:val="single"/>
    </w:rPr>
  </w:style>
  <w:style w:type="paragraph" w:styleId="Descripcin">
    <w:name w:val="caption"/>
    <w:basedOn w:val="Normal"/>
    <w:next w:val="Normal"/>
    <w:uiPriority w:val="35"/>
    <w:unhideWhenUsed/>
    <w:qFormat/>
    <w:rsid w:val="00EE7305"/>
    <w:pPr>
      <w:spacing w:after="0" w:line="240" w:lineRule="auto"/>
      <w:jc w:val="both"/>
    </w:pPr>
    <w:rPr>
      <w:rFonts w:ascii="Times New Roman" w:eastAsia="Calibri" w:hAnsi="Times New Roman" w:cs="Times New Roman"/>
      <w:b/>
      <w:bCs/>
      <w:sz w:val="20"/>
      <w:szCs w:val="20"/>
    </w:rPr>
  </w:style>
  <w:style w:type="character" w:customStyle="1" w:styleId="Ttulo2Car">
    <w:name w:val="Título 2 Car"/>
    <w:basedOn w:val="Fuentedeprrafopredeter"/>
    <w:link w:val="Ttulo2"/>
    <w:uiPriority w:val="9"/>
    <w:semiHidden/>
    <w:rsid w:val="00A14815"/>
    <w:rPr>
      <w:rFonts w:asciiTheme="majorHAnsi" w:eastAsiaTheme="majorEastAsia" w:hAnsiTheme="majorHAnsi" w:cstheme="majorBidi"/>
      <w:color w:val="2E74B5" w:themeColor="accent1" w:themeShade="BF"/>
      <w:sz w:val="26"/>
      <w:szCs w:val="26"/>
    </w:rPr>
  </w:style>
  <w:style w:type="paragraph" w:styleId="Textonotapie">
    <w:name w:val="footnote text"/>
    <w:basedOn w:val="Normal"/>
    <w:link w:val="TextonotapieCar"/>
    <w:unhideWhenUsed/>
    <w:rsid w:val="00A14815"/>
    <w:pPr>
      <w:spacing w:after="0" w:line="240" w:lineRule="auto"/>
      <w:jc w:val="both"/>
    </w:pPr>
    <w:rPr>
      <w:rFonts w:ascii="Times New Roman" w:eastAsia="Calibri" w:hAnsi="Times New Roman" w:cs="Times New Roman"/>
      <w:sz w:val="20"/>
      <w:szCs w:val="20"/>
    </w:rPr>
  </w:style>
  <w:style w:type="character" w:customStyle="1" w:styleId="TextonotapieCar">
    <w:name w:val="Texto nota pie Car"/>
    <w:basedOn w:val="Fuentedeprrafopredeter"/>
    <w:link w:val="Textonotapie"/>
    <w:rsid w:val="00A14815"/>
    <w:rPr>
      <w:rFonts w:ascii="Times New Roman" w:eastAsia="Calibri" w:hAnsi="Times New Roman" w:cs="Times New Roman"/>
      <w:sz w:val="20"/>
      <w:szCs w:val="20"/>
    </w:rPr>
  </w:style>
  <w:style w:type="character" w:styleId="Refdenotaalpie">
    <w:name w:val="footnote reference"/>
    <w:uiPriority w:val="99"/>
    <w:semiHidden/>
    <w:unhideWhenUsed/>
    <w:rsid w:val="00A148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2187228">
      <w:bodyDiv w:val="1"/>
      <w:marLeft w:val="0"/>
      <w:marRight w:val="0"/>
      <w:marTop w:val="0"/>
      <w:marBottom w:val="0"/>
      <w:divBdr>
        <w:top w:val="none" w:sz="0" w:space="0" w:color="auto"/>
        <w:left w:val="none" w:sz="0" w:space="0" w:color="auto"/>
        <w:bottom w:val="none" w:sz="0" w:space="0" w:color="auto"/>
        <w:right w:val="none" w:sz="0" w:space="0" w:color="auto"/>
      </w:divBdr>
    </w:div>
    <w:div w:id="198338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sh.harvard.edu/bitstream/handle/1/15413225/DKennedy_CautionPropertyRights.pdf?sequence=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igitalcommons.osgoode.yorku.ca/cgi/viewcontent.cgi?article=1191&amp;context=ohlj"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legant-technology.com/resource/ECO_SCI.PDF" TargetMode="External"/><Relationship Id="rId5" Type="http://schemas.openxmlformats.org/officeDocument/2006/relationships/footnotes" Target="footnotes.xml"/><Relationship Id="rId10" Type="http://schemas.openxmlformats.org/officeDocument/2006/relationships/hyperlink" Target="http://www.cidh.org/basicos/Basicos1.htm" TargetMode="External"/><Relationship Id="rId4" Type="http://schemas.openxmlformats.org/officeDocument/2006/relationships/webSettings" Target="webSettings.xml"/><Relationship Id="rId9" Type="http://schemas.openxmlformats.org/officeDocument/2006/relationships/hyperlink" Target="http://nacioncamba.org/memorandu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21</Pages>
  <Words>5388</Words>
  <Characters>29638</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Docentes Unidad de Investigación</cp:lastModifiedBy>
  <cp:revision>3</cp:revision>
  <dcterms:created xsi:type="dcterms:W3CDTF">2018-08-30T17:21:00Z</dcterms:created>
  <dcterms:modified xsi:type="dcterms:W3CDTF">2018-09-17T18:45:00Z</dcterms:modified>
</cp:coreProperties>
</file>