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FE7" w:rsidRDefault="008B0FE7" w:rsidP="002E3D1B">
      <w:pPr>
        <w:spacing w:line="360" w:lineRule="auto"/>
        <w:jc w:val="center"/>
        <w:rPr>
          <w:rFonts w:ascii="Arial" w:hAnsi="Arial" w:cs="Arial"/>
          <w:b/>
          <w:sz w:val="24"/>
          <w:szCs w:val="24"/>
        </w:rPr>
      </w:pPr>
      <w:bookmarkStart w:id="0" w:name="_GoBack"/>
      <w:bookmarkEnd w:id="0"/>
      <w:r w:rsidRPr="002E3D1B">
        <w:rPr>
          <w:rFonts w:ascii="Arial" w:hAnsi="Arial" w:cs="Arial"/>
          <w:b/>
          <w:sz w:val="24"/>
          <w:szCs w:val="24"/>
        </w:rPr>
        <w:t>RESOLUCIÓN 9.70: LEJOS DE GARANTIZAR SEGURIDAD ALIMENTARIA PARA LOS CONSUMIDORES ECO.</w:t>
      </w:r>
    </w:p>
    <w:p w:rsidR="002E3D1B" w:rsidRPr="002E3D1B" w:rsidRDefault="002E3D1B" w:rsidP="002E3D1B">
      <w:pPr>
        <w:spacing w:line="360" w:lineRule="auto"/>
        <w:jc w:val="center"/>
        <w:rPr>
          <w:rFonts w:ascii="Arial" w:hAnsi="Arial" w:cs="Arial"/>
          <w:b/>
          <w:sz w:val="24"/>
          <w:szCs w:val="24"/>
        </w:rPr>
      </w:pPr>
    </w:p>
    <w:p w:rsidR="008B0FE7" w:rsidRPr="002E3D1B" w:rsidRDefault="00FE4051" w:rsidP="002E3D1B">
      <w:pPr>
        <w:pStyle w:val="Prrafodelista"/>
        <w:numPr>
          <w:ilvl w:val="0"/>
          <w:numId w:val="1"/>
        </w:numPr>
        <w:spacing w:line="360" w:lineRule="auto"/>
        <w:jc w:val="center"/>
        <w:rPr>
          <w:rFonts w:ascii="Arial" w:hAnsi="Arial" w:cs="Arial"/>
          <w:b/>
          <w:sz w:val="24"/>
          <w:szCs w:val="24"/>
        </w:rPr>
      </w:pPr>
      <w:r w:rsidRPr="002E3D1B">
        <w:rPr>
          <w:rFonts w:ascii="Arial" w:hAnsi="Arial" w:cs="Arial"/>
          <w:b/>
          <w:sz w:val="24"/>
          <w:szCs w:val="24"/>
        </w:rPr>
        <w:t>Resumen</w:t>
      </w:r>
    </w:p>
    <w:p w:rsidR="008B0FE7" w:rsidRPr="002E3D1B" w:rsidRDefault="008B0FE7" w:rsidP="002E3D1B">
      <w:pPr>
        <w:spacing w:line="360" w:lineRule="auto"/>
        <w:rPr>
          <w:rFonts w:ascii="Arial" w:hAnsi="Arial" w:cs="Arial"/>
          <w:sz w:val="24"/>
          <w:szCs w:val="24"/>
        </w:rPr>
      </w:pPr>
    </w:p>
    <w:p w:rsidR="002E3D1B" w:rsidRPr="002E3D1B" w:rsidRDefault="002E3D1B" w:rsidP="002E3D1B">
      <w:pPr>
        <w:spacing w:line="360" w:lineRule="auto"/>
        <w:jc w:val="both"/>
        <w:rPr>
          <w:rFonts w:ascii="Arial" w:hAnsi="Arial" w:cs="Arial"/>
          <w:sz w:val="24"/>
          <w:szCs w:val="24"/>
        </w:rPr>
      </w:pPr>
      <w:r w:rsidRPr="002E3D1B">
        <w:rPr>
          <w:rFonts w:ascii="Arial" w:hAnsi="Arial" w:cs="Arial"/>
          <w:sz w:val="24"/>
          <w:szCs w:val="24"/>
        </w:rPr>
        <w:t>En Colombia el sector agrícola es caracterizado por la variedad de los subsectores que lo componen, sin embargo el sector arrocero es uno de los más importantes ya que es uno de los mayores generadores de empleo en el sector rural, además de ser uno de los sectores con mayor ocupación de tierra y ser una actividad económica indispensable para más de 200 municipios de la geografía nacional.</w:t>
      </w:r>
    </w:p>
    <w:p w:rsidR="002E3D1B" w:rsidRPr="002E3D1B" w:rsidRDefault="002E3D1B" w:rsidP="002E3D1B">
      <w:pPr>
        <w:spacing w:line="360" w:lineRule="auto"/>
        <w:jc w:val="both"/>
        <w:rPr>
          <w:rFonts w:ascii="Arial" w:hAnsi="Arial" w:cs="Arial"/>
          <w:sz w:val="24"/>
          <w:szCs w:val="24"/>
        </w:rPr>
      </w:pPr>
      <w:r w:rsidRPr="002E3D1B">
        <w:rPr>
          <w:rFonts w:ascii="Arial" w:hAnsi="Arial" w:cs="Arial"/>
          <w:sz w:val="24"/>
          <w:szCs w:val="24"/>
        </w:rPr>
        <w:t xml:space="preserve">En los años recientes la resolución 9.70 del 2010 ha sido una de las más controvertidas debido a la ejecución que tuvo esta, la cual estuvo empañada por la destrucción de más de setenta toneladas de semillas de arroz por parte de las autoridades, además de la apertura de distintos procesos judiciales contra campesinos, comerciantes y productores de semillas por la violación a los derechos de obtentores vegetales y la resolución 9.70 lo que ha generado en la opinión publica una discusión sobre el conocimiento que ha dado el ICA a la población rural sobre la resolución. </w:t>
      </w:r>
    </w:p>
    <w:p w:rsidR="002E3D1B" w:rsidRPr="002E3D1B" w:rsidRDefault="002E3D1B" w:rsidP="002E3D1B">
      <w:pPr>
        <w:spacing w:line="360" w:lineRule="auto"/>
        <w:jc w:val="both"/>
        <w:rPr>
          <w:rFonts w:ascii="Arial" w:hAnsi="Arial" w:cs="Arial"/>
          <w:sz w:val="24"/>
          <w:szCs w:val="24"/>
        </w:rPr>
      </w:pPr>
      <w:r w:rsidRPr="002E3D1B">
        <w:rPr>
          <w:rFonts w:ascii="Arial" w:hAnsi="Arial" w:cs="Arial"/>
          <w:sz w:val="24"/>
          <w:szCs w:val="24"/>
        </w:rPr>
        <w:t>El análisis de la mencionada resolución desde un ámbito tan importante como lo es la seguridad alimentaria como derecho constitucional, son temáticas actuales de gran incidencia social, económica y jurídica, por lo que es preciso analizar los efectos que ha causado la resolución, con el fin de proporcionar un análisis crítico y constructivo en temáticas cómo esta de relevancia actual.</w:t>
      </w:r>
    </w:p>
    <w:p w:rsidR="002E3D1B" w:rsidRPr="002E3D1B" w:rsidRDefault="002E3D1B" w:rsidP="002E3D1B">
      <w:pPr>
        <w:spacing w:line="360" w:lineRule="auto"/>
        <w:jc w:val="both"/>
        <w:rPr>
          <w:rFonts w:ascii="Arial" w:hAnsi="Arial" w:cs="Arial"/>
          <w:sz w:val="24"/>
          <w:szCs w:val="24"/>
        </w:rPr>
      </w:pPr>
      <w:r w:rsidRPr="002E3D1B">
        <w:rPr>
          <w:rFonts w:ascii="Arial" w:hAnsi="Arial" w:cs="Arial"/>
          <w:sz w:val="24"/>
          <w:szCs w:val="24"/>
        </w:rPr>
        <w:t xml:space="preserve">Un derecho constitucional como lo es la seguridad alimentaria, ha sido un tema emblemático en los últimos días, puesto que es indispensable analizar la aplicación </w:t>
      </w:r>
      <w:r w:rsidRPr="002E3D1B">
        <w:rPr>
          <w:rFonts w:ascii="Arial" w:hAnsi="Arial" w:cs="Arial"/>
          <w:sz w:val="24"/>
          <w:szCs w:val="24"/>
        </w:rPr>
        <w:lastRenderedPageBreak/>
        <w:t>que tiene una norma al margen de una comunidad en específico que es la población agrícola, con el fin de determinar la eficiencia de la misma, teniendo en cuenta la relación costo-beneficio tanto colectivo como general. Por lo que es indiscutiblemente indispensable analizar estos temas que permitirán generar debates para analizar si una reglamentación cómo lo es la mencionada resolución es efectiva dentro de todos los ámbitos que están siendo afectados.</w:t>
      </w:r>
    </w:p>
    <w:p w:rsidR="002E3D1B" w:rsidRPr="002E3D1B" w:rsidRDefault="002E3D1B" w:rsidP="002E3D1B">
      <w:pPr>
        <w:spacing w:line="360" w:lineRule="auto"/>
        <w:jc w:val="both"/>
        <w:rPr>
          <w:rFonts w:ascii="Arial" w:hAnsi="Arial" w:cs="Arial"/>
          <w:sz w:val="24"/>
          <w:szCs w:val="24"/>
        </w:rPr>
      </w:pPr>
      <w:r w:rsidRPr="002E3D1B">
        <w:rPr>
          <w:rFonts w:ascii="Arial" w:hAnsi="Arial" w:cs="Arial"/>
          <w:sz w:val="24"/>
          <w:szCs w:val="24"/>
        </w:rPr>
        <w:t>La presente propuesta de investigación pretende examinar los efectos que ha causado la resolución 9.70 del 2010 sobre el sector arrocero colombiano, que tiene como finalidad proteger los derechos de los obtentores vegetales frente a la seguridad alimentaria.</w:t>
      </w:r>
    </w:p>
    <w:p w:rsidR="008B0FE7" w:rsidRPr="002E3D1B" w:rsidRDefault="00ED445B" w:rsidP="002E3D1B">
      <w:pPr>
        <w:spacing w:line="360" w:lineRule="auto"/>
        <w:rPr>
          <w:rFonts w:ascii="Arial" w:hAnsi="Arial" w:cs="Arial"/>
          <w:sz w:val="24"/>
          <w:szCs w:val="24"/>
        </w:rPr>
      </w:pPr>
      <w:r w:rsidRPr="002E3D1B">
        <w:rPr>
          <w:rFonts w:ascii="Arial" w:hAnsi="Arial" w:cs="Arial"/>
          <w:b/>
          <w:sz w:val="24"/>
          <w:szCs w:val="24"/>
        </w:rPr>
        <w:t>PALABRAS CLAVE:</w:t>
      </w:r>
      <w:r w:rsidRPr="002E3D1B">
        <w:rPr>
          <w:rFonts w:ascii="Arial" w:hAnsi="Arial" w:cs="Arial"/>
          <w:sz w:val="24"/>
          <w:szCs w:val="24"/>
        </w:rPr>
        <w:t xml:space="preserve"> SEGURIDAD- ALIMENTARIA- CONSUMIDORES- ECO- AGRICULTORES.</w:t>
      </w:r>
    </w:p>
    <w:p w:rsidR="00ED445B" w:rsidRPr="002E3D1B" w:rsidRDefault="00ED445B" w:rsidP="002E3D1B">
      <w:pPr>
        <w:pStyle w:val="Prrafodelista"/>
        <w:numPr>
          <w:ilvl w:val="0"/>
          <w:numId w:val="1"/>
        </w:numPr>
        <w:spacing w:line="360" w:lineRule="auto"/>
        <w:jc w:val="center"/>
        <w:rPr>
          <w:rFonts w:ascii="Arial" w:hAnsi="Arial" w:cs="Arial"/>
          <w:b/>
          <w:sz w:val="24"/>
          <w:szCs w:val="24"/>
        </w:rPr>
      </w:pPr>
      <w:r w:rsidRPr="002E3D1B">
        <w:rPr>
          <w:rFonts w:ascii="Arial" w:hAnsi="Arial" w:cs="Arial"/>
          <w:b/>
          <w:sz w:val="24"/>
          <w:szCs w:val="24"/>
        </w:rPr>
        <w:t>Introducción</w:t>
      </w:r>
    </w:p>
    <w:p w:rsidR="00ED445B" w:rsidRPr="002E3D1B" w:rsidRDefault="00ED445B" w:rsidP="002E3D1B">
      <w:pPr>
        <w:pStyle w:val="Prrafodelista"/>
        <w:spacing w:line="360" w:lineRule="auto"/>
        <w:rPr>
          <w:rFonts w:ascii="Arial" w:hAnsi="Arial" w:cs="Arial"/>
          <w:b/>
          <w:sz w:val="24"/>
          <w:szCs w:val="24"/>
        </w:rPr>
      </w:pPr>
    </w:p>
    <w:p w:rsidR="00ED445B" w:rsidRPr="002E3D1B" w:rsidRDefault="00ED445B" w:rsidP="002E3D1B">
      <w:pPr>
        <w:spacing w:line="360" w:lineRule="auto"/>
        <w:ind w:left="142"/>
        <w:jc w:val="both"/>
        <w:rPr>
          <w:rFonts w:ascii="Arial" w:hAnsi="Arial" w:cs="Arial"/>
          <w:sz w:val="24"/>
          <w:szCs w:val="24"/>
        </w:rPr>
      </w:pPr>
      <w:r w:rsidRPr="002E3D1B">
        <w:rPr>
          <w:rFonts w:ascii="Arial" w:hAnsi="Arial" w:cs="Arial"/>
          <w:sz w:val="24"/>
          <w:szCs w:val="24"/>
        </w:rPr>
        <w:t>En Colombia, el sector agrícola es uno de los sectores claves para la economía nacional ya que satisface una gran parte de la demanda alimentaria, además de ser proveedor de materia prima para grandes industrias, tanto nacionales como extranjeras, así mismo, es uno de los sectores generadores de empleo en los sectores rurales.</w:t>
      </w:r>
    </w:p>
    <w:p w:rsidR="00ED445B" w:rsidRPr="002E3D1B" w:rsidRDefault="00ED445B" w:rsidP="002E3D1B">
      <w:pPr>
        <w:spacing w:line="360" w:lineRule="auto"/>
        <w:jc w:val="both"/>
        <w:rPr>
          <w:rFonts w:ascii="Arial" w:hAnsi="Arial" w:cs="Arial"/>
          <w:sz w:val="24"/>
          <w:szCs w:val="24"/>
        </w:rPr>
      </w:pPr>
      <w:r w:rsidRPr="002E3D1B">
        <w:rPr>
          <w:rFonts w:ascii="Arial" w:hAnsi="Arial" w:cs="Arial"/>
          <w:sz w:val="24"/>
          <w:szCs w:val="24"/>
        </w:rPr>
        <w:t xml:space="preserve">En la actualidad, el sector agrícola afronta un cambio con las nuevas tecnologías y los ajustes normativos los cuales pretende llevar a la agricultura a los más altos estándares internacionales, mejorar los niveles de competitividad y buscar un resultado favorable en los niveles de producción y sostenimiento. Dentro de los cambios tecnológicos que afronta el sector se encuentra la inserción de nuevos sistemas de riego, recolección y cosecha, así como los nuevos métodos de protección de los cultivos contra las plagas. Dentro de los ajustes normativos que </w:t>
      </w:r>
      <w:r w:rsidRPr="002E3D1B">
        <w:rPr>
          <w:rFonts w:ascii="Arial" w:hAnsi="Arial" w:cs="Arial"/>
          <w:sz w:val="24"/>
          <w:szCs w:val="24"/>
        </w:rPr>
        <w:lastRenderedPageBreak/>
        <w:t>vive la agricultura actualmente se encuentra la resolución 9.70 emitida por el ICA (Instituto Colombiano Agropecuario) en el 2010 la cual establece los requisitos relacionados con la producción, importación, exportación,  comercialización y el uso de las semillas en el país, la resolución se aplicó con base en dos supuestos, el primero donde la mayoría de las semillas en Colombia no estaban certificadas lo que significaba para el ICA un riesgo fitosanitario. El segundo supuesto sobre el que se basó la resolución  estaba relacionado con los empaques de las semillas los cuales no eran los adecuados dado que se utilizaban como costales de harina y fertilizantes que podrían contaminar el producto.</w:t>
      </w:r>
    </w:p>
    <w:p w:rsidR="00ED445B" w:rsidRPr="002E3D1B" w:rsidRDefault="00ED445B" w:rsidP="002E3D1B">
      <w:pPr>
        <w:spacing w:line="360" w:lineRule="auto"/>
        <w:jc w:val="both"/>
        <w:rPr>
          <w:rFonts w:ascii="Arial" w:hAnsi="Arial" w:cs="Arial"/>
          <w:sz w:val="24"/>
          <w:szCs w:val="24"/>
        </w:rPr>
      </w:pPr>
      <w:r w:rsidRPr="002E3D1B">
        <w:rPr>
          <w:rFonts w:ascii="Arial" w:hAnsi="Arial" w:cs="Arial"/>
          <w:sz w:val="24"/>
          <w:szCs w:val="24"/>
        </w:rPr>
        <w:t>Aunque la resolución 9.70 incluye a las diferentes clases de semillas entre ellas maíz, trigo pastos, frijol, entre otras; fue la semilla del arroz la que causó furor por la ejecución de la ley, ya que se decomisaron y destruyeron más de setenta toneladas de semillas de arroz lo que generó un gran debate público acerca del procedimiento realizado por el ICA.</w:t>
      </w:r>
    </w:p>
    <w:p w:rsidR="00ED445B" w:rsidRPr="002E3D1B" w:rsidRDefault="00ED445B" w:rsidP="002E3D1B">
      <w:pPr>
        <w:spacing w:line="360" w:lineRule="auto"/>
        <w:jc w:val="both"/>
        <w:rPr>
          <w:rFonts w:ascii="Arial" w:hAnsi="Arial" w:cs="Arial"/>
          <w:sz w:val="24"/>
          <w:szCs w:val="24"/>
        </w:rPr>
      </w:pPr>
      <w:r w:rsidRPr="002E3D1B">
        <w:rPr>
          <w:rFonts w:ascii="Arial" w:hAnsi="Arial" w:cs="Arial"/>
          <w:sz w:val="24"/>
          <w:szCs w:val="24"/>
        </w:rPr>
        <w:t>Desde la ejecución de la resolución se han abierto distintos procesos judiciales a los productores y comerciantes de semillas por violar los derechos de obtentores vegetales, por lo que las únicas entidades calificadas para la comercialización y producción delas semillas son las multinacionales Dupont, Syngenta y Monsanto.</w:t>
      </w:r>
    </w:p>
    <w:p w:rsidR="00ED445B" w:rsidRPr="002E3D1B" w:rsidRDefault="00ED445B" w:rsidP="002E3D1B">
      <w:pPr>
        <w:spacing w:line="360" w:lineRule="auto"/>
        <w:jc w:val="both"/>
        <w:rPr>
          <w:rFonts w:ascii="Arial" w:hAnsi="Arial" w:cs="Arial"/>
          <w:sz w:val="24"/>
          <w:szCs w:val="24"/>
        </w:rPr>
      </w:pPr>
      <w:r w:rsidRPr="002E3D1B">
        <w:rPr>
          <w:rFonts w:ascii="Arial" w:hAnsi="Arial" w:cs="Arial"/>
          <w:sz w:val="24"/>
          <w:szCs w:val="24"/>
        </w:rPr>
        <w:t>En cuánto se refiere a la suficiencia y estabilidad de la oferta de alimentos se relaciona con dos aspectos fundamentales, cuando se habla de este tema y se trata de la distribución interna de alimentos y el comportamiento de la producción de alimentos.</w:t>
      </w:r>
    </w:p>
    <w:p w:rsidR="00ED445B" w:rsidRPr="002E3D1B" w:rsidRDefault="00ED445B" w:rsidP="002E3D1B">
      <w:pPr>
        <w:spacing w:line="360" w:lineRule="auto"/>
        <w:jc w:val="both"/>
        <w:rPr>
          <w:rFonts w:ascii="Arial" w:hAnsi="Arial" w:cs="Arial"/>
          <w:iCs/>
          <w:sz w:val="24"/>
          <w:szCs w:val="24"/>
          <w:shd w:val="clear" w:color="auto" w:fill="FFFFFF"/>
        </w:rPr>
      </w:pPr>
      <w:r w:rsidRPr="002E3D1B">
        <w:rPr>
          <w:rFonts w:ascii="Arial" w:hAnsi="Arial" w:cs="Arial"/>
          <w:iCs/>
          <w:sz w:val="24"/>
          <w:szCs w:val="24"/>
          <w:shd w:val="clear" w:color="auto" w:fill="FFFFFF"/>
        </w:rPr>
        <w:t>Colombia al ser consagrado como un Estado social de derecho como reza su artículo 1 de la constitución política de Colombia, que es preciso citar, establece:</w:t>
      </w:r>
    </w:p>
    <w:p w:rsidR="00ED445B" w:rsidRPr="002E3D1B" w:rsidRDefault="00ED445B" w:rsidP="002E3D1B">
      <w:pPr>
        <w:spacing w:line="360" w:lineRule="auto"/>
        <w:jc w:val="both"/>
        <w:rPr>
          <w:rFonts w:ascii="Arial" w:hAnsi="Arial" w:cs="Arial"/>
          <w:b/>
          <w:sz w:val="24"/>
          <w:szCs w:val="24"/>
        </w:rPr>
      </w:pPr>
      <w:r w:rsidRPr="002E3D1B">
        <w:rPr>
          <w:rFonts w:ascii="Arial" w:hAnsi="Arial" w:cs="Arial"/>
          <w:i/>
          <w:iCs/>
          <w:sz w:val="24"/>
          <w:szCs w:val="24"/>
          <w:shd w:val="clear" w:color="auto" w:fill="FFFFFF"/>
        </w:rPr>
        <w:t xml:space="preserve">“Colombia es un Estado social de derecho, organizado en forma de república unitaria, descentralizada, con autonomía de sus entidades territoriales, democrática, </w:t>
      </w:r>
      <w:r w:rsidRPr="002E3D1B">
        <w:rPr>
          <w:rFonts w:ascii="Arial" w:hAnsi="Arial" w:cs="Arial"/>
          <w:i/>
          <w:iCs/>
          <w:sz w:val="24"/>
          <w:szCs w:val="24"/>
          <w:shd w:val="clear" w:color="auto" w:fill="FFFFFF"/>
        </w:rPr>
        <w:lastRenderedPageBreak/>
        <w:t>participativa y pluralista,</w:t>
      </w:r>
      <w:r w:rsidRPr="002E3D1B">
        <w:rPr>
          <w:rStyle w:val="apple-converted-space"/>
          <w:rFonts w:ascii="Arial" w:hAnsi="Arial" w:cs="Arial"/>
          <w:i/>
          <w:iCs/>
          <w:sz w:val="24"/>
          <w:szCs w:val="24"/>
          <w:shd w:val="clear" w:color="auto" w:fill="FFFFFF"/>
        </w:rPr>
        <w:t> </w:t>
      </w:r>
      <w:r w:rsidRPr="002E3D1B">
        <w:rPr>
          <w:rFonts w:ascii="Arial" w:hAnsi="Arial" w:cs="Arial"/>
          <w:i/>
          <w:iCs/>
          <w:sz w:val="24"/>
          <w:szCs w:val="24"/>
          <w:shd w:val="clear" w:color="auto" w:fill="FFFFFF"/>
        </w:rPr>
        <w:t>fundada en el respeto de la dignidad humana, en el trabajo y la solidaridad de las personas que la integran y en la prevalencia del interés general</w:t>
      </w:r>
      <w:r w:rsidRPr="002E3D1B">
        <w:rPr>
          <w:rFonts w:ascii="Arial" w:hAnsi="Arial" w:cs="Arial"/>
          <w:sz w:val="24"/>
          <w:szCs w:val="24"/>
          <w:shd w:val="clear" w:color="auto" w:fill="FFFFFF"/>
        </w:rPr>
        <w:t>".</w:t>
      </w:r>
    </w:p>
    <w:p w:rsidR="00ED445B" w:rsidRPr="002E3D1B" w:rsidRDefault="00ED445B" w:rsidP="002E3D1B">
      <w:pPr>
        <w:spacing w:line="360" w:lineRule="auto"/>
        <w:jc w:val="both"/>
        <w:rPr>
          <w:rFonts w:ascii="Arial" w:hAnsi="Arial" w:cs="Arial"/>
          <w:sz w:val="24"/>
          <w:szCs w:val="24"/>
          <w:shd w:val="clear" w:color="auto" w:fill="FFFFFF"/>
        </w:rPr>
      </w:pPr>
      <w:r w:rsidRPr="002E3D1B">
        <w:rPr>
          <w:rFonts w:ascii="Arial" w:hAnsi="Arial" w:cs="Arial"/>
          <w:sz w:val="24"/>
          <w:szCs w:val="24"/>
          <w:shd w:val="clear" w:color="auto" w:fill="FFFFFF"/>
        </w:rPr>
        <w:t>Se denomina social porque es intervencionista, porque no se interesa sólo por el individuo, sino también por la colectividad, sus contenidos y acciones en los distintos campos de la vida social se dirigen desde allí. Habrá un eco de esta caracterización cuando el final del artículo que se analiza diga que prevalece el interés general sobre el particular</w:t>
      </w:r>
      <w:r w:rsidRPr="002E3D1B">
        <w:rPr>
          <w:rStyle w:val="Refdenotaalfinal"/>
          <w:rFonts w:ascii="Arial" w:hAnsi="Arial" w:cs="Arial"/>
          <w:sz w:val="24"/>
          <w:szCs w:val="24"/>
          <w:shd w:val="clear" w:color="auto" w:fill="FFFFFF"/>
        </w:rPr>
        <w:endnoteReference w:id="1"/>
      </w:r>
      <w:r w:rsidRPr="002E3D1B">
        <w:rPr>
          <w:rFonts w:ascii="Arial" w:hAnsi="Arial" w:cs="Arial"/>
          <w:sz w:val="24"/>
          <w:szCs w:val="24"/>
          <w:shd w:val="clear" w:color="auto" w:fill="FFFFFF"/>
        </w:rPr>
        <w:t>. El estado social hoy es democrática y pluralista, pero podría pensarse lo social de una manera diferente. Tal cuestión ocurrió con motivo de la expedición de la Constitución de 1886, o con la expedición de la Constitución de Rojas Pinilla en 1957, donde la idea de la Nación, de la soberanía en la Nación, prevaleció sobre una concepción de la soberanía popular.</w:t>
      </w:r>
    </w:p>
    <w:p w:rsidR="00ED445B" w:rsidRPr="002E3D1B" w:rsidRDefault="00ED445B" w:rsidP="002E3D1B">
      <w:pPr>
        <w:spacing w:line="360" w:lineRule="auto"/>
        <w:jc w:val="both"/>
        <w:rPr>
          <w:rFonts w:ascii="Arial" w:hAnsi="Arial" w:cs="Arial"/>
          <w:sz w:val="24"/>
          <w:szCs w:val="24"/>
          <w:shd w:val="clear" w:color="auto" w:fill="FFFFFF"/>
        </w:rPr>
      </w:pPr>
      <w:r w:rsidRPr="002E3D1B">
        <w:rPr>
          <w:rFonts w:ascii="Arial" w:hAnsi="Arial" w:cs="Arial"/>
          <w:sz w:val="24"/>
          <w:szCs w:val="24"/>
          <w:shd w:val="clear" w:color="auto" w:fill="FFFFFF"/>
        </w:rPr>
        <w:t>El tipo de estado que estableció el legislador para la constitución de 1991, teniendo en cuenta antecedentes sociales y constitucionales como los ya mencionados, quiere establecer un Estado garantizador de derechos y uno que vela por el mínimo vital de sus ciudadanos, con el fin de garantizarle una vida digna, es por esta razón que hablar de un tema tan importante como lo es la seguridad alimentaria ha sido una temática de relevancia en los últimos tiempos y más cuando nos enfrentamos a situaciones reales como las que se están vivenciando en Colombia con la creación de la ya mencionada resolución y  a las exigencias del Estado a que los agricultores sólo siembren semillas certificadas, que a su vez necesitan de un paquete de transgénicos para su cuidado, causa que El estado en su rol como protector y promotor del sector agrícola esta es generando restricciones a su objetivo constitucional de incrementar la producción en dicho sector.</w:t>
      </w:r>
    </w:p>
    <w:p w:rsidR="00ED445B" w:rsidRPr="002E3D1B" w:rsidRDefault="00ED445B" w:rsidP="002E3D1B">
      <w:pPr>
        <w:spacing w:line="360" w:lineRule="auto"/>
        <w:jc w:val="both"/>
        <w:rPr>
          <w:rFonts w:ascii="Arial" w:hAnsi="Arial" w:cs="Arial"/>
          <w:sz w:val="24"/>
          <w:szCs w:val="24"/>
        </w:rPr>
      </w:pPr>
      <w:r w:rsidRPr="002E3D1B">
        <w:rPr>
          <w:rFonts w:ascii="Arial" w:hAnsi="Arial" w:cs="Arial"/>
          <w:sz w:val="24"/>
          <w:szCs w:val="24"/>
        </w:rPr>
        <w:t xml:space="preserve">El concepto sobre seguridad alimentaria que este documento propone, parte desde el reconocimiento de la seguridad alimentaria como un derecho fundamental que el Estado está obligado a garantizar, siendo un derecho fundamental reconocido </w:t>
      </w:r>
      <w:r w:rsidRPr="002E3D1B">
        <w:rPr>
          <w:rFonts w:ascii="Arial" w:hAnsi="Arial" w:cs="Arial"/>
          <w:sz w:val="24"/>
          <w:szCs w:val="24"/>
        </w:rPr>
        <w:lastRenderedPageBreak/>
        <w:t>constitucionalmente en el artículo 44, en el cual establece el derecho a la alimentación equilibrada como un derecho fundamental de los niños, este derecho es el acceso a una alimentación adecuada, incluyendo la disponibilidad y calidad de los alimentos que todas las personas están en su legítimo derecho de recibir. A su vez otorgándole el derecho a la población de elegir el tipo de alimentación que desean recibir, es esta la razón por la cual se hace mención a los consumidores ECO,</w:t>
      </w:r>
      <w:r w:rsidRPr="002E3D1B">
        <w:rPr>
          <w:rFonts w:ascii="Arial" w:hAnsi="Arial" w:cs="Arial"/>
          <w:sz w:val="24"/>
          <w:szCs w:val="24"/>
          <w:shd w:val="clear" w:color="auto" w:fill="FFFFFF"/>
        </w:rPr>
        <w:t xml:space="preserve"> siendo el consumidor más concienciado con el medio ambiente, rendido completamente a la causa, todas sus acciones van encaminadas hacia un consumo ecológico y sostenible sin la utilización de productos químicos</w:t>
      </w:r>
      <w:r w:rsidRPr="002E3D1B">
        <w:rPr>
          <w:rStyle w:val="Refdenotaalfinal"/>
          <w:rFonts w:ascii="Arial" w:hAnsi="Arial" w:cs="Arial"/>
          <w:sz w:val="24"/>
          <w:szCs w:val="24"/>
          <w:shd w:val="clear" w:color="auto" w:fill="FFFFFF"/>
        </w:rPr>
        <w:endnoteReference w:id="2"/>
      </w:r>
      <w:r w:rsidRPr="002E3D1B">
        <w:rPr>
          <w:rFonts w:ascii="Arial" w:hAnsi="Arial" w:cs="Arial"/>
          <w:sz w:val="24"/>
          <w:szCs w:val="24"/>
          <w:shd w:val="clear" w:color="auto" w:fill="FFFFFF"/>
        </w:rPr>
        <w:t xml:space="preserve">, </w:t>
      </w:r>
      <w:r w:rsidRPr="002E3D1B">
        <w:rPr>
          <w:rFonts w:ascii="Arial" w:hAnsi="Arial" w:cs="Arial"/>
          <w:sz w:val="24"/>
          <w:szCs w:val="24"/>
        </w:rPr>
        <w:t xml:space="preserve"> representan a una minoría que a su vez poseen el derecho como cualquier otro de elegir el tipo de alimentación que quisieran recibir.</w:t>
      </w:r>
    </w:p>
    <w:p w:rsidR="00ED445B" w:rsidRPr="002E3D1B" w:rsidRDefault="00ED445B" w:rsidP="002E3D1B">
      <w:pPr>
        <w:spacing w:line="360" w:lineRule="auto"/>
        <w:jc w:val="both"/>
        <w:rPr>
          <w:rFonts w:ascii="Arial" w:hAnsi="Arial" w:cs="Arial"/>
          <w:sz w:val="24"/>
          <w:szCs w:val="24"/>
        </w:rPr>
      </w:pPr>
      <w:r w:rsidRPr="002E3D1B">
        <w:rPr>
          <w:rFonts w:ascii="Arial" w:hAnsi="Arial" w:cs="Arial"/>
          <w:sz w:val="24"/>
          <w:szCs w:val="24"/>
        </w:rPr>
        <w:t xml:space="preserve">Dentro de esta producción agrícola, poniendo en contexto el tema central de este trabajo de investigación, el Estado ha tomado serias medidas en cuanto se trata al sector arrocero en Colombia, siendo una de sus obligaciones el ejercer control dentro de estas actividades con el propósito de incrementar la productividad y hacer del sector arrocero, uno capaz de competir en mercados internacionales. A su vez cuando se habla de competitividad, uno de los aspectos que más influye en los productos agrícolas es el tema fitosanitario, ya que estas exigencias causan que el producto en ocasiones no cumpla con estos requisitos indispensables para ser exportados, originando pérdidas importantes en el sector. Es por esta una de las razones la cual el Estado debe intervenir de manera ecuánime y racional, puesto que es claro que las medidas de salubridad y de control sobre productos que van a llegar al poder de miles de consumidores, deben cumplir con estos mínimos requisitos para ser consumidos. Pero esto genera una gran inquietud y controversia en el sector arrocero debido a  que prácticas ancestrales de sembrado y recogido de semillas sobre un cultivo anterior se han venido desarrollando en los campos arroceros en Colombia, son ahora restringidos de manera radical, pues si se trata </w:t>
      </w:r>
      <w:r w:rsidRPr="002E3D1B">
        <w:rPr>
          <w:rFonts w:ascii="Arial" w:hAnsi="Arial" w:cs="Arial"/>
          <w:sz w:val="24"/>
          <w:szCs w:val="24"/>
        </w:rPr>
        <w:lastRenderedPageBreak/>
        <w:t>de incrementar la producción para hacer de este sector uno más competitivo,                                                                                                                                                                                                                                                                                                                                                                                                                                                                                                                                                                                                                                                                                    esta es una medida que impide cumplir con estos objetivos.</w:t>
      </w:r>
    </w:p>
    <w:p w:rsidR="00ED445B" w:rsidRPr="002E3D1B" w:rsidRDefault="00ED445B" w:rsidP="002E3D1B">
      <w:pPr>
        <w:spacing w:line="360" w:lineRule="auto"/>
        <w:rPr>
          <w:rFonts w:ascii="Arial" w:hAnsi="Arial" w:cs="Arial"/>
          <w:b/>
          <w:sz w:val="24"/>
          <w:szCs w:val="24"/>
        </w:rPr>
      </w:pPr>
    </w:p>
    <w:p w:rsidR="00ED445B" w:rsidRPr="002E3D1B" w:rsidRDefault="00ED445B" w:rsidP="002E3D1B">
      <w:pPr>
        <w:spacing w:line="360" w:lineRule="auto"/>
        <w:jc w:val="center"/>
        <w:rPr>
          <w:rFonts w:ascii="Arial" w:hAnsi="Arial" w:cs="Arial"/>
          <w:b/>
          <w:sz w:val="24"/>
          <w:szCs w:val="24"/>
        </w:rPr>
      </w:pPr>
    </w:p>
    <w:p w:rsidR="008B0FE7" w:rsidRPr="002E3D1B" w:rsidRDefault="008B0FE7" w:rsidP="002E3D1B">
      <w:pPr>
        <w:pStyle w:val="Prrafodelista"/>
        <w:numPr>
          <w:ilvl w:val="0"/>
          <w:numId w:val="1"/>
        </w:numPr>
        <w:spacing w:line="360" w:lineRule="auto"/>
        <w:jc w:val="center"/>
        <w:rPr>
          <w:rFonts w:ascii="Arial" w:hAnsi="Arial" w:cs="Arial"/>
          <w:b/>
          <w:sz w:val="24"/>
          <w:szCs w:val="24"/>
        </w:rPr>
      </w:pPr>
      <w:r w:rsidRPr="002E3D1B">
        <w:rPr>
          <w:rFonts w:ascii="Arial" w:hAnsi="Arial" w:cs="Arial"/>
          <w:b/>
          <w:sz w:val="24"/>
          <w:szCs w:val="24"/>
        </w:rPr>
        <w:t>Marco teórico</w:t>
      </w:r>
    </w:p>
    <w:p w:rsidR="00EE7CAC" w:rsidRPr="002E3D1B" w:rsidRDefault="00EE7CAC" w:rsidP="002E3D1B">
      <w:pPr>
        <w:spacing w:line="360" w:lineRule="auto"/>
        <w:rPr>
          <w:rFonts w:ascii="Arial" w:hAnsi="Arial" w:cs="Arial"/>
          <w:b/>
          <w:sz w:val="24"/>
          <w:szCs w:val="24"/>
        </w:rPr>
      </w:pPr>
    </w:p>
    <w:p w:rsidR="00EE7CAC" w:rsidRPr="002E3D1B" w:rsidRDefault="00EE7CAC" w:rsidP="002E3D1B">
      <w:pPr>
        <w:spacing w:line="360" w:lineRule="auto"/>
        <w:jc w:val="both"/>
        <w:rPr>
          <w:rFonts w:ascii="Arial" w:hAnsi="Arial" w:cs="Arial"/>
          <w:sz w:val="24"/>
          <w:szCs w:val="24"/>
          <w:shd w:val="clear" w:color="auto" w:fill="FFFFFF"/>
        </w:rPr>
      </w:pPr>
      <w:r w:rsidRPr="002E3D1B">
        <w:rPr>
          <w:rFonts w:ascii="Arial" w:hAnsi="Arial" w:cs="Arial"/>
          <w:sz w:val="24"/>
          <w:szCs w:val="24"/>
          <w:shd w:val="clear" w:color="auto" w:fill="FFFFFF"/>
        </w:rPr>
        <w:t>Teniendo en cuenta todo lo dicho dentro del marco anteriormente expuesto es coherente y consecuente mencionar autores e instituciones representativas del derecho en relación con los temas centrales de este trabajo de investigación, por lo que es preciso mencionar que l</w:t>
      </w:r>
      <w:r w:rsidRPr="002E3D1B">
        <w:rPr>
          <w:rFonts w:ascii="Arial" w:hAnsi="Arial" w:cs="Arial"/>
          <w:sz w:val="24"/>
          <w:szCs w:val="24"/>
        </w:rPr>
        <w:t>a disponibilidad de alimentos no es uno de los mayores problemas de la seguridad alimentaria, la principal discusión se basa en sus características estructurales y cualitativas, es por eso que el Estado en sus artículos 64, 65 y 66 de la constitución política de Colombia, establece su rol como ente protector frente a la oferta y la producción agrícola.</w:t>
      </w:r>
    </w:p>
    <w:p w:rsidR="00EE7CAC" w:rsidRPr="002E3D1B" w:rsidRDefault="00EE7CAC" w:rsidP="002E3D1B">
      <w:pPr>
        <w:spacing w:line="360" w:lineRule="auto"/>
        <w:jc w:val="both"/>
        <w:rPr>
          <w:rFonts w:ascii="Arial" w:hAnsi="Arial" w:cs="Arial"/>
          <w:sz w:val="24"/>
          <w:szCs w:val="24"/>
        </w:rPr>
      </w:pPr>
      <w:r w:rsidRPr="002E3D1B">
        <w:rPr>
          <w:rFonts w:ascii="Arial" w:hAnsi="Arial" w:cs="Arial"/>
          <w:sz w:val="24"/>
          <w:szCs w:val="24"/>
        </w:rPr>
        <w:t xml:space="preserve">Los alcances de la resolución 970 se reflejan en las exigencias por parte del ICA, en la que exigen a nuestros campesinos a sembrar semillas certificadas, incrementando los costos de producción dos o incluso hasta tres veces más el valor de semillas nativas. Impidiendo que estos agricultores extiendan su capacidad de producción, puesto que las exigencias para adquirir estas semillas certificadas significan un aumento significativo en los costos de producción. </w:t>
      </w:r>
    </w:p>
    <w:p w:rsidR="00EE7CAC" w:rsidRPr="002E3D1B" w:rsidRDefault="00EE7CAC" w:rsidP="002E3D1B">
      <w:pPr>
        <w:pStyle w:val="ecxmsonormal"/>
        <w:shd w:val="clear" w:color="auto" w:fill="FFFFFF"/>
        <w:spacing w:before="0" w:beforeAutospacing="0" w:after="324" w:afterAutospacing="0" w:line="360" w:lineRule="auto"/>
        <w:jc w:val="both"/>
        <w:rPr>
          <w:rFonts w:ascii="Arial" w:hAnsi="Arial" w:cs="Arial"/>
        </w:rPr>
      </w:pPr>
      <w:r w:rsidRPr="002E3D1B">
        <w:rPr>
          <w:rFonts w:ascii="Arial" w:hAnsi="Arial" w:cs="Arial"/>
        </w:rPr>
        <w:t xml:space="preserve">Esta necesidad de crear una política que este inspirada en el derecho de la seguridad alimentaria como componente fundamental, está reflejada en el surgimiento de la Política de Seguridad Alimentaria y Nutricional también conocida como PSAN, aprobada por el Consejo Nacional de Política Económica Social (CONPES) junto con el Departamento Nacional de Planeación (DNP) en marzo de </w:t>
      </w:r>
      <w:r w:rsidRPr="002E3D1B">
        <w:rPr>
          <w:rFonts w:ascii="Arial" w:hAnsi="Arial" w:cs="Arial"/>
        </w:rPr>
        <w:lastRenderedPageBreak/>
        <w:t>2008</w:t>
      </w:r>
      <w:r w:rsidR="002E3D1B" w:rsidRPr="002E3D1B">
        <w:rPr>
          <w:rStyle w:val="Refdenotaalfinal"/>
          <w:rFonts w:ascii="Arial" w:hAnsi="Arial" w:cs="Arial"/>
        </w:rPr>
        <w:endnoteReference w:id="3"/>
      </w:r>
      <w:r w:rsidRPr="002E3D1B">
        <w:rPr>
          <w:rFonts w:ascii="Arial" w:hAnsi="Arial" w:cs="Arial"/>
        </w:rPr>
        <w:t>, en función de darle continuidad a procesos adelantados y planteados desde la década de los 90’s.</w:t>
      </w:r>
    </w:p>
    <w:p w:rsidR="00EE7CAC" w:rsidRPr="002E3D1B" w:rsidRDefault="00EE7CAC" w:rsidP="002E3D1B">
      <w:pPr>
        <w:pStyle w:val="ecxmsonormal"/>
        <w:shd w:val="clear" w:color="auto" w:fill="FFFFFF"/>
        <w:spacing w:before="0" w:beforeAutospacing="0" w:after="324" w:afterAutospacing="0" w:line="360" w:lineRule="auto"/>
        <w:jc w:val="both"/>
        <w:rPr>
          <w:rFonts w:ascii="Arial" w:hAnsi="Arial" w:cs="Arial"/>
        </w:rPr>
      </w:pPr>
      <w:r w:rsidRPr="002E3D1B">
        <w:rPr>
          <w:rFonts w:ascii="Arial" w:hAnsi="Arial" w:cs="Arial"/>
        </w:rPr>
        <w:t>Con la idea de incluir varios</w:t>
      </w:r>
      <w:r w:rsidRPr="002E3D1B">
        <w:rPr>
          <w:rStyle w:val="apple-converted-space"/>
          <w:rFonts w:ascii="Arial" w:hAnsi="Arial" w:cs="Arial"/>
        </w:rPr>
        <w:t> </w:t>
      </w:r>
      <w:r w:rsidRPr="002E3D1B">
        <w:rPr>
          <w:rFonts w:ascii="Arial" w:hAnsi="Arial" w:cs="Arial"/>
          <w:i/>
          <w:iCs/>
        </w:rPr>
        <w:t>ejes</w:t>
      </w:r>
      <w:r w:rsidRPr="002E3D1B">
        <w:rPr>
          <w:rStyle w:val="apple-converted-space"/>
          <w:rFonts w:ascii="Arial" w:hAnsi="Arial" w:cs="Arial"/>
        </w:rPr>
        <w:t> </w:t>
      </w:r>
      <w:r w:rsidRPr="002E3D1B">
        <w:rPr>
          <w:rFonts w:ascii="Arial" w:hAnsi="Arial" w:cs="Arial"/>
        </w:rPr>
        <w:t>claves incluidos en el COMPES SOCIAL 113 para mejorar las condiciones generales de la población en el tema de la seguridad alimentaria, con el objetivo de lograr un crecimiento autosostenido y en mayor equilibrio e igualdad dentro de la misma sociedad. Cinco ejes, que combinados deben garantizar con él una efectividad en la seguridad alimentaria y nutricional del país promovida ampliamente por el estado en función de la sociedad.</w:t>
      </w:r>
    </w:p>
    <w:p w:rsidR="00EE7CAC" w:rsidRPr="002E3D1B" w:rsidRDefault="00EE7CAC" w:rsidP="002E3D1B">
      <w:pPr>
        <w:pStyle w:val="ecxmsonormal"/>
        <w:shd w:val="clear" w:color="auto" w:fill="FFFFFF"/>
        <w:spacing w:before="0" w:beforeAutospacing="0" w:after="324" w:afterAutospacing="0" w:line="360" w:lineRule="auto"/>
        <w:jc w:val="both"/>
        <w:rPr>
          <w:rFonts w:ascii="Arial" w:hAnsi="Arial" w:cs="Arial"/>
        </w:rPr>
      </w:pPr>
      <w:r w:rsidRPr="002E3D1B">
        <w:rPr>
          <w:rFonts w:ascii="Arial" w:hAnsi="Arial" w:cs="Arial"/>
        </w:rPr>
        <w:t>El primero de ellos es la disponibilidad, el cual está directamente relacionado con la producción de los alimentos, y de la misma manera, de todos aquellos factores que intervienen, como los factores productivos, políticas de producción y comercialización y la situación sociopolítica del país. Todo lo anterior afecta y determina de cierta manera que la existencia de la suficiente cantidad de alimentos necesarios para una población pueda ser una realidad.</w:t>
      </w:r>
    </w:p>
    <w:p w:rsidR="00EE7CAC" w:rsidRPr="002E3D1B" w:rsidRDefault="00EE7CAC" w:rsidP="002E3D1B">
      <w:pPr>
        <w:pStyle w:val="ecxmsonormal"/>
        <w:shd w:val="clear" w:color="auto" w:fill="FFFFFF"/>
        <w:spacing w:before="0" w:beforeAutospacing="0" w:after="324" w:afterAutospacing="0" w:line="360" w:lineRule="auto"/>
        <w:jc w:val="both"/>
        <w:rPr>
          <w:rFonts w:ascii="Arial" w:hAnsi="Arial" w:cs="Arial"/>
        </w:rPr>
      </w:pPr>
      <w:r w:rsidRPr="002E3D1B">
        <w:rPr>
          <w:rFonts w:ascii="Arial" w:hAnsi="Arial" w:cs="Arial"/>
        </w:rPr>
        <w:t>La producción puede afectarse por la eficiencia de los factores productivos, es el caso de los recursos hídricos, o genéticos como las semillas usadas en los cultivos; o por la innovación tecnológica del país respecto a temas logísticos.</w:t>
      </w:r>
    </w:p>
    <w:p w:rsidR="00EE7CAC" w:rsidRPr="002E3D1B" w:rsidRDefault="00EE7CAC" w:rsidP="002E3D1B">
      <w:pPr>
        <w:pStyle w:val="ecxmsonormal"/>
        <w:shd w:val="clear" w:color="auto" w:fill="FFFFFF"/>
        <w:spacing w:before="0" w:beforeAutospacing="0" w:after="324" w:afterAutospacing="0" w:line="360" w:lineRule="auto"/>
        <w:jc w:val="both"/>
        <w:rPr>
          <w:rFonts w:ascii="Arial" w:hAnsi="Arial" w:cs="Arial"/>
        </w:rPr>
      </w:pPr>
      <w:r w:rsidRPr="002E3D1B">
        <w:rPr>
          <w:rFonts w:ascii="Arial" w:hAnsi="Arial" w:cs="Arial"/>
        </w:rPr>
        <w:t>El acceso a estos alimentos, es otro de los ejes fundamentales para tomar en cuenta. Siendo este un punto crítico, por las algunas condiciones en las que viven la población usualmente marginada y más pobre, la cual presenta varias dificultades a la hora de buscar estos alimentos básicos, como la desigual distribución del ingreso, los precios, su ubicación, entre otras.</w:t>
      </w:r>
    </w:p>
    <w:p w:rsidR="00EE7CAC" w:rsidRPr="002E3D1B" w:rsidRDefault="00EE7CAC" w:rsidP="002E3D1B">
      <w:pPr>
        <w:pStyle w:val="ecxmsonormal"/>
        <w:shd w:val="clear" w:color="auto" w:fill="FFFFFF"/>
        <w:spacing w:before="0" w:beforeAutospacing="0" w:after="324" w:afterAutospacing="0" w:line="360" w:lineRule="auto"/>
        <w:jc w:val="both"/>
        <w:rPr>
          <w:rFonts w:ascii="Arial" w:hAnsi="Arial" w:cs="Arial"/>
        </w:rPr>
      </w:pPr>
      <w:r w:rsidRPr="002E3D1B">
        <w:rPr>
          <w:rFonts w:ascii="Arial" w:hAnsi="Arial" w:cs="Arial"/>
        </w:rPr>
        <w:t xml:space="preserve">Aunque es importante destacar que, en el sector rural se observan en mayor cantidad un fenómeno de autoconsumo, porque muchos cultivan y cosechan sus </w:t>
      </w:r>
      <w:r w:rsidRPr="002E3D1B">
        <w:rPr>
          <w:rFonts w:ascii="Arial" w:hAnsi="Arial" w:cs="Arial"/>
        </w:rPr>
        <w:lastRenderedPageBreak/>
        <w:t>propios alimentos, por lo que el nivel de ingresos y la variación de los precios de venta no afectan en gran medida en estas zonas. El programa RESA o Red para la Seguridad Alimentaria impulsó fuertemente el autoconsumo, como un programa de acompañamiento que brindaba ayuda a la población campesina otorgándoles las herramientas para lograr alimentarse de su propio cultivo.</w:t>
      </w:r>
    </w:p>
    <w:p w:rsidR="00EE7CAC" w:rsidRPr="002E3D1B" w:rsidRDefault="00EE7CAC" w:rsidP="002E3D1B">
      <w:pPr>
        <w:pStyle w:val="ecxmsonormal"/>
        <w:shd w:val="clear" w:color="auto" w:fill="FFFFFF"/>
        <w:spacing w:before="0" w:beforeAutospacing="0" w:after="324" w:afterAutospacing="0" w:line="360" w:lineRule="auto"/>
        <w:jc w:val="both"/>
        <w:rPr>
          <w:rFonts w:ascii="Arial" w:hAnsi="Arial" w:cs="Arial"/>
        </w:rPr>
      </w:pPr>
      <w:r w:rsidRPr="002E3D1B">
        <w:rPr>
          <w:rFonts w:ascii="Arial" w:hAnsi="Arial" w:cs="Arial"/>
        </w:rPr>
        <w:t>El tercer eje está relacionado principalmente con la cultura y los hábitos de alimentación, las creencias, y se trata del consumo, que esta influencia por varias factores de todo tipo, tanto económicos, sociales y culturales, que afectan la elección y preferencia de los alimentos por cada individuo.</w:t>
      </w:r>
    </w:p>
    <w:p w:rsidR="00EE7CAC" w:rsidRPr="002E3D1B" w:rsidRDefault="00EE7CAC" w:rsidP="002E3D1B">
      <w:pPr>
        <w:pStyle w:val="ecxmsonormal"/>
        <w:shd w:val="clear" w:color="auto" w:fill="FFFFFF"/>
        <w:spacing w:before="0" w:beforeAutospacing="0" w:after="324" w:afterAutospacing="0" w:line="360" w:lineRule="auto"/>
        <w:jc w:val="both"/>
        <w:rPr>
          <w:rFonts w:ascii="Arial" w:hAnsi="Arial" w:cs="Arial"/>
        </w:rPr>
      </w:pPr>
      <w:r w:rsidRPr="002E3D1B">
        <w:rPr>
          <w:rFonts w:ascii="Arial" w:hAnsi="Arial" w:cs="Arial"/>
        </w:rPr>
        <w:t>El consumo, tiene un trasfondo importante si analizamos aspectos como la adecuada nutrición que muchos alimentos comunes no brindan, y la posible afectación en la salud en casos especiales donde hay que tener en cuenta la edad o las enfermedades que presenta el individuo.</w:t>
      </w:r>
    </w:p>
    <w:p w:rsidR="00EE7CAC" w:rsidRPr="002E3D1B" w:rsidRDefault="00EE7CAC" w:rsidP="002E3D1B">
      <w:pPr>
        <w:pStyle w:val="ecxmsonormal"/>
        <w:shd w:val="clear" w:color="auto" w:fill="FFFFFF"/>
        <w:spacing w:before="0" w:beforeAutospacing="0" w:after="324" w:afterAutospacing="0" w:line="360" w:lineRule="auto"/>
        <w:jc w:val="both"/>
        <w:rPr>
          <w:rFonts w:ascii="Arial" w:hAnsi="Arial" w:cs="Arial"/>
        </w:rPr>
      </w:pPr>
      <w:r w:rsidRPr="002E3D1B">
        <w:rPr>
          <w:rFonts w:ascii="Arial" w:hAnsi="Arial" w:cs="Arial"/>
        </w:rPr>
        <w:t>El eje denominado, el aprovechamiento o utilización biológica de los alimentos, depende en gran medida del entorno y el saneamiento que pueden afectar positiva o negativamente el beneficio de aquellos nutrientes de cada alimento.</w:t>
      </w:r>
    </w:p>
    <w:p w:rsidR="00EE7CAC" w:rsidRPr="002E3D1B" w:rsidRDefault="00EE7CAC" w:rsidP="002E3D1B">
      <w:pPr>
        <w:pStyle w:val="ecxmsonormal"/>
        <w:shd w:val="clear" w:color="auto" w:fill="FFFFFF"/>
        <w:spacing w:before="0" w:beforeAutospacing="0" w:after="324" w:afterAutospacing="0" w:line="360" w:lineRule="auto"/>
        <w:jc w:val="both"/>
        <w:rPr>
          <w:rFonts w:ascii="Arial" w:hAnsi="Arial" w:cs="Arial"/>
        </w:rPr>
      </w:pPr>
      <w:r w:rsidRPr="002E3D1B">
        <w:rPr>
          <w:rFonts w:ascii="Arial" w:hAnsi="Arial" w:cs="Arial"/>
        </w:rPr>
        <w:t>Y por último se encuentra la calidad de los alimentos, lo cual hace referencia al cumplimiento de ciertas características del alimento que le dan el atributo de apto para el consumo humano, y para esto se tiene en cuento el seguimiento de cierta normatividad o procesos al momento de manipular o elaborar el alimento según sea el caso.</w:t>
      </w:r>
    </w:p>
    <w:p w:rsidR="00EE7CAC" w:rsidRPr="002E3D1B" w:rsidRDefault="00EE7CAC" w:rsidP="002E3D1B">
      <w:pPr>
        <w:spacing w:line="360" w:lineRule="auto"/>
        <w:jc w:val="both"/>
        <w:rPr>
          <w:rFonts w:ascii="Arial" w:hAnsi="Arial" w:cs="Arial"/>
          <w:sz w:val="24"/>
          <w:szCs w:val="24"/>
        </w:rPr>
      </w:pPr>
      <w:r w:rsidRPr="002E3D1B">
        <w:rPr>
          <w:rFonts w:ascii="Arial" w:hAnsi="Arial" w:cs="Arial"/>
          <w:sz w:val="24"/>
          <w:szCs w:val="24"/>
        </w:rPr>
        <w:t xml:space="preserve">Este eje está estipulado con el objetivo de disminuir las enfermedades trasmitidas por alimentos, y realizar una mayor gestión de vigilancia y supervisión en no solo el alimento, sino en el empaque, y de igual manera en todos los procesos logística </w:t>
      </w:r>
      <w:r w:rsidRPr="002E3D1B">
        <w:rPr>
          <w:rFonts w:ascii="Arial" w:hAnsi="Arial" w:cs="Arial"/>
          <w:sz w:val="24"/>
          <w:szCs w:val="24"/>
        </w:rPr>
        <w:lastRenderedPageBreak/>
        <w:t>incluyendo la cadena de abastecimiento, para que todo se esté realizando bajo el marco estipulado.</w:t>
      </w:r>
    </w:p>
    <w:p w:rsidR="00465DC2" w:rsidRPr="002E3D1B" w:rsidRDefault="00EE7CAC" w:rsidP="002E3D1B">
      <w:pPr>
        <w:spacing w:line="360" w:lineRule="auto"/>
        <w:jc w:val="both"/>
        <w:rPr>
          <w:rFonts w:ascii="Arial" w:hAnsi="Arial" w:cs="Arial"/>
          <w:sz w:val="24"/>
          <w:szCs w:val="24"/>
        </w:rPr>
      </w:pPr>
      <w:r w:rsidRPr="002E3D1B">
        <w:rPr>
          <w:rFonts w:ascii="Arial" w:hAnsi="Arial" w:cs="Arial"/>
          <w:sz w:val="24"/>
          <w:szCs w:val="24"/>
        </w:rPr>
        <w:t>De acuerdo a los conceptos anteriormente dados, de acuerdo a un documentos del  CONPES social, dónde realizan un estudio sobre políticas de seguridad alimentaria y nutrición, se realiza un enfoque de los efectos de la mencionada resolución que busca proteger los derechos de los obtentores vegetales en contraposición de un derecho fundamental cómo lo es la seguridad alimentaria.</w:t>
      </w:r>
    </w:p>
    <w:p w:rsidR="00465DC2" w:rsidRPr="0019723A" w:rsidRDefault="00465DC2" w:rsidP="002E3D1B">
      <w:pPr>
        <w:pStyle w:val="Prrafodelista"/>
        <w:numPr>
          <w:ilvl w:val="0"/>
          <w:numId w:val="1"/>
        </w:numPr>
        <w:spacing w:line="360" w:lineRule="auto"/>
        <w:jc w:val="center"/>
        <w:rPr>
          <w:rFonts w:ascii="Arial" w:hAnsi="Arial" w:cs="Arial"/>
          <w:b/>
        </w:rPr>
      </w:pPr>
      <w:r w:rsidRPr="0019723A">
        <w:rPr>
          <w:rFonts w:ascii="Arial" w:hAnsi="Arial" w:cs="Arial"/>
          <w:b/>
        </w:rPr>
        <w:t>Tablas</w:t>
      </w:r>
    </w:p>
    <w:p w:rsidR="00465DC2" w:rsidRPr="002E3D1B" w:rsidRDefault="00465DC2" w:rsidP="002E3D1B">
      <w:pPr>
        <w:pStyle w:val="Prrafodelista"/>
        <w:spacing w:line="360" w:lineRule="auto"/>
        <w:rPr>
          <w:b/>
        </w:rPr>
      </w:pPr>
    </w:p>
    <w:p w:rsidR="00465DC2" w:rsidRPr="002E3D1B" w:rsidRDefault="00465DC2" w:rsidP="002E3D1B">
      <w:pPr>
        <w:pStyle w:val="Prrafodelista"/>
        <w:spacing w:line="360" w:lineRule="auto"/>
        <w:rPr>
          <w:b/>
        </w:rPr>
      </w:pPr>
      <w:r w:rsidRPr="002E3D1B">
        <w:rPr>
          <w:b/>
        </w:rPr>
        <w:t>Tabla 1.  Clasificación de los ejes de la política de seguridad alimentaria y nutricional</w:t>
      </w:r>
    </w:p>
    <w:p w:rsidR="008B0FE7" w:rsidRPr="002E3D1B" w:rsidRDefault="00465DC2" w:rsidP="002E3D1B">
      <w:pPr>
        <w:pStyle w:val="Prrafodelista"/>
        <w:spacing w:line="360" w:lineRule="auto"/>
        <w:rPr>
          <w:b/>
        </w:rPr>
      </w:pPr>
      <w:r w:rsidRPr="002E3D1B">
        <w:rPr>
          <w:b/>
        </w:rPr>
        <w:t>Fuente: DOCUMENTO CONPES SOCIAL.</w:t>
      </w:r>
    </w:p>
    <w:tbl>
      <w:tblPr>
        <w:tblStyle w:val="Tablaconcuadrcula"/>
        <w:tblW w:w="0" w:type="auto"/>
        <w:tblInd w:w="720" w:type="dxa"/>
        <w:tblLook w:val="04A0" w:firstRow="1" w:lastRow="0" w:firstColumn="1" w:lastColumn="0" w:noHBand="0" w:noVBand="1"/>
      </w:tblPr>
      <w:tblGrid>
        <w:gridCol w:w="3975"/>
        <w:gridCol w:w="4133"/>
      </w:tblGrid>
      <w:tr w:rsidR="002E3D1B" w:rsidRPr="002E3D1B" w:rsidTr="00465DC2">
        <w:tc>
          <w:tcPr>
            <w:tcW w:w="4414" w:type="dxa"/>
          </w:tcPr>
          <w:p w:rsidR="00465DC2" w:rsidRPr="002E3D1B" w:rsidRDefault="00465DC2" w:rsidP="002E3D1B">
            <w:pPr>
              <w:pStyle w:val="Prrafodelista"/>
              <w:spacing w:line="360" w:lineRule="auto"/>
              <w:ind w:left="0"/>
              <w:rPr>
                <w:b/>
              </w:rPr>
            </w:pPr>
            <w:r w:rsidRPr="002E3D1B">
              <w:rPr>
                <w:b/>
              </w:rPr>
              <w:t>PERSPECTIVAS</w:t>
            </w:r>
          </w:p>
        </w:tc>
        <w:tc>
          <w:tcPr>
            <w:tcW w:w="4414" w:type="dxa"/>
          </w:tcPr>
          <w:p w:rsidR="00465DC2" w:rsidRPr="002E3D1B" w:rsidRDefault="00465DC2" w:rsidP="002E3D1B">
            <w:pPr>
              <w:pStyle w:val="Prrafodelista"/>
              <w:spacing w:line="360" w:lineRule="auto"/>
              <w:ind w:left="0"/>
              <w:rPr>
                <w:b/>
              </w:rPr>
            </w:pPr>
          </w:p>
        </w:tc>
      </w:tr>
      <w:tr w:rsidR="002E3D1B" w:rsidRPr="002E3D1B" w:rsidTr="00465DC2">
        <w:tc>
          <w:tcPr>
            <w:tcW w:w="4414" w:type="dxa"/>
          </w:tcPr>
          <w:p w:rsidR="00465DC2" w:rsidRPr="002E3D1B" w:rsidRDefault="00465DC2" w:rsidP="002E3D1B">
            <w:pPr>
              <w:pStyle w:val="Prrafodelista"/>
              <w:spacing w:line="360" w:lineRule="auto"/>
              <w:ind w:left="0"/>
              <w:rPr>
                <w:b/>
              </w:rPr>
            </w:pPr>
            <w:r w:rsidRPr="002E3D1B">
              <w:rPr>
                <w:b/>
                <w:noProof/>
                <w:lang w:eastAsia="es-CO"/>
              </w:rPr>
              <mc:AlternateContent>
                <mc:Choice Requires="wps">
                  <w:drawing>
                    <wp:anchor distT="0" distB="0" distL="114300" distR="114300" simplePos="0" relativeHeight="251661312" behindDoc="0" locked="0" layoutInCell="1" allowOverlap="1" wp14:anchorId="793779C0" wp14:editId="6046A226">
                      <wp:simplePos x="0" y="0"/>
                      <wp:positionH relativeFrom="page">
                        <wp:posOffset>113665</wp:posOffset>
                      </wp:positionH>
                      <wp:positionV relativeFrom="paragraph">
                        <wp:posOffset>66676</wp:posOffset>
                      </wp:positionV>
                      <wp:extent cx="2286000" cy="3162300"/>
                      <wp:effectExtent l="0" t="0" r="0" b="0"/>
                      <wp:wrapNone/>
                      <wp:docPr id="3" name="CuadroTexto 4"/>
                      <wp:cNvGraphicFramePr/>
                      <a:graphic xmlns:a="http://schemas.openxmlformats.org/drawingml/2006/main">
                        <a:graphicData uri="http://schemas.microsoft.com/office/word/2010/wordprocessingShape">
                          <wps:wsp>
                            <wps:cNvSpPr txBox="1"/>
                            <wps:spPr>
                              <a:xfrm>
                                <a:off x="0" y="0"/>
                                <a:ext cx="2286000" cy="3162300"/>
                              </a:xfrm>
                              <a:prstGeom prst="rect">
                                <a:avLst/>
                              </a:prstGeom>
                              <a:noFill/>
                            </wps:spPr>
                            <wps:txbx>
                              <w:txbxContent>
                                <w:p w:rsidR="00465DC2" w:rsidRDefault="00465DC2" w:rsidP="00465DC2">
                                  <w:pPr>
                                    <w:pStyle w:val="NormalWeb"/>
                                    <w:numPr>
                                      <w:ilvl w:val="0"/>
                                      <w:numId w:val="3"/>
                                    </w:numPr>
                                    <w:spacing w:before="0" w:beforeAutospacing="0" w:after="0" w:afterAutospacing="0"/>
                                    <w:jc w:val="both"/>
                                    <w:rPr>
                                      <w:rFonts w:asciiTheme="minorHAnsi" w:hAnsi="Calibri" w:cstheme="minorBidi"/>
                                      <w:color w:val="000000" w:themeColor="text1"/>
                                      <w:kern w:val="24"/>
                                    </w:rPr>
                                  </w:pPr>
                                  <w:r w:rsidRPr="00465DC2">
                                    <w:rPr>
                                      <w:rFonts w:asciiTheme="minorHAnsi" w:hAnsi="Calibri" w:cstheme="minorBidi"/>
                                      <w:color w:val="000000" w:themeColor="text1"/>
                                      <w:kern w:val="24"/>
                                    </w:rPr>
                                    <w:t xml:space="preserve">Desde la perspectiva de la dimensión de los medios económicos </w:t>
                                  </w:r>
                                </w:p>
                                <w:p w:rsidR="00465DC2" w:rsidRPr="00465DC2" w:rsidRDefault="00465DC2" w:rsidP="00465DC2">
                                  <w:pPr>
                                    <w:pStyle w:val="NormalWeb"/>
                                    <w:spacing w:before="0" w:beforeAutospacing="0" w:after="0" w:afterAutospacing="0"/>
                                    <w:ind w:left="360"/>
                                    <w:jc w:val="both"/>
                                  </w:pPr>
                                </w:p>
                                <w:p w:rsidR="00465DC2" w:rsidRDefault="00465DC2" w:rsidP="00465DC2">
                                  <w:pPr>
                                    <w:pStyle w:val="NormalWeb"/>
                                    <w:numPr>
                                      <w:ilvl w:val="0"/>
                                      <w:numId w:val="3"/>
                                    </w:numPr>
                                    <w:spacing w:before="0" w:beforeAutospacing="0" w:after="0" w:afterAutospacing="0"/>
                                    <w:jc w:val="both"/>
                                    <w:rPr>
                                      <w:rFonts w:asciiTheme="minorHAnsi" w:hAnsi="Calibri" w:cstheme="minorBidi"/>
                                      <w:color w:val="000000" w:themeColor="text1"/>
                                      <w:kern w:val="24"/>
                                    </w:rPr>
                                  </w:pPr>
                                  <w:r w:rsidRPr="00465DC2">
                                    <w:rPr>
                                      <w:rFonts w:asciiTheme="minorHAnsi" w:hAnsi="Calibri" w:cstheme="minorBidi"/>
                                      <w:color w:val="000000" w:themeColor="text1"/>
                                      <w:kern w:val="24"/>
                                    </w:rPr>
                                    <w:t xml:space="preserve">Desde la perspectiva de la dimensión de </w:t>
                                  </w:r>
                                  <w:r>
                                    <w:rPr>
                                      <w:rFonts w:asciiTheme="minorHAnsi" w:hAnsi="Calibri" w:cstheme="minorBidi"/>
                                      <w:color w:val="000000" w:themeColor="text1"/>
                                      <w:kern w:val="24"/>
                                    </w:rPr>
                                    <w:t>ca</w:t>
                                  </w:r>
                                  <w:r w:rsidRPr="00465DC2">
                                    <w:rPr>
                                      <w:rFonts w:asciiTheme="minorHAnsi" w:hAnsi="Calibri" w:cstheme="minorBidi"/>
                                      <w:color w:val="000000" w:themeColor="text1"/>
                                      <w:kern w:val="24"/>
                                    </w:rPr>
                                    <w:t xml:space="preserve">lidad de vida y fines del bien-estar </w:t>
                                  </w:r>
                                  <w:r>
                                    <w:rPr>
                                      <w:rFonts w:asciiTheme="minorHAnsi" w:hAnsi="Calibri" w:cstheme="minorBidi"/>
                                      <w:color w:val="000000" w:themeColor="text1"/>
                                      <w:kern w:val="24"/>
                                    </w:rPr>
                                    <w:t>(capacidad de las persona</w:t>
                                  </w:r>
                                  <w:r w:rsidRPr="00465DC2">
                                    <w:rPr>
                                      <w:rFonts w:asciiTheme="minorHAnsi" w:hAnsi="Calibri" w:cstheme="minorBidi"/>
                                      <w:color w:val="000000" w:themeColor="text1"/>
                                      <w:kern w:val="24"/>
                                    </w:rPr>
                                    <w:t xml:space="preserve">s de transformar los alimentos) </w:t>
                                  </w:r>
                                </w:p>
                                <w:p w:rsidR="00465DC2" w:rsidRDefault="00465DC2" w:rsidP="00465DC2">
                                  <w:pPr>
                                    <w:pStyle w:val="NormalWeb"/>
                                    <w:spacing w:before="0" w:beforeAutospacing="0" w:after="0" w:afterAutospacing="0"/>
                                    <w:jc w:val="both"/>
                                  </w:pPr>
                                </w:p>
                                <w:p w:rsidR="00465DC2" w:rsidRDefault="00465DC2" w:rsidP="00465DC2">
                                  <w:pPr>
                                    <w:pStyle w:val="NormalWeb"/>
                                    <w:numPr>
                                      <w:ilvl w:val="0"/>
                                      <w:numId w:val="3"/>
                                    </w:numPr>
                                    <w:spacing w:before="0" w:beforeAutospacing="0" w:after="0" w:afterAutospacing="0"/>
                                    <w:jc w:val="both"/>
                                    <w:rPr>
                                      <w:rFonts w:asciiTheme="minorHAnsi" w:hAnsi="Calibri" w:cstheme="minorBidi"/>
                                      <w:color w:val="000000" w:themeColor="text1"/>
                                      <w:kern w:val="24"/>
                                    </w:rPr>
                                  </w:pPr>
                                  <w:r w:rsidRPr="00465DC2">
                                    <w:rPr>
                                      <w:rFonts w:asciiTheme="minorHAnsi" w:hAnsi="Calibri" w:cstheme="minorBidi"/>
                                      <w:color w:val="000000" w:themeColor="text1"/>
                                      <w:kern w:val="24"/>
                                    </w:rPr>
                                    <w:t xml:space="preserve">Aspectos relacionados con la calidad e </w:t>
                                  </w:r>
                                  <w:r>
                                    <w:rPr>
                                      <w:rFonts w:asciiTheme="minorHAnsi" w:hAnsi="Calibri" w:cstheme="minorBidi"/>
                                      <w:color w:val="000000" w:themeColor="text1"/>
                                      <w:kern w:val="24"/>
                                    </w:rPr>
                                    <w:t>inocuidad de los alimentos.</w:t>
                                  </w:r>
                                </w:p>
                                <w:p w:rsidR="00465DC2" w:rsidRDefault="00465DC2" w:rsidP="00465DC2">
                                  <w:pPr>
                                    <w:pStyle w:val="Prrafodelista"/>
                                  </w:pPr>
                                </w:p>
                                <w:p w:rsidR="00465DC2" w:rsidRPr="00465DC2" w:rsidRDefault="00465DC2" w:rsidP="00465DC2">
                                  <w:pPr>
                                    <w:pStyle w:val="NormalWeb"/>
                                    <w:spacing w:before="0" w:beforeAutospacing="0" w:after="0" w:afterAutospacing="0"/>
                                    <w:jc w:val="both"/>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793779C0" id="_x0000_t202" coordsize="21600,21600" o:spt="202" path="m,l,21600r21600,l21600,xe">
                      <v:stroke joinstyle="miter"/>
                      <v:path gradientshapeok="t" o:connecttype="rect"/>
                    </v:shapetype>
                    <v:shape id="CuadroTexto 4" o:spid="_x0000_s1026" type="#_x0000_t202" style="position:absolute;margin-left:8.95pt;margin-top:5.25pt;width:180pt;height:24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" filled="f" stroked="f">
                      <v:textbox>
                        <w:txbxContent>
                          <w:p w:rsidR="00465DC2" w:rsidRDefault="00465DC2" w:rsidP="00465DC2">
                            <w:pPr>
                              <w:pStyle w:val="NormalWeb"/>
                              <w:numPr>
                                <w:ilvl w:val="0"/>
                                <w:numId w:val="3"/>
                              </w:numPr>
                              <w:spacing w:before="0" w:beforeAutospacing="0" w:after="0" w:afterAutospacing="0"/>
                              <w:jc w:val="both"/>
                              <w:rPr>
                                <w:rFonts w:asciiTheme="minorHAnsi" w:hAnsi="Calibri" w:cstheme="minorBidi"/>
                                <w:color w:val="000000" w:themeColor="text1"/>
                                <w:kern w:val="24"/>
                              </w:rPr>
                            </w:pPr>
                            <w:r w:rsidRPr="00465DC2">
                              <w:rPr>
                                <w:rFonts w:asciiTheme="minorHAnsi" w:hAnsi="Calibri" w:cstheme="minorBidi"/>
                                <w:color w:val="000000" w:themeColor="text1"/>
                                <w:kern w:val="24"/>
                              </w:rPr>
                              <w:t xml:space="preserve">Desde la perspectiva de la dimensión de los medios económicos </w:t>
                            </w:r>
                          </w:p>
                          <w:p w:rsidR="00465DC2" w:rsidRPr="00465DC2" w:rsidRDefault="00465DC2" w:rsidP="00465DC2">
                            <w:pPr>
                              <w:pStyle w:val="NormalWeb"/>
                              <w:spacing w:before="0" w:beforeAutospacing="0" w:after="0" w:afterAutospacing="0"/>
                              <w:ind w:left="360"/>
                              <w:jc w:val="both"/>
                            </w:pPr>
                          </w:p>
                          <w:p w:rsidR="00465DC2" w:rsidRDefault="00465DC2" w:rsidP="00465DC2">
                            <w:pPr>
                              <w:pStyle w:val="NormalWeb"/>
                              <w:numPr>
                                <w:ilvl w:val="0"/>
                                <w:numId w:val="3"/>
                              </w:numPr>
                              <w:spacing w:before="0" w:beforeAutospacing="0" w:after="0" w:afterAutospacing="0"/>
                              <w:jc w:val="both"/>
                              <w:rPr>
                                <w:rFonts w:asciiTheme="minorHAnsi" w:hAnsi="Calibri" w:cstheme="minorBidi"/>
                                <w:color w:val="000000" w:themeColor="text1"/>
                                <w:kern w:val="24"/>
                              </w:rPr>
                            </w:pPr>
                            <w:r w:rsidRPr="00465DC2">
                              <w:rPr>
                                <w:rFonts w:asciiTheme="minorHAnsi" w:hAnsi="Calibri" w:cstheme="minorBidi"/>
                                <w:color w:val="000000" w:themeColor="text1"/>
                                <w:kern w:val="24"/>
                              </w:rPr>
                              <w:t xml:space="preserve">Desde la perspectiva de la dimensión de </w:t>
                            </w:r>
                            <w:r>
                              <w:rPr>
                                <w:rFonts w:asciiTheme="minorHAnsi" w:hAnsi="Calibri" w:cstheme="minorBidi"/>
                                <w:color w:val="000000" w:themeColor="text1"/>
                                <w:kern w:val="24"/>
                              </w:rPr>
                              <w:t>ca</w:t>
                            </w:r>
                            <w:r w:rsidRPr="00465DC2">
                              <w:rPr>
                                <w:rFonts w:asciiTheme="minorHAnsi" w:hAnsi="Calibri" w:cstheme="minorBidi"/>
                                <w:color w:val="000000" w:themeColor="text1"/>
                                <w:kern w:val="24"/>
                              </w:rPr>
                              <w:t>lidad</w:t>
                            </w:r>
                            <w:r w:rsidRPr="00465DC2">
                              <w:rPr>
                                <w:rFonts w:asciiTheme="minorHAnsi" w:hAnsi="Calibri" w:cstheme="minorBidi"/>
                                <w:color w:val="000000" w:themeColor="text1"/>
                                <w:kern w:val="24"/>
                              </w:rPr>
                              <w:t xml:space="preserve"> de vida y fines del bien-estar </w:t>
                            </w:r>
                            <w:r>
                              <w:rPr>
                                <w:rFonts w:asciiTheme="minorHAnsi" w:hAnsi="Calibri" w:cstheme="minorBidi"/>
                                <w:color w:val="000000" w:themeColor="text1"/>
                                <w:kern w:val="24"/>
                              </w:rPr>
                              <w:t>(capacidad de las persona</w:t>
                            </w:r>
                            <w:r w:rsidRPr="00465DC2">
                              <w:rPr>
                                <w:rFonts w:asciiTheme="minorHAnsi" w:hAnsi="Calibri" w:cstheme="minorBidi"/>
                                <w:color w:val="000000" w:themeColor="text1"/>
                                <w:kern w:val="24"/>
                              </w:rPr>
                              <w:t xml:space="preserve">s de transformar los alimentos) </w:t>
                            </w:r>
                          </w:p>
                          <w:p w:rsidR="00465DC2" w:rsidRDefault="00465DC2" w:rsidP="00465DC2">
                            <w:pPr>
                              <w:pStyle w:val="NormalWeb"/>
                              <w:spacing w:before="0" w:beforeAutospacing="0" w:after="0" w:afterAutospacing="0"/>
                              <w:jc w:val="both"/>
                            </w:pPr>
                          </w:p>
                          <w:p w:rsidR="00465DC2" w:rsidRDefault="00465DC2" w:rsidP="00465DC2">
                            <w:pPr>
                              <w:pStyle w:val="NormalWeb"/>
                              <w:numPr>
                                <w:ilvl w:val="0"/>
                                <w:numId w:val="3"/>
                              </w:numPr>
                              <w:spacing w:before="0" w:beforeAutospacing="0" w:after="0" w:afterAutospacing="0"/>
                              <w:jc w:val="both"/>
                              <w:rPr>
                                <w:rFonts w:asciiTheme="minorHAnsi" w:hAnsi="Calibri" w:cstheme="minorBidi"/>
                                <w:color w:val="000000" w:themeColor="text1"/>
                                <w:kern w:val="24"/>
                              </w:rPr>
                            </w:pPr>
                            <w:r w:rsidRPr="00465DC2">
                              <w:rPr>
                                <w:rFonts w:asciiTheme="minorHAnsi" w:hAnsi="Calibri" w:cstheme="minorBidi"/>
                                <w:color w:val="000000" w:themeColor="text1"/>
                                <w:kern w:val="24"/>
                              </w:rPr>
                              <w:t xml:space="preserve">Aspectos relacionados con la calidad e </w:t>
                            </w:r>
                            <w:r>
                              <w:rPr>
                                <w:rFonts w:asciiTheme="minorHAnsi" w:hAnsi="Calibri" w:cstheme="minorBidi"/>
                                <w:color w:val="000000" w:themeColor="text1"/>
                                <w:kern w:val="24"/>
                              </w:rPr>
                              <w:t>inocuidad de los alimentos.</w:t>
                            </w:r>
                          </w:p>
                          <w:p w:rsidR="00465DC2" w:rsidRDefault="00465DC2" w:rsidP="00465DC2">
                            <w:pPr>
                              <w:pStyle w:val="Prrafodelista"/>
                            </w:pPr>
                          </w:p>
                          <w:p w:rsidR="00465DC2" w:rsidRPr="00465DC2" w:rsidRDefault="00465DC2" w:rsidP="00465DC2">
                            <w:pPr>
                              <w:pStyle w:val="NormalWeb"/>
                              <w:spacing w:before="0" w:beforeAutospacing="0" w:after="0" w:afterAutospacing="0"/>
                              <w:jc w:val="both"/>
                            </w:pPr>
                          </w:p>
                        </w:txbxContent>
                      </v:textbox>
                      <w10:wrap anchorx="page"/>
                    </v:shape>
                  </w:pict>
                </mc:Fallback>
              </mc:AlternateContent>
            </w:r>
          </w:p>
          <w:p w:rsidR="00465DC2" w:rsidRPr="002E3D1B" w:rsidRDefault="00465DC2" w:rsidP="002E3D1B">
            <w:pPr>
              <w:pStyle w:val="Prrafodelista"/>
              <w:spacing w:line="360" w:lineRule="auto"/>
              <w:ind w:left="0"/>
              <w:rPr>
                <w:b/>
              </w:rPr>
            </w:pPr>
          </w:p>
          <w:p w:rsidR="00465DC2" w:rsidRPr="002E3D1B" w:rsidRDefault="00465DC2" w:rsidP="002E3D1B">
            <w:pPr>
              <w:pStyle w:val="Prrafodelista"/>
              <w:spacing w:line="360" w:lineRule="auto"/>
              <w:ind w:left="0"/>
              <w:rPr>
                <w:b/>
              </w:rPr>
            </w:pPr>
          </w:p>
          <w:p w:rsidR="00465DC2" w:rsidRPr="002E3D1B" w:rsidRDefault="00465DC2" w:rsidP="002E3D1B">
            <w:pPr>
              <w:pStyle w:val="Prrafodelista"/>
              <w:spacing w:line="360" w:lineRule="auto"/>
              <w:ind w:left="0"/>
              <w:rPr>
                <w:b/>
              </w:rPr>
            </w:pPr>
          </w:p>
          <w:p w:rsidR="00465DC2" w:rsidRPr="002E3D1B" w:rsidRDefault="00465DC2" w:rsidP="002E3D1B">
            <w:pPr>
              <w:pStyle w:val="Prrafodelista"/>
              <w:spacing w:line="360" w:lineRule="auto"/>
              <w:ind w:left="0"/>
              <w:rPr>
                <w:b/>
              </w:rPr>
            </w:pPr>
          </w:p>
          <w:p w:rsidR="00465DC2" w:rsidRPr="002E3D1B" w:rsidRDefault="00465DC2" w:rsidP="002E3D1B">
            <w:pPr>
              <w:pStyle w:val="Prrafodelista"/>
              <w:spacing w:line="360" w:lineRule="auto"/>
              <w:ind w:left="0"/>
              <w:rPr>
                <w:b/>
              </w:rPr>
            </w:pPr>
          </w:p>
          <w:p w:rsidR="00465DC2" w:rsidRPr="002E3D1B" w:rsidRDefault="00465DC2" w:rsidP="002E3D1B">
            <w:pPr>
              <w:pStyle w:val="Prrafodelista"/>
              <w:spacing w:line="360" w:lineRule="auto"/>
              <w:ind w:left="0"/>
              <w:rPr>
                <w:b/>
              </w:rPr>
            </w:pPr>
          </w:p>
          <w:p w:rsidR="00465DC2" w:rsidRPr="002E3D1B" w:rsidRDefault="00465DC2" w:rsidP="002E3D1B">
            <w:pPr>
              <w:pStyle w:val="Prrafodelista"/>
              <w:spacing w:line="360" w:lineRule="auto"/>
              <w:ind w:left="0"/>
              <w:rPr>
                <w:b/>
              </w:rPr>
            </w:pPr>
          </w:p>
          <w:p w:rsidR="00465DC2" w:rsidRPr="002E3D1B" w:rsidRDefault="00465DC2" w:rsidP="002E3D1B">
            <w:pPr>
              <w:pStyle w:val="Prrafodelista"/>
              <w:spacing w:line="360" w:lineRule="auto"/>
              <w:ind w:left="0"/>
              <w:rPr>
                <w:b/>
              </w:rPr>
            </w:pPr>
          </w:p>
          <w:p w:rsidR="00465DC2" w:rsidRPr="002E3D1B" w:rsidRDefault="00465DC2" w:rsidP="002E3D1B">
            <w:pPr>
              <w:pStyle w:val="Prrafodelista"/>
              <w:spacing w:line="360" w:lineRule="auto"/>
              <w:ind w:left="0"/>
              <w:rPr>
                <w:b/>
              </w:rPr>
            </w:pPr>
          </w:p>
          <w:p w:rsidR="00465DC2" w:rsidRPr="002E3D1B" w:rsidRDefault="00465DC2" w:rsidP="002E3D1B">
            <w:pPr>
              <w:pStyle w:val="Prrafodelista"/>
              <w:spacing w:line="360" w:lineRule="auto"/>
              <w:ind w:left="0"/>
              <w:jc w:val="right"/>
              <w:rPr>
                <w:b/>
              </w:rPr>
            </w:pPr>
          </w:p>
          <w:p w:rsidR="00465DC2" w:rsidRPr="002E3D1B" w:rsidRDefault="00465DC2" w:rsidP="002E3D1B">
            <w:pPr>
              <w:pStyle w:val="Prrafodelista"/>
              <w:spacing w:line="360" w:lineRule="auto"/>
              <w:ind w:left="0"/>
              <w:jc w:val="right"/>
              <w:rPr>
                <w:b/>
              </w:rPr>
            </w:pPr>
          </w:p>
          <w:p w:rsidR="00465DC2" w:rsidRPr="002E3D1B" w:rsidRDefault="00465DC2" w:rsidP="002E3D1B">
            <w:pPr>
              <w:pStyle w:val="Prrafodelista"/>
              <w:spacing w:line="360" w:lineRule="auto"/>
              <w:ind w:left="0"/>
              <w:jc w:val="right"/>
              <w:rPr>
                <w:b/>
              </w:rPr>
            </w:pPr>
          </w:p>
        </w:tc>
        <w:tc>
          <w:tcPr>
            <w:tcW w:w="4414" w:type="dxa"/>
          </w:tcPr>
          <w:p w:rsidR="00465DC2" w:rsidRPr="002E3D1B" w:rsidRDefault="00465DC2" w:rsidP="002E3D1B">
            <w:pPr>
              <w:pStyle w:val="Prrafodelista"/>
              <w:spacing w:line="360" w:lineRule="auto"/>
              <w:rPr>
                <w:b/>
              </w:rPr>
            </w:pPr>
          </w:p>
          <w:p w:rsidR="00465DC2" w:rsidRPr="002E3D1B" w:rsidRDefault="00465DC2" w:rsidP="002E3D1B">
            <w:pPr>
              <w:pStyle w:val="Prrafodelista"/>
              <w:spacing w:line="360" w:lineRule="auto"/>
              <w:rPr>
                <w:b/>
              </w:rPr>
            </w:pPr>
            <w:r w:rsidRPr="002E3D1B">
              <w:rPr>
                <w:b/>
              </w:rPr>
              <w:t xml:space="preserve">a) Disponibilidad de los alimentos </w:t>
            </w:r>
          </w:p>
          <w:p w:rsidR="00465DC2" w:rsidRPr="002E3D1B" w:rsidRDefault="00465DC2" w:rsidP="002E3D1B">
            <w:pPr>
              <w:pStyle w:val="Prrafodelista"/>
              <w:spacing w:line="360" w:lineRule="auto"/>
              <w:rPr>
                <w:b/>
              </w:rPr>
            </w:pPr>
            <w:r w:rsidRPr="002E3D1B">
              <w:rPr>
                <w:b/>
              </w:rPr>
              <w:t xml:space="preserve">b) Acceso </w:t>
            </w:r>
          </w:p>
          <w:p w:rsidR="00465DC2" w:rsidRPr="002E3D1B" w:rsidRDefault="00465DC2" w:rsidP="002E3D1B">
            <w:pPr>
              <w:pStyle w:val="Prrafodelista"/>
              <w:spacing w:line="360" w:lineRule="auto"/>
              <w:rPr>
                <w:b/>
              </w:rPr>
            </w:pPr>
          </w:p>
          <w:p w:rsidR="00465DC2" w:rsidRPr="002E3D1B" w:rsidRDefault="00465DC2" w:rsidP="002E3D1B">
            <w:pPr>
              <w:pStyle w:val="Prrafodelista"/>
              <w:spacing w:line="360" w:lineRule="auto"/>
              <w:rPr>
                <w:b/>
              </w:rPr>
            </w:pPr>
          </w:p>
          <w:p w:rsidR="00465DC2" w:rsidRPr="002E3D1B" w:rsidRDefault="00465DC2" w:rsidP="002E3D1B">
            <w:pPr>
              <w:pStyle w:val="Prrafodelista"/>
              <w:spacing w:line="360" w:lineRule="auto"/>
              <w:rPr>
                <w:b/>
              </w:rPr>
            </w:pPr>
          </w:p>
          <w:p w:rsidR="00465DC2" w:rsidRPr="002E3D1B" w:rsidRDefault="00465DC2" w:rsidP="002E3D1B">
            <w:pPr>
              <w:pStyle w:val="Prrafodelista"/>
              <w:spacing w:line="360" w:lineRule="auto"/>
              <w:rPr>
                <w:b/>
              </w:rPr>
            </w:pPr>
            <w:r w:rsidRPr="002E3D1B">
              <w:rPr>
                <w:b/>
              </w:rPr>
              <w:t xml:space="preserve">c) Consumo </w:t>
            </w:r>
          </w:p>
          <w:p w:rsidR="00465DC2" w:rsidRPr="002E3D1B" w:rsidRDefault="00465DC2" w:rsidP="002E3D1B">
            <w:pPr>
              <w:pStyle w:val="Prrafodelista"/>
              <w:spacing w:line="360" w:lineRule="auto"/>
              <w:rPr>
                <w:b/>
              </w:rPr>
            </w:pPr>
            <w:r w:rsidRPr="002E3D1B">
              <w:rPr>
                <w:b/>
              </w:rPr>
              <w:t xml:space="preserve">d) Aprovechamiento </w:t>
            </w:r>
          </w:p>
          <w:p w:rsidR="00465DC2" w:rsidRPr="002E3D1B" w:rsidRDefault="00465DC2" w:rsidP="002E3D1B">
            <w:pPr>
              <w:pStyle w:val="Prrafodelista"/>
              <w:spacing w:line="360" w:lineRule="auto"/>
              <w:rPr>
                <w:b/>
              </w:rPr>
            </w:pPr>
          </w:p>
          <w:p w:rsidR="00465DC2" w:rsidRPr="002E3D1B" w:rsidRDefault="002E3D1B" w:rsidP="002E3D1B">
            <w:pPr>
              <w:spacing w:line="360" w:lineRule="auto"/>
              <w:rPr>
                <w:b/>
              </w:rPr>
            </w:pPr>
            <w:r>
              <w:rPr>
                <w:b/>
              </w:rPr>
              <w:t xml:space="preserve">              </w:t>
            </w:r>
            <w:r w:rsidR="00465DC2" w:rsidRPr="002E3D1B">
              <w:rPr>
                <w:b/>
              </w:rPr>
              <w:t xml:space="preserve">e) Calidad e inocuidad de los </w:t>
            </w:r>
          </w:p>
          <w:p w:rsidR="00465DC2" w:rsidRPr="002E3D1B" w:rsidRDefault="00465DC2" w:rsidP="002E3D1B">
            <w:pPr>
              <w:pStyle w:val="Prrafodelista"/>
              <w:spacing w:line="360" w:lineRule="auto"/>
              <w:rPr>
                <w:b/>
              </w:rPr>
            </w:pPr>
            <w:r w:rsidRPr="002E3D1B">
              <w:rPr>
                <w:b/>
              </w:rPr>
              <w:t xml:space="preserve">alimentos </w:t>
            </w:r>
          </w:p>
          <w:p w:rsidR="00465DC2" w:rsidRPr="002E3D1B" w:rsidRDefault="00465DC2" w:rsidP="002E3D1B">
            <w:pPr>
              <w:pStyle w:val="Prrafodelista"/>
              <w:spacing w:line="360" w:lineRule="auto"/>
              <w:ind w:left="0"/>
              <w:rPr>
                <w:b/>
              </w:rPr>
            </w:pPr>
          </w:p>
        </w:tc>
      </w:tr>
    </w:tbl>
    <w:p w:rsidR="00465DC2" w:rsidRDefault="00465DC2" w:rsidP="002E3D1B">
      <w:pPr>
        <w:pStyle w:val="Prrafodelista"/>
        <w:spacing w:line="360" w:lineRule="auto"/>
        <w:rPr>
          <w:b/>
        </w:rPr>
      </w:pPr>
    </w:p>
    <w:p w:rsidR="0019723A" w:rsidRPr="0019723A" w:rsidRDefault="0019723A" w:rsidP="0019723A">
      <w:pPr>
        <w:spacing w:line="360" w:lineRule="auto"/>
        <w:rPr>
          <w:rFonts w:ascii="Arial" w:hAnsi="Arial" w:cs="Arial"/>
          <w:sz w:val="24"/>
          <w:szCs w:val="24"/>
        </w:rPr>
      </w:pPr>
    </w:p>
    <w:p w:rsidR="00465DC2" w:rsidRPr="002E3D1B" w:rsidRDefault="00465DC2" w:rsidP="002E3D1B">
      <w:pPr>
        <w:pStyle w:val="Prrafodelista"/>
        <w:spacing w:line="360" w:lineRule="auto"/>
      </w:pPr>
    </w:p>
    <w:p w:rsidR="0019723A" w:rsidRPr="0019723A" w:rsidRDefault="0019723A" w:rsidP="0019723A">
      <w:pPr>
        <w:pStyle w:val="Prrafodelista"/>
        <w:numPr>
          <w:ilvl w:val="0"/>
          <w:numId w:val="1"/>
        </w:numPr>
        <w:spacing w:line="360" w:lineRule="auto"/>
        <w:jc w:val="center"/>
        <w:rPr>
          <w:rFonts w:ascii="Arial" w:hAnsi="Arial" w:cs="Arial"/>
          <w:b/>
          <w:sz w:val="24"/>
          <w:szCs w:val="24"/>
        </w:rPr>
      </w:pPr>
      <w:r>
        <w:rPr>
          <w:rFonts w:ascii="Arial" w:hAnsi="Arial" w:cs="Arial"/>
          <w:b/>
          <w:sz w:val="24"/>
          <w:szCs w:val="24"/>
        </w:rPr>
        <w:t>Resultados esperados</w:t>
      </w:r>
    </w:p>
    <w:p w:rsidR="0019723A" w:rsidRPr="0019723A" w:rsidRDefault="0019723A" w:rsidP="0019723A">
      <w:pPr>
        <w:spacing w:line="360" w:lineRule="auto"/>
        <w:jc w:val="both"/>
        <w:rPr>
          <w:rFonts w:ascii="Arial" w:hAnsi="Arial" w:cs="Arial"/>
          <w:sz w:val="24"/>
          <w:szCs w:val="24"/>
        </w:rPr>
      </w:pPr>
      <w:r w:rsidRPr="0019723A">
        <w:rPr>
          <w:rFonts w:ascii="Arial" w:hAnsi="Arial" w:cs="Arial"/>
          <w:sz w:val="24"/>
          <w:szCs w:val="24"/>
        </w:rPr>
        <w:t>Proponer una herramienta que permita evidenciar los efectos que ha tenido la resolución 9.70 en el sector arrocero colombiano.</w:t>
      </w:r>
    </w:p>
    <w:p w:rsidR="0019723A" w:rsidRPr="0019723A" w:rsidRDefault="0019723A" w:rsidP="0019723A">
      <w:pPr>
        <w:spacing w:line="360" w:lineRule="auto"/>
        <w:jc w:val="both"/>
        <w:rPr>
          <w:rFonts w:ascii="Arial" w:hAnsi="Arial" w:cs="Arial"/>
          <w:sz w:val="24"/>
          <w:szCs w:val="24"/>
        </w:rPr>
      </w:pPr>
      <w:r w:rsidRPr="0019723A">
        <w:rPr>
          <w:rFonts w:ascii="Arial" w:hAnsi="Arial" w:cs="Arial"/>
          <w:sz w:val="24"/>
          <w:szCs w:val="24"/>
        </w:rPr>
        <w:t xml:space="preserve">Evidenciar la eficiencia de la resolución 9.70 del 2010 como medida estatal para propender por el crecimiento nacional agrícola de tal modo que se establezca el beneficio de la resolución para la población campesina del sector arrocero colombiano. </w:t>
      </w:r>
    </w:p>
    <w:p w:rsidR="0019723A" w:rsidRPr="0019723A" w:rsidRDefault="0019723A" w:rsidP="0019723A">
      <w:pPr>
        <w:spacing w:line="360" w:lineRule="auto"/>
        <w:jc w:val="both"/>
        <w:rPr>
          <w:rFonts w:ascii="Arial" w:hAnsi="Arial" w:cs="Arial"/>
          <w:sz w:val="24"/>
          <w:szCs w:val="24"/>
        </w:rPr>
      </w:pPr>
      <w:r w:rsidRPr="0019723A">
        <w:rPr>
          <w:rFonts w:ascii="Arial" w:hAnsi="Arial" w:cs="Arial"/>
          <w:sz w:val="24"/>
          <w:szCs w:val="24"/>
        </w:rPr>
        <w:t xml:space="preserve">Analizar las consecuencias sociales, económicas y jurídicas que la resolución ha generado en la población campesina del sector arrocero colombiano para proponer acciones en busca de una mejora. </w:t>
      </w:r>
    </w:p>
    <w:p w:rsidR="0019723A" w:rsidRDefault="0019723A" w:rsidP="0019723A">
      <w:pPr>
        <w:spacing w:line="360" w:lineRule="auto"/>
        <w:jc w:val="both"/>
        <w:rPr>
          <w:rFonts w:ascii="Arial" w:hAnsi="Arial" w:cs="Arial"/>
          <w:sz w:val="24"/>
          <w:szCs w:val="24"/>
        </w:rPr>
      </w:pPr>
      <w:r w:rsidRPr="0019723A">
        <w:rPr>
          <w:rFonts w:ascii="Arial" w:hAnsi="Arial" w:cs="Arial"/>
          <w:sz w:val="24"/>
          <w:szCs w:val="24"/>
        </w:rPr>
        <w:t xml:space="preserve">Analizar las incidencias de la resolución 970 del 210 frente a la seguridad alimentaria como derecho fundamental y garantía del Estado. </w:t>
      </w:r>
    </w:p>
    <w:p w:rsidR="0019723A" w:rsidRDefault="0019723A" w:rsidP="0019723A">
      <w:pPr>
        <w:spacing w:line="360" w:lineRule="auto"/>
        <w:jc w:val="both"/>
        <w:rPr>
          <w:rFonts w:ascii="Arial" w:hAnsi="Arial" w:cs="Arial"/>
          <w:sz w:val="24"/>
          <w:szCs w:val="24"/>
        </w:rPr>
      </w:pPr>
    </w:p>
    <w:p w:rsidR="0019723A" w:rsidRPr="0019723A" w:rsidRDefault="0019723A" w:rsidP="0019723A">
      <w:pPr>
        <w:pStyle w:val="Prrafodelista"/>
        <w:numPr>
          <w:ilvl w:val="0"/>
          <w:numId w:val="1"/>
        </w:numPr>
        <w:spacing w:line="360" w:lineRule="auto"/>
        <w:jc w:val="center"/>
        <w:rPr>
          <w:rFonts w:ascii="Arial" w:hAnsi="Arial" w:cs="Arial"/>
          <w:b/>
          <w:sz w:val="24"/>
          <w:szCs w:val="24"/>
        </w:rPr>
      </w:pPr>
      <w:r w:rsidRPr="0019723A">
        <w:rPr>
          <w:rFonts w:ascii="Arial" w:hAnsi="Arial" w:cs="Arial"/>
          <w:b/>
          <w:sz w:val="24"/>
          <w:szCs w:val="24"/>
        </w:rPr>
        <w:t>Conclusiones</w:t>
      </w:r>
    </w:p>
    <w:p w:rsidR="0019723A" w:rsidRDefault="0019723A" w:rsidP="0019723A">
      <w:pPr>
        <w:spacing w:line="360" w:lineRule="auto"/>
        <w:ind w:left="360"/>
        <w:rPr>
          <w:rFonts w:ascii="Arial" w:hAnsi="Arial" w:cs="Arial"/>
          <w:sz w:val="24"/>
          <w:szCs w:val="24"/>
        </w:rPr>
      </w:pPr>
    </w:p>
    <w:p w:rsidR="0019723A" w:rsidRPr="0019723A" w:rsidRDefault="0019723A" w:rsidP="0019723A">
      <w:pPr>
        <w:spacing w:line="360" w:lineRule="auto"/>
        <w:jc w:val="both"/>
        <w:rPr>
          <w:rFonts w:ascii="Arial" w:hAnsi="Arial" w:cs="Arial"/>
          <w:sz w:val="24"/>
          <w:szCs w:val="24"/>
        </w:rPr>
      </w:pPr>
      <w:r w:rsidRPr="0019723A">
        <w:rPr>
          <w:rFonts w:ascii="Arial" w:hAnsi="Arial" w:cs="Arial"/>
          <w:sz w:val="24"/>
          <w:szCs w:val="24"/>
        </w:rPr>
        <w:t xml:space="preserve">Esta propuesta de investigación es inicialmente una herramienta de aprendizaje que pretende beneficiar a la comunidad académica, dando como resultado un documento técnico que genere un valor agregado y despierte el interés de esta. Así mismo, se espera que la investigación suscite el interés de la comunidad estudiantil de tal forma que se desarrollen futuras investigaciones bajo la misma temática.  </w:t>
      </w:r>
    </w:p>
    <w:p w:rsidR="0019723A" w:rsidRPr="0019723A" w:rsidRDefault="0019723A" w:rsidP="0019723A">
      <w:pPr>
        <w:spacing w:line="360" w:lineRule="auto"/>
        <w:jc w:val="both"/>
        <w:rPr>
          <w:rFonts w:ascii="Arial" w:hAnsi="Arial" w:cs="Arial"/>
          <w:sz w:val="24"/>
          <w:szCs w:val="24"/>
        </w:rPr>
      </w:pPr>
      <w:r w:rsidRPr="0019723A">
        <w:rPr>
          <w:rFonts w:ascii="Arial" w:hAnsi="Arial" w:cs="Arial"/>
          <w:sz w:val="24"/>
          <w:szCs w:val="24"/>
        </w:rPr>
        <w:t xml:space="preserve">Se espera con este proyecto generar redes de investigación donde se permita la creación de nuevos modelos que puedan ayudar a clarificar la relación de los negocios internacionales y el derecho dentro de </w:t>
      </w:r>
    </w:p>
    <w:p w:rsidR="0019723A" w:rsidRPr="0019723A" w:rsidRDefault="0019723A" w:rsidP="0019723A">
      <w:pPr>
        <w:pStyle w:val="Prrafodelista"/>
        <w:spacing w:line="360" w:lineRule="auto"/>
        <w:ind w:left="0"/>
        <w:jc w:val="both"/>
        <w:rPr>
          <w:rFonts w:ascii="Arial" w:hAnsi="Arial" w:cs="Arial"/>
          <w:sz w:val="24"/>
          <w:szCs w:val="24"/>
        </w:rPr>
      </w:pPr>
      <w:r w:rsidRPr="0019723A">
        <w:rPr>
          <w:rFonts w:ascii="Arial" w:hAnsi="Arial" w:cs="Arial"/>
          <w:sz w:val="24"/>
          <w:szCs w:val="24"/>
        </w:rPr>
        <w:lastRenderedPageBreak/>
        <w:t>Este proyecto generará un estado del arte referente a las teorías de desarrollo económico, teorías clásicas de comercio exterior y las nuevas teorías del comercio internacional, que en conjunto pretenden plantear una relación entre los negocios internacionales y los aspectos sociales de una economía.</w:t>
      </w:r>
    </w:p>
    <w:p w:rsidR="0019723A" w:rsidRPr="0019723A" w:rsidRDefault="0019723A" w:rsidP="0019723A">
      <w:pPr>
        <w:spacing w:line="360" w:lineRule="auto"/>
        <w:jc w:val="both"/>
        <w:rPr>
          <w:rFonts w:ascii="Arial" w:hAnsi="Arial" w:cs="Arial"/>
          <w:sz w:val="24"/>
          <w:szCs w:val="24"/>
        </w:rPr>
      </w:pPr>
    </w:p>
    <w:p w:rsidR="0019723A" w:rsidRPr="002E3D1B" w:rsidRDefault="0019723A" w:rsidP="0019723A">
      <w:pPr>
        <w:pStyle w:val="Prrafodelista"/>
        <w:spacing w:line="360" w:lineRule="auto"/>
        <w:rPr>
          <w:b/>
        </w:rPr>
      </w:pPr>
    </w:p>
    <w:p w:rsidR="00E244D2" w:rsidRPr="002E3D1B" w:rsidRDefault="00E244D2" w:rsidP="002E3D1B">
      <w:pPr>
        <w:spacing w:line="360" w:lineRule="auto"/>
      </w:pPr>
    </w:p>
    <w:sectPr w:rsidR="00E244D2" w:rsidRPr="002E3D1B" w:rsidSect="00FE4051">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14D8" w:rsidRDefault="00B714D8" w:rsidP="008B0FE7">
      <w:pPr>
        <w:spacing w:after="0" w:line="240" w:lineRule="auto"/>
      </w:pPr>
      <w:r>
        <w:separator/>
      </w:r>
    </w:p>
  </w:endnote>
  <w:endnote w:type="continuationSeparator" w:id="0">
    <w:p w:rsidR="00B714D8" w:rsidRDefault="00B714D8" w:rsidP="008B0FE7">
      <w:pPr>
        <w:spacing w:after="0" w:line="240" w:lineRule="auto"/>
      </w:pPr>
      <w:r>
        <w:continuationSeparator/>
      </w:r>
    </w:p>
  </w:endnote>
  <w:endnote w:id="1">
    <w:p w:rsidR="00ED445B" w:rsidRPr="002E3D1B" w:rsidRDefault="00ED445B">
      <w:pPr>
        <w:pStyle w:val="Textonotaalfinal"/>
        <w:rPr>
          <w:rFonts w:ascii="Arial" w:hAnsi="Arial" w:cs="Arial"/>
          <w:sz w:val="16"/>
          <w:szCs w:val="16"/>
        </w:rPr>
      </w:pPr>
      <w:r w:rsidRPr="002E3D1B">
        <w:rPr>
          <w:rStyle w:val="Refdenotaalfinal"/>
          <w:rFonts w:ascii="Arial" w:hAnsi="Arial" w:cs="Arial"/>
          <w:sz w:val="16"/>
          <w:szCs w:val="16"/>
        </w:rPr>
        <w:endnoteRef/>
      </w:r>
      <w:r w:rsidRPr="002E3D1B">
        <w:rPr>
          <w:rFonts w:ascii="Arial" w:hAnsi="Arial" w:cs="Arial"/>
          <w:sz w:val="16"/>
          <w:szCs w:val="16"/>
        </w:rPr>
        <w:t xml:space="preserve"> http://docencia.udea.edu.co/derecho/constitucion/estado_social_derecho.html</w:t>
      </w:r>
    </w:p>
  </w:endnote>
  <w:endnote w:id="2">
    <w:p w:rsidR="00ED445B" w:rsidRPr="002E3D1B" w:rsidRDefault="00ED445B">
      <w:pPr>
        <w:pStyle w:val="Textonotaalfinal"/>
        <w:rPr>
          <w:rFonts w:ascii="Arial" w:hAnsi="Arial" w:cs="Arial"/>
          <w:sz w:val="16"/>
          <w:szCs w:val="16"/>
        </w:rPr>
      </w:pPr>
      <w:r w:rsidRPr="002E3D1B">
        <w:rPr>
          <w:rStyle w:val="Refdenotaalfinal"/>
          <w:rFonts w:ascii="Arial" w:hAnsi="Arial" w:cs="Arial"/>
          <w:sz w:val="16"/>
          <w:szCs w:val="16"/>
        </w:rPr>
        <w:endnoteRef/>
      </w:r>
      <w:r w:rsidRPr="002E3D1B">
        <w:rPr>
          <w:rFonts w:ascii="Arial" w:hAnsi="Arial" w:cs="Arial"/>
          <w:sz w:val="16"/>
          <w:szCs w:val="16"/>
        </w:rPr>
        <w:t xml:space="preserve"> http://docencia.udea.edu.co/derecho/constitucion/estado_social_derecho.html</w:t>
      </w:r>
    </w:p>
  </w:endnote>
  <w:endnote w:id="3">
    <w:p w:rsidR="002E3D1B" w:rsidRPr="002E3D1B" w:rsidRDefault="002E3D1B">
      <w:pPr>
        <w:pStyle w:val="Textonotaalfinal"/>
        <w:rPr>
          <w:rFonts w:ascii="Arial" w:hAnsi="Arial" w:cs="Arial"/>
          <w:sz w:val="16"/>
          <w:szCs w:val="16"/>
        </w:rPr>
      </w:pPr>
      <w:r w:rsidRPr="002E3D1B">
        <w:rPr>
          <w:rStyle w:val="Refdenotaalfinal"/>
          <w:rFonts w:ascii="Arial" w:hAnsi="Arial" w:cs="Arial"/>
          <w:sz w:val="16"/>
          <w:szCs w:val="16"/>
        </w:rPr>
        <w:endnoteRef/>
      </w:r>
      <w:r w:rsidRPr="002E3D1B">
        <w:rPr>
          <w:rFonts w:ascii="Arial" w:hAnsi="Arial" w:cs="Arial"/>
          <w:sz w:val="16"/>
          <w:szCs w:val="16"/>
        </w:rPr>
        <w:t xml:space="preserve"> </w:t>
      </w:r>
      <w:hyperlink r:id="rId1" w:history="1">
        <w:r w:rsidRPr="002E3D1B">
          <w:rPr>
            <w:rStyle w:val="Hipervnculo"/>
            <w:rFonts w:ascii="Arial" w:hAnsi="Arial" w:cs="Arial"/>
            <w:sz w:val="16"/>
            <w:szCs w:val="16"/>
          </w:rPr>
          <w:t>https://www.minagricultura.gov.co/Normatividad/Conpes/conpes_113_08.pdf</w:t>
        </w:r>
      </w:hyperlink>
    </w:p>
    <w:p w:rsidR="002E3D1B" w:rsidRPr="002E3D1B" w:rsidRDefault="002E3D1B">
      <w:pPr>
        <w:pStyle w:val="Textonotaalfinal"/>
        <w:rPr>
          <w:rFonts w:ascii="Arial" w:hAnsi="Arial" w:cs="Arial"/>
          <w:sz w:val="24"/>
          <w:szCs w:val="24"/>
        </w:rPr>
      </w:pPr>
    </w:p>
    <w:p w:rsidR="002E3D1B" w:rsidRPr="002E3D1B" w:rsidRDefault="002E3D1B">
      <w:pPr>
        <w:pStyle w:val="Textonotaalfinal"/>
        <w:rPr>
          <w:rFonts w:ascii="Arial" w:hAnsi="Arial" w:cs="Arial"/>
          <w:sz w:val="24"/>
          <w:szCs w:val="24"/>
        </w:rPr>
      </w:pPr>
    </w:p>
    <w:p w:rsidR="002E3D1B" w:rsidRPr="002E3D1B" w:rsidRDefault="002E3D1B" w:rsidP="002E3D1B">
      <w:pPr>
        <w:spacing w:line="360" w:lineRule="auto"/>
        <w:jc w:val="both"/>
        <w:rPr>
          <w:rFonts w:ascii="Arial" w:hAnsi="Arial" w:cs="Arial"/>
          <w:b/>
          <w:sz w:val="24"/>
          <w:szCs w:val="24"/>
        </w:rPr>
      </w:pPr>
      <w:r w:rsidRPr="002E3D1B">
        <w:rPr>
          <w:rFonts w:ascii="Arial" w:hAnsi="Arial" w:cs="Arial"/>
          <w:b/>
          <w:sz w:val="24"/>
          <w:szCs w:val="24"/>
        </w:rPr>
        <w:t xml:space="preserve">Referencia bibliográfica preliminar </w:t>
      </w:r>
    </w:p>
    <w:p w:rsidR="002E3D1B" w:rsidRPr="002E3D1B" w:rsidRDefault="002E3D1B" w:rsidP="002E3D1B">
      <w:pPr>
        <w:spacing w:line="360" w:lineRule="auto"/>
        <w:jc w:val="both"/>
        <w:rPr>
          <w:rFonts w:ascii="Arial" w:hAnsi="Arial" w:cs="Arial"/>
          <w:color w:val="222222"/>
          <w:sz w:val="24"/>
          <w:szCs w:val="24"/>
          <w:shd w:val="clear" w:color="auto" w:fill="FFFFFF"/>
        </w:rPr>
      </w:pPr>
      <w:r w:rsidRPr="002E3D1B">
        <w:rPr>
          <w:rFonts w:ascii="Arial" w:hAnsi="Arial" w:cs="Arial"/>
          <w:sz w:val="24"/>
          <w:szCs w:val="24"/>
        </w:rPr>
        <w:t xml:space="preserve"> </w:t>
      </w:r>
      <w:r w:rsidRPr="002E3D1B">
        <w:rPr>
          <w:rFonts w:ascii="Arial" w:hAnsi="Arial" w:cs="Arial"/>
          <w:color w:val="222222"/>
          <w:sz w:val="24"/>
          <w:szCs w:val="24"/>
          <w:shd w:val="clear" w:color="auto" w:fill="FFFFFF"/>
        </w:rPr>
        <w:t>CEPAL, F. (2012). IICA (2010) Perspectivas de la agricultura y del desarrollo rural en las Américas: una mirada hacia América Latina y el Caribe.</w:t>
      </w:r>
      <w:r w:rsidRPr="002E3D1B">
        <w:rPr>
          <w:rStyle w:val="apple-converted-space"/>
          <w:rFonts w:ascii="Arial" w:hAnsi="Arial" w:cs="Arial"/>
          <w:color w:val="222222"/>
          <w:sz w:val="24"/>
          <w:szCs w:val="24"/>
          <w:shd w:val="clear" w:color="auto" w:fill="FFFFFF"/>
        </w:rPr>
        <w:t> </w:t>
      </w:r>
      <w:r w:rsidRPr="002E3D1B">
        <w:rPr>
          <w:rFonts w:ascii="Arial" w:hAnsi="Arial" w:cs="Arial"/>
          <w:i/>
          <w:iCs/>
          <w:color w:val="222222"/>
          <w:sz w:val="24"/>
          <w:szCs w:val="24"/>
          <w:shd w:val="clear" w:color="auto" w:fill="FFFFFF"/>
        </w:rPr>
        <w:t>Santiago, Chile</w:t>
      </w:r>
      <w:r w:rsidRPr="002E3D1B">
        <w:rPr>
          <w:rFonts w:ascii="Arial" w:hAnsi="Arial" w:cs="Arial"/>
          <w:color w:val="222222"/>
          <w:sz w:val="24"/>
          <w:szCs w:val="24"/>
          <w:shd w:val="clear" w:color="auto" w:fill="FFFFFF"/>
        </w:rPr>
        <w:t>.</w:t>
      </w:r>
    </w:p>
    <w:p w:rsidR="002E3D1B" w:rsidRPr="002E3D1B" w:rsidRDefault="002E3D1B" w:rsidP="002E3D1B">
      <w:pPr>
        <w:spacing w:line="360" w:lineRule="auto"/>
        <w:jc w:val="both"/>
        <w:rPr>
          <w:rFonts w:ascii="Arial" w:hAnsi="Arial" w:cs="Arial"/>
          <w:color w:val="222222"/>
          <w:sz w:val="24"/>
          <w:szCs w:val="24"/>
          <w:shd w:val="clear" w:color="auto" w:fill="FFFFFF"/>
        </w:rPr>
      </w:pPr>
      <w:r w:rsidRPr="002E3D1B">
        <w:rPr>
          <w:rFonts w:ascii="Arial" w:hAnsi="Arial" w:cs="Arial"/>
          <w:color w:val="222222"/>
          <w:sz w:val="24"/>
          <w:szCs w:val="24"/>
          <w:shd w:val="clear" w:color="auto" w:fill="FFFFFF"/>
        </w:rPr>
        <w:t>Alvarez, J. F. (2000). Economía campesina y sistema alimentario en Colombia: Aportes para la discusión sobre seguridad alimentaria.</w:t>
      </w:r>
      <w:r w:rsidRPr="002E3D1B">
        <w:rPr>
          <w:rStyle w:val="apple-converted-space"/>
          <w:rFonts w:ascii="Arial" w:hAnsi="Arial" w:cs="Arial"/>
          <w:color w:val="222222"/>
          <w:sz w:val="24"/>
          <w:szCs w:val="24"/>
          <w:shd w:val="clear" w:color="auto" w:fill="FFFFFF"/>
        </w:rPr>
        <w:t> </w:t>
      </w:r>
      <w:r w:rsidRPr="002E3D1B">
        <w:rPr>
          <w:rFonts w:ascii="Arial" w:hAnsi="Arial" w:cs="Arial"/>
          <w:i/>
          <w:iCs/>
          <w:color w:val="222222"/>
          <w:sz w:val="24"/>
          <w:szCs w:val="24"/>
          <w:shd w:val="clear" w:color="auto" w:fill="FFFFFF"/>
        </w:rPr>
        <w:t>Población</w:t>
      </w:r>
      <w:r w:rsidRPr="002E3D1B">
        <w:rPr>
          <w:rFonts w:ascii="Arial" w:hAnsi="Arial" w:cs="Arial"/>
          <w:color w:val="222222"/>
          <w:sz w:val="24"/>
          <w:szCs w:val="24"/>
          <w:shd w:val="clear" w:color="auto" w:fill="FFFFFF"/>
        </w:rPr>
        <w:t>.</w:t>
      </w:r>
    </w:p>
    <w:p w:rsidR="002E3D1B" w:rsidRPr="002E3D1B" w:rsidRDefault="002E3D1B" w:rsidP="002E3D1B">
      <w:pPr>
        <w:spacing w:line="360" w:lineRule="auto"/>
        <w:jc w:val="both"/>
        <w:rPr>
          <w:rFonts w:ascii="Arial" w:hAnsi="Arial" w:cs="Arial"/>
          <w:color w:val="222222"/>
          <w:sz w:val="24"/>
          <w:szCs w:val="24"/>
          <w:shd w:val="clear" w:color="auto" w:fill="FFFFFF"/>
        </w:rPr>
      </w:pPr>
      <w:r w:rsidRPr="002E3D1B">
        <w:rPr>
          <w:rFonts w:ascii="Arial" w:hAnsi="Arial" w:cs="Arial"/>
          <w:color w:val="222222"/>
          <w:sz w:val="24"/>
          <w:szCs w:val="24"/>
          <w:shd w:val="clear" w:color="auto" w:fill="FFFFFF"/>
        </w:rPr>
        <w:t>Krugman, P. R. (1992).</w:t>
      </w:r>
      <w:r w:rsidRPr="002E3D1B">
        <w:rPr>
          <w:rStyle w:val="apple-converted-space"/>
          <w:rFonts w:ascii="Arial" w:hAnsi="Arial" w:cs="Arial"/>
          <w:color w:val="222222"/>
          <w:sz w:val="24"/>
          <w:szCs w:val="24"/>
          <w:shd w:val="clear" w:color="auto" w:fill="FFFFFF"/>
        </w:rPr>
        <w:t> </w:t>
      </w:r>
      <w:r w:rsidRPr="002E3D1B">
        <w:rPr>
          <w:rFonts w:ascii="Arial" w:hAnsi="Arial" w:cs="Arial"/>
          <w:i/>
          <w:iCs/>
          <w:color w:val="222222"/>
          <w:sz w:val="24"/>
          <w:szCs w:val="24"/>
          <w:shd w:val="clear" w:color="auto" w:fill="FFFFFF"/>
        </w:rPr>
        <w:t>Geografía y comercio</w:t>
      </w:r>
      <w:r w:rsidRPr="002E3D1B">
        <w:rPr>
          <w:rFonts w:ascii="Arial" w:hAnsi="Arial" w:cs="Arial"/>
          <w:color w:val="222222"/>
          <w:sz w:val="24"/>
          <w:szCs w:val="24"/>
          <w:shd w:val="clear" w:color="auto" w:fill="FFFFFF"/>
        </w:rPr>
        <w:t>. Antoni Bosch Editor.</w:t>
      </w:r>
    </w:p>
    <w:p w:rsidR="002E3D1B" w:rsidRPr="002E3D1B" w:rsidRDefault="002E3D1B">
      <w:pPr>
        <w:pStyle w:val="Textonotaalfinal"/>
        <w:rPr>
          <w:rFonts w:ascii="Arial" w:hAnsi="Arial" w:cs="Arial"/>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051" w:rsidRDefault="008B0FE7" w:rsidP="00FE4051">
    <w:pPr>
      <w:pStyle w:val="Piedepgina"/>
    </w:pPr>
    <w:r>
      <w:t xml:space="preserve">                                                                                  </w:t>
    </w:r>
    <w:r w:rsidR="00ED445B">
      <w:t xml:space="preserve">          </w:t>
    </w:r>
    <w:r w:rsidR="00FE4051">
      <w:t xml:space="preserve">Semillero de Derecho Público Económico-2014 </w:t>
    </w:r>
  </w:p>
  <w:p w:rsidR="00FE4051" w:rsidRDefault="00FE4051" w:rsidP="00FE4051">
    <w:pPr>
      <w:pStyle w:val="Piedepgina"/>
      <w:jc w:val="right"/>
    </w:pPr>
    <w:r>
      <w:t>Autor: Geraldine Hackmayer Calderón</w:t>
    </w:r>
  </w:p>
  <w:p w:rsidR="00FE4051" w:rsidRDefault="00FE4051" w:rsidP="00FE4051">
    <w:pPr>
      <w:pStyle w:val="Piedepgina"/>
      <w:jc w:val="right"/>
    </w:pPr>
    <w:r w:rsidRPr="00ED445B">
      <w:t>geraldinehackmayer@usantotomas.edu.co</w:t>
    </w:r>
  </w:p>
  <w:p w:rsidR="00FE4051" w:rsidRDefault="00FE4051" w:rsidP="00ED445B">
    <w:pPr>
      <w:pStyle w:val="Piedepgina"/>
      <w:jc w:val="right"/>
    </w:pPr>
    <w:r>
      <w:t>Estudiante de derecho- Décimo Semestre</w:t>
    </w:r>
  </w:p>
  <w:p w:rsidR="00FE4051" w:rsidRDefault="00FE4051" w:rsidP="00FE4051">
    <w:pPr>
      <w:pStyle w:val="Piedepgina"/>
      <w:jc w:val="right"/>
    </w:pPr>
    <w:r>
      <w:t>Universidad Santo Tomás</w:t>
    </w:r>
  </w:p>
  <w:p w:rsidR="00FE4051" w:rsidRDefault="00FE4051" w:rsidP="00FE4051">
    <w:pPr>
      <w:pStyle w:val="Piedepgina"/>
    </w:pPr>
  </w:p>
  <w:p w:rsidR="008B0FE7" w:rsidRDefault="008B0FE7" w:rsidP="008B0FE7">
    <w:pPr>
      <w:pStyle w:val="Piedepgina"/>
      <w:tabs>
        <w:tab w:val="clear" w:pos="4419"/>
        <w:tab w:val="clear" w:pos="8838"/>
        <w:tab w:val="left" w:pos="6075"/>
      </w:tabs>
    </w:pPr>
    <w:r>
      <w:t xml:space="preserve"> </w:t>
    </w:r>
    <w:r>
      <w:tab/>
    </w:r>
  </w:p>
  <w:p w:rsidR="008B0FE7" w:rsidRDefault="008B0FE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14D8" w:rsidRDefault="00B714D8" w:rsidP="008B0FE7">
      <w:pPr>
        <w:spacing w:after="0" w:line="240" w:lineRule="auto"/>
      </w:pPr>
      <w:r>
        <w:separator/>
      </w:r>
    </w:p>
  </w:footnote>
  <w:footnote w:type="continuationSeparator" w:id="0">
    <w:p w:rsidR="00B714D8" w:rsidRDefault="00B714D8" w:rsidP="008B0F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BD461E"/>
    <w:multiLevelType w:val="hybridMultilevel"/>
    <w:tmpl w:val="5FE0AA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3EE63711"/>
    <w:multiLevelType w:val="hybridMultilevel"/>
    <w:tmpl w:val="2ECCB7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4C2318F8"/>
    <w:multiLevelType w:val="hybridMultilevel"/>
    <w:tmpl w:val="09BCF5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61F0064C"/>
    <w:multiLevelType w:val="hybridMultilevel"/>
    <w:tmpl w:val="09BCF5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FE7"/>
    <w:rsid w:val="0019723A"/>
    <w:rsid w:val="002E3D1B"/>
    <w:rsid w:val="00457571"/>
    <w:rsid w:val="00465DC2"/>
    <w:rsid w:val="008B0FE7"/>
    <w:rsid w:val="009C5880"/>
    <w:rsid w:val="00B714D8"/>
    <w:rsid w:val="00E244D2"/>
    <w:rsid w:val="00ED445B"/>
    <w:rsid w:val="00EE7CAC"/>
    <w:rsid w:val="00FE40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0BA9358-2233-4563-9EF2-41CED090B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B0FE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0FE7"/>
  </w:style>
  <w:style w:type="paragraph" w:styleId="Piedepgina">
    <w:name w:val="footer"/>
    <w:basedOn w:val="Normal"/>
    <w:link w:val="PiedepginaCar"/>
    <w:uiPriority w:val="99"/>
    <w:unhideWhenUsed/>
    <w:rsid w:val="008B0FE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0FE7"/>
  </w:style>
  <w:style w:type="character" w:styleId="Hipervnculo">
    <w:name w:val="Hyperlink"/>
    <w:basedOn w:val="Fuentedeprrafopredeter"/>
    <w:uiPriority w:val="99"/>
    <w:unhideWhenUsed/>
    <w:rsid w:val="008B0FE7"/>
    <w:rPr>
      <w:color w:val="0563C1" w:themeColor="hyperlink"/>
      <w:u w:val="single"/>
    </w:rPr>
  </w:style>
  <w:style w:type="paragraph" w:styleId="Prrafodelista">
    <w:name w:val="List Paragraph"/>
    <w:basedOn w:val="Normal"/>
    <w:uiPriority w:val="34"/>
    <w:qFormat/>
    <w:rsid w:val="00FE4051"/>
    <w:pPr>
      <w:ind w:left="720"/>
      <w:contextualSpacing/>
    </w:pPr>
  </w:style>
  <w:style w:type="character" w:customStyle="1" w:styleId="apple-converted-space">
    <w:name w:val="apple-converted-space"/>
    <w:basedOn w:val="Fuentedeprrafopredeter"/>
    <w:rsid w:val="00ED445B"/>
  </w:style>
  <w:style w:type="paragraph" w:styleId="Textonotaalfinal">
    <w:name w:val="endnote text"/>
    <w:basedOn w:val="Normal"/>
    <w:link w:val="TextonotaalfinalCar"/>
    <w:uiPriority w:val="99"/>
    <w:semiHidden/>
    <w:unhideWhenUsed/>
    <w:rsid w:val="00ED445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D445B"/>
    <w:rPr>
      <w:sz w:val="20"/>
      <w:szCs w:val="20"/>
    </w:rPr>
  </w:style>
  <w:style w:type="character" w:styleId="Refdenotaalfinal">
    <w:name w:val="endnote reference"/>
    <w:basedOn w:val="Fuentedeprrafopredeter"/>
    <w:uiPriority w:val="99"/>
    <w:semiHidden/>
    <w:unhideWhenUsed/>
    <w:rsid w:val="00ED445B"/>
    <w:rPr>
      <w:vertAlign w:val="superscript"/>
    </w:rPr>
  </w:style>
  <w:style w:type="paragraph" w:styleId="NormalWeb">
    <w:name w:val="Normal (Web)"/>
    <w:basedOn w:val="Normal"/>
    <w:uiPriority w:val="99"/>
    <w:semiHidden/>
    <w:unhideWhenUsed/>
    <w:rsid w:val="00465DC2"/>
    <w:pPr>
      <w:spacing w:before="100" w:beforeAutospacing="1" w:after="100" w:afterAutospacing="1" w:line="240" w:lineRule="auto"/>
    </w:pPr>
    <w:rPr>
      <w:rFonts w:ascii="Times New Roman" w:eastAsiaTheme="minorEastAsia" w:hAnsi="Times New Roman" w:cs="Times New Roman"/>
      <w:sz w:val="24"/>
      <w:szCs w:val="24"/>
      <w:lang w:eastAsia="es-CO"/>
    </w:rPr>
  </w:style>
  <w:style w:type="table" w:styleId="Tablaconcuadrcula">
    <w:name w:val="Table Grid"/>
    <w:basedOn w:val="Tablanormal"/>
    <w:uiPriority w:val="39"/>
    <w:rsid w:val="00465D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rsid w:val="00EE7CAC"/>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980128">
      <w:bodyDiv w:val="1"/>
      <w:marLeft w:val="0"/>
      <w:marRight w:val="0"/>
      <w:marTop w:val="0"/>
      <w:marBottom w:val="0"/>
      <w:divBdr>
        <w:top w:val="none" w:sz="0" w:space="0" w:color="auto"/>
        <w:left w:val="none" w:sz="0" w:space="0" w:color="auto"/>
        <w:bottom w:val="none" w:sz="0" w:space="0" w:color="auto"/>
        <w:right w:val="none" w:sz="0" w:space="0" w:color="auto"/>
      </w:divBdr>
    </w:div>
    <w:div w:id="185985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minagricultura.gov.co/Normatividad/Conpes/conpes_113_08.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3D7E8-4463-417C-85B7-3EACC0ED9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2732</Words>
  <Characters>15029</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LENOVO-PC</dc:creator>
  <cp:keywords/>
  <dc:description/>
  <cp:lastModifiedBy>Funcionario Usta</cp:lastModifiedBy>
  <cp:revision>2</cp:revision>
  <dcterms:created xsi:type="dcterms:W3CDTF">2014-10-09T19:56:00Z</dcterms:created>
  <dcterms:modified xsi:type="dcterms:W3CDTF">2014-10-09T19:56:00Z</dcterms:modified>
</cp:coreProperties>
</file>