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2533BD" w14:textId="77777777" w:rsidR="003A6D9D" w:rsidRDefault="008974C2">
      <w:pPr>
        <w:jc w:val="cente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Anexo 1. Formato de presentación de proyecto</w:t>
      </w:r>
    </w:p>
    <w:p w14:paraId="0B3E8BF1" w14:textId="77777777" w:rsidR="003A6D9D" w:rsidRPr="00365741"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Título:</w:t>
      </w:r>
      <w:r>
        <w:rPr>
          <w:rFonts w:ascii="Times New Roman" w:eastAsia="Times New Roman" w:hAnsi="Times New Roman" w:cs="Times New Roman"/>
          <w:sz w:val="24"/>
          <w:szCs w:val="24"/>
        </w:rPr>
        <w:t xml:space="preserve"> </w:t>
      </w:r>
      <w:r w:rsidRPr="00365741">
        <w:rPr>
          <w:rFonts w:ascii="Times New Roman" w:eastAsia="Times New Roman" w:hAnsi="Times New Roman" w:cs="Times New Roman"/>
          <w:sz w:val="24"/>
          <w:szCs w:val="24"/>
        </w:rPr>
        <w:t xml:space="preserve">El centro comercial y las representaciones sociales transformadas en torno al territorio urbano </w:t>
      </w:r>
    </w:p>
    <w:p w14:paraId="798B4B74" w14:textId="77777777" w:rsidR="003A6D9D"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Pregunta guía:</w:t>
      </w:r>
      <w:r>
        <w:rPr>
          <w:rFonts w:ascii="Times New Roman" w:eastAsia="Times New Roman" w:hAnsi="Times New Roman" w:cs="Times New Roman"/>
          <w:sz w:val="24"/>
          <w:szCs w:val="24"/>
        </w:rPr>
        <w:t xml:space="preserve"> ¿Cómo el centro comercial ha transformado las representaciones sociales en torno al territorio urbano en un grupo de habitantes del municipio de Mosquera, Cundinamarca?</w:t>
      </w:r>
    </w:p>
    <w:p w14:paraId="6FDAA19A" w14:textId="77777777" w:rsidR="003A6D9D"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Duración (en meses):</w:t>
      </w:r>
      <w:r>
        <w:rPr>
          <w:rFonts w:ascii="Times New Roman" w:eastAsia="Times New Roman" w:hAnsi="Times New Roman" w:cs="Times New Roman"/>
          <w:sz w:val="24"/>
          <w:szCs w:val="24"/>
        </w:rPr>
        <w:t xml:space="preserve"> 9 meses</w:t>
      </w:r>
    </w:p>
    <w:p w14:paraId="31768E4D" w14:textId="77777777" w:rsidR="003A6D9D"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Lugar de ejecución:</w:t>
      </w:r>
      <w:r>
        <w:rPr>
          <w:rFonts w:ascii="Times New Roman" w:eastAsia="Times New Roman" w:hAnsi="Times New Roman" w:cs="Times New Roman"/>
          <w:sz w:val="24"/>
          <w:szCs w:val="24"/>
        </w:rPr>
        <w:t xml:space="preserve"> Mosquera, Cundinamarca </w:t>
      </w:r>
    </w:p>
    <w:p w14:paraId="2C3DF578" w14:textId="63CED4CE" w:rsidR="003A6D9D"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Investigador principal:</w:t>
      </w:r>
      <w:r>
        <w:rPr>
          <w:rFonts w:ascii="Times New Roman" w:eastAsia="Times New Roman" w:hAnsi="Times New Roman" w:cs="Times New Roman"/>
          <w:sz w:val="24"/>
          <w:szCs w:val="24"/>
        </w:rPr>
        <w:t xml:space="preserve"> Carolina </w:t>
      </w:r>
      <w:r w:rsidR="00365741">
        <w:rPr>
          <w:rFonts w:ascii="Times New Roman" w:eastAsia="Times New Roman" w:hAnsi="Times New Roman" w:cs="Times New Roman"/>
          <w:sz w:val="24"/>
          <w:szCs w:val="24"/>
        </w:rPr>
        <w:t>Garzón</w:t>
      </w:r>
      <w:r>
        <w:rPr>
          <w:rFonts w:ascii="Times New Roman" w:eastAsia="Times New Roman" w:hAnsi="Times New Roman" w:cs="Times New Roman"/>
          <w:sz w:val="24"/>
          <w:szCs w:val="24"/>
        </w:rPr>
        <w:t xml:space="preserve"> Medina </w:t>
      </w:r>
      <w:r w:rsidR="00365741">
        <w:rPr>
          <w:rFonts w:ascii="Times New Roman" w:eastAsia="Times New Roman" w:hAnsi="Times New Roman" w:cs="Times New Roman"/>
          <w:sz w:val="24"/>
          <w:szCs w:val="24"/>
        </w:rPr>
        <w:t>(Facultad</w:t>
      </w:r>
      <w:r>
        <w:rPr>
          <w:rFonts w:ascii="Times New Roman" w:eastAsia="Times New Roman" w:hAnsi="Times New Roman" w:cs="Times New Roman"/>
          <w:sz w:val="24"/>
          <w:szCs w:val="24"/>
        </w:rPr>
        <w:t xml:space="preserve"> de Mercadeo)</w:t>
      </w:r>
    </w:p>
    <w:p w14:paraId="5FFEB9BC" w14:textId="46B84221" w:rsidR="003A6D9D" w:rsidRDefault="008974C2">
      <w:pPr>
        <w:jc w:val="both"/>
        <w:rPr>
          <w:rFonts w:ascii="Times New Roman" w:eastAsia="Times New Roman" w:hAnsi="Times New Roman" w:cs="Times New Roman"/>
          <w:sz w:val="24"/>
          <w:szCs w:val="24"/>
        </w:rPr>
      </w:pPr>
      <w:r w:rsidRPr="00365741">
        <w:rPr>
          <w:rFonts w:ascii="Times New Roman" w:eastAsia="Times New Roman" w:hAnsi="Times New Roman" w:cs="Times New Roman"/>
          <w:b/>
          <w:sz w:val="24"/>
          <w:szCs w:val="24"/>
        </w:rPr>
        <w:t>Co-investigador(es):</w:t>
      </w:r>
      <w:r>
        <w:rPr>
          <w:rFonts w:ascii="Times New Roman" w:eastAsia="Times New Roman" w:hAnsi="Times New Roman" w:cs="Times New Roman"/>
          <w:sz w:val="24"/>
          <w:szCs w:val="24"/>
        </w:rPr>
        <w:t xml:space="preserve"> Aidaluz </w:t>
      </w:r>
      <w:r w:rsidR="00365741">
        <w:rPr>
          <w:rFonts w:ascii="Times New Roman" w:eastAsia="Times New Roman" w:hAnsi="Times New Roman" w:cs="Times New Roman"/>
          <w:sz w:val="24"/>
          <w:szCs w:val="24"/>
        </w:rPr>
        <w:t>Sánchez</w:t>
      </w:r>
      <w:r>
        <w:rPr>
          <w:rFonts w:ascii="Times New Roman" w:eastAsia="Times New Roman" w:hAnsi="Times New Roman" w:cs="Times New Roman"/>
          <w:sz w:val="24"/>
          <w:szCs w:val="24"/>
        </w:rPr>
        <w:t xml:space="preserve"> Arismendi </w:t>
      </w:r>
      <w:r w:rsidR="00365741">
        <w:rPr>
          <w:rFonts w:ascii="Times New Roman" w:eastAsia="Times New Roman" w:hAnsi="Times New Roman" w:cs="Times New Roman"/>
          <w:sz w:val="24"/>
          <w:szCs w:val="24"/>
        </w:rPr>
        <w:t>(Facultad</w:t>
      </w:r>
      <w:r>
        <w:rPr>
          <w:rFonts w:ascii="Times New Roman" w:eastAsia="Times New Roman" w:hAnsi="Times New Roman" w:cs="Times New Roman"/>
          <w:sz w:val="24"/>
          <w:szCs w:val="24"/>
        </w:rPr>
        <w:t xml:space="preserve"> de Sociología)</w:t>
      </w:r>
    </w:p>
    <w:tbl>
      <w:tblPr>
        <w:tblStyle w:val="a"/>
        <w:tblW w:w="10632"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1276"/>
        <w:gridCol w:w="1985"/>
        <w:gridCol w:w="1417"/>
        <w:gridCol w:w="2977"/>
        <w:gridCol w:w="1701"/>
      </w:tblGrid>
      <w:tr w:rsidR="00A631B5" w14:paraId="0A65D1FF" w14:textId="77777777" w:rsidTr="00A631B5">
        <w:tc>
          <w:tcPr>
            <w:tcW w:w="1276" w:type="dxa"/>
            <w:tcBorders>
              <w:top w:val="single" w:sz="4" w:space="0" w:color="000000"/>
              <w:left w:val="single" w:sz="4" w:space="0" w:color="000000"/>
              <w:bottom w:val="single" w:sz="4" w:space="0" w:color="000000"/>
              <w:right w:val="single" w:sz="4" w:space="0" w:color="000000"/>
            </w:tcBorders>
          </w:tcPr>
          <w:p w14:paraId="4A284387" w14:textId="77777777" w:rsidR="003A6D9D" w:rsidRDefault="003A6D9D">
            <w:pPr>
              <w:jc w:val="center"/>
              <w:rPr>
                <w:rFonts w:ascii="Times New Roman" w:eastAsia="Times New Roman" w:hAnsi="Times New Roman" w:cs="Times New Roman"/>
                <w:b/>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5B370E8" w14:textId="77777777" w:rsidR="003A6D9D" w:rsidRDefault="003A6D9D">
            <w:pPr>
              <w:jc w:val="center"/>
              <w:rPr>
                <w:rFonts w:ascii="Times New Roman" w:eastAsia="Times New Roman" w:hAnsi="Times New Roman" w:cs="Times New Roman"/>
                <w:b/>
                <w:sz w:val="24"/>
                <w:szCs w:val="24"/>
              </w:rPr>
            </w:pPr>
          </w:p>
        </w:tc>
        <w:tc>
          <w:tcPr>
            <w:tcW w:w="8080" w:type="dxa"/>
            <w:gridSpan w:val="4"/>
            <w:tcBorders>
              <w:top w:val="single" w:sz="4" w:space="0" w:color="000000"/>
              <w:left w:val="single" w:sz="4" w:space="0" w:color="000000"/>
              <w:bottom w:val="single" w:sz="4" w:space="0" w:color="000000"/>
              <w:right w:val="single" w:sz="4" w:space="0" w:color="000000"/>
            </w:tcBorders>
          </w:tcPr>
          <w:p w14:paraId="4FFF261C"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Datos generales</w:t>
            </w:r>
          </w:p>
        </w:tc>
      </w:tr>
      <w:tr w:rsidR="00A631B5" w14:paraId="4CC6649E" w14:textId="77777777" w:rsidTr="00A631B5">
        <w:tc>
          <w:tcPr>
            <w:tcW w:w="1276" w:type="dxa"/>
            <w:tcBorders>
              <w:top w:val="single" w:sz="4" w:space="0" w:color="000000"/>
              <w:left w:val="single" w:sz="4" w:space="0" w:color="000000"/>
              <w:bottom w:val="single" w:sz="4" w:space="0" w:color="000000"/>
              <w:right w:val="single" w:sz="4" w:space="0" w:color="000000"/>
            </w:tcBorders>
          </w:tcPr>
          <w:p w14:paraId="7F35E499"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Programa(s)</w:t>
            </w:r>
          </w:p>
        </w:tc>
        <w:tc>
          <w:tcPr>
            <w:tcW w:w="1276" w:type="dxa"/>
            <w:tcBorders>
              <w:top w:val="single" w:sz="4" w:space="0" w:color="000000"/>
              <w:left w:val="single" w:sz="4" w:space="0" w:color="000000"/>
              <w:bottom w:val="single" w:sz="4" w:space="0" w:color="000000"/>
              <w:right w:val="single" w:sz="4" w:space="0" w:color="000000"/>
            </w:tcBorders>
          </w:tcPr>
          <w:p w14:paraId="518FADED"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Facultad(es)</w:t>
            </w:r>
          </w:p>
        </w:tc>
        <w:tc>
          <w:tcPr>
            <w:tcW w:w="1985" w:type="dxa"/>
            <w:tcBorders>
              <w:top w:val="single" w:sz="4" w:space="0" w:color="000000"/>
              <w:left w:val="single" w:sz="4" w:space="0" w:color="000000"/>
              <w:bottom w:val="single" w:sz="4" w:space="0" w:color="000000"/>
              <w:right w:val="single" w:sz="4" w:space="0" w:color="000000"/>
            </w:tcBorders>
          </w:tcPr>
          <w:p w14:paraId="1010501E"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Línea activa</w:t>
            </w:r>
          </w:p>
        </w:tc>
        <w:tc>
          <w:tcPr>
            <w:tcW w:w="1417" w:type="dxa"/>
            <w:tcBorders>
              <w:top w:val="single" w:sz="4" w:space="0" w:color="000000"/>
              <w:left w:val="single" w:sz="4" w:space="0" w:color="000000"/>
              <w:bottom w:val="single" w:sz="4" w:space="0" w:color="000000"/>
              <w:right w:val="single" w:sz="4" w:space="0" w:color="000000"/>
            </w:tcBorders>
          </w:tcPr>
          <w:p w14:paraId="5CDE3B68"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Línea medular</w:t>
            </w:r>
          </w:p>
        </w:tc>
        <w:tc>
          <w:tcPr>
            <w:tcW w:w="2977" w:type="dxa"/>
            <w:tcBorders>
              <w:top w:val="single" w:sz="4" w:space="0" w:color="000000"/>
              <w:left w:val="single" w:sz="4" w:space="0" w:color="000000"/>
              <w:bottom w:val="single" w:sz="4" w:space="0" w:color="000000"/>
              <w:right w:val="single" w:sz="4" w:space="0" w:color="000000"/>
            </w:tcBorders>
          </w:tcPr>
          <w:p w14:paraId="5499DA93"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Campos de acción institucional (Seleccione)</w:t>
            </w:r>
          </w:p>
        </w:tc>
        <w:tc>
          <w:tcPr>
            <w:tcW w:w="1701" w:type="dxa"/>
            <w:tcBorders>
              <w:top w:val="single" w:sz="4" w:space="0" w:color="000000"/>
              <w:left w:val="single" w:sz="4" w:space="0" w:color="000000"/>
              <w:bottom w:val="single" w:sz="4" w:space="0" w:color="000000"/>
              <w:right w:val="single" w:sz="4" w:space="0" w:color="000000"/>
            </w:tcBorders>
          </w:tcPr>
          <w:p w14:paraId="2D63126B" w14:textId="77777777" w:rsidR="003A6D9D" w:rsidRDefault="008974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Grupo(s) de investigación</w:t>
            </w:r>
          </w:p>
        </w:tc>
      </w:tr>
      <w:tr w:rsidR="00A631B5" w14:paraId="5E067C17" w14:textId="77777777" w:rsidTr="00A631B5">
        <w:tc>
          <w:tcPr>
            <w:tcW w:w="1276" w:type="dxa"/>
            <w:tcBorders>
              <w:top w:val="single" w:sz="4" w:space="0" w:color="000000"/>
              <w:left w:val="single" w:sz="4" w:space="0" w:color="000000"/>
              <w:bottom w:val="single" w:sz="4" w:space="0" w:color="000000"/>
              <w:right w:val="single" w:sz="4" w:space="0" w:color="000000"/>
            </w:tcBorders>
          </w:tcPr>
          <w:p w14:paraId="720EE1C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Mercadeo</w:t>
            </w:r>
          </w:p>
          <w:p w14:paraId="3FF79995" w14:textId="77777777" w:rsidR="003A6D9D" w:rsidRDefault="003A6D9D">
            <w:pPr>
              <w:jc w:val="both"/>
              <w:rPr>
                <w:rFonts w:ascii="Times New Roman" w:eastAsia="Times New Roman" w:hAnsi="Times New Roman" w:cs="Times New Roman"/>
                <w:sz w:val="24"/>
                <w:szCs w:val="24"/>
              </w:rPr>
            </w:pPr>
          </w:p>
          <w:p w14:paraId="18CBB55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Sociología</w:t>
            </w:r>
          </w:p>
        </w:tc>
        <w:tc>
          <w:tcPr>
            <w:tcW w:w="1276" w:type="dxa"/>
            <w:tcBorders>
              <w:top w:val="single" w:sz="4" w:space="0" w:color="000000"/>
              <w:left w:val="single" w:sz="4" w:space="0" w:color="000000"/>
              <w:bottom w:val="single" w:sz="4" w:space="0" w:color="000000"/>
              <w:right w:val="single" w:sz="4" w:space="0" w:color="000000"/>
            </w:tcBorders>
          </w:tcPr>
          <w:p w14:paraId="59F84D4D"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Mercadeo </w:t>
            </w:r>
          </w:p>
          <w:p w14:paraId="25BA717E" w14:textId="77777777" w:rsidR="003A6D9D" w:rsidRDefault="003A6D9D">
            <w:pPr>
              <w:jc w:val="both"/>
              <w:rPr>
                <w:rFonts w:ascii="Times New Roman" w:eastAsia="Times New Roman" w:hAnsi="Times New Roman" w:cs="Times New Roman"/>
                <w:sz w:val="24"/>
                <w:szCs w:val="24"/>
              </w:rPr>
            </w:pPr>
          </w:p>
          <w:p w14:paraId="7CA0C589"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Sociología</w:t>
            </w:r>
          </w:p>
        </w:tc>
        <w:tc>
          <w:tcPr>
            <w:tcW w:w="1985" w:type="dxa"/>
            <w:tcBorders>
              <w:top w:val="single" w:sz="4" w:space="0" w:color="000000"/>
              <w:left w:val="single" w:sz="4" w:space="0" w:color="000000"/>
              <w:bottom w:val="single" w:sz="4" w:space="0" w:color="000000"/>
              <w:right w:val="single" w:sz="4" w:space="0" w:color="000000"/>
            </w:tcBorders>
          </w:tcPr>
          <w:p w14:paraId="3EC72602"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rPr>
              <w:t>Por parte de la Facultad de Mercadeo, la línea</w:t>
            </w:r>
            <w:r>
              <w:rPr>
                <w:rFonts w:ascii="Times New Roman" w:eastAsia="Times New Roman" w:hAnsi="Times New Roman" w:cs="Times New Roman"/>
                <w:color w:val="FF0000"/>
              </w:rPr>
              <w:t xml:space="preserve"> </w:t>
            </w:r>
            <w:r>
              <w:rPr>
                <w:rFonts w:ascii="Times New Roman" w:eastAsia="Times New Roman" w:hAnsi="Times New Roman" w:cs="Times New Roman"/>
                <w:sz w:val="24"/>
                <w:szCs w:val="24"/>
              </w:rPr>
              <w:t>conocimiento profundo del consumidor  y de los mercados.</w:t>
            </w:r>
          </w:p>
          <w:p w14:paraId="790A03B3" w14:textId="77777777" w:rsidR="003A6D9D" w:rsidRDefault="003A6D9D">
            <w:pPr>
              <w:jc w:val="both"/>
              <w:rPr>
                <w:rFonts w:ascii="Times New Roman" w:eastAsia="Times New Roman" w:hAnsi="Times New Roman" w:cs="Times New Roman"/>
                <w:sz w:val="24"/>
                <w:szCs w:val="24"/>
              </w:rPr>
            </w:pPr>
          </w:p>
          <w:p w14:paraId="103CD63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parte de la Facultad de Sociología, la línea subjetividades, acción colectiva y transformación social</w:t>
            </w:r>
          </w:p>
        </w:tc>
        <w:tc>
          <w:tcPr>
            <w:tcW w:w="1417" w:type="dxa"/>
            <w:tcBorders>
              <w:top w:val="single" w:sz="4" w:space="0" w:color="000000"/>
              <w:left w:val="single" w:sz="4" w:space="0" w:color="000000"/>
              <w:bottom w:val="single" w:sz="4" w:space="0" w:color="000000"/>
              <w:right w:val="single" w:sz="4" w:space="0" w:color="000000"/>
            </w:tcBorders>
          </w:tcPr>
          <w:p w14:paraId="08F32DA4"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Luis Joseph Lebret (economía y humanismo) por parte de Mercadeo y Bartolomé de las Casas (identidades culturales y justicia social) por parte de sociologia</w:t>
            </w:r>
          </w:p>
        </w:tc>
        <w:tc>
          <w:tcPr>
            <w:tcW w:w="2977" w:type="dxa"/>
            <w:tcBorders>
              <w:top w:val="single" w:sz="4" w:space="0" w:color="000000"/>
              <w:left w:val="single" w:sz="4" w:space="0" w:color="000000"/>
              <w:bottom w:val="single" w:sz="4" w:space="0" w:color="000000"/>
              <w:right w:val="single" w:sz="4" w:space="0" w:color="000000"/>
            </w:tcBorders>
          </w:tcPr>
          <w:p w14:paraId="742A9363" w14:textId="77777777" w:rsidR="003A6D9D" w:rsidRDefault="008974C2">
            <w:pPr>
              <w:rPr>
                <w:rFonts w:ascii="Times New Roman" w:eastAsia="Times New Roman" w:hAnsi="Times New Roman" w:cs="Times New Roman"/>
                <w:sz w:val="24"/>
                <w:szCs w:val="24"/>
              </w:rPr>
            </w:pPr>
            <w:r>
              <w:rPr>
                <w:rFonts w:ascii="Times New Roman" w:eastAsia="Times New Roman" w:hAnsi="Times New Roman" w:cs="Times New Roman"/>
                <w:sz w:val="24"/>
                <w:szCs w:val="24"/>
              </w:rPr>
              <w:t>Derechos humanos, ciudadanía y construcción de política pública en y para escenarios de paz (  )</w:t>
            </w:r>
          </w:p>
          <w:p w14:paraId="2065409E" w14:textId="77777777" w:rsidR="003A6D9D" w:rsidRDefault="003A6D9D">
            <w:pPr>
              <w:rPr>
                <w:rFonts w:ascii="Times New Roman" w:eastAsia="Times New Roman" w:hAnsi="Times New Roman" w:cs="Times New Roman"/>
                <w:sz w:val="24"/>
                <w:szCs w:val="24"/>
              </w:rPr>
            </w:pPr>
          </w:p>
          <w:p w14:paraId="676CA66B" w14:textId="77777777" w:rsidR="003A6D9D" w:rsidRDefault="008974C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Desarrollo tecnológico con apuesta social </w:t>
            </w:r>
          </w:p>
          <w:p w14:paraId="4E39397A" w14:textId="77777777" w:rsidR="003A6D9D" w:rsidRDefault="008974C2">
            <w:pP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45ED8A9" w14:textId="77777777" w:rsidR="003A6D9D" w:rsidRDefault="003A6D9D">
            <w:pPr>
              <w:rPr>
                <w:rFonts w:ascii="Times New Roman" w:eastAsia="Times New Roman" w:hAnsi="Times New Roman" w:cs="Times New Roman"/>
                <w:sz w:val="24"/>
                <w:szCs w:val="24"/>
              </w:rPr>
            </w:pPr>
          </w:p>
          <w:p w14:paraId="45AA8EFB" w14:textId="77777777" w:rsidR="003A6D9D" w:rsidRDefault="008974C2">
            <w:pPr>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Desarrollo ambiental sostenible (  )</w:t>
            </w:r>
          </w:p>
          <w:p w14:paraId="3B3C06E1" w14:textId="77777777" w:rsidR="003A6D9D" w:rsidRDefault="003A6D9D">
            <w:pPr>
              <w:rPr>
                <w:rFonts w:ascii="Times New Roman" w:eastAsia="Times New Roman" w:hAnsi="Times New Roman" w:cs="Times New Roman"/>
                <w:sz w:val="24"/>
                <w:szCs w:val="24"/>
              </w:rPr>
            </w:pPr>
          </w:p>
          <w:p w14:paraId="08E0BB76" w14:textId="77777777" w:rsidR="003A6D9D" w:rsidRDefault="008974C2">
            <w:pPr>
              <w:rPr>
                <w:rFonts w:ascii="Times New Roman" w:eastAsia="Times New Roman" w:hAnsi="Times New Roman" w:cs="Times New Roman"/>
                <w:sz w:val="24"/>
                <w:szCs w:val="24"/>
              </w:rPr>
            </w:pPr>
            <w:r>
              <w:rPr>
                <w:rFonts w:ascii="Times New Roman" w:eastAsia="Times New Roman" w:hAnsi="Times New Roman" w:cs="Times New Roman"/>
                <w:sz w:val="24"/>
                <w:szCs w:val="24"/>
              </w:rPr>
              <w:t>Cambio educativo y social desde la multi e interculturalidad ( x )</w:t>
            </w:r>
          </w:p>
        </w:tc>
        <w:tc>
          <w:tcPr>
            <w:tcW w:w="1701" w:type="dxa"/>
            <w:tcBorders>
              <w:top w:val="single" w:sz="4" w:space="0" w:color="000000"/>
              <w:left w:val="single" w:sz="4" w:space="0" w:color="000000"/>
              <w:bottom w:val="single" w:sz="4" w:space="0" w:color="000000"/>
              <w:right w:val="single" w:sz="4" w:space="0" w:color="000000"/>
            </w:tcBorders>
          </w:tcPr>
          <w:p w14:paraId="3084498D"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Consumo y Mercados. Facultad de Mercadeo e investigación conflictos sociales, género y territorio. Facultad de Sociología. </w:t>
            </w:r>
          </w:p>
        </w:tc>
      </w:tr>
    </w:tbl>
    <w:p w14:paraId="39D35E57" w14:textId="77777777" w:rsidR="003A6D9D" w:rsidRDefault="008974C2">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Equipo de investigación requerido:</w:t>
      </w:r>
    </w:p>
    <w:p w14:paraId="2E154AF9" w14:textId="77777777" w:rsidR="006E118D" w:rsidRDefault="008974C2">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Semillero de Investigación Neuroconsumer (Facultad de Mercadeo)</w:t>
      </w:r>
      <w:r w:rsidR="00A631B5">
        <w:rPr>
          <w:rFonts w:ascii="Times New Roman" w:eastAsia="Times New Roman" w:hAnsi="Times New Roman" w:cs="Times New Roman"/>
          <w:sz w:val="24"/>
          <w:szCs w:val="24"/>
        </w:rPr>
        <w:t xml:space="preserve"> </w:t>
      </w:r>
    </w:p>
    <w:p w14:paraId="7CD6FD3A" w14:textId="6FF89B0B" w:rsidR="003A6D9D" w:rsidRDefault="008974C2">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Sociedad y Consumo (Facultad de Sociología)</w:t>
      </w:r>
    </w:p>
    <w:p w14:paraId="2F60DC9D" w14:textId="77777777" w:rsidR="006E118D" w:rsidRDefault="006E118D">
      <w:pPr>
        <w:jc w:val="both"/>
        <w:rPr>
          <w:rFonts w:ascii="Times New Roman" w:eastAsia="Times New Roman" w:hAnsi="Times New Roman" w:cs="Times New Roman"/>
          <w:b/>
          <w:sz w:val="24"/>
          <w:szCs w:val="24"/>
        </w:rPr>
      </w:pPr>
    </w:p>
    <w:p w14:paraId="2BDCB548"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Resumen </w:t>
      </w:r>
    </w:p>
    <w:p w14:paraId="4D2349A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objetivo de este proyecto se orienta en comprender las transformaciones que el centro comercial ha generado en las representaciones sociales en torno al territorio urbano en un grupo de habitantes del municipio de Mosquera, Cundinamarca, a partir de la  configuración de marcos interpretativos y reflexivos que desde el abordaje de modelos teoricos como los de Abric (2001) y Hall (1997) acerca de las representaciones sociales y la reconfiguración del signficado del shopping center ( Sarlo, 2003) y del Territorio Urbano, sustentado en la psicologia social y del consumo, el marketing urbano y la sociologia urbana permitiran a partir de los resultados orientar una propuesta de mejoramiento de las relaciones comercio urbano y modo de vida en comunidad.  </w:t>
      </w:r>
    </w:p>
    <w:p w14:paraId="5DCD2B83"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Palabras clave:</w:t>
      </w:r>
      <w:r>
        <w:rPr>
          <w:rFonts w:ascii="Times New Roman" w:eastAsia="Times New Roman" w:hAnsi="Times New Roman" w:cs="Times New Roman"/>
          <w:sz w:val="24"/>
          <w:szCs w:val="24"/>
        </w:rPr>
        <w:t xml:space="preserve"> representaciones sociales, centro comercial, territorio urbano, transformaciones, comunidad.</w:t>
      </w:r>
    </w:p>
    <w:p w14:paraId="230B2200"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Planteamiento del problema </w:t>
      </w:r>
    </w:p>
    <w:p w14:paraId="7D24129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r>
        <w:rPr>
          <w:rFonts w:ascii="Times New Roman" w:eastAsia="Times New Roman" w:hAnsi="Times New Roman" w:cs="Times New Roman"/>
          <w:i/>
          <w:sz w:val="24"/>
          <w:szCs w:val="24"/>
        </w:rPr>
        <w:t xml:space="preserve">shopping </w:t>
      </w:r>
      <w:r>
        <w:rPr>
          <w:rFonts w:ascii="Times New Roman" w:eastAsia="Times New Roman" w:hAnsi="Times New Roman" w:cs="Times New Roman"/>
          <w:sz w:val="24"/>
          <w:szCs w:val="24"/>
        </w:rPr>
        <w:t xml:space="preserve">como lo denomina Sarlo (2011) es el artefacto perfecto a la expresión del nomadismo contemporáneo, de turistas y ciudadanos del común que después de trasegar por lugares extraños, entre lo cercano y lo de afuera, entre el aquí y el ahora (Auge, 1992), en medio de ciudades desconocidas, donde muchas veces los lenguajes, así como sus códigos de expresión son incomunicables, encuentran en este un remanso de serenidad y de familiaridad homogeneizada, con espacios que conservan algún tipo de exotismo y atractivo, dotado de universalismos como siglas, logotipos, etiquetas y marcas. </w:t>
      </w:r>
    </w:p>
    <w:p w14:paraId="6BE94A32"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es cierto que el centro comercial no es toda la ciudad, representa el punto culminante del ocio mercantil, ya que asegura algunos de los requisitos que exige la ciudad: orden, claridad, limpieza y seguridad (Sarlo, 2009), al tiempo que se convierte en un paraíso de contacto directo con las mercancías, por lo que imaginariamente inclusive (Ibid, p. 17) recrea espacios donde confluyen comunidades de consumidores que con sus desigualdades sociales, económicas y culturales acceden visualmente a las mercancías, para a través de estas construir mundos de fantasías e ilusiones, persuadiendo la compra y el consumo de uno u otro modo.</w:t>
      </w:r>
    </w:p>
    <w:p w14:paraId="6FD05460"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línea con lo anterior la representación social de ciudad, así como el de territorio urbano, se han visto sustancialmente afectadas con la inserción del centro comercial. Para el caso norteamericano muy a mediados de lo que fue el siglo XX  la construcción del  primer </w:t>
      </w:r>
      <w:r>
        <w:rPr>
          <w:rFonts w:ascii="Times New Roman" w:eastAsia="Times New Roman" w:hAnsi="Times New Roman" w:cs="Times New Roman"/>
          <w:i/>
          <w:sz w:val="24"/>
          <w:szCs w:val="24"/>
        </w:rPr>
        <w:t xml:space="preserve">shopping mall </w:t>
      </w:r>
      <w:r>
        <w:rPr>
          <w:rFonts w:ascii="Times New Roman" w:eastAsia="Times New Roman" w:hAnsi="Times New Roman" w:cs="Times New Roman"/>
          <w:sz w:val="24"/>
          <w:szCs w:val="24"/>
        </w:rPr>
        <w:t>en la historia moderna</w:t>
      </w:r>
      <w:r>
        <w:rPr>
          <w:rFonts w:ascii="Times New Roman" w:eastAsia="Times New Roman" w:hAnsi="Times New Roman" w:cs="Times New Roman"/>
          <w:i/>
          <w:sz w:val="24"/>
          <w:szCs w:val="24"/>
        </w:rPr>
        <w:t xml:space="preserve">, el «Southdale Center», </w:t>
      </w:r>
      <w:r>
        <w:rPr>
          <w:rFonts w:ascii="Times New Roman" w:eastAsia="Times New Roman" w:hAnsi="Times New Roman" w:cs="Times New Roman"/>
          <w:sz w:val="24"/>
          <w:szCs w:val="24"/>
        </w:rPr>
        <w:t xml:space="preserve">en Minneapolis, Minnesota, implicó por ejemplo, la colonización de suburbios periféricos, la construcción de carreteras, la masificación de automóviles y planes de vivienda accesibles a este, en concordancia con </w:t>
      </w:r>
      <w:r>
        <w:rPr>
          <w:rFonts w:ascii="Times New Roman" w:eastAsia="Times New Roman" w:hAnsi="Times New Roman" w:cs="Times New Roman"/>
          <w:sz w:val="24"/>
          <w:szCs w:val="24"/>
        </w:rPr>
        <w:lastRenderedPageBreak/>
        <w:t xml:space="preserve">los gustos y hábitos de una creciente sociedad posindustrializada, capitalista y burguesa. Modelos de estos </w:t>
      </w:r>
      <w:r>
        <w:rPr>
          <w:rFonts w:ascii="Times New Roman" w:eastAsia="Times New Roman" w:hAnsi="Times New Roman" w:cs="Times New Roman"/>
          <w:i/>
          <w:sz w:val="24"/>
          <w:szCs w:val="24"/>
        </w:rPr>
        <w:t>shoppings malls</w:t>
      </w:r>
      <w:r>
        <w:rPr>
          <w:rFonts w:ascii="Times New Roman" w:eastAsia="Times New Roman" w:hAnsi="Times New Roman" w:cs="Times New Roman"/>
          <w:sz w:val="24"/>
          <w:szCs w:val="24"/>
        </w:rPr>
        <w:t xml:space="preserve"> se masificaron rápidamente por otras ciudades estadounidenses y europeas, con modificaciones sustanciales en el hábitat y el modo de vida de sus habitantes ( Napadensky &amp; Rivera, 2012).</w:t>
      </w:r>
    </w:p>
    <w:p w14:paraId="2641DC97"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para el caso colombiano, los centros comerciales son una representación de la expansión de las ciudades, del dominio jerárquico y social, de la privatización del espacio público, de la lucha de clases (en especial de las clase medias), reflejo de la globalización, la expansión suburbana y el consumo (Castells, 2004), que hasta antes de 1976 (con la construcción del centro comercial Unicentro en Bogotá) se concentraba en el mercado minorista, de ferias campesinas y mercados barriales, pasando por galerías y pasajes republicanos, hasta supermercados y tiendas por departamentos, con modificaciones sustanciales en sus exteriores y en el modo de vida de sus habitantes.</w:t>
      </w:r>
    </w:p>
    <w:p w14:paraId="47B84E1E"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nivel de las principales ciudades colombianas (Bogotá, Cali, Medellín y Barranquilla) los centros comerciales se empezaron a consolidar no solo como espacios donde se compra, sino lugares donde se conjuga el ocio, el entretenimiento y la vida social (Berrio, 2014); sin embargo es importante destacar que principalmente en Bogotá, la proliferación de centros comerciales en casi cuatro décadas, pasando de estar ubicados en sectores de elite ( tipo Unicentro), a sectores de ingreso medio ( Salitre Plaza) y sectores de bajos ingresos ( Tintal Plaza), con crecimiento y proyección importante hacia la Sabana de Bogotá ( desde Soacha hasta Zipaquirá), teniendo en cuenta que hoy por hoy, la oferta inmobiliaria está destinada hacia esos municipios, con impacto en lo barrial, pero no con la misma infraestructura de las ciudades industrializadas y con un crecimiento desorganizado de las ciudades o territorios urbanos intermedios, donde se ofrecen cinemas, supermercados y almacenes de retail a quienes prefieren vivir en los suburbios de la sabana capitalina (Müller, 2007). </w:t>
      </w:r>
    </w:p>
    <w:p w14:paraId="0499B6C2"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base en lo anterior, la evidencia empírica demuestra los incipientes hallazgos que desde el punto de vista de las representaciones sociales [entiendo esta como un conjunto organizado de cogniciones relativas a un objeto, compartidas por los miembros de una población homogénea en relación con ese objeto (Abric, 2000, p. 33)] existe frente a los centros comerciales y la noción de territorio urbano en municipios de la Sabana de Bogotá, ya que se desconoce desde el análisis del comportamiento del consumidor, de la psicología social y de la sociología urbana las valoraciones, percepciones, creencias y conductas colectivas con respecto a las transformaciones que el centro comercial ha generado dentro del modo de vida de una comunidad. </w:t>
      </w:r>
    </w:p>
    <w:p w14:paraId="1804EC7F" w14:textId="77777777" w:rsidR="00A631B5" w:rsidRDefault="00A631B5">
      <w:pPr>
        <w:jc w:val="both"/>
        <w:rPr>
          <w:rFonts w:ascii="Times New Roman" w:eastAsia="Times New Roman" w:hAnsi="Times New Roman" w:cs="Times New Roman"/>
          <w:sz w:val="24"/>
          <w:szCs w:val="24"/>
        </w:rPr>
      </w:pPr>
    </w:p>
    <w:p w14:paraId="0FF18A93" w14:textId="77777777" w:rsidR="00A631B5" w:rsidRDefault="00A631B5">
      <w:pPr>
        <w:jc w:val="both"/>
        <w:rPr>
          <w:rFonts w:ascii="Times New Roman" w:eastAsia="Times New Roman" w:hAnsi="Times New Roman" w:cs="Times New Roman"/>
          <w:sz w:val="24"/>
          <w:szCs w:val="24"/>
        </w:rPr>
      </w:pPr>
    </w:p>
    <w:p w14:paraId="405DD2FD"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Pregunta problema</w:t>
      </w:r>
    </w:p>
    <w:p w14:paraId="6A74067B" w14:textId="3A7E6BFF" w:rsidR="003A6D9D" w:rsidRDefault="00365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¿Cómo el centro c</w:t>
      </w:r>
      <w:r w:rsidR="008974C2">
        <w:rPr>
          <w:rFonts w:ascii="Times New Roman" w:eastAsia="Times New Roman" w:hAnsi="Times New Roman" w:cs="Times New Roman"/>
          <w:sz w:val="24"/>
          <w:szCs w:val="24"/>
        </w:rPr>
        <w:t>omercial ha transformado las representaciones sociales en torno al territorio urbano en un grupo de habitantes del municipio de Mosquera, Cundinamarca?</w:t>
      </w:r>
    </w:p>
    <w:p w14:paraId="00297CF8"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Justificación </w:t>
      </w:r>
    </w:p>
    <w:p w14:paraId="52ABF93B"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interés  por desarrollar un proyecto desde el trabajo en conjunto de docentes y estudiantes de diferentes  disciplinas (Sociología y Mercadeo)  responde, por una parte, al propósito de   dar continuidad al trabajo realizado por   el semillero “Neuroconsumer” y “Socioedad y Consumo”  los cuales han venido trabajando temáticas asociadas a la ciudad, como fenómeno social  e igualmente  como   producto desde la mirada del marketing urbano. Por  otro lado,  la  identificación de modificaciones   y expansión de dinámicas  urbanas en los municipios aledaños a la capital del país, hace necesario  analizarlas para poder aportar a los procesos de  planificación del territorio a partir  de  los conocimientos sociológicos como de marketing urbano. </w:t>
      </w:r>
    </w:p>
    <w:p w14:paraId="2A851CAF"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ese orden de ideas, los directamente  beneficiados de dicha propuesta, serán los entes  institucionales como la alcaldía,  los mismos propietarios del centro comercial y habitantes de Mosquera, en tanto que los resultados obtenidos permitirán soportar la toma de decisiones.</w:t>
      </w:r>
    </w:p>
    <w:p w14:paraId="4FAA3C0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fenómeno  a estudiar, ha sido una temática de interés de  planificadores, arquitectos, sociólogos y mercadólogos, entre otros. De hecho, ya Thierry y Müller  en 1997 evidenciaban la  expansión  de los centros comerciales  en Bogotá  y  su rol como  espacios de sociabilidad urbana;  así como de segregación urbana (Sabatinni).  Si bien, el análisis de dichas  afectaciones  ha sido  abordado en  diferentes ciudades de  Colombia,  no  ha sido el mismo caso de Mosquera, municipio que  cuenta con  predios de tipo urbano (9.408) y  rural (1.177) según el  catas</w:t>
      </w:r>
      <w:r w:rsidR="00A631B5">
        <w:rPr>
          <w:rFonts w:ascii="Times New Roman" w:eastAsia="Times New Roman" w:hAnsi="Times New Roman" w:cs="Times New Roman"/>
          <w:sz w:val="24"/>
          <w:szCs w:val="24"/>
        </w:rPr>
        <w:t>tro seccional de Cundinamarca, y que  cuenta</w:t>
      </w:r>
      <w:r>
        <w:rPr>
          <w:rFonts w:ascii="Times New Roman" w:eastAsia="Times New Roman" w:hAnsi="Times New Roman" w:cs="Times New Roman"/>
          <w:sz w:val="24"/>
          <w:szCs w:val="24"/>
        </w:rPr>
        <w:t xml:space="preserve"> </w:t>
      </w:r>
      <w:r w:rsidR="00A631B5">
        <w:rPr>
          <w:rFonts w:ascii="Times New Roman" w:eastAsia="Times New Roman" w:hAnsi="Times New Roman" w:cs="Times New Roman"/>
          <w:sz w:val="24"/>
          <w:szCs w:val="24"/>
        </w:rPr>
        <w:t xml:space="preserve"> recientemente con </w:t>
      </w:r>
      <w:r>
        <w:rPr>
          <w:rFonts w:ascii="Times New Roman" w:eastAsia="Times New Roman" w:hAnsi="Times New Roman" w:cs="Times New Roman"/>
          <w:sz w:val="24"/>
          <w:szCs w:val="24"/>
        </w:rPr>
        <w:t xml:space="preserve">el centro comercial Eco Plaza.  La presencia de  este  equipamiento urbano, evidencia  como  las dinámicas propias de las grandes urbes empiezan a  trasladarse también a  los municipio aledaños y  generan tensiones sobre los usos del suelo, las representaciones sociales  sobre la configuración del territorio y los procesos de  planificación asociados.   </w:t>
      </w:r>
    </w:p>
    <w:p w14:paraId="50CE3D00"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Objetivos</w:t>
      </w:r>
    </w:p>
    <w:p w14:paraId="1306FC06"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w:t>
      </w:r>
    </w:p>
    <w:p w14:paraId="18922CAA" w14:textId="31FC45AF" w:rsidR="00365741" w:rsidRDefault="008974C2" w:rsidP="00365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Comprender las transformaciones que el centro comercial ha generado en las representaciones sociales en torno al territorio urbano en un grupo de habitantes del municipio de Mosquera, Cundinamarca</w:t>
      </w:r>
      <w:r w:rsidR="00365741">
        <w:rPr>
          <w:rFonts w:ascii="Times New Roman" w:eastAsia="Times New Roman" w:hAnsi="Times New Roman" w:cs="Times New Roman"/>
          <w:sz w:val="24"/>
          <w:szCs w:val="24"/>
        </w:rPr>
        <w:t xml:space="preserve"> por medio de la comprensión y la reflexión para el </w:t>
      </w:r>
      <w:r w:rsidR="00365741">
        <w:rPr>
          <w:rFonts w:ascii="Times New Roman" w:eastAsia="Times New Roman" w:hAnsi="Times New Roman" w:cs="Times New Roman"/>
          <w:sz w:val="24"/>
          <w:szCs w:val="24"/>
        </w:rPr>
        <w:lastRenderedPageBreak/>
        <w:t>establecimiento de estrategias de mejoramiento de las relaciones comercio</w:t>
      </w:r>
      <w:r w:rsidR="006E118D">
        <w:rPr>
          <w:rFonts w:ascii="Times New Roman" w:eastAsia="Times New Roman" w:hAnsi="Times New Roman" w:cs="Times New Roman"/>
          <w:sz w:val="24"/>
          <w:szCs w:val="24"/>
        </w:rPr>
        <w:t>,</w:t>
      </w:r>
      <w:bookmarkStart w:id="0" w:name="_GoBack"/>
      <w:bookmarkEnd w:id="0"/>
      <w:r w:rsidR="00365741">
        <w:rPr>
          <w:rFonts w:ascii="Times New Roman" w:eastAsia="Times New Roman" w:hAnsi="Times New Roman" w:cs="Times New Roman"/>
          <w:sz w:val="24"/>
          <w:szCs w:val="24"/>
        </w:rPr>
        <w:t xml:space="preserve"> urbano y modo de vida en comunidad</w:t>
      </w:r>
    </w:p>
    <w:p w14:paraId="11CFDEA3"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Específicos   </w:t>
      </w:r>
    </w:p>
    <w:p w14:paraId="6E9CBF58" w14:textId="77777777" w:rsidR="003A6D9D" w:rsidRDefault="008974C2">
      <w:pPr>
        <w:numPr>
          <w:ilvl w:val="0"/>
          <w:numId w:val="2"/>
        </w:num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Reconocer el significado del centro comercial, las dinámicas de compra, consumo  y modo de vida construidas frente a este, a partir de las percepciones construidas por un conjunto de habitantes de los barrios aledaños. </w:t>
      </w:r>
    </w:p>
    <w:p w14:paraId="0E6592A6" w14:textId="77777777" w:rsidR="003A6D9D" w:rsidRDefault="008974C2">
      <w:pPr>
        <w:numPr>
          <w:ilvl w:val="0"/>
          <w:numId w:val="2"/>
        </w:num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las características sociales y culturales que dan sentido al territorio urbano, a partir de la formación de las  representaciones sociales frente al centro comercial.</w:t>
      </w:r>
    </w:p>
    <w:p w14:paraId="69B7B18F" w14:textId="77777777" w:rsidR="003A6D9D" w:rsidRDefault="008974C2">
      <w:pPr>
        <w:numPr>
          <w:ilvl w:val="0"/>
          <w:numId w:val="2"/>
        </w:num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Proponer estrategias desde el marketing urbano que propendan  por mejorar las relaciones entre comercio, modo de vida y territorio urbano en torno a las ventajas y desventajas que ofrece el centro comercial.</w:t>
      </w:r>
    </w:p>
    <w:p w14:paraId="4723B130" w14:textId="77777777" w:rsidR="00A631B5" w:rsidRDefault="00A631B5">
      <w:pPr>
        <w:jc w:val="both"/>
        <w:rPr>
          <w:rFonts w:ascii="Times New Roman" w:eastAsia="Times New Roman" w:hAnsi="Times New Roman" w:cs="Times New Roman"/>
          <w:b/>
          <w:sz w:val="24"/>
          <w:szCs w:val="24"/>
        </w:rPr>
      </w:pPr>
    </w:p>
    <w:p w14:paraId="3F514A0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Marco teórico</w:t>
      </w:r>
      <w:r>
        <w:rPr>
          <w:rFonts w:ascii="Times New Roman" w:eastAsia="Times New Roman" w:hAnsi="Times New Roman" w:cs="Times New Roman"/>
          <w:sz w:val="24"/>
          <w:szCs w:val="24"/>
        </w:rPr>
        <w:t xml:space="preserve"> </w:t>
      </w:r>
    </w:p>
    <w:p w14:paraId="2C92460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Sentido y Significado de los centros comerciales </w:t>
      </w:r>
    </w:p>
    <w:p w14:paraId="0295B066"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Sarlo (2009) el centro comercial es la perfecta adecuación entre finalidad y disposición del espacio, ya que a través de este la circulación de mercancías se objetiviza y el consumismo se acentúa, generando una cultura extraterritorial de la que nadie puede sentirse excluido, dotado de elementos fetichistas, con exposición de los objetos soñados, como producto propio de la posmodernidad. Por su parte Ramírez Kuri (1998) sustenta que los centros comerciales son el resultado de transformaciones espaciales impulsadas por procesos de modernización urbana. Con base en ello transcurren los procesos de diferenciación social, tanto para los usuarios como para las poblaciones que no acceden o que no se identifican con ellos. De acuerdo con Medina (1998) el centro comercial no es solamente una nueva modalidad del consumo, es además el espejo que refleja las transformaciones actuales en la disposición de la trama urbana. </w:t>
      </w:r>
    </w:p>
    <w:p w14:paraId="439CE676"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el centro comercial se da dando paso de la ciudad tradicional, de la ciudad centralizada, a una ciudad fragmentada y dispersa, con una nueva comprensión de la transición entre lo público de la ciudad y lo privado de la misma. Anteriormente la plaza era el paradigma, el centro donde se encontraba el poder gubernamental, religioso y social; la importancia del comercio dependía del centro y si se alejaba del centro perdía esa importancia; al llegar la propuesta comercial, que cambió el sentido del espacio público, la galería o pasaje comercial cubierto, se sentía más la vida citadina y el flujo de gente era mayor. Eran el sitio de la mercancía de lujo y de moda. De esta manera, se puede evidenciar el impacto que generó el desarrollo de los centros comerciales en los hábitos de consumo de las personas, tanto en las </w:t>
      </w:r>
      <w:r>
        <w:rPr>
          <w:rFonts w:ascii="Times New Roman" w:eastAsia="Times New Roman" w:hAnsi="Times New Roman" w:cs="Times New Roman"/>
          <w:sz w:val="24"/>
          <w:szCs w:val="24"/>
        </w:rPr>
        <w:lastRenderedPageBreak/>
        <w:t xml:space="preserve">zonas urbanas como rurales. Es en palabras de Brummet (1997, citado por Cornejo, 2000) la expresión fetichista, voyeurista y narcisista del capitalismo actual.  </w:t>
      </w:r>
    </w:p>
    <w:p w14:paraId="7542198E"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Pancorbo, Benavides y De León (2011) los espacios urbanos convergen maneras de vivir distintas que conforman diversidad ciudadana. El comercio puede favorecer el proceso de integración y de diversidad, al mismo tiempo que ofrecer servicios y calidad de vida. Pero esto ha conllevado a nuevos retos para el significado y desarrollo de este espacio urbano, donde el centro histórico representa la identidad y la memoria de cada ciudad. Este lugar único tiene que buscar equilibrio como espacio diseñado a la medida de un público que, en sus diferentes roles, lo usa, deambula, mira, siente, compra, aprende, convive, conduce, disfruta, contempla, descansa, duerme y vive; la función comercial actual, debe tratar de ofrecer un equilibrio entre proximidad, atractividad, comodidad, entretenimiento, precios y satisfacción del consumidor. Encontrar un equilibrio entre comercio de atracción y el comercio de proximidad se convierte en un objeto fundamental para configurar ciudades comerciales atractivas; de este modo la ciudad podrá crear valor para los ciudadanos ofreciendo mayor calidad de vida, y también generando atractivos comerciales y de ocio en el área urbana, muy valorados no solo por los residentes, sino también por los visitantes, ya que paralelamente se desarrollan atractivos para el turismo urbano.</w:t>
      </w:r>
    </w:p>
    <w:p w14:paraId="03DB418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Medina (1998) afirma que los centros comerciales son una tendencia a concentrar en lugares muy amplios diversos puntos de oferta; donde se concentra gran cantidad de bienes de consumo diferentes (desde alimenticios, prendas de vestir y artículos del hogar, hasta boleras, discotecas y parques de diversiones), estos lugares que el hombre urbano frecuenta para ir de compras y divertirse, para buscar los objetos que su ritmo de vida demanda o para satisfacer algunas de sus necesidades, le ofrecen “lo nuevo” (“nuevas técnicas de ventas”, “un nuevo estilo”), “lo último” (las propuestas de moda), “lo moderno”, “lo práctico”, “el diseño”, “la calidad”, “la garantía de marca”.</w:t>
      </w:r>
    </w:p>
    <w:p w14:paraId="0D6D3235" w14:textId="77777777" w:rsidR="003A6D9D" w:rsidRDefault="008974C2">
      <w:pPr>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En relación con todo lo anterior Cáceres, Sabatini, Salcedo y Blonda (2006) manifiestan que el centro comercial es detonador de poderosas transformaciones urbanas y, al mismo tiempo, es activo facilitador de cambios en la geografía de oportunidades de amplias áreas urbanas. De esta forma, el polifacético influjo del mal en la ciudad latinoamericana nos lleva a concebirlo mejor como </w:t>
      </w:r>
      <w:r>
        <w:rPr>
          <w:rFonts w:ascii="Times New Roman" w:eastAsia="Times New Roman" w:hAnsi="Times New Roman" w:cs="Times New Roman"/>
          <w:i/>
          <w:sz w:val="24"/>
          <w:szCs w:val="24"/>
        </w:rPr>
        <w:t xml:space="preserve">artefacto de urbanidad </w:t>
      </w:r>
      <w:r>
        <w:rPr>
          <w:rFonts w:ascii="Times New Roman" w:eastAsia="Times New Roman" w:hAnsi="Times New Roman" w:cs="Times New Roman"/>
          <w:sz w:val="24"/>
          <w:szCs w:val="24"/>
        </w:rPr>
        <w:t xml:space="preserve">que como seguro y repetitivo </w:t>
      </w:r>
      <w:r>
        <w:rPr>
          <w:rFonts w:ascii="Times New Roman" w:eastAsia="Times New Roman" w:hAnsi="Times New Roman" w:cs="Times New Roman"/>
          <w:i/>
          <w:sz w:val="24"/>
          <w:szCs w:val="24"/>
        </w:rPr>
        <w:t>artefacto de la globalización.</w:t>
      </w:r>
    </w:p>
    <w:p w14:paraId="312BD92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espacios comerciales no son de ahora, llevan siendo parte de la historia desde siglos atrás, como es el caso de los Tianguis en la ciudad de México hace más de 600 años; los Tianguis desde la antigüedad cumplía con una de las características de ciudad dadas por Sarlo, el orden, esto debido a que se organizaban los Tianguis en siete  secciones las cuales </w:t>
      </w:r>
      <w:r>
        <w:rPr>
          <w:rFonts w:ascii="Times New Roman" w:eastAsia="Times New Roman" w:hAnsi="Times New Roman" w:cs="Times New Roman"/>
          <w:sz w:val="24"/>
          <w:szCs w:val="24"/>
        </w:rPr>
        <w:lastRenderedPageBreak/>
        <w:t>se reunían una serie de bienes dependiendo de su uso. Con la evolución de las zonas comerciales durante los S. XVII Y XVIII las ciudades españolas se construyeron a partir de la plaza mayor (plaza de mercado) es decir la zona comercial, con lo cual se puede resaltar la importancia social que tuvieron las zonas comerciales ya que estas eran el eje que daba forma a las urbes; ha sido tal la evolución de las zonas comerciales que se comenzaron a abrir industrias especializadas, distintos tipos de negocios que coexistían y buscaban satisfacer las necesidades de los consumidores en una ciudad y por la necesidad de encontrar todo en un solo lugar se crearon los centros comerciales y que tal ha sido su evolución que se les puede considerar como centros de entretenimiento (Páramo, 2013) donde las personas pueden obtener entretención, comodidad, seguridad y mayores opciones de compra. Un aspecto a resaltar en los centros comerciales es que se debe hacer una planeación exhaustiva que garantice el éxito y la viabilidad del centro comercial por lo cual se deben llevar a cabo diferentes estudios como lo son de ubicación, estudios demográficos, viabilidad estructural, una segmentación del mercado, determinar qué tipo de productos y servicios serían acogidos entre otros que garanticen su éxito y eviten un fracaso.</w:t>
      </w:r>
    </w:p>
    <w:p w14:paraId="7A363BA0"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una realidad que actualmente los centros comerciales han tenido que evolucionar por una alta demanda por parte de los usuarios, quienes quieren más entretención, seguridad, espacio, confortabilidad y mayor capacidad de compra, por lo cual surge el concepto de los shopping mall center, los cuales tratan de imitar las características de un centro comercial pero son estructuras cerradas que buscan asemejarse a “ciudades” donde las personas puedan satisfacer sus necesidades en un mismo lugar pero con un ambiente más sofisticado y acorde con sus necesidades.</w:t>
      </w:r>
    </w:p>
    <w:p w14:paraId="0D9A6B8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centro comercial es interpretado como la ciudad dentro de la ciudad si se parte dentro de la definición más genérica de la ciudad, la cual se entiende como área urbana con una población densa en donde predominan los servicios y la industria” (Puentes, Molina, &amp; Molina, 2013), la expansión que han tenido las ciudades han generado el desarrollo de nuevos centros, estos centros se ubican en los distintos barrios que conforman la ciudad, lo cual diversifica el concepto de centro como un único punto central; todos los centros comerciales estén donde estén, en cualquier país del mundo  son el núcleo de la sociedad de consumo.  </w:t>
      </w:r>
    </w:p>
    <w:p w14:paraId="781AE96F" w14:textId="77777777" w:rsidR="003A6D9D" w:rsidRDefault="008974C2">
      <w:pPr>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Los centros comerciales están diseñados para ser indiferente con la ciudad que rodea a esas edificaciones aisladas, son capaces de crear una nueva vida un gran ambiente que genere en las personas la seguridad, la confianza y la tranquilidad de que no tienen que preocuparse por nada del exterior ya que todo lo encuentran en un mismo punto que además cambia su rutina cotidiana y le ofrece la posibilidad de satisfacer varias necesidades; las marcas y las empresas son los otros beneficiarios de los centros comerciales ya que pueden llegar al cliente en un ambiente novedoso y les permite generar diferentes estrategias para atraer a nuevos clientes </w:t>
      </w:r>
      <w:r>
        <w:rPr>
          <w:rFonts w:ascii="Times New Roman" w:eastAsia="Times New Roman" w:hAnsi="Times New Roman" w:cs="Times New Roman"/>
          <w:sz w:val="24"/>
          <w:szCs w:val="24"/>
        </w:rPr>
        <w:lastRenderedPageBreak/>
        <w:t>a adquirir sus productos. A nivel social los centros comerciales son totalmente incluyentes, ya que no obligan a nadie a comprar o a consumir, todos pueden entrar y recorrer los pasillos del centro comercial libremente, sin olvidar que no es un espacio público pero se crea la sensación de que lo es lo que genera una percepción de libertad y comodidad.</w:t>
      </w:r>
    </w:p>
    <w:p w14:paraId="3B7A42A8"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de los autores mencionados anteriormente, Pacheco  y Hewitt (2010) explican que los centros comerciales o lugares de ocio  situados en las nuevas periferias del entorno metropolitano, se adaptan a los modelos urbanos del postmodernismo, la dependencia del automóvil y la periurbanización sin fin, vinculandose a las estructuras dispersas y fragmentadas de los espacios de expansión metropolitanos, que muchas veces se definen por contener elementos urbanos pero sin conformar ciudad. Igualmente alimentan la denominada ciudad dispersa, convirtiéndose en pieza clave de estos complejos desarrollos suburbanos, contribuyendo a la desaparición de las diferencias entre el centro tradicional y la periferia, al trasladar o dispersar y al mismo tiempo concentrar las funciones de consumo y ocio a espacios cada vez más periurbanos dejando evidencia el cambio que se dio con la llegada de estos nuevos espacio de comercio a la periferias de las ciudad y lo que trajo consigo todo esto. </w:t>
      </w:r>
    </w:p>
    <w:p w14:paraId="5C5C004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la perspectiva  Elizagarate (2001) los centros comerciales han mostrado al consumidor las venta­jas derivadas de una mayor y más variada concentración de establecimientos, tanto comercial como de servicios, ocio y esparcimiento, y también, de las nuevas técnicas de promoción y publicidad aplicadas sobre estos espacios, han permitido optimizar el nivel de ventas del conjunto. Mostrando desde un punto de vista positivo las ventajas de estos establecimientos, sin embargo ella también está de acuerdo con los cambios que han tenido estos lugares en el desarrollo del comercio y la estructura dentro de las ciudades diciendo que la implantación de los centros comerciales en el perímetro de las ciudades puede erosionar el flujo de compradores hacia el interior de la ciudad, y que ha provocado en muchos casos, la pérdida del atractivo del centro urbano.</w:t>
      </w:r>
    </w:p>
    <w:p w14:paraId="50833DB8"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Comprensión del significado de ciudad y territorio urbano</w:t>
      </w:r>
      <w:r>
        <w:rPr>
          <w:rFonts w:ascii="Times New Roman" w:eastAsia="Times New Roman" w:hAnsi="Times New Roman" w:cs="Times New Roman"/>
          <w:sz w:val="24"/>
          <w:szCs w:val="24"/>
        </w:rPr>
        <w:t xml:space="preserve"> </w:t>
      </w:r>
    </w:p>
    <w:p w14:paraId="1611F656"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territorio es un espacio geográfico rural o urbano en el cual surgen relaciones materiales e inmateriales. Son materiales los espacios  que están reglamentados por una gobernanza que ejerce soberanía sobre el espacio, dando paso al  territorio inmaterial a partir del orden consuetudinario y el mundo de las ideas.</w:t>
      </w:r>
    </w:p>
    <w:p w14:paraId="4A2402CE"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el territorio está mediado por dimensiones de conflictualidad, intencionalidad, soberanía, propiedad y transescalaridad que desembocan en relaciones sociales, económicas, políticas, ambientales y culturales. Por lo tanto, el conflicto aparece en la medida en que surgen relaciones de poder y de producción entre los diferentes actores que direccionan el </w:t>
      </w:r>
      <w:r>
        <w:rPr>
          <w:rFonts w:ascii="Times New Roman" w:eastAsia="Times New Roman" w:hAnsi="Times New Roman" w:cs="Times New Roman"/>
          <w:sz w:val="24"/>
          <w:szCs w:val="24"/>
        </w:rPr>
        <w:lastRenderedPageBreak/>
        <w:t xml:space="preserve">destino de un espacio geográfico determinado (intencionalidad) el  cual posee un extensión determinada, clasificada en la escala de transescalaridad, dividiendo espacios internacionales, nacionales, gubernamentales y municipales. . </w:t>
      </w:r>
    </w:p>
    <w:p w14:paraId="628C7033"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ese sentido, el territorio urbano  es una construcción social en la medida en que, en la base material del mismo, se erigen ciudades por medio de grupos sociales que controlan la construccion arquitectonica y urbanistica del espacio. Así pues, surgen territorios barriales, sobre los cuales no existe control, ya que, aparecen directrices consuetudinarias que organizan el espacio de acuerdo a una comunidad que se edifica en torno al conflicto y la lucha de clases, buscando acceso a los equipamientos colectivos para satisfacer las condiciones materiales básicas de la existencia (Castells, 1971).  </w:t>
      </w:r>
    </w:p>
    <w:p w14:paraId="40B94CC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el objetivo de estos sujetos colectivos radica en la satisfacción de las necesidades en un contexto determinado en la  ciudad, definida por su tamaño,  densidad y  heterogeneidad sobre el carácter de la vida colectiva, dinamizada por contactos personales e impersonales, superficiales, transitorios y segmentados (Wirth, 1938). </w:t>
      </w:r>
    </w:p>
    <w:p w14:paraId="1FC3A95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bases fundamentales del territorio de base urbana son la unidad económica, cultural y social. Sin embargo, “...no todo los urbano es ciudad, pero si toda ciudad para ser tal, debe tener un carácter urbano…”(Antequera, 2007, pág. 20) ya que, la construcción de la ciudad recae sobre la base material de la misma, en tanto se producen y reproducen diferentes espacios que enarbolan mecanismos para el funcionamiento de los sistemas sociales, económicos y culturales de la ciudad. Ahora bien, las formas de implementar los sistemas mencionados ulteriormente, no intervienen directamente con el funcionamiento de alguno territorios urbanos, debido a las contradicciones que se presentan entre el orden consuetudinario impuesto por quienes ejercen dominio sobre un territorio y el orden positivo impuesto por los sistemas objetivados por la estructura. </w:t>
      </w:r>
    </w:p>
    <w:p w14:paraId="30434A4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el territorio urbano y su area tambien lo conforman “...conjuntos de edificaciones y estructuras contiguas agrupadas en manzanas, las cuales están delimitadas por calles, carreras o avenidas, principalmente…” (Dane, 1994. Pág 1) que cubre los servicios generales de una ciudad y un territorio urbano por medio de acueductos, escuelas, hospitales e incluso centros comerciales. </w:t>
      </w:r>
    </w:p>
    <w:p w14:paraId="2085C5C3" w14:textId="0D9A4C49" w:rsidR="003A6D9D" w:rsidRDefault="003A6D9D">
      <w:pPr>
        <w:spacing w:after="0"/>
        <w:rPr>
          <w:rFonts w:ascii="Times New Roman" w:eastAsia="Times New Roman" w:hAnsi="Times New Roman" w:cs="Times New Roman"/>
          <w:sz w:val="24"/>
          <w:szCs w:val="24"/>
        </w:rPr>
      </w:pPr>
    </w:p>
    <w:p w14:paraId="7AEB060A"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Representaciones sociales construidas en torno a los centros comerciales</w:t>
      </w:r>
    </w:p>
    <w:p w14:paraId="2553AE23"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línea con lo anterior, los centros comerciales han pasado a ser uno de los espacios territoriales y símbolos distintivos de lo global, teniendo impacto transformador sobre la fisonomía urbana, en la medida en que se fusionan el mercado y los procesos de interacción </w:t>
      </w:r>
      <w:r>
        <w:rPr>
          <w:rFonts w:ascii="Times New Roman" w:eastAsia="Times New Roman" w:hAnsi="Times New Roman" w:cs="Times New Roman"/>
          <w:sz w:val="24"/>
          <w:szCs w:val="24"/>
        </w:rPr>
        <w:lastRenderedPageBreak/>
        <w:t>social y simbólica de los sujetos, llegando a ser un elemento constitutivo de las relaciones intersubjetivas que se dan en los espacios urbanos (Hernández, 2013).</w:t>
      </w:r>
    </w:p>
    <w:p w14:paraId="164C3BF9"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base en ello desde la Teoría de las Representaciones Sociales es de especial interés en el estudio de los centros comerciales y de la comprensión de las transformaciones que genera en el colectivo. Al respecto Abric (2000) explica que las representaciones son conjuntos sociocognitivos organizados de forma específica y regidos por reglas propias de funcionamiento. La comprensión de los mecanismos de intervención de las representaciones en las prácticas sociales supone, por tanto, que la organización interna de la representación sea conocida. En ese sentido frente a los centros comerciales la organización de la representación está determinada por las creencias, los mitos y demás productos culturales construidos por un colectivo en torno a las dinámicas sociales, culturales y de consumo, al sentido del comercio urbano y sus transformaciones frente al orden instituido, ya que frente a la formación de las representaciones la conciencia colectiva trasciende a los individuos como una fuerza coactiva, donde el colectivo mismo no se puede reducir al orden individual (Durkheim ,1898, citado en Abric, 2000). </w:t>
      </w:r>
    </w:p>
    <w:p w14:paraId="05A58F56" w14:textId="77777777" w:rsidR="003A6D9D" w:rsidRDefault="008974C2">
      <w:pPr>
        <w:spacing w:before="180" w:after="160"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Moscovici (1979) la representación social es una modalidad particular del conocimiento, cuya función es la elaboración de los comportamientos y la comunicación entre los individuos, con base en esto la representación social se configura como un cuerpo organizado de conocimientos y actividades mentales a través de las cuales para el caso de los centros comerciales el colectivo (la comunidad, los ciudadanos) hacen inteligible la realidad física y social, integrándose dentro de una relación cotidiana de intercambios en diferentes niveles.</w:t>
      </w:r>
    </w:p>
    <w:p w14:paraId="3B787B7B" w14:textId="77777777" w:rsidR="003A6D9D" w:rsidRDefault="008974C2">
      <w:pPr>
        <w:spacing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base en esto la representación social se configura como el conocimiento de sentido común que tiene como objetivos el intercambio de comunicaciones del grupo social dentro de su cotidinidad y la construcción de sentido del ambiente social del colectivo. En palabras de Moscovici (1979, citado por Abric, 2000), “ es una modalidad particular del conocimiento, cuya función es la elaboración de los comportamientos y la comunicación entre los individuos” (p.18). </w:t>
      </w:r>
    </w:p>
    <w:p w14:paraId="18260217" w14:textId="77777777" w:rsidR="003A6D9D" w:rsidRDefault="008974C2">
      <w:pPr>
        <w:spacing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el punto de vista de la psicología social y de la psicología del consumo,  las representaciones sociales están integradas por formaciones subjetivas tales como: opiniones, actitudes, creencias, imágenes, valores, informaciones y conocimientos, que al nivel de lo que simboliza y representan los centros comerciales sitúa en la necesidad de conocer los procesos sociales, de compra y consumo que le dan sentido, la construcción de </w:t>
      </w:r>
      <w:r>
        <w:rPr>
          <w:rFonts w:ascii="Times New Roman" w:eastAsia="Times New Roman" w:hAnsi="Times New Roman" w:cs="Times New Roman"/>
          <w:sz w:val="24"/>
          <w:szCs w:val="24"/>
        </w:rPr>
        <w:lastRenderedPageBreak/>
        <w:t xml:space="preserve">identidad, realidad y la manera cómo el conocimiento se construye dentro de los mismos. Por lo anterior, las representaciones sociales nos posibilitan desarrollar tanto una identidad del consumidor cómo el ambiente social a través de los cuales los centros comerciales resignifican y transforman su realidad. De esta forma, se podría decir que las representaciones sociales son una manera de interpretar la realidad cotidiana, mediante un conocimiento social (Jovchelovitch, 2007). </w:t>
      </w:r>
    </w:p>
    <w:p w14:paraId="052AEF1F" w14:textId="77777777" w:rsidR="003A6D9D" w:rsidRDefault="008974C2">
      <w:pPr>
        <w:spacing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Abric (2001) todas las representaciones sociales están organizadas alrededor de un </w:t>
      </w:r>
      <w:r>
        <w:rPr>
          <w:rFonts w:ascii="Times New Roman" w:eastAsia="Times New Roman" w:hAnsi="Times New Roman" w:cs="Times New Roman"/>
          <w:b/>
          <w:sz w:val="24"/>
          <w:szCs w:val="24"/>
        </w:rPr>
        <w:t>núcleo central</w:t>
      </w:r>
      <w:r>
        <w:rPr>
          <w:rFonts w:ascii="Times New Roman" w:eastAsia="Times New Roman" w:hAnsi="Times New Roman" w:cs="Times New Roman"/>
          <w:sz w:val="24"/>
          <w:szCs w:val="24"/>
        </w:rPr>
        <w:t>. Este es el elemento fundamental de la representación puesto que determina el significado y la organización de la representación. “El núcleo central presenta una función generadora, que es el elemento mediante el cual se crea y se transforma la significación de los otros elementos constitutivos de la representación, en otras palabras, es por su conducto que esos elementos toman un sentido y un valor”. (p.20). Al respecto de lo anterior este núcleo central está constituido por uno o varios elementos que en la estructura de la representación ocupan una posición privilegiada: son ellos los que dan su significación a la representación, por un lado está determinada por la naturaleza del objeto representado; por la relación que el sujeto -o el grupo- mantiene con dicho objeto, y finalmente el sistema de valores y normas sociales que constituyen el entorno ideológico del momento y del grupo.</w:t>
      </w:r>
    </w:p>
    <w:p w14:paraId="5B2425AB" w14:textId="77777777" w:rsidR="003A6D9D" w:rsidRDefault="008974C2">
      <w:pPr>
        <w:spacing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forma, las representaciones sociales desempeñan un papel fundamental en las prácticas y en la dinámica de las relaciones sociales, enfocando su desarrollo en tres funciones principales: a) </w:t>
      </w:r>
      <w:r>
        <w:rPr>
          <w:rFonts w:ascii="Times New Roman" w:eastAsia="Times New Roman" w:hAnsi="Times New Roman" w:cs="Times New Roman"/>
          <w:i/>
          <w:sz w:val="24"/>
          <w:szCs w:val="24"/>
        </w:rPr>
        <w:t>Funciones de saber</w:t>
      </w:r>
      <w:r>
        <w:rPr>
          <w:rFonts w:ascii="Times New Roman" w:eastAsia="Times New Roman" w:hAnsi="Times New Roman" w:cs="Times New Roman"/>
          <w:sz w:val="24"/>
          <w:szCs w:val="24"/>
        </w:rPr>
        <w:t xml:space="preserve">, ya que permiten entender y explicar la realidad; b) </w:t>
      </w:r>
      <w:r>
        <w:rPr>
          <w:rFonts w:ascii="Times New Roman" w:eastAsia="Times New Roman" w:hAnsi="Times New Roman" w:cs="Times New Roman"/>
          <w:i/>
          <w:sz w:val="24"/>
          <w:szCs w:val="24"/>
        </w:rPr>
        <w:t xml:space="preserve">Funciones identitarias </w:t>
      </w:r>
      <w:r>
        <w:rPr>
          <w:rFonts w:ascii="Times New Roman" w:eastAsia="Times New Roman" w:hAnsi="Times New Roman" w:cs="Times New Roman"/>
          <w:sz w:val="24"/>
          <w:szCs w:val="24"/>
        </w:rPr>
        <w:t xml:space="preserve">ya que conforman la construcción de identidad individual y colectiva de la persona, así como la especificidad de los grupos. Además, busca entender y explicar la importancia de la identidad en los procesos sociales y c) </w:t>
      </w:r>
      <w:r>
        <w:rPr>
          <w:rFonts w:ascii="Times New Roman" w:eastAsia="Times New Roman" w:hAnsi="Times New Roman" w:cs="Times New Roman"/>
          <w:i/>
          <w:sz w:val="24"/>
          <w:szCs w:val="24"/>
        </w:rPr>
        <w:t>Funciones de orientación</w:t>
      </w:r>
      <w:r>
        <w:rPr>
          <w:rFonts w:ascii="Times New Roman" w:eastAsia="Times New Roman" w:hAnsi="Times New Roman" w:cs="Times New Roman"/>
          <w:sz w:val="24"/>
          <w:szCs w:val="24"/>
        </w:rPr>
        <w:t xml:space="preserve"> ya que conducen los comportamientos y las prácticas, es decir que “…la representación es prescriptiva de comportamientos o prácticas obligadas, define lo lícito, tolerable o inaceptable en un contexto social dado” (Abric, 2001, p. 17).</w:t>
      </w:r>
    </w:p>
    <w:p w14:paraId="14C5EDCF" w14:textId="77777777" w:rsidR="003A6D9D" w:rsidRDefault="008974C2">
      <w:pPr>
        <w:spacing w:line="312"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se encuentra los elementos del </w:t>
      </w:r>
      <w:r>
        <w:rPr>
          <w:rFonts w:ascii="Times New Roman" w:eastAsia="Times New Roman" w:hAnsi="Times New Roman" w:cs="Times New Roman"/>
          <w:b/>
          <w:sz w:val="24"/>
          <w:szCs w:val="24"/>
        </w:rPr>
        <w:t>sistema periférico</w:t>
      </w:r>
      <w:r>
        <w:rPr>
          <w:rFonts w:ascii="Times New Roman" w:eastAsia="Times New Roman" w:hAnsi="Times New Roman" w:cs="Times New Roman"/>
          <w:sz w:val="24"/>
          <w:szCs w:val="24"/>
        </w:rPr>
        <w:t xml:space="preserve">, los cuales“… se organizan alrededor del núcleo central y están en relación directa con él, es decir que su presencia, su ponderación, su valor y su función están determinados por el núcleo constituyen lo esencial del contenido de la representación, su lado más accesible, pero también lo más vivo y concreto” (Abric, 2001, p 23). Abarcan información retenida, seleccionada e interpretada, </w:t>
      </w:r>
      <w:r>
        <w:rPr>
          <w:rFonts w:ascii="Times New Roman" w:eastAsia="Times New Roman" w:hAnsi="Times New Roman" w:cs="Times New Roman"/>
          <w:sz w:val="24"/>
          <w:szCs w:val="24"/>
        </w:rPr>
        <w:lastRenderedPageBreak/>
        <w:t xml:space="preserve">juicios formulados al respecto del objeto y su entorno, estereotipos y creencias. Estos elementos desempeñan un papel importante en la creación del significado de la representación, debido a que ilustran, aclaran y justifican el significado. Este sistema periférico responde a tres funciones esenciales: a) </w:t>
      </w:r>
      <w:r>
        <w:rPr>
          <w:rFonts w:ascii="Times New Roman" w:eastAsia="Times New Roman" w:hAnsi="Times New Roman" w:cs="Times New Roman"/>
          <w:i/>
          <w:sz w:val="24"/>
          <w:szCs w:val="24"/>
        </w:rPr>
        <w:t>Función concreción</w:t>
      </w:r>
      <w:r>
        <w:rPr>
          <w:rFonts w:ascii="Times New Roman" w:eastAsia="Times New Roman" w:hAnsi="Times New Roman" w:cs="Times New Roman"/>
          <w:sz w:val="24"/>
          <w:szCs w:val="24"/>
        </w:rPr>
        <w:t xml:space="preserve"> ya que son directamente dependientes del contexto, resultan del anclaje de la representación a la realidad, b)  </w:t>
      </w:r>
      <w:r>
        <w:rPr>
          <w:rFonts w:ascii="Times New Roman" w:eastAsia="Times New Roman" w:hAnsi="Times New Roman" w:cs="Times New Roman"/>
          <w:i/>
          <w:sz w:val="24"/>
          <w:szCs w:val="24"/>
        </w:rPr>
        <w:t>Función regulación</w:t>
      </w:r>
      <w:r>
        <w:rPr>
          <w:rFonts w:ascii="Times New Roman" w:eastAsia="Times New Roman" w:hAnsi="Times New Roman" w:cs="Times New Roman"/>
          <w:sz w:val="24"/>
          <w:szCs w:val="24"/>
        </w:rPr>
        <w:t xml:space="preserve"> ya que los elementos periféricos permiten la adaptación de la representación a los cambios o evoluciones del entorno y del contexto y c) </w:t>
      </w:r>
      <w:r>
        <w:rPr>
          <w:rFonts w:ascii="Times New Roman" w:eastAsia="Times New Roman" w:hAnsi="Times New Roman" w:cs="Times New Roman"/>
          <w:i/>
          <w:sz w:val="24"/>
          <w:szCs w:val="24"/>
        </w:rPr>
        <w:t>Función de defensa</w:t>
      </w:r>
      <w:r>
        <w:rPr>
          <w:rFonts w:ascii="Times New Roman" w:eastAsia="Times New Roman" w:hAnsi="Times New Roman" w:cs="Times New Roman"/>
          <w:sz w:val="24"/>
          <w:szCs w:val="24"/>
        </w:rPr>
        <w:t xml:space="preserve">, ya que la transformación de una representación se defenderá de esta forma en los casos de transformación de sus elementos periféricos mediante interpretaciones nuevas. </w:t>
      </w:r>
    </w:p>
    <w:p w14:paraId="0840EC21"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Con base en la anterior explicación, los centros comerciales ha sido uno de los impulsadores del consumo por excelencia, debido a que junto a la estructura central de las representaciones, el significado de territorio urbano se resignifica y cambia cotidianamente, ligado a las creencias, valoraciones, experiencias y percepciones y modos de vida en comunidad y con base en ello se generan transformaciones en las mismas representaciones frente al entorno social, al sentido de ciudad y de lo urbano en cada uno de los individuos que la componen.  </w:t>
      </w:r>
    </w:p>
    <w:p w14:paraId="3DAF5DDE"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línea con lo sustentado por la teoría de las Representaciones Sociales (RS) de Abric (2001), desde el punto de vista sociológico, se hace necesario hacer énfasis en el carácter construido y arbitrario de las representaciones sociales a través del lenguaje. Stuart Hall (1997) propone que  los procesos claves del circuito cultural,  en los que se enmarcan las representaciones, son entendidas como el “lenguaje para decir algo con sentido sobre, o para representar de manera significativa el mundo a otras personas” (p. 2). De igual modo, el autor afirma que  las RS  son un proceso que conecta tres elementos claves: sentido, lenguaje y cultura, los cuales se intercambian entre culturas con el fin de comprender la realidad del otro. Ese dar sentido a lo que se dice, ocurre cuando el lenguaje es usado para crear conceptos, a estos se les clasifica en diferentes mapas conceptuales, y es gracias y debido a ellos que la humanidad es capaz de comunicarse, al compartir estos mapas se logra una comprensión del mundo del otro, pero para que este proceso de comprensión total se genere es el </w:t>
      </w:r>
      <w:r>
        <w:rPr>
          <w:rFonts w:ascii="Times New Roman" w:eastAsia="Times New Roman" w:hAnsi="Times New Roman" w:cs="Times New Roman"/>
          <w:i/>
          <w:sz w:val="24"/>
          <w:szCs w:val="24"/>
        </w:rPr>
        <w:t>lenguaje</w:t>
      </w:r>
      <w:r>
        <w:rPr>
          <w:rFonts w:ascii="Times New Roman" w:eastAsia="Times New Roman" w:hAnsi="Times New Roman" w:cs="Times New Roman"/>
          <w:sz w:val="24"/>
          <w:szCs w:val="24"/>
        </w:rPr>
        <w:t xml:space="preserve"> la vía principal para que se configure dicha representación.</w:t>
      </w:r>
    </w:p>
    <w:p w14:paraId="0BB0EA1D"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mencionó anteriormente los signos, son necesarios para la comprensión del otro y su realidad, Hall (1997) los define como palabras, imágenes y sonidos que portan un sentido. En ese sentido, los signos son aquellos que representan los conceptos y logran crear el sistema de sentidos de una cultura, el cual es fijado por unos códigos que capacitan y equipan a los sujetos con un “saber hacer” cultural que los posibilita funcionar como personas culturalmente competentes, ya que al ser internalizados permiten la adaptabilidad del sujeto a su entorno, que  es mutable, cambia y se transforma, por ello este sentido y todo el proceso </w:t>
      </w:r>
      <w:r>
        <w:rPr>
          <w:rFonts w:ascii="Times New Roman" w:eastAsia="Times New Roman" w:hAnsi="Times New Roman" w:cs="Times New Roman"/>
          <w:sz w:val="24"/>
          <w:szCs w:val="24"/>
        </w:rPr>
        <w:lastRenderedPageBreak/>
        <w:t>que viene detrás de él, no es inherente de las cosas, este es producido y construido a través del cambio de las convenciones sociales, lingüísticas, culturales y demás transformaciones por las cuales atraviesa la sociedad.</w:t>
      </w:r>
    </w:p>
    <w:p w14:paraId="1D12138F"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tres elementos( sentido, lenguaje y cultura)  deben ser comprendidos desde diferentes niveles interpretativos: un primer nivel referente a la semiótica más descriptiva desde los aportes de la semiótica clásica de Saussure; un segundo, que se refiere a  los procesos de codificación, retomando los aportes de Barthes,  entendiendo que  el análisis responde a la identificación de la  “estrecha comunicación con la cultura, el conocimiento, la historia, y es a través de ellos, por así decir, que el medio ambiente del mundo [de la cultura] invade el sistema [de las representaciones] (Barthes, 1967, pp. 91-92)” (Hall, 1997; 22); y un tercero, asociado con la idea del discurso retomando los aportes de Foucault.  </w:t>
      </w:r>
    </w:p>
    <w:p w14:paraId="5985113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el punto de vista sociológico las transformaciones frente al significado de territorio urbano a partir de los centros comerciales se evidencia a partir del cambio en las convenciones sociales de los sujetos que acuden a él y de los que viven a su alrededor, las nuevas dinámicas, como las imágenes y los símbolos</w:t>
      </w:r>
      <w:r>
        <w:t xml:space="preserve"> </w:t>
      </w:r>
      <w:r>
        <w:rPr>
          <w:rFonts w:ascii="Times New Roman" w:eastAsia="Times New Roman" w:hAnsi="Times New Roman" w:cs="Times New Roman"/>
          <w:sz w:val="24"/>
          <w:szCs w:val="24"/>
        </w:rPr>
        <w:t>están dentro de esos espacios que producen nuevas ideas ( relación significado y significante) frente a lo que representa el  centro comercial en la cotidianidad de consumo y el sentido de lo urbano.</w:t>
      </w:r>
    </w:p>
    <w:p w14:paraId="60F16023"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w:t>
      </w:r>
    </w:p>
    <w:p w14:paraId="270208AA"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Tipo de Investigación</w:t>
      </w:r>
    </w:p>
    <w:p w14:paraId="14133575"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presente  investigación se orienta desde la metodología mixta. “Los métodos mixtos representan un conjunto de procesos sistemáticos, empíricos y críticos de investigación e implican la recolección y el análisis de datos cuantitativos y cualitativos, así como su integración y discusión conjunta, para realizar inferencias producto de toda la información recabada y lograr un mayor entendimiento del fenómeno bajo estudio” (Hernández Sampieri y Mendoza, 2008). </w:t>
      </w:r>
    </w:p>
    <w:p w14:paraId="3FF678DC"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nivel cualitativo la presente investigación, se desarrolla a partir del análisis hermenéutico a partir del análisis del discurso de lo enunciado y ducho por las personas. Es ese sentido se realizará un doble proceso  hermenéutico en el que se parte de la interpretación   de las personas que hablan sobre una realidad social (en este caso la presencia del centro comercial y su impacto) y a partir de ellos, se construyen  los marcos interpretativos  que  desde  los referentes teóricos seleccionados, permitirán dar sentido a  los relatos de las personas partícipes del estudio. Se identificarán las categorías y representaciones más relevantes en torno al territorio urbano  a partir de la codicicación de tipo axial. </w:t>
      </w:r>
    </w:p>
    <w:p w14:paraId="6D8761F7"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nivel cuantitativo el estudio es de tipo descriptivo, ya que tomando como base los datos de naturaleza exploratoria, se busca especificar las propiedades importantes de personas, grupos o comunidades frente al significado de los centros comerciales. (Dankhe, 1986). Este tipo de estudio permite evaluar diferentes aspectos y dimensiones de los consumidores a estudiar en la presente investigación. Dichos aspectos permitirán medir los conceptos de interés con precisión para la descripción final del estudio, a partir de esto se busca conceptualizar sobre las representaciones sociales que se encuentran relacionadas con el consumo en los centros comerciales y el concepto de territorio urbano.</w:t>
      </w:r>
    </w:p>
    <w:p w14:paraId="7DC63CF5"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Diseño de investigación </w:t>
      </w:r>
    </w:p>
    <w:p w14:paraId="391D8980"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El presente trabajo de grado se sustenta desde un diseño transversal, teniendo en cuenta que la recolección de datos en un nivel cualitativo y cuantitativo será realizada dentro de una solo corte de tiempo y un espacio específico. De acuerdo con Strauss (1998), son datos recolectados y analizados anteriormente, ofreciendo explicaciones sobre los fenómenos encontrados en la investigación y es generadora de conocimiento.</w:t>
      </w:r>
    </w:p>
    <w:p w14:paraId="3D30CF23"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Población y muestra</w:t>
      </w:r>
    </w:p>
    <w:p w14:paraId="1487512D" w14:textId="622EEB51"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 nivel cualitativo, se llevará  a cabo un muestreo tipo caso, en el cual se tomaron como criterios de inclusión habitantes de barrios aledaños al centro comercial “Ecoplaza” del municipio de Mosquera Cundinamarca. Los participantes seleccionados serán informantes claves y a la vez protagonistas del objeto de estudio. Para la parte cuantitativa se orientará un muestreo </w:t>
      </w:r>
      <w:r w:rsidR="00D72261">
        <w:rPr>
          <w:rFonts w:ascii="Times New Roman" w:eastAsia="Times New Roman" w:hAnsi="Times New Roman" w:cs="Times New Roman"/>
          <w:sz w:val="24"/>
          <w:szCs w:val="24"/>
        </w:rPr>
        <w:t>intencional</w:t>
      </w:r>
      <w:r w:rsidR="00365741">
        <w:rPr>
          <w:rFonts w:ascii="Times New Roman" w:eastAsia="Times New Roman" w:hAnsi="Times New Roman" w:cs="Times New Roman"/>
          <w:sz w:val="24"/>
          <w:szCs w:val="24"/>
        </w:rPr>
        <w:t xml:space="preserve">, tomando como unidad de análisis los habitantes </w:t>
      </w:r>
      <w:r w:rsidR="00D72261">
        <w:rPr>
          <w:rFonts w:ascii="Times New Roman" w:eastAsia="Times New Roman" w:hAnsi="Times New Roman" w:cs="Times New Roman"/>
          <w:sz w:val="24"/>
          <w:szCs w:val="24"/>
        </w:rPr>
        <w:t xml:space="preserve">de los diferentes barrios </w:t>
      </w:r>
      <w:r w:rsidR="00365741">
        <w:rPr>
          <w:rFonts w:ascii="Times New Roman" w:eastAsia="Times New Roman" w:hAnsi="Times New Roman" w:cs="Times New Roman"/>
          <w:sz w:val="24"/>
          <w:szCs w:val="24"/>
        </w:rPr>
        <w:t xml:space="preserve">del municipio de </w:t>
      </w:r>
      <w:r w:rsidR="00D72261">
        <w:rPr>
          <w:rFonts w:ascii="Times New Roman" w:eastAsia="Times New Roman" w:hAnsi="Times New Roman" w:cs="Times New Roman"/>
          <w:sz w:val="24"/>
          <w:szCs w:val="24"/>
        </w:rPr>
        <w:t>Mosquera.</w:t>
      </w:r>
      <w:r>
        <w:rPr>
          <w:rFonts w:ascii="Times New Roman" w:eastAsia="Times New Roman" w:hAnsi="Times New Roman" w:cs="Times New Roman"/>
          <w:sz w:val="24"/>
          <w:szCs w:val="24"/>
        </w:rPr>
        <w:t xml:space="preserve"> Este tipo de muestreo se caracteriza por obtener muestras "representativas" de la población mediante la inclusión en la muestra de grupos. </w:t>
      </w:r>
    </w:p>
    <w:p w14:paraId="2641EE8F"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Técnicas e instrumentos</w:t>
      </w:r>
    </w:p>
    <w:p w14:paraId="4A69BB2A" w14:textId="78B9B233"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cualitativo, la entrevista a profundidad permite adentrarse en la vida del otro, penetrar y detallar en lo trascendente, en lo significativo y relevantes del entrevistado</w:t>
      </w:r>
      <w:r w:rsidR="00D72261">
        <w:rPr>
          <w:rFonts w:ascii="Times New Roman" w:eastAsia="Times New Roman" w:hAnsi="Times New Roman" w:cs="Times New Roman"/>
          <w:sz w:val="24"/>
          <w:szCs w:val="24"/>
        </w:rPr>
        <w:t>, para con base en ello comprender las representaciones sociales construidas</w:t>
      </w:r>
      <w:r>
        <w:rPr>
          <w:rFonts w:ascii="Times New Roman" w:eastAsia="Times New Roman" w:hAnsi="Times New Roman" w:cs="Times New Roman"/>
          <w:sz w:val="24"/>
          <w:szCs w:val="24"/>
        </w:rPr>
        <w:t xml:space="preserve"> (Robles, 2011). Con base en los resultados producto de la investigación cualitativa,  para la fase cuantitativa se construirá una escala de </w:t>
      </w:r>
      <w:r w:rsidR="00D72261">
        <w:rPr>
          <w:rFonts w:ascii="Times New Roman" w:eastAsia="Times New Roman" w:hAnsi="Times New Roman" w:cs="Times New Roman"/>
          <w:sz w:val="24"/>
          <w:szCs w:val="24"/>
        </w:rPr>
        <w:t xml:space="preserve">actitud tipo Likert para poder caracterizar </w:t>
      </w:r>
      <w:r>
        <w:rPr>
          <w:rFonts w:ascii="Times New Roman" w:eastAsia="Times New Roman" w:hAnsi="Times New Roman" w:cs="Times New Roman"/>
          <w:sz w:val="24"/>
          <w:szCs w:val="24"/>
        </w:rPr>
        <w:t xml:space="preserve">las representaciones sociales y el significado del territorio urbano en torno a los centros comerciales.  </w:t>
      </w:r>
    </w:p>
    <w:p w14:paraId="553E2495" w14:textId="77777777" w:rsidR="003A6D9D" w:rsidRDefault="008974C2">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Análisis de datos </w:t>
      </w:r>
    </w:p>
    <w:p w14:paraId="4C0E384D"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análisis de los datos se llevará a cabo, a través de la codificación abierta, axial y selectiva con apoyo del software Atlas Ti, para la parte cualitativa. El análisis cuantitativo se llevará a cabo con apoyo del software estadístico SPSS. </w:t>
      </w:r>
    </w:p>
    <w:p w14:paraId="5892C973" w14:textId="77777777" w:rsidR="003A6D9D" w:rsidRDefault="008974C2">
      <w:pPr>
        <w:spacing w:before="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Resultados e impactos esperados</w:t>
      </w:r>
    </w:p>
    <w:p w14:paraId="124714B3" w14:textId="77777777" w:rsidR="003A6D9D" w:rsidRDefault="008974C2">
      <w:pPr>
        <w:spacing w:before="12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Impactos esperados</w:t>
      </w:r>
    </w:p>
    <w:tbl>
      <w:tblPr>
        <w:tblStyle w:val="a0"/>
        <w:tblW w:w="8838" w:type="dxa"/>
        <w:tblInd w:w="-20" w:type="dxa"/>
        <w:tblBorders>
          <w:top w:val="nil"/>
          <w:left w:val="nil"/>
          <w:bottom w:val="nil"/>
          <w:right w:val="nil"/>
          <w:insideH w:val="nil"/>
          <w:insideV w:val="nil"/>
        </w:tblBorders>
        <w:tblLayout w:type="fixed"/>
        <w:tblLook w:val="0600" w:firstRow="0" w:lastRow="0" w:firstColumn="0" w:lastColumn="0" w:noHBand="1" w:noVBand="1"/>
      </w:tblPr>
      <w:tblGrid>
        <w:gridCol w:w="2093"/>
        <w:gridCol w:w="3335"/>
        <w:gridCol w:w="3410"/>
      </w:tblGrid>
      <w:tr w:rsidR="003A6D9D" w14:paraId="0F34258B" w14:textId="77777777">
        <w:trPr>
          <w:trHeight w:val="740"/>
        </w:trPr>
        <w:tc>
          <w:tcPr>
            <w:tcW w:w="2093" w:type="dxa"/>
            <w:tcBorders>
              <w:top w:val="single" w:sz="7" w:space="0" w:color="000000"/>
              <w:left w:val="single" w:sz="7" w:space="0" w:color="000000"/>
              <w:bottom w:val="single" w:sz="7" w:space="0" w:color="000000"/>
              <w:right w:val="single" w:sz="7" w:space="0" w:color="000000"/>
            </w:tcBorders>
            <w:tcMar>
              <w:top w:w="100" w:type="dxa"/>
              <w:left w:w="80" w:type="dxa"/>
              <w:bottom w:w="100" w:type="dxa"/>
              <w:right w:w="80" w:type="dxa"/>
            </w:tcMar>
          </w:tcPr>
          <w:p w14:paraId="4BF1DB49" w14:textId="77777777" w:rsidR="003A6D9D" w:rsidRDefault="008974C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Impacto esperado</w:t>
            </w:r>
          </w:p>
        </w:tc>
        <w:tc>
          <w:tcPr>
            <w:tcW w:w="3334" w:type="dxa"/>
            <w:tcBorders>
              <w:top w:val="single" w:sz="7" w:space="0" w:color="000000"/>
              <w:left w:val="nil"/>
              <w:bottom w:val="single" w:sz="7" w:space="0" w:color="000000"/>
              <w:right w:val="single" w:sz="7" w:space="0" w:color="000000"/>
            </w:tcBorders>
            <w:tcMar>
              <w:top w:w="100" w:type="dxa"/>
              <w:left w:w="80" w:type="dxa"/>
              <w:bottom w:w="100" w:type="dxa"/>
              <w:right w:w="80" w:type="dxa"/>
            </w:tcMar>
          </w:tcPr>
          <w:p w14:paraId="18766B92" w14:textId="77777777" w:rsidR="003A6D9D" w:rsidRDefault="008974C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Plazo después de finalizado el proyecto: corto, mediano, largo</w:t>
            </w:r>
          </w:p>
        </w:tc>
        <w:tc>
          <w:tcPr>
            <w:tcW w:w="3409" w:type="dxa"/>
            <w:tcBorders>
              <w:top w:val="single" w:sz="7" w:space="0" w:color="000000"/>
              <w:left w:val="nil"/>
              <w:bottom w:val="single" w:sz="7" w:space="0" w:color="000000"/>
              <w:right w:val="single" w:sz="7" w:space="0" w:color="000000"/>
            </w:tcBorders>
            <w:tcMar>
              <w:top w:w="100" w:type="dxa"/>
              <w:left w:w="80" w:type="dxa"/>
              <w:bottom w:w="100" w:type="dxa"/>
              <w:right w:w="80" w:type="dxa"/>
            </w:tcMar>
          </w:tcPr>
          <w:p w14:paraId="120970AC" w14:textId="77777777" w:rsidR="003A6D9D" w:rsidRDefault="008974C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Supuestos</w:t>
            </w:r>
          </w:p>
        </w:tc>
      </w:tr>
      <w:tr w:rsidR="003A6D9D" w14:paraId="497AE7D6" w14:textId="77777777">
        <w:trPr>
          <w:trHeight w:val="3180"/>
        </w:trPr>
        <w:tc>
          <w:tcPr>
            <w:tcW w:w="2093" w:type="dxa"/>
            <w:tcBorders>
              <w:top w:val="nil"/>
              <w:left w:val="single" w:sz="7" w:space="0" w:color="000000"/>
              <w:bottom w:val="single" w:sz="7" w:space="0" w:color="000000"/>
              <w:right w:val="single" w:sz="7" w:space="0" w:color="000000"/>
            </w:tcBorders>
            <w:tcMar>
              <w:top w:w="100" w:type="dxa"/>
              <w:left w:w="80" w:type="dxa"/>
              <w:bottom w:w="100" w:type="dxa"/>
              <w:right w:w="80" w:type="dxa"/>
            </w:tcMar>
          </w:tcPr>
          <w:p w14:paraId="5E90FBAB"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Usos mercadológicos  y sociales para fines investigativos y fortalecimiento del conocimiento del ciudadano frente a la imagen y el significado de ciudad y de cultura ciudadana</w:t>
            </w:r>
          </w:p>
        </w:tc>
        <w:tc>
          <w:tcPr>
            <w:tcW w:w="3334" w:type="dxa"/>
            <w:tcBorders>
              <w:top w:val="nil"/>
              <w:left w:val="nil"/>
              <w:bottom w:val="single" w:sz="7" w:space="0" w:color="000000"/>
              <w:right w:val="single" w:sz="7" w:space="0" w:color="000000"/>
            </w:tcBorders>
            <w:tcMar>
              <w:top w:w="100" w:type="dxa"/>
              <w:left w:w="80" w:type="dxa"/>
              <w:bottom w:w="100" w:type="dxa"/>
              <w:right w:w="80" w:type="dxa"/>
            </w:tcMar>
          </w:tcPr>
          <w:p w14:paraId="7B13B578"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Mediano Plazo ( 6 meses)</w:t>
            </w:r>
          </w:p>
        </w:tc>
        <w:tc>
          <w:tcPr>
            <w:tcW w:w="3409" w:type="dxa"/>
            <w:tcBorders>
              <w:top w:val="nil"/>
              <w:left w:val="nil"/>
              <w:bottom w:val="single" w:sz="7" w:space="0" w:color="000000"/>
              <w:right w:val="single" w:sz="7" w:space="0" w:color="000000"/>
            </w:tcBorders>
            <w:tcMar>
              <w:top w:w="100" w:type="dxa"/>
              <w:left w:w="80" w:type="dxa"/>
              <w:bottom w:w="100" w:type="dxa"/>
              <w:right w:w="80" w:type="dxa"/>
            </w:tcMar>
          </w:tcPr>
          <w:p w14:paraId="3E25C171"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Conferencias y seminarios</w:t>
            </w:r>
          </w:p>
        </w:tc>
      </w:tr>
      <w:tr w:rsidR="003A6D9D" w14:paraId="4AFE9995" w14:textId="77777777">
        <w:trPr>
          <w:trHeight w:val="1460"/>
        </w:trPr>
        <w:tc>
          <w:tcPr>
            <w:tcW w:w="2093" w:type="dxa"/>
            <w:tcBorders>
              <w:top w:val="nil"/>
              <w:left w:val="single" w:sz="7" w:space="0" w:color="000000"/>
              <w:bottom w:val="single" w:sz="7" w:space="0" w:color="000000"/>
              <w:right w:val="single" w:sz="7" w:space="0" w:color="000000"/>
            </w:tcBorders>
            <w:tcMar>
              <w:top w:w="100" w:type="dxa"/>
              <w:left w:w="80" w:type="dxa"/>
              <w:bottom w:w="100" w:type="dxa"/>
              <w:right w:w="80" w:type="dxa"/>
            </w:tcMar>
          </w:tcPr>
          <w:p w14:paraId="0B1CEA24"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Fortalecimiento de las redes interdisciplinarias de investigación </w:t>
            </w:r>
          </w:p>
        </w:tc>
        <w:tc>
          <w:tcPr>
            <w:tcW w:w="3334" w:type="dxa"/>
            <w:tcBorders>
              <w:top w:val="nil"/>
              <w:left w:val="nil"/>
              <w:bottom w:val="single" w:sz="7" w:space="0" w:color="000000"/>
              <w:right w:val="single" w:sz="7" w:space="0" w:color="000000"/>
            </w:tcBorders>
            <w:tcMar>
              <w:top w:w="100" w:type="dxa"/>
              <w:left w:w="80" w:type="dxa"/>
              <w:bottom w:w="100" w:type="dxa"/>
              <w:right w:w="80" w:type="dxa"/>
            </w:tcMar>
          </w:tcPr>
          <w:p w14:paraId="6F4F220B"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Largo Plazo (1 año)</w:t>
            </w:r>
          </w:p>
        </w:tc>
        <w:tc>
          <w:tcPr>
            <w:tcW w:w="3409" w:type="dxa"/>
            <w:tcBorders>
              <w:top w:val="nil"/>
              <w:left w:val="nil"/>
              <w:bottom w:val="single" w:sz="7" w:space="0" w:color="000000"/>
              <w:right w:val="single" w:sz="7" w:space="0" w:color="000000"/>
            </w:tcBorders>
            <w:tcMar>
              <w:top w:w="100" w:type="dxa"/>
              <w:left w:w="80" w:type="dxa"/>
              <w:bottom w:w="100" w:type="dxa"/>
              <w:right w:w="80" w:type="dxa"/>
            </w:tcMar>
          </w:tcPr>
          <w:p w14:paraId="49D9FE53" w14:textId="77777777" w:rsidR="003A6D9D" w:rsidRDefault="008974C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 Encuentro de Semilleros de Investigación y nuevos proyectos de investigación.</w:t>
            </w:r>
          </w:p>
        </w:tc>
      </w:tr>
    </w:tbl>
    <w:p w14:paraId="5D8358B6" w14:textId="77777777" w:rsidR="00D72261" w:rsidRDefault="008974C2" w:rsidP="00D72261">
      <w:pPr>
        <w:spacing w:before="120"/>
        <w:ind w:firstLine="40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7CE95BF8"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2F0349A3"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4A754B19"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6B3E1EE5"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6FF3B567"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09ED4119"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53CE384F" w14:textId="77777777" w:rsidR="00D72261" w:rsidRDefault="00D72261" w:rsidP="00D72261">
      <w:pPr>
        <w:spacing w:before="120"/>
        <w:ind w:firstLine="400"/>
        <w:jc w:val="both"/>
        <w:rPr>
          <w:rFonts w:ascii="Times New Roman" w:eastAsia="Times New Roman" w:hAnsi="Times New Roman" w:cs="Times New Roman"/>
          <w:i/>
          <w:sz w:val="24"/>
          <w:szCs w:val="24"/>
        </w:rPr>
      </w:pPr>
    </w:p>
    <w:p w14:paraId="15038BD3" w14:textId="6DE70C42" w:rsidR="003A6D9D" w:rsidRDefault="008974C2" w:rsidP="00D72261">
      <w:pPr>
        <w:spacing w:before="120"/>
        <w:ind w:firstLine="40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     </w:t>
      </w:r>
      <w:r>
        <w:rPr>
          <w:rFonts w:ascii="Times New Roman" w:eastAsia="Times New Roman" w:hAnsi="Times New Roman" w:cs="Times New Roman"/>
          <w:i/>
          <w:sz w:val="24"/>
          <w:szCs w:val="24"/>
        </w:rPr>
        <w:tab/>
        <w:t>Productos esperados</w:t>
      </w:r>
    </w:p>
    <w:tbl>
      <w:tblPr>
        <w:tblStyle w:val="a1"/>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56"/>
        <w:gridCol w:w="2941"/>
        <w:gridCol w:w="2941"/>
      </w:tblGrid>
      <w:tr w:rsidR="003A6D9D" w14:paraId="6C36F4CD" w14:textId="77777777">
        <w:trPr>
          <w:trHeight w:val="1020"/>
        </w:trPr>
        <w:tc>
          <w:tcPr>
            <w:tcW w:w="2955" w:type="dxa"/>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tcPr>
          <w:p w14:paraId="4417D566" w14:textId="77777777"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Productos resultado de actividades de apropiación social del conocimiento</w:t>
            </w:r>
          </w:p>
        </w:tc>
        <w:tc>
          <w:tcPr>
            <w:tcW w:w="2941" w:type="dxa"/>
            <w:tcBorders>
              <w:top w:val="single" w:sz="7" w:space="0" w:color="000000"/>
              <w:left w:val="nil"/>
              <w:bottom w:val="single" w:sz="7" w:space="0" w:color="000000"/>
              <w:right w:val="single" w:sz="7" w:space="0" w:color="000000"/>
            </w:tcBorders>
            <w:tcMar>
              <w:top w:w="100" w:type="dxa"/>
              <w:left w:w="100" w:type="dxa"/>
              <w:bottom w:w="100" w:type="dxa"/>
              <w:right w:w="100" w:type="dxa"/>
            </w:tcMar>
          </w:tcPr>
          <w:p w14:paraId="61628949" w14:textId="77777777"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Productos</w:t>
            </w:r>
          </w:p>
        </w:tc>
        <w:tc>
          <w:tcPr>
            <w:tcW w:w="2941" w:type="dxa"/>
            <w:tcBorders>
              <w:top w:val="single" w:sz="7" w:space="0" w:color="000000"/>
              <w:left w:val="nil"/>
              <w:bottom w:val="single" w:sz="7" w:space="0" w:color="000000"/>
              <w:right w:val="single" w:sz="7" w:space="0" w:color="000000"/>
            </w:tcBorders>
            <w:tcMar>
              <w:top w:w="100" w:type="dxa"/>
              <w:left w:w="100" w:type="dxa"/>
              <w:bottom w:w="100" w:type="dxa"/>
              <w:right w:w="100" w:type="dxa"/>
            </w:tcMar>
          </w:tcPr>
          <w:p w14:paraId="1C39B08E" w14:textId="77777777"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Cantidad</w:t>
            </w:r>
          </w:p>
        </w:tc>
      </w:tr>
      <w:tr w:rsidR="003A6D9D" w14:paraId="11C9D945" w14:textId="77777777">
        <w:trPr>
          <w:trHeight w:val="8120"/>
        </w:trPr>
        <w:tc>
          <w:tcPr>
            <w:tcW w:w="2955" w:type="dxa"/>
            <w:tcBorders>
              <w:top w:val="nil"/>
              <w:left w:val="single" w:sz="7" w:space="0" w:color="000000"/>
              <w:bottom w:val="single" w:sz="7" w:space="0" w:color="000000"/>
              <w:right w:val="single" w:sz="7" w:space="0" w:color="000000"/>
            </w:tcBorders>
            <w:tcMar>
              <w:top w:w="100" w:type="dxa"/>
              <w:left w:w="100" w:type="dxa"/>
              <w:bottom w:w="100" w:type="dxa"/>
              <w:right w:w="100" w:type="dxa"/>
            </w:tcMar>
          </w:tcPr>
          <w:p w14:paraId="135A45AD"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Generación de nuevo conocimiento</w:t>
            </w:r>
          </w:p>
          <w:p w14:paraId="092FB23A"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5D50D47"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596B04BB"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79A14CA7"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Apropiación social del conocimiento</w:t>
            </w:r>
          </w:p>
          <w:p w14:paraId="3C0690E3"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941" w:type="dxa"/>
            <w:tcBorders>
              <w:top w:val="nil"/>
              <w:left w:val="nil"/>
              <w:bottom w:val="single" w:sz="7" w:space="0" w:color="000000"/>
              <w:right w:val="single" w:sz="7" w:space="0" w:color="000000"/>
            </w:tcBorders>
            <w:tcMar>
              <w:top w:w="100" w:type="dxa"/>
              <w:left w:w="100" w:type="dxa"/>
              <w:bottom w:w="100" w:type="dxa"/>
              <w:right w:w="100" w:type="dxa"/>
            </w:tcMar>
          </w:tcPr>
          <w:p w14:paraId="62F135CB"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Artículos de Investigación en revista Indexada en alguno de los índices bibliográficos referenciados por COLCIENCIAS.</w:t>
            </w:r>
          </w:p>
          <w:p w14:paraId="5AA9AB13"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A14DB2F"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D296766"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Participación en la modalidad de ponencia a nivel nacional.</w:t>
            </w:r>
          </w:p>
          <w:p w14:paraId="48709F47"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39B3DDD" w14:textId="77777777" w:rsidR="003A6D9D" w:rsidRDefault="008974C2">
            <w:pPr>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Participación en la modalidad de ponencia a nivel internacional.</w:t>
            </w:r>
          </w:p>
          <w:p w14:paraId="15A0FD50"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5C22981D" w14:textId="77777777" w:rsidR="003A6D9D" w:rsidRDefault="008974C2">
            <w:pPr>
              <w:ind w:left="-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2941" w:type="dxa"/>
            <w:tcBorders>
              <w:top w:val="nil"/>
              <w:left w:val="nil"/>
              <w:bottom w:val="single" w:sz="7" w:space="0" w:color="000000"/>
              <w:right w:val="single" w:sz="7" w:space="0" w:color="000000"/>
            </w:tcBorders>
            <w:tcMar>
              <w:top w:w="100" w:type="dxa"/>
              <w:left w:w="100" w:type="dxa"/>
              <w:bottom w:w="100" w:type="dxa"/>
              <w:right w:w="100" w:type="dxa"/>
            </w:tcMar>
          </w:tcPr>
          <w:p w14:paraId="2CAA325A" w14:textId="59D65D86" w:rsidR="003A6D9D" w:rsidRDefault="00D72261">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p w14:paraId="185A7A8B" w14:textId="77777777"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3064507" w14:textId="77777777" w:rsidR="00D72261" w:rsidRDefault="00D72261">
            <w:pPr>
              <w:ind w:left="-120"/>
              <w:jc w:val="center"/>
              <w:rPr>
                <w:rFonts w:ascii="Times New Roman" w:eastAsia="Times New Roman" w:hAnsi="Times New Roman" w:cs="Times New Roman"/>
                <w:b/>
                <w:sz w:val="24"/>
                <w:szCs w:val="24"/>
              </w:rPr>
            </w:pPr>
          </w:p>
          <w:p w14:paraId="04B186C5" w14:textId="77777777" w:rsidR="00D72261" w:rsidRDefault="00D72261">
            <w:pPr>
              <w:ind w:left="-120"/>
              <w:jc w:val="center"/>
              <w:rPr>
                <w:rFonts w:ascii="Times New Roman" w:eastAsia="Times New Roman" w:hAnsi="Times New Roman" w:cs="Times New Roman"/>
                <w:b/>
                <w:sz w:val="24"/>
                <w:szCs w:val="24"/>
              </w:rPr>
            </w:pPr>
          </w:p>
          <w:p w14:paraId="7667EB76" w14:textId="77777777" w:rsidR="00D72261" w:rsidRDefault="00D72261">
            <w:pPr>
              <w:ind w:left="-120"/>
              <w:jc w:val="center"/>
              <w:rPr>
                <w:rFonts w:ascii="Times New Roman" w:eastAsia="Times New Roman" w:hAnsi="Times New Roman" w:cs="Times New Roman"/>
                <w:b/>
                <w:sz w:val="24"/>
                <w:szCs w:val="24"/>
              </w:rPr>
            </w:pPr>
          </w:p>
          <w:p w14:paraId="4DAD85E9" w14:textId="77777777" w:rsidR="00D72261" w:rsidRDefault="00D72261">
            <w:pPr>
              <w:ind w:left="-120"/>
              <w:jc w:val="center"/>
              <w:rPr>
                <w:rFonts w:ascii="Times New Roman" w:eastAsia="Times New Roman" w:hAnsi="Times New Roman" w:cs="Times New Roman"/>
                <w:b/>
                <w:sz w:val="24"/>
                <w:szCs w:val="24"/>
              </w:rPr>
            </w:pPr>
          </w:p>
          <w:p w14:paraId="621BE3C9" w14:textId="04B5CE07" w:rsidR="003A6D9D" w:rsidRDefault="00D72261">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p w14:paraId="62FE862F" w14:textId="77777777"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C72EB73" w14:textId="77777777" w:rsidR="00D72261" w:rsidRDefault="00D72261">
            <w:pPr>
              <w:ind w:left="-120"/>
              <w:jc w:val="center"/>
              <w:rPr>
                <w:rFonts w:ascii="Times New Roman" w:eastAsia="Times New Roman" w:hAnsi="Times New Roman" w:cs="Times New Roman"/>
                <w:b/>
                <w:sz w:val="24"/>
                <w:szCs w:val="24"/>
              </w:rPr>
            </w:pPr>
          </w:p>
          <w:p w14:paraId="65B2A752" w14:textId="14CCB61B" w:rsidR="003A6D9D" w:rsidRDefault="008974C2">
            <w:pPr>
              <w:ind w:left="-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07A0F5CD" w14:textId="77777777" w:rsidR="003A6D9D" w:rsidRDefault="003A6D9D">
      <w:pPr>
        <w:jc w:val="both"/>
        <w:rPr>
          <w:rFonts w:ascii="Times New Roman" w:eastAsia="Times New Roman" w:hAnsi="Times New Roman" w:cs="Times New Roman"/>
          <w:sz w:val="24"/>
          <w:szCs w:val="24"/>
        </w:rPr>
      </w:pPr>
    </w:p>
    <w:p w14:paraId="450262C2" w14:textId="77777777" w:rsidR="00A631B5" w:rsidRDefault="00A631B5">
      <w:pPr>
        <w:jc w:val="both"/>
        <w:rPr>
          <w:rFonts w:ascii="Times New Roman" w:eastAsia="Times New Roman" w:hAnsi="Times New Roman" w:cs="Times New Roman"/>
          <w:sz w:val="24"/>
          <w:szCs w:val="24"/>
        </w:rPr>
      </w:pPr>
    </w:p>
    <w:p w14:paraId="0793898B" w14:textId="77777777" w:rsidR="00A631B5" w:rsidRDefault="00A631B5">
      <w:pPr>
        <w:jc w:val="both"/>
        <w:rPr>
          <w:rFonts w:ascii="Times New Roman" w:eastAsia="Times New Roman" w:hAnsi="Times New Roman" w:cs="Times New Roman"/>
          <w:sz w:val="24"/>
          <w:szCs w:val="24"/>
        </w:rPr>
      </w:pPr>
    </w:p>
    <w:p w14:paraId="42103D89" w14:textId="77777777" w:rsidR="00A631B5" w:rsidRDefault="00A631B5">
      <w:pPr>
        <w:jc w:val="both"/>
        <w:rPr>
          <w:rFonts w:ascii="Times New Roman" w:eastAsia="Times New Roman" w:hAnsi="Times New Roman" w:cs="Times New Roman"/>
          <w:sz w:val="24"/>
          <w:szCs w:val="24"/>
        </w:rPr>
      </w:pPr>
    </w:p>
    <w:p w14:paraId="4439CA04" w14:textId="77777777" w:rsidR="00FA7B93" w:rsidRPr="00FA7B93" w:rsidRDefault="008974C2" w:rsidP="00FA7B93">
      <w:pPr>
        <w:jc w:val="both"/>
        <w:rPr>
          <w:rFonts w:ascii="Times New Roman" w:eastAsia="Times New Roman" w:hAnsi="Times New Roman" w:cs="Times New Roman"/>
          <w:b/>
          <w:color w:val="auto"/>
          <w:sz w:val="24"/>
          <w:szCs w:val="24"/>
        </w:rPr>
      </w:pPr>
      <w:r w:rsidRPr="00FA7B93">
        <w:rPr>
          <w:rFonts w:ascii="Times New Roman" w:eastAsia="Times New Roman" w:hAnsi="Times New Roman" w:cs="Times New Roman"/>
          <w:b/>
          <w:color w:val="auto"/>
          <w:sz w:val="24"/>
          <w:szCs w:val="24"/>
        </w:rPr>
        <w:lastRenderedPageBreak/>
        <w:t xml:space="preserve">Contribución del proyecto al cumplimiento de la misión institucional: </w:t>
      </w:r>
    </w:p>
    <w:p w14:paraId="4B929BE7" w14:textId="7807DD3B" w:rsidR="003A6D9D" w:rsidRPr="00FA7B93" w:rsidRDefault="008974C2" w:rsidP="00FA7B93">
      <w:pPr>
        <w:jc w:val="both"/>
        <w:rPr>
          <w:rFonts w:ascii="Times New Roman" w:eastAsia="Times New Roman" w:hAnsi="Times New Roman" w:cs="Times New Roman"/>
          <w:b/>
          <w:color w:val="auto"/>
          <w:sz w:val="24"/>
          <w:szCs w:val="24"/>
        </w:rPr>
      </w:pPr>
      <w:r w:rsidRPr="00FA7B93">
        <w:rPr>
          <w:rFonts w:ascii="Times New Roman" w:eastAsia="Times New Roman" w:hAnsi="Times New Roman" w:cs="Times New Roman"/>
          <w:b/>
          <w:color w:val="auto"/>
          <w:sz w:val="24"/>
          <w:szCs w:val="24"/>
        </w:rPr>
        <w:t xml:space="preserve">Con qué líneas del PIM se vincula el proyecto: </w:t>
      </w:r>
    </w:p>
    <w:p w14:paraId="5273BAB1" w14:textId="77777777" w:rsidR="003A6D9D" w:rsidRDefault="008974C2">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presente proyecto de investigación  se vincula con la línea de acción del PIM </w:t>
      </w:r>
      <w:r>
        <w:rPr>
          <w:rFonts w:ascii="Times New Roman" w:eastAsia="Times New Roman" w:hAnsi="Times New Roman" w:cs="Times New Roman"/>
          <w:b/>
          <w:sz w:val="24"/>
          <w:szCs w:val="24"/>
        </w:rPr>
        <w:t xml:space="preserve">proyección social e investigación pertinentes, </w:t>
      </w:r>
      <w:r>
        <w:rPr>
          <w:rFonts w:ascii="Times New Roman" w:eastAsia="Times New Roman" w:hAnsi="Times New Roman" w:cs="Times New Roman"/>
          <w:sz w:val="24"/>
          <w:szCs w:val="24"/>
        </w:rPr>
        <w:t xml:space="preserve">a partir de ello el semillero de investigación </w:t>
      </w:r>
      <w:r>
        <w:rPr>
          <w:rFonts w:ascii="Times New Roman" w:eastAsia="Times New Roman" w:hAnsi="Times New Roman" w:cs="Times New Roman"/>
          <w:i/>
          <w:sz w:val="24"/>
          <w:szCs w:val="24"/>
        </w:rPr>
        <w:t>neuroconsumer</w:t>
      </w:r>
      <w:r>
        <w:rPr>
          <w:rFonts w:ascii="Times New Roman" w:eastAsia="Times New Roman" w:hAnsi="Times New Roman" w:cs="Times New Roman"/>
          <w:sz w:val="24"/>
          <w:szCs w:val="24"/>
        </w:rPr>
        <w:t xml:space="preserve"> de la Facultad de Mercadeo y el semillero </w:t>
      </w:r>
      <w:r>
        <w:rPr>
          <w:rFonts w:ascii="Times New Roman" w:eastAsia="Times New Roman" w:hAnsi="Times New Roman" w:cs="Times New Roman"/>
          <w:i/>
          <w:sz w:val="24"/>
          <w:szCs w:val="24"/>
        </w:rPr>
        <w:t>sociedad y consumo</w:t>
      </w:r>
      <w:r>
        <w:rPr>
          <w:rFonts w:ascii="Times New Roman" w:eastAsia="Times New Roman" w:hAnsi="Times New Roman" w:cs="Times New Roman"/>
          <w:sz w:val="24"/>
          <w:szCs w:val="24"/>
        </w:rPr>
        <w:t xml:space="preserve"> de la Facultad de Sociología aúnan esfuerzos e intereses para que en el marco de la convergencia y complementariedad entre enfoques, paradigmas y modelos, se pueda contribuir a la fundamentación de la línea medular Luis Joseph Lebret (economía y humanismo) y de la línea medular Bartolomé de las Casas (identidades culturales y justicia social) y sus correspondientes líneas activas: conocimiento profundo del consumidor, y de los mercados y a la línea subjetividades, acción colectiva y transformación social.</w:t>
      </w:r>
    </w:p>
    <w:p w14:paraId="3CCE06F8" w14:textId="77777777" w:rsidR="003A6D9D" w:rsidRDefault="003A6D9D">
      <w:pPr>
        <w:spacing w:after="0"/>
        <w:jc w:val="both"/>
        <w:rPr>
          <w:rFonts w:ascii="Times New Roman" w:eastAsia="Times New Roman" w:hAnsi="Times New Roman" w:cs="Times New Roman"/>
          <w:sz w:val="24"/>
          <w:szCs w:val="24"/>
        </w:rPr>
      </w:pPr>
    </w:p>
    <w:p w14:paraId="46EE3CCC" w14:textId="77777777" w:rsidR="003A6D9D" w:rsidRDefault="008974C2">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Dicho aporte se generará a partir de la construcción de marcos comprensivos e interpretativos que fortalezcan el currículo  y la investigación formativa de acuerdo a las nuevas tendencias y miradas de la investigación interdisciplinar.</w:t>
      </w:r>
    </w:p>
    <w:p w14:paraId="3C9F3CBF" w14:textId="77777777" w:rsidR="003A6D9D" w:rsidRDefault="003A6D9D">
      <w:pPr>
        <w:spacing w:after="0"/>
        <w:jc w:val="both"/>
        <w:rPr>
          <w:rFonts w:ascii="Times New Roman" w:eastAsia="Times New Roman" w:hAnsi="Times New Roman" w:cs="Times New Roman"/>
          <w:sz w:val="24"/>
          <w:szCs w:val="24"/>
        </w:rPr>
      </w:pPr>
    </w:p>
    <w:p w14:paraId="43EA2EAC" w14:textId="77777777" w:rsidR="003A6D9D" w:rsidRPr="00A631B5" w:rsidRDefault="008974C2">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en línea con el primer proyecto FODEIN 2017 desarrollado con relación al entendimiento del significado de la ciudad y de la cultura ciudadana, para  la identificación de nuevos escenarios de mercado y de consumo, desde lo político, lo ideológico y lo urbano; en esta segunda fase de investigación, es a través de  las dinámicas urbanas  generadas por  la presencia de los centros comerciales, de las transformaciones que implica en términos de sus representaciones sociales frente al significado del territorio urbano, como se descubren nuevas oportunidades de investigación y generación de conocimiento desde ambas disciplinas, brindando aportes significativos y mayor conciencia social y humana en las comunidades urbanas, la administración pública y privada, y en la ciudadanía en general.   </w:t>
      </w:r>
    </w:p>
    <w:p w14:paraId="0A0D5AAC" w14:textId="77777777" w:rsidR="003A6D9D" w:rsidRDefault="003A6D9D">
      <w:pPr>
        <w:spacing w:after="0"/>
        <w:jc w:val="both"/>
        <w:rPr>
          <w:rFonts w:ascii="Times New Roman" w:eastAsia="Times New Roman" w:hAnsi="Times New Roman" w:cs="Times New Roman"/>
          <w:sz w:val="24"/>
          <w:szCs w:val="24"/>
        </w:rPr>
      </w:pPr>
    </w:p>
    <w:p w14:paraId="273FA1E2" w14:textId="77777777" w:rsidR="004728D3" w:rsidRPr="00FA7B93" w:rsidRDefault="004728D3" w:rsidP="00FA7B93">
      <w:pPr>
        <w:jc w:val="both"/>
        <w:rPr>
          <w:rFonts w:ascii="Times New Roman" w:hAnsi="Times New Roman"/>
          <w:b/>
          <w:sz w:val="24"/>
        </w:rPr>
      </w:pPr>
      <w:r w:rsidRPr="00FA7B93">
        <w:rPr>
          <w:rFonts w:ascii="Times New Roman" w:hAnsi="Times New Roman"/>
          <w:b/>
          <w:sz w:val="24"/>
        </w:rPr>
        <w:t>Con qué acciones del Plan General de Desarrollo Bogotá, se articula el proyecto:</w:t>
      </w:r>
    </w:p>
    <w:p w14:paraId="4F323397" w14:textId="77777777" w:rsidR="004728D3" w:rsidRPr="004728D3" w:rsidRDefault="004728D3" w:rsidP="004728D3">
      <w:pPr>
        <w:jc w:val="both"/>
        <w:rPr>
          <w:rFonts w:ascii="Times New Roman" w:hAnsi="Times New Roman"/>
          <w:sz w:val="24"/>
          <w:szCs w:val="24"/>
        </w:rPr>
      </w:pPr>
      <w:r w:rsidRPr="004728D3">
        <w:rPr>
          <w:rFonts w:ascii="Times New Roman" w:hAnsi="Times New Roman"/>
          <w:sz w:val="24"/>
          <w:szCs w:val="24"/>
        </w:rPr>
        <w:t>La propuesta de investigación se articula dentro de la línea “Proyección Social e Investigación Pertinentes” con las acciones:</w:t>
      </w:r>
    </w:p>
    <w:p w14:paraId="53F2158D" w14:textId="77777777" w:rsidR="004728D3" w:rsidRPr="004728D3" w:rsidRDefault="004728D3" w:rsidP="004728D3">
      <w:pPr>
        <w:pStyle w:val="Prrafodelista"/>
        <w:numPr>
          <w:ilvl w:val="1"/>
          <w:numId w:val="4"/>
        </w:numPr>
        <w:jc w:val="both"/>
        <w:rPr>
          <w:rFonts w:ascii="Times New Roman" w:hAnsi="Times New Roman"/>
          <w:sz w:val="24"/>
          <w:szCs w:val="24"/>
        </w:rPr>
      </w:pPr>
      <w:r w:rsidRPr="004728D3">
        <w:rPr>
          <w:rFonts w:ascii="Times New Roman" w:hAnsi="Times New Roman"/>
          <w:sz w:val="24"/>
          <w:szCs w:val="24"/>
        </w:rPr>
        <w:t>Elaborar un plan de acción de la sede para incrementar la producción investigativa en el marco de los campos de acción. En tanto que desde el proyecto se proyecta como producto la elaboración de un artículo de investigación pertinente.</w:t>
      </w:r>
    </w:p>
    <w:p w14:paraId="09319911" w14:textId="77777777" w:rsidR="004728D3" w:rsidRPr="004728D3" w:rsidRDefault="004728D3" w:rsidP="004728D3">
      <w:pPr>
        <w:pStyle w:val="Prrafodelista"/>
        <w:numPr>
          <w:ilvl w:val="1"/>
          <w:numId w:val="4"/>
        </w:numPr>
        <w:jc w:val="both"/>
        <w:rPr>
          <w:rFonts w:ascii="Times New Roman" w:hAnsi="Times New Roman"/>
          <w:sz w:val="24"/>
          <w:szCs w:val="24"/>
        </w:rPr>
      </w:pPr>
      <w:r w:rsidRPr="004728D3">
        <w:rPr>
          <w:rFonts w:ascii="Times New Roman" w:hAnsi="Times New Roman"/>
          <w:sz w:val="24"/>
          <w:szCs w:val="24"/>
        </w:rPr>
        <w:t xml:space="preserve">Establecer estrategias y condiciones que promuevan la visibilidad de la producción en el desarrollo de las Funciones Sustantivas. En tanto que se </w:t>
      </w:r>
      <w:r w:rsidRPr="004728D3">
        <w:rPr>
          <w:rFonts w:ascii="Times New Roman" w:hAnsi="Times New Roman"/>
          <w:sz w:val="24"/>
          <w:szCs w:val="24"/>
        </w:rPr>
        <w:lastRenderedPageBreak/>
        <w:t>proyecta participar en eventos mediante modalidad de ponencia y/o póster con el fin de divulgar y hacer visibles los avances y resultados de la investigación en pro del aporte al conocimiento, además de ser un insumo para ampliar desde las funciones sustantivas la oportunidad de genera nuevos proyectos en fases posteriores.</w:t>
      </w:r>
    </w:p>
    <w:p w14:paraId="3D93EEFB" w14:textId="77777777" w:rsidR="003A6D9D" w:rsidRPr="00A631B5" w:rsidRDefault="008974C2" w:rsidP="00A631B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dentro de la misma  línea de acción,  ambas facultades en sus procesos de investigación  aportan al incremento de la producción  investigativa  con impacto regional, así como a  la línea de acción “compromiso con el proyecto educativo” en tanto el proyecto cuenta con la participación de semilleros de investigación. </w:t>
      </w:r>
    </w:p>
    <w:p w14:paraId="6F43F8DC" w14:textId="77777777" w:rsidR="003A6D9D" w:rsidRDefault="008974C2">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Presupuesto</w:t>
      </w:r>
    </w:p>
    <w:p w14:paraId="3DFD0805" w14:textId="77777777" w:rsidR="00FA7B93" w:rsidRDefault="00FA7B93">
      <w:pPr>
        <w:spacing w:after="0"/>
        <w:rPr>
          <w:rFonts w:ascii="Times New Roman" w:eastAsia="Times New Roman" w:hAnsi="Times New Roman" w:cs="Times New Roman"/>
          <w:b/>
          <w:sz w:val="24"/>
          <w:szCs w:val="24"/>
        </w:rPr>
      </w:pPr>
    </w:p>
    <w:tbl>
      <w:tblPr>
        <w:tblStyle w:val="Tablaconcuadrcula"/>
        <w:tblW w:w="5000" w:type="pct"/>
        <w:jc w:val="center"/>
        <w:tblLook w:val="0000" w:firstRow="0" w:lastRow="0" w:firstColumn="0" w:lastColumn="0" w:noHBand="0" w:noVBand="0"/>
      </w:tblPr>
      <w:tblGrid>
        <w:gridCol w:w="2583"/>
        <w:gridCol w:w="1799"/>
        <w:gridCol w:w="1150"/>
        <w:gridCol w:w="1324"/>
        <w:gridCol w:w="1972"/>
      </w:tblGrid>
      <w:tr w:rsidR="00FA7B93" w:rsidRPr="00FA7B93" w14:paraId="64356619" w14:textId="77777777" w:rsidTr="00FA7B93">
        <w:trPr>
          <w:jc w:val="center"/>
        </w:trPr>
        <w:tc>
          <w:tcPr>
            <w:tcW w:w="1466" w:type="pct"/>
            <w:vAlign w:val="center"/>
          </w:tcPr>
          <w:p w14:paraId="648E3C1E" w14:textId="77777777" w:rsidR="00FA7B93" w:rsidRPr="00FA7B93" w:rsidRDefault="00FA7B93" w:rsidP="007F040C">
            <w:pPr>
              <w:widowControl w:val="0"/>
              <w:jc w:val="center"/>
              <w:rPr>
                <w:rFonts w:ascii="Times New Roman" w:hAnsi="Times New Roman"/>
                <w:b/>
                <w:sz w:val="24"/>
                <w:szCs w:val="24"/>
              </w:rPr>
            </w:pPr>
            <w:r w:rsidRPr="00FA7B93">
              <w:rPr>
                <w:rFonts w:ascii="Times New Roman" w:hAnsi="Times New Roman"/>
                <w:b/>
                <w:sz w:val="24"/>
                <w:szCs w:val="24"/>
              </w:rPr>
              <w:t>Rubros</w:t>
            </w:r>
          </w:p>
        </w:tc>
        <w:tc>
          <w:tcPr>
            <w:tcW w:w="2414" w:type="pct"/>
            <w:gridSpan w:val="3"/>
            <w:vAlign w:val="center"/>
          </w:tcPr>
          <w:p w14:paraId="3FA52BB5" w14:textId="77777777" w:rsidR="00FA7B93" w:rsidRPr="00FA7B93" w:rsidRDefault="00FA7B93" w:rsidP="007F040C">
            <w:pPr>
              <w:widowControl w:val="0"/>
              <w:jc w:val="center"/>
              <w:rPr>
                <w:rFonts w:ascii="Times New Roman" w:hAnsi="Times New Roman"/>
                <w:b/>
                <w:sz w:val="24"/>
                <w:szCs w:val="24"/>
              </w:rPr>
            </w:pPr>
            <w:r w:rsidRPr="00FA7B93">
              <w:rPr>
                <w:rFonts w:ascii="Times New Roman" w:hAnsi="Times New Roman"/>
                <w:b/>
                <w:sz w:val="24"/>
                <w:szCs w:val="24"/>
              </w:rPr>
              <w:t>RECURSOS DE FACULTAD</w:t>
            </w:r>
          </w:p>
        </w:tc>
        <w:tc>
          <w:tcPr>
            <w:tcW w:w="1120" w:type="pct"/>
            <w:vAlign w:val="center"/>
          </w:tcPr>
          <w:p w14:paraId="3E8A8C4E" w14:textId="77777777" w:rsidR="00FA7B93" w:rsidRPr="00FA7B93" w:rsidRDefault="00FA7B93" w:rsidP="007F040C">
            <w:pPr>
              <w:widowControl w:val="0"/>
              <w:jc w:val="center"/>
              <w:rPr>
                <w:rFonts w:ascii="Times New Roman" w:hAnsi="Times New Roman"/>
                <w:b/>
                <w:sz w:val="24"/>
                <w:szCs w:val="24"/>
              </w:rPr>
            </w:pPr>
            <w:r w:rsidRPr="00FA7B93">
              <w:rPr>
                <w:rFonts w:ascii="Times New Roman" w:hAnsi="Times New Roman"/>
                <w:b/>
                <w:sz w:val="24"/>
                <w:szCs w:val="24"/>
              </w:rPr>
              <w:t>Total</w:t>
            </w:r>
          </w:p>
        </w:tc>
      </w:tr>
      <w:tr w:rsidR="00FA7B93" w:rsidRPr="00FA7B93" w14:paraId="4E5AD28F" w14:textId="77777777" w:rsidTr="00FA7B93">
        <w:trPr>
          <w:jc w:val="center"/>
        </w:trPr>
        <w:tc>
          <w:tcPr>
            <w:tcW w:w="1466" w:type="pct"/>
            <w:vMerge w:val="restart"/>
            <w:vAlign w:val="center"/>
          </w:tcPr>
          <w:p w14:paraId="6F9ABE25" w14:textId="77777777"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Personal</w:t>
            </w:r>
          </w:p>
        </w:tc>
        <w:tc>
          <w:tcPr>
            <w:tcW w:w="1022" w:type="pct"/>
            <w:vAlign w:val="center"/>
          </w:tcPr>
          <w:p w14:paraId="1E7D9551" w14:textId="77777777"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Nombre del investigador</w:t>
            </w:r>
          </w:p>
        </w:tc>
        <w:tc>
          <w:tcPr>
            <w:tcW w:w="639" w:type="pct"/>
            <w:tcBorders>
              <w:right w:val="single" w:sz="4" w:space="0" w:color="auto"/>
            </w:tcBorders>
          </w:tcPr>
          <w:p w14:paraId="52D61247" w14:textId="77777777"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Horas asignadas</w:t>
            </w:r>
          </w:p>
        </w:tc>
        <w:tc>
          <w:tcPr>
            <w:tcW w:w="753" w:type="pct"/>
            <w:tcBorders>
              <w:left w:val="single" w:sz="4" w:space="0" w:color="auto"/>
            </w:tcBorders>
          </w:tcPr>
          <w:p w14:paraId="7987FD10" w14:textId="77777777"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Valor</w:t>
            </w:r>
          </w:p>
        </w:tc>
        <w:tc>
          <w:tcPr>
            <w:tcW w:w="1120" w:type="pct"/>
            <w:vMerge w:val="restart"/>
            <w:vAlign w:val="center"/>
          </w:tcPr>
          <w:p w14:paraId="710455C1" w14:textId="63963F48" w:rsidR="00FA7B93" w:rsidRPr="00FA7B93" w:rsidRDefault="00FA7B93" w:rsidP="007F040C">
            <w:pPr>
              <w:widowControl w:val="0"/>
              <w:jc w:val="center"/>
              <w:rPr>
                <w:rFonts w:ascii="Times New Roman" w:hAnsi="Times New Roman"/>
                <w:sz w:val="24"/>
                <w:szCs w:val="24"/>
              </w:rPr>
            </w:pPr>
            <w:r w:rsidRPr="00FA7B93">
              <w:rPr>
                <w:rFonts w:ascii="Times New Roman" w:eastAsia="Times New Roman" w:hAnsi="Times New Roman"/>
                <w:sz w:val="24"/>
                <w:szCs w:val="24"/>
              </w:rPr>
              <w:t>25.560.000</w:t>
            </w:r>
          </w:p>
        </w:tc>
      </w:tr>
      <w:tr w:rsidR="00FA7B93" w:rsidRPr="00FA7B93" w14:paraId="40AAB2E0" w14:textId="77777777" w:rsidTr="00FA7B93">
        <w:trPr>
          <w:jc w:val="center"/>
        </w:trPr>
        <w:tc>
          <w:tcPr>
            <w:tcW w:w="1466" w:type="pct"/>
            <w:vMerge/>
            <w:vAlign w:val="center"/>
          </w:tcPr>
          <w:p w14:paraId="0D4CA520" w14:textId="77777777" w:rsidR="00FA7B93" w:rsidRPr="00FA7B93" w:rsidRDefault="00FA7B93" w:rsidP="00FA7B93">
            <w:pPr>
              <w:widowControl w:val="0"/>
              <w:jc w:val="center"/>
              <w:rPr>
                <w:rFonts w:ascii="Times New Roman" w:hAnsi="Times New Roman"/>
                <w:sz w:val="24"/>
                <w:szCs w:val="24"/>
              </w:rPr>
            </w:pPr>
          </w:p>
        </w:tc>
        <w:tc>
          <w:tcPr>
            <w:tcW w:w="1022" w:type="pct"/>
            <w:vAlign w:val="center"/>
          </w:tcPr>
          <w:p w14:paraId="506762B0" w14:textId="084108EB" w:rsidR="00FA7B93" w:rsidRPr="00FA7B93" w:rsidRDefault="00FA7B93" w:rsidP="00FA7B93">
            <w:pPr>
              <w:widowControl w:val="0"/>
              <w:jc w:val="center"/>
              <w:rPr>
                <w:rFonts w:ascii="Times New Roman" w:hAnsi="Times New Roman"/>
                <w:sz w:val="24"/>
                <w:szCs w:val="24"/>
              </w:rPr>
            </w:pPr>
            <w:r w:rsidRPr="00FA7B93">
              <w:rPr>
                <w:rFonts w:ascii="Times New Roman" w:eastAsia="Times New Roman" w:hAnsi="Times New Roman"/>
                <w:sz w:val="24"/>
                <w:szCs w:val="24"/>
              </w:rPr>
              <w:t>Carolina Garzón</w:t>
            </w:r>
            <w:r>
              <w:rPr>
                <w:rFonts w:ascii="Times New Roman" w:eastAsia="Times New Roman" w:hAnsi="Times New Roman"/>
                <w:sz w:val="24"/>
                <w:szCs w:val="24"/>
              </w:rPr>
              <w:t xml:space="preserve"> Medina</w:t>
            </w:r>
          </w:p>
        </w:tc>
        <w:tc>
          <w:tcPr>
            <w:tcW w:w="639" w:type="pct"/>
            <w:tcBorders>
              <w:right w:val="single" w:sz="4" w:space="0" w:color="auto"/>
            </w:tcBorders>
          </w:tcPr>
          <w:p w14:paraId="2941DE45"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360</w:t>
            </w:r>
          </w:p>
        </w:tc>
        <w:tc>
          <w:tcPr>
            <w:tcW w:w="753" w:type="pct"/>
            <w:tcBorders>
              <w:left w:val="single" w:sz="4" w:space="0" w:color="auto"/>
            </w:tcBorders>
            <w:vAlign w:val="center"/>
          </w:tcPr>
          <w:p w14:paraId="5EF8B8DC" w14:textId="05CA74DE" w:rsidR="00FA7B93" w:rsidRPr="00FA7B93" w:rsidRDefault="00FA7B93" w:rsidP="00FA7B93">
            <w:pPr>
              <w:widowControl w:val="0"/>
              <w:jc w:val="center"/>
              <w:rPr>
                <w:rFonts w:ascii="Times New Roman" w:hAnsi="Times New Roman"/>
                <w:sz w:val="24"/>
                <w:szCs w:val="24"/>
              </w:rPr>
            </w:pPr>
            <w:r w:rsidRPr="00FA7B93">
              <w:rPr>
                <w:rFonts w:ascii="Times New Roman" w:eastAsia="Times New Roman" w:hAnsi="Times New Roman"/>
                <w:sz w:val="24"/>
                <w:szCs w:val="24"/>
              </w:rPr>
              <w:t>12.960.000</w:t>
            </w:r>
          </w:p>
        </w:tc>
        <w:tc>
          <w:tcPr>
            <w:tcW w:w="1120" w:type="pct"/>
            <w:vMerge/>
            <w:vAlign w:val="center"/>
          </w:tcPr>
          <w:p w14:paraId="06D8A7D1" w14:textId="77777777" w:rsidR="00FA7B93" w:rsidRPr="00FA7B93" w:rsidRDefault="00FA7B93" w:rsidP="00FA7B93">
            <w:pPr>
              <w:widowControl w:val="0"/>
              <w:jc w:val="center"/>
              <w:rPr>
                <w:rFonts w:ascii="Times New Roman" w:hAnsi="Times New Roman"/>
                <w:sz w:val="24"/>
                <w:szCs w:val="24"/>
              </w:rPr>
            </w:pPr>
          </w:p>
        </w:tc>
      </w:tr>
      <w:tr w:rsidR="00FA7B93" w:rsidRPr="00FA7B93" w14:paraId="37E0C1B3" w14:textId="77777777" w:rsidTr="00FA7B93">
        <w:trPr>
          <w:jc w:val="center"/>
        </w:trPr>
        <w:tc>
          <w:tcPr>
            <w:tcW w:w="1466" w:type="pct"/>
            <w:vMerge/>
            <w:vAlign w:val="center"/>
          </w:tcPr>
          <w:p w14:paraId="6F9D0CD2" w14:textId="77777777" w:rsidR="00FA7B93" w:rsidRPr="00FA7B93" w:rsidRDefault="00FA7B93" w:rsidP="00FA7B93">
            <w:pPr>
              <w:widowControl w:val="0"/>
              <w:jc w:val="center"/>
              <w:rPr>
                <w:rFonts w:ascii="Times New Roman" w:hAnsi="Times New Roman"/>
                <w:sz w:val="24"/>
                <w:szCs w:val="24"/>
              </w:rPr>
            </w:pPr>
          </w:p>
        </w:tc>
        <w:tc>
          <w:tcPr>
            <w:tcW w:w="1022" w:type="pct"/>
            <w:vAlign w:val="center"/>
          </w:tcPr>
          <w:p w14:paraId="7701BF22" w14:textId="41FFC417" w:rsidR="00FA7B93" w:rsidRPr="00FA7B93" w:rsidRDefault="00FA7B93" w:rsidP="00FA7B93">
            <w:pPr>
              <w:widowControl w:val="0"/>
              <w:jc w:val="center"/>
              <w:rPr>
                <w:rFonts w:ascii="Times New Roman" w:hAnsi="Times New Roman"/>
                <w:sz w:val="24"/>
                <w:szCs w:val="24"/>
              </w:rPr>
            </w:pPr>
            <w:r w:rsidRPr="00FA7B93">
              <w:rPr>
                <w:rFonts w:ascii="Times New Roman" w:eastAsia="Times New Roman" w:hAnsi="Times New Roman"/>
                <w:sz w:val="24"/>
                <w:szCs w:val="24"/>
              </w:rPr>
              <w:t xml:space="preserve">Aidaluz Sánchez </w:t>
            </w:r>
            <w:r>
              <w:rPr>
                <w:rFonts w:ascii="Times New Roman" w:eastAsia="Times New Roman" w:hAnsi="Times New Roman"/>
                <w:sz w:val="24"/>
                <w:szCs w:val="24"/>
              </w:rPr>
              <w:t xml:space="preserve"> Arismendi</w:t>
            </w:r>
          </w:p>
        </w:tc>
        <w:tc>
          <w:tcPr>
            <w:tcW w:w="639" w:type="pct"/>
            <w:tcBorders>
              <w:right w:val="single" w:sz="4" w:space="0" w:color="auto"/>
            </w:tcBorders>
          </w:tcPr>
          <w:p w14:paraId="190E7C75" w14:textId="2ED3636C"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360</w:t>
            </w:r>
          </w:p>
        </w:tc>
        <w:tc>
          <w:tcPr>
            <w:tcW w:w="753" w:type="pct"/>
            <w:tcBorders>
              <w:left w:val="single" w:sz="4" w:space="0" w:color="auto"/>
            </w:tcBorders>
            <w:vAlign w:val="center"/>
          </w:tcPr>
          <w:p w14:paraId="5BC946C8" w14:textId="42F212E8" w:rsidR="00FA7B93" w:rsidRPr="00FA7B93" w:rsidRDefault="00FA7B93" w:rsidP="00FA7B93">
            <w:pPr>
              <w:widowControl w:val="0"/>
              <w:jc w:val="center"/>
              <w:rPr>
                <w:rFonts w:ascii="Times New Roman" w:hAnsi="Times New Roman"/>
                <w:sz w:val="24"/>
                <w:szCs w:val="24"/>
              </w:rPr>
            </w:pPr>
            <w:r w:rsidRPr="00FA7B93">
              <w:rPr>
                <w:rFonts w:ascii="Times New Roman" w:eastAsia="Times New Roman" w:hAnsi="Times New Roman"/>
                <w:sz w:val="24"/>
                <w:szCs w:val="24"/>
              </w:rPr>
              <w:t>12.600.000</w:t>
            </w:r>
          </w:p>
        </w:tc>
        <w:tc>
          <w:tcPr>
            <w:tcW w:w="1120" w:type="pct"/>
            <w:vMerge/>
            <w:vAlign w:val="center"/>
          </w:tcPr>
          <w:p w14:paraId="53AD3BEC" w14:textId="77777777" w:rsidR="00FA7B93" w:rsidRPr="00FA7B93" w:rsidRDefault="00FA7B93" w:rsidP="00FA7B93">
            <w:pPr>
              <w:widowControl w:val="0"/>
              <w:jc w:val="center"/>
              <w:rPr>
                <w:rFonts w:ascii="Times New Roman" w:hAnsi="Times New Roman"/>
                <w:sz w:val="24"/>
                <w:szCs w:val="24"/>
              </w:rPr>
            </w:pPr>
          </w:p>
        </w:tc>
      </w:tr>
      <w:tr w:rsidR="00FA7B93" w:rsidRPr="00FA7B93" w14:paraId="61D17483" w14:textId="77777777" w:rsidTr="00FA7B93">
        <w:trPr>
          <w:jc w:val="center"/>
        </w:trPr>
        <w:tc>
          <w:tcPr>
            <w:tcW w:w="1466" w:type="pct"/>
            <w:vMerge/>
            <w:vAlign w:val="center"/>
          </w:tcPr>
          <w:p w14:paraId="4473B842" w14:textId="77777777" w:rsidR="00FA7B93" w:rsidRPr="00FA7B93" w:rsidRDefault="00FA7B93" w:rsidP="007F040C">
            <w:pPr>
              <w:widowControl w:val="0"/>
              <w:jc w:val="center"/>
              <w:rPr>
                <w:rFonts w:ascii="Times New Roman" w:hAnsi="Times New Roman"/>
                <w:sz w:val="24"/>
                <w:szCs w:val="24"/>
              </w:rPr>
            </w:pPr>
          </w:p>
        </w:tc>
        <w:tc>
          <w:tcPr>
            <w:tcW w:w="1022" w:type="pct"/>
            <w:vAlign w:val="center"/>
          </w:tcPr>
          <w:p w14:paraId="267099B7" w14:textId="77777777" w:rsidR="00FA7B93" w:rsidRPr="00FA7B93" w:rsidRDefault="00FA7B93" w:rsidP="007F040C">
            <w:pPr>
              <w:widowControl w:val="0"/>
              <w:jc w:val="center"/>
              <w:rPr>
                <w:rFonts w:ascii="Times New Roman" w:hAnsi="Times New Roman"/>
                <w:sz w:val="24"/>
                <w:szCs w:val="24"/>
              </w:rPr>
            </w:pPr>
          </w:p>
        </w:tc>
        <w:tc>
          <w:tcPr>
            <w:tcW w:w="639" w:type="pct"/>
            <w:tcBorders>
              <w:right w:val="single" w:sz="4" w:space="0" w:color="auto"/>
            </w:tcBorders>
          </w:tcPr>
          <w:p w14:paraId="48C5BDDF" w14:textId="77777777" w:rsidR="00FA7B93" w:rsidRPr="00FA7B93" w:rsidRDefault="00FA7B93" w:rsidP="007F040C">
            <w:pPr>
              <w:widowControl w:val="0"/>
              <w:jc w:val="center"/>
              <w:rPr>
                <w:rFonts w:ascii="Times New Roman" w:hAnsi="Times New Roman"/>
                <w:sz w:val="24"/>
                <w:szCs w:val="24"/>
              </w:rPr>
            </w:pPr>
          </w:p>
        </w:tc>
        <w:tc>
          <w:tcPr>
            <w:tcW w:w="753" w:type="pct"/>
            <w:tcBorders>
              <w:left w:val="single" w:sz="4" w:space="0" w:color="auto"/>
            </w:tcBorders>
          </w:tcPr>
          <w:p w14:paraId="6511FD49" w14:textId="77777777" w:rsidR="00FA7B93" w:rsidRPr="00FA7B93" w:rsidRDefault="00FA7B93" w:rsidP="007F040C">
            <w:pPr>
              <w:widowControl w:val="0"/>
              <w:jc w:val="center"/>
              <w:rPr>
                <w:rFonts w:ascii="Times New Roman" w:hAnsi="Times New Roman"/>
                <w:sz w:val="24"/>
                <w:szCs w:val="24"/>
              </w:rPr>
            </w:pPr>
          </w:p>
        </w:tc>
        <w:tc>
          <w:tcPr>
            <w:tcW w:w="1120" w:type="pct"/>
            <w:vMerge/>
            <w:vAlign w:val="center"/>
          </w:tcPr>
          <w:p w14:paraId="7E2EBB39" w14:textId="77777777" w:rsidR="00FA7B93" w:rsidRPr="00FA7B93" w:rsidRDefault="00FA7B93" w:rsidP="007F040C">
            <w:pPr>
              <w:widowControl w:val="0"/>
              <w:jc w:val="center"/>
              <w:rPr>
                <w:rFonts w:ascii="Times New Roman" w:hAnsi="Times New Roman"/>
                <w:sz w:val="24"/>
                <w:szCs w:val="24"/>
              </w:rPr>
            </w:pPr>
          </w:p>
        </w:tc>
      </w:tr>
      <w:tr w:rsidR="00FA7B93" w:rsidRPr="00FA7B93" w14:paraId="710CF3D0" w14:textId="77777777" w:rsidTr="00FA7B93">
        <w:trPr>
          <w:jc w:val="center"/>
        </w:trPr>
        <w:tc>
          <w:tcPr>
            <w:tcW w:w="1466" w:type="pct"/>
            <w:vAlign w:val="center"/>
          </w:tcPr>
          <w:p w14:paraId="3B6FBAB4" w14:textId="76A4D1D9"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Auxilio a investigadores</w:t>
            </w:r>
          </w:p>
        </w:tc>
        <w:tc>
          <w:tcPr>
            <w:tcW w:w="1022" w:type="pct"/>
          </w:tcPr>
          <w:p w14:paraId="485A618F" w14:textId="77777777" w:rsidR="00FA7B93" w:rsidRPr="00FA7B93" w:rsidRDefault="00FA7B93" w:rsidP="007F040C">
            <w:pPr>
              <w:widowControl w:val="0"/>
              <w:jc w:val="center"/>
              <w:rPr>
                <w:rFonts w:ascii="Times New Roman" w:hAnsi="Times New Roman"/>
                <w:sz w:val="24"/>
                <w:szCs w:val="24"/>
              </w:rPr>
            </w:pPr>
          </w:p>
        </w:tc>
        <w:tc>
          <w:tcPr>
            <w:tcW w:w="1392" w:type="pct"/>
            <w:gridSpan w:val="2"/>
          </w:tcPr>
          <w:p w14:paraId="4E5D8071" w14:textId="77777777" w:rsidR="00FA7B93" w:rsidRPr="00FA7B93" w:rsidRDefault="00FA7B93" w:rsidP="007F040C">
            <w:pPr>
              <w:widowControl w:val="0"/>
              <w:jc w:val="center"/>
              <w:rPr>
                <w:rFonts w:ascii="Times New Roman" w:hAnsi="Times New Roman"/>
                <w:sz w:val="24"/>
                <w:szCs w:val="24"/>
              </w:rPr>
            </w:pPr>
          </w:p>
        </w:tc>
        <w:tc>
          <w:tcPr>
            <w:tcW w:w="1120" w:type="pct"/>
          </w:tcPr>
          <w:p w14:paraId="7415528D" w14:textId="2C136F7C" w:rsidR="00FA7B93" w:rsidRPr="00FA7B93" w:rsidRDefault="00FA7B93" w:rsidP="007F040C">
            <w:pPr>
              <w:widowControl w:val="0"/>
              <w:jc w:val="center"/>
              <w:rPr>
                <w:rFonts w:ascii="Times New Roman" w:hAnsi="Times New Roman"/>
                <w:sz w:val="24"/>
                <w:szCs w:val="24"/>
              </w:rPr>
            </w:pPr>
            <w:r w:rsidRPr="00FA7B93">
              <w:rPr>
                <w:rFonts w:ascii="Times New Roman" w:hAnsi="Times New Roman"/>
                <w:sz w:val="24"/>
                <w:szCs w:val="24"/>
              </w:rPr>
              <w:t>3.000.000</w:t>
            </w:r>
          </w:p>
        </w:tc>
      </w:tr>
      <w:tr w:rsidR="00FA7B93" w:rsidRPr="00FA7B93" w14:paraId="1D58692C" w14:textId="77777777" w:rsidTr="00FA7B93">
        <w:trPr>
          <w:jc w:val="center"/>
        </w:trPr>
        <w:tc>
          <w:tcPr>
            <w:tcW w:w="1466" w:type="pct"/>
            <w:vAlign w:val="center"/>
          </w:tcPr>
          <w:p w14:paraId="42870B6B" w14:textId="00C79CA8"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Materiales</w:t>
            </w:r>
          </w:p>
        </w:tc>
        <w:tc>
          <w:tcPr>
            <w:tcW w:w="1022" w:type="pct"/>
          </w:tcPr>
          <w:p w14:paraId="51CDD1D3" w14:textId="77777777" w:rsidR="00FA7B93" w:rsidRPr="00FA7B93" w:rsidRDefault="00FA7B93" w:rsidP="00FA7B93">
            <w:pPr>
              <w:widowControl w:val="0"/>
              <w:jc w:val="center"/>
              <w:rPr>
                <w:rFonts w:ascii="Times New Roman" w:hAnsi="Times New Roman"/>
                <w:sz w:val="24"/>
                <w:szCs w:val="24"/>
              </w:rPr>
            </w:pPr>
          </w:p>
        </w:tc>
        <w:tc>
          <w:tcPr>
            <w:tcW w:w="1392" w:type="pct"/>
            <w:gridSpan w:val="2"/>
          </w:tcPr>
          <w:p w14:paraId="5FF77034" w14:textId="77777777" w:rsidR="00FA7B93" w:rsidRPr="00FA7B93" w:rsidRDefault="00FA7B93" w:rsidP="00FA7B93">
            <w:pPr>
              <w:widowControl w:val="0"/>
              <w:jc w:val="center"/>
              <w:rPr>
                <w:rFonts w:ascii="Times New Roman" w:hAnsi="Times New Roman"/>
                <w:sz w:val="24"/>
                <w:szCs w:val="24"/>
              </w:rPr>
            </w:pPr>
          </w:p>
        </w:tc>
        <w:tc>
          <w:tcPr>
            <w:tcW w:w="1120" w:type="pct"/>
          </w:tcPr>
          <w:p w14:paraId="329871F4" w14:textId="61C499EF"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3</w:t>
            </w:r>
            <w:r w:rsidRPr="00FA7B93">
              <w:rPr>
                <w:rFonts w:ascii="Times New Roman" w:hAnsi="Times New Roman"/>
                <w:sz w:val="24"/>
                <w:szCs w:val="24"/>
              </w:rPr>
              <w:t>00.000</w:t>
            </w:r>
          </w:p>
        </w:tc>
      </w:tr>
      <w:tr w:rsidR="00FA7B93" w:rsidRPr="00FA7B93" w14:paraId="6AF66201" w14:textId="77777777" w:rsidTr="00FA7B93">
        <w:trPr>
          <w:jc w:val="center"/>
        </w:trPr>
        <w:tc>
          <w:tcPr>
            <w:tcW w:w="1466" w:type="pct"/>
            <w:vAlign w:val="center"/>
          </w:tcPr>
          <w:p w14:paraId="18F277DD"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Papelería</w:t>
            </w:r>
          </w:p>
        </w:tc>
        <w:tc>
          <w:tcPr>
            <w:tcW w:w="1022" w:type="pct"/>
          </w:tcPr>
          <w:p w14:paraId="28ED1228" w14:textId="77777777" w:rsidR="00FA7B93" w:rsidRPr="00FA7B93" w:rsidRDefault="00FA7B93" w:rsidP="00FA7B93">
            <w:pPr>
              <w:widowControl w:val="0"/>
              <w:jc w:val="center"/>
              <w:rPr>
                <w:rFonts w:ascii="Times New Roman" w:hAnsi="Times New Roman"/>
                <w:sz w:val="24"/>
                <w:szCs w:val="24"/>
              </w:rPr>
            </w:pPr>
          </w:p>
        </w:tc>
        <w:tc>
          <w:tcPr>
            <w:tcW w:w="1392" w:type="pct"/>
            <w:gridSpan w:val="2"/>
          </w:tcPr>
          <w:p w14:paraId="29DE5D34" w14:textId="77777777" w:rsidR="00FA7B93" w:rsidRPr="00FA7B93" w:rsidRDefault="00FA7B93" w:rsidP="00FA7B93">
            <w:pPr>
              <w:widowControl w:val="0"/>
              <w:jc w:val="center"/>
              <w:rPr>
                <w:rFonts w:ascii="Times New Roman" w:hAnsi="Times New Roman"/>
                <w:sz w:val="24"/>
                <w:szCs w:val="24"/>
              </w:rPr>
            </w:pPr>
          </w:p>
        </w:tc>
        <w:tc>
          <w:tcPr>
            <w:tcW w:w="1120" w:type="pct"/>
          </w:tcPr>
          <w:p w14:paraId="52AA511B" w14:textId="459D6BAB"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30</w:t>
            </w:r>
            <w:r w:rsidRPr="00FA7B93">
              <w:rPr>
                <w:rFonts w:ascii="Times New Roman" w:hAnsi="Times New Roman"/>
                <w:sz w:val="24"/>
                <w:szCs w:val="24"/>
              </w:rPr>
              <w:t>0.000</w:t>
            </w:r>
          </w:p>
        </w:tc>
      </w:tr>
      <w:tr w:rsidR="00FA7B93" w:rsidRPr="00FA7B93" w14:paraId="181C44B6" w14:textId="77777777" w:rsidTr="00FA7B93">
        <w:trPr>
          <w:jc w:val="center"/>
        </w:trPr>
        <w:tc>
          <w:tcPr>
            <w:tcW w:w="1466" w:type="pct"/>
            <w:vAlign w:val="center"/>
          </w:tcPr>
          <w:p w14:paraId="091AC178"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Fotocopias</w:t>
            </w:r>
          </w:p>
        </w:tc>
        <w:tc>
          <w:tcPr>
            <w:tcW w:w="1022" w:type="pct"/>
          </w:tcPr>
          <w:p w14:paraId="627CCADE" w14:textId="77777777" w:rsidR="00FA7B93" w:rsidRPr="00FA7B93" w:rsidRDefault="00FA7B93" w:rsidP="00FA7B93">
            <w:pPr>
              <w:widowControl w:val="0"/>
              <w:jc w:val="center"/>
              <w:rPr>
                <w:rFonts w:ascii="Times New Roman" w:hAnsi="Times New Roman"/>
                <w:sz w:val="24"/>
                <w:szCs w:val="24"/>
              </w:rPr>
            </w:pPr>
          </w:p>
        </w:tc>
        <w:tc>
          <w:tcPr>
            <w:tcW w:w="1392" w:type="pct"/>
            <w:gridSpan w:val="2"/>
          </w:tcPr>
          <w:p w14:paraId="687FA247" w14:textId="77777777" w:rsidR="00FA7B93" w:rsidRPr="00FA7B93" w:rsidRDefault="00FA7B93" w:rsidP="00FA7B93">
            <w:pPr>
              <w:widowControl w:val="0"/>
              <w:jc w:val="center"/>
              <w:rPr>
                <w:rFonts w:ascii="Times New Roman" w:hAnsi="Times New Roman"/>
                <w:sz w:val="24"/>
                <w:szCs w:val="24"/>
              </w:rPr>
            </w:pPr>
          </w:p>
        </w:tc>
        <w:tc>
          <w:tcPr>
            <w:tcW w:w="1120" w:type="pct"/>
          </w:tcPr>
          <w:p w14:paraId="038172C3" w14:textId="6383097F"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5</w:t>
            </w:r>
            <w:r w:rsidRPr="00FA7B93">
              <w:rPr>
                <w:rFonts w:ascii="Times New Roman" w:hAnsi="Times New Roman"/>
                <w:sz w:val="24"/>
                <w:szCs w:val="24"/>
              </w:rPr>
              <w:t>0.000</w:t>
            </w:r>
          </w:p>
        </w:tc>
      </w:tr>
      <w:tr w:rsidR="00FA7B93" w:rsidRPr="00FA7B93" w14:paraId="452CCEDA" w14:textId="77777777" w:rsidTr="00FA7B93">
        <w:trPr>
          <w:jc w:val="center"/>
        </w:trPr>
        <w:tc>
          <w:tcPr>
            <w:tcW w:w="1466" w:type="pct"/>
            <w:vAlign w:val="center"/>
          </w:tcPr>
          <w:p w14:paraId="0F84B17E"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Salidas de campo</w:t>
            </w:r>
          </w:p>
        </w:tc>
        <w:tc>
          <w:tcPr>
            <w:tcW w:w="1022" w:type="pct"/>
            <w:vAlign w:val="center"/>
          </w:tcPr>
          <w:p w14:paraId="7099EB2A"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5BDF9388"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2B2BAA30" w14:textId="47DF348D"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1</w:t>
            </w:r>
            <w:r w:rsidRPr="00FA7B93">
              <w:rPr>
                <w:rFonts w:ascii="Times New Roman" w:hAnsi="Times New Roman"/>
                <w:sz w:val="24"/>
                <w:szCs w:val="24"/>
              </w:rPr>
              <w:t>.0</w:t>
            </w:r>
            <w:r w:rsidRPr="00FA7B93">
              <w:rPr>
                <w:rFonts w:ascii="Times New Roman" w:hAnsi="Times New Roman"/>
                <w:sz w:val="24"/>
                <w:szCs w:val="24"/>
              </w:rPr>
              <w:t>00.000</w:t>
            </w:r>
          </w:p>
        </w:tc>
      </w:tr>
      <w:tr w:rsidR="00FA7B93" w:rsidRPr="00FA7B93" w14:paraId="4C3BA0C5" w14:textId="77777777" w:rsidTr="00FA7B93">
        <w:trPr>
          <w:jc w:val="center"/>
        </w:trPr>
        <w:tc>
          <w:tcPr>
            <w:tcW w:w="1466" w:type="pct"/>
            <w:vAlign w:val="center"/>
          </w:tcPr>
          <w:p w14:paraId="63084BBF"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Material bibliográfico</w:t>
            </w:r>
          </w:p>
        </w:tc>
        <w:tc>
          <w:tcPr>
            <w:tcW w:w="1022" w:type="pct"/>
            <w:vAlign w:val="center"/>
          </w:tcPr>
          <w:p w14:paraId="504ED453"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7B344A3E"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2011216A" w14:textId="3510281A" w:rsidR="00FA7B93" w:rsidRPr="00FA7B93" w:rsidRDefault="00FA7B93" w:rsidP="00FA7B93">
            <w:pPr>
              <w:widowControl w:val="0"/>
              <w:jc w:val="center"/>
              <w:rPr>
                <w:rFonts w:ascii="Times New Roman" w:hAnsi="Times New Roman"/>
                <w:sz w:val="24"/>
                <w:szCs w:val="24"/>
              </w:rPr>
            </w:pPr>
          </w:p>
        </w:tc>
      </w:tr>
      <w:tr w:rsidR="00FA7B93" w:rsidRPr="00FA7B93" w14:paraId="1D3C2F17" w14:textId="77777777" w:rsidTr="00FA7B93">
        <w:trPr>
          <w:jc w:val="center"/>
        </w:trPr>
        <w:tc>
          <w:tcPr>
            <w:tcW w:w="1466" w:type="pct"/>
            <w:vAlign w:val="center"/>
          </w:tcPr>
          <w:p w14:paraId="2693876D"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Publicaciones o productos de investigación</w:t>
            </w:r>
          </w:p>
        </w:tc>
        <w:tc>
          <w:tcPr>
            <w:tcW w:w="1022" w:type="pct"/>
            <w:vAlign w:val="center"/>
          </w:tcPr>
          <w:p w14:paraId="04BF1C9F"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32B99FD5"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16357E55" w14:textId="58EFED86"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600.000</w:t>
            </w:r>
          </w:p>
        </w:tc>
      </w:tr>
      <w:tr w:rsidR="00FA7B93" w:rsidRPr="00FA7B93" w14:paraId="441FC153" w14:textId="77777777" w:rsidTr="00FA7B93">
        <w:trPr>
          <w:jc w:val="center"/>
        </w:trPr>
        <w:tc>
          <w:tcPr>
            <w:tcW w:w="1466" w:type="pct"/>
            <w:vAlign w:val="center"/>
          </w:tcPr>
          <w:p w14:paraId="28E73F47"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Movilidad académica</w:t>
            </w:r>
          </w:p>
        </w:tc>
        <w:tc>
          <w:tcPr>
            <w:tcW w:w="1022" w:type="pct"/>
            <w:vAlign w:val="center"/>
          </w:tcPr>
          <w:p w14:paraId="4A7349EE"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43E7FFB6"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3649B133" w14:textId="21DF5556"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4.000.000</w:t>
            </w:r>
          </w:p>
        </w:tc>
      </w:tr>
      <w:tr w:rsidR="00FA7B93" w:rsidRPr="00FA7B93" w14:paraId="7A813D90" w14:textId="77777777" w:rsidTr="00FA7B93">
        <w:trPr>
          <w:jc w:val="center"/>
        </w:trPr>
        <w:tc>
          <w:tcPr>
            <w:tcW w:w="1466" w:type="pct"/>
            <w:vAlign w:val="center"/>
          </w:tcPr>
          <w:p w14:paraId="11487827"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Organización de eventos</w:t>
            </w:r>
          </w:p>
        </w:tc>
        <w:tc>
          <w:tcPr>
            <w:tcW w:w="1022" w:type="pct"/>
            <w:vAlign w:val="center"/>
          </w:tcPr>
          <w:p w14:paraId="24363255"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4E35A944"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7BAB6CFE" w14:textId="77777777" w:rsidR="00FA7B93" w:rsidRPr="00FA7B93" w:rsidRDefault="00FA7B93" w:rsidP="00FA7B93">
            <w:pPr>
              <w:widowControl w:val="0"/>
              <w:jc w:val="center"/>
              <w:rPr>
                <w:rFonts w:ascii="Times New Roman" w:hAnsi="Times New Roman"/>
                <w:sz w:val="24"/>
                <w:szCs w:val="24"/>
              </w:rPr>
            </w:pPr>
          </w:p>
        </w:tc>
      </w:tr>
      <w:tr w:rsidR="00FA7B93" w:rsidRPr="00FA7B93" w14:paraId="6BF3A7D8" w14:textId="77777777" w:rsidTr="00FA7B93">
        <w:trPr>
          <w:jc w:val="center"/>
        </w:trPr>
        <w:tc>
          <w:tcPr>
            <w:tcW w:w="1466" w:type="pct"/>
            <w:vAlign w:val="center"/>
          </w:tcPr>
          <w:p w14:paraId="4B23AFBA" w14:textId="77777777" w:rsidR="00FA7B93" w:rsidRPr="00FA7B93" w:rsidRDefault="00FA7B93" w:rsidP="00FA7B93">
            <w:pPr>
              <w:widowControl w:val="0"/>
              <w:jc w:val="center"/>
              <w:rPr>
                <w:rFonts w:ascii="Times New Roman" w:hAnsi="Times New Roman"/>
                <w:sz w:val="24"/>
                <w:szCs w:val="24"/>
              </w:rPr>
            </w:pPr>
            <w:r w:rsidRPr="00FA7B93">
              <w:rPr>
                <w:rFonts w:ascii="Times New Roman" w:hAnsi="Times New Roman"/>
                <w:sz w:val="24"/>
                <w:szCs w:val="24"/>
              </w:rPr>
              <w:t>Recurso externo</w:t>
            </w:r>
          </w:p>
        </w:tc>
        <w:tc>
          <w:tcPr>
            <w:tcW w:w="1022" w:type="pct"/>
            <w:vAlign w:val="center"/>
          </w:tcPr>
          <w:p w14:paraId="33195A7F"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6EB19180"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2D27D3C3" w14:textId="77777777" w:rsidR="00FA7B93" w:rsidRPr="00FA7B93" w:rsidRDefault="00FA7B93" w:rsidP="00FA7B93">
            <w:pPr>
              <w:widowControl w:val="0"/>
              <w:jc w:val="center"/>
              <w:rPr>
                <w:rFonts w:ascii="Times New Roman" w:hAnsi="Times New Roman"/>
                <w:sz w:val="24"/>
                <w:szCs w:val="24"/>
              </w:rPr>
            </w:pPr>
          </w:p>
        </w:tc>
      </w:tr>
      <w:tr w:rsidR="00FA7B93" w:rsidRPr="00FA7B93" w14:paraId="4BD5B932" w14:textId="77777777" w:rsidTr="00FA7B93">
        <w:trPr>
          <w:trHeight w:val="96"/>
          <w:jc w:val="center"/>
        </w:trPr>
        <w:tc>
          <w:tcPr>
            <w:tcW w:w="1466" w:type="pct"/>
            <w:vAlign w:val="center"/>
          </w:tcPr>
          <w:p w14:paraId="7D7AF8A9" w14:textId="77777777" w:rsidR="00FA7B93" w:rsidRPr="00FA7B93" w:rsidRDefault="00FA7B93" w:rsidP="00FA7B93">
            <w:pPr>
              <w:pStyle w:val="Ttulo2"/>
              <w:keepNext w:val="0"/>
              <w:jc w:val="center"/>
              <w:outlineLvl w:val="1"/>
              <w:rPr>
                <w:rFonts w:ascii="Times New Roman" w:hAnsi="Times New Roman" w:cs="Times New Roman"/>
                <w:color w:val="auto"/>
                <w:sz w:val="24"/>
                <w:szCs w:val="24"/>
              </w:rPr>
            </w:pPr>
            <w:r w:rsidRPr="00FA7B93">
              <w:rPr>
                <w:rFonts w:ascii="Times New Roman" w:hAnsi="Times New Roman" w:cs="Times New Roman"/>
                <w:color w:val="auto"/>
                <w:sz w:val="24"/>
                <w:szCs w:val="24"/>
              </w:rPr>
              <w:t>TOTAL</w:t>
            </w:r>
          </w:p>
        </w:tc>
        <w:tc>
          <w:tcPr>
            <w:tcW w:w="1022" w:type="pct"/>
            <w:vAlign w:val="center"/>
          </w:tcPr>
          <w:p w14:paraId="71A25A83" w14:textId="77777777" w:rsidR="00FA7B93" w:rsidRPr="00FA7B93" w:rsidRDefault="00FA7B93" w:rsidP="00FA7B93">
            <w:pPr>
              <w:widowControl w:val="0"/>
              <w:jc w:val="center"/>
              <w:rPr>
                <w:rFonts w:ascii="Times New Roman" w:hAnsi="Times New Roman"/>
                <w:sz w:val="24"/>
                <w:szCs w:val="24"/>
              </w:rPr>
            </w:pPr>
          </w:p>
        </w:tc>
        <w:tc>
          <w:tcPr>
            <w:tcW w:w="1392" w:type="pct"/>
            <w:gridSpan w:val="2"/>
            <w:vAlign w:val="center"/>
          </w:tcPr>
          <w:p w14:paraId="7C773BD0" w14:textId="77777777" w:rsidR="00FA7B93" w:rsidRPr="00FA7B93" w:rsidRDefault="00FA7B93" w:rsidP="00FA7B93">
            <w:pPr>
              <w:widowControl w:val="0"/>
              <w:jc w:val="center"/>
              <w:rPr>
                <w:rFonts w:ascii="Times New Roman" w:hAnsi="Times New Roman"/>
                <w:sz w:val="24"/>
                <w:szCs w:val="24"/>
              </w:rPr>
            </w:pPr>
          </w:p>
        </w:tc>
        <w:tc>
          <w:tcPr>
            <w:tcW w:w="1120" w:type="pct"/>
            <w:vAlign w:val="center"/>
          </w:tcPr>
          <w:p w14:paraId="053E8DE2" w14:textId="2E71AE9F" w:rsidR="00FA7B93" w:rsidRPr="00FA7B93" w:rsidRDefault="00FA7B93" w:rsidP="00FA7B93">
            <w:pPr>
              <w:widowControl w:val="0"/>
              <w:jc w:val="center"/>
              <w:rPr>
                <w:rFonts w:ascii="Times New Roman" w:hAnsi="Times New Roman"/>
                <w:b/>
                <w:sz w:val="24"/>
                <w:szCs w:val="24"/>
              </w:rPr>
            </w:pPr>
            <w:r w:rsidRPr="00FA7B93">
              <w:rPr>
                <w:rFonts w:ascii="Times New Roman" w:hAnsi="Times New Roman"/>
                <w:b/>
                <w:sz w:val="24"/>
                <w:szCs w:val="24"/>
              </w:rPr>
              <w:t>$ 9.250.000</w:t>
            </w:r>
          </w:p>
        </w:tc>
      </w:tr>
    </w:tbl>
    <w:p w14:paraId="2F297585" w14:textId="77777777" w:rsidR="00FA7B93" w:rsidRDefault="00FA7B93">
      <w:pPr>
        <w:spacing w:after="0"/>
        <w:rPr>
          <w:rFonts w:ascii="Times New Roman" w:eastAsia="Times New Roman" w:hAnsi="Times New Roman" w:cs="Times New Roman"/>
          <w:b/>
          <w:sz w:val="24"/>
          <w:szCs w:val="24"/>
        </w:rPr>
      </w:pPr>
    </w:p>
    <w:p w14:paraId="1DAEFC6C" w14:textId="77777777" w:rsidR="003A6D9D" w:rsidRDefault="003A6D9D">
      <w:pPr>
        <w:spacing w:after="0"/>
        <w:jc w:val="center"/>
        <w:rPr>
          <w:rFonts w:ascii="Times New Roman" w:eastAsia="Times New Roman" w:hAnsi="Times New Roman" w:cs="Times New Roman"/>
          <w:sz w:val="24"/>
          <w:szCs w:val="24"/>
        </w:rPr>
      </w:pPr>
    </w:p>
    <w:p w14:paraId="23481AE0" w14:textId="77777777" w:rsidR="003A6D9D" w:rsidRDefault="003A6D9D">
      <w:pPr>
        <w:jc w:val="both"/>
        <w:rPr>
          <w:rFonts w:ascii="Times New Roman" w:eastAsia="Times New Roman" w:hAnsi="Times New Roman" w:cs="Times New Roman"/>
          <w:sz w:val="24"/>
          <w:szCs w:val="24"/>
        </w:rPr>
      </w:pPr>
    </w:p>
    <w:p w14:paraId="7BD3C4EB" w14:textId="77777777" w:rsidR="00FA7B93" w:rsidRDefault="00FA7B93">
      <w:pPr>
        <w:jc w:val="both"/>
        <w:rPr>
          <w:rFonts w:ascii="Times New Roman" w:eastAsia="Times New Roman" w:hAnsi="Times New Roman" w:cs="Times New Roman"/>
          <w:sz w:val="24"/>
          <w:szCs w:val="24"/>
        </w:rPr>
      </w:pPr>
    </w:p>
    <w:p w14:paraId="203BD773" w14:textId="77777777" w:rsidR="003A6D9D" w:rsidRPr="00A631B5" w:rsidRDefault="008974C2">
      <w:pPr>
        <w:jc w:val="both"/>
        <w:rPr>
          <w:rFonts w:ascii="Times New Roman" w:eastAsia="Times New Roman" w:hAnsi="Times New Roman" w:cs="Times New Roman"/>
          <w:b/>
        </w:rPr>
      </w:pPr>
      <w:r>
        <w:rPr>
          <w:rFonts w:ascii="Times New Roman" w:eastAsia="Times New Roman" w:hAnsi="Times New Roman" w:cs="Times New Roman"/>
          <w:b/>
        </w:rPr>
        <w:lastRenderedPageBreak/>
        <w:t>Cronograma</w:t>
      </w:r>
    </w:p>
    <w:tbl>
      <w:tblPr>
        <w:tblStyle w:val="a3"/>
        <w:tblW w:w="10206" w:type="dxa"/>
        <w:tblInd w:w="-467" w:type="dxa"/>
        <w:tblBorders>
          <w:top w:val="nil"/>
          <w:left w:val="nil"/>
          <w:bottom w:val="nil"/>
          <w:right w:val="nil"/>
          <w:insideH w:val="nil"/>
          <w:insideV w:val="nil"/>
        </w:tblBorders>
        <w:tblLayout w:type="fixed"/>
        <w:tblLook w:val="0600" w:firstRow="0" w:lastRow="0" w:firstColumn="0" w:lastColumn="0" w:noHBand="1" w:noVBand="1"/>
      </w:tblPr>
      <w:tblGrid>
        <w:gridCol w:w="1692"/>
        <w:gridCol w:w="900"/>
        <w:gridCol w:w="810"/>
        <w:gridCol w:w="751"/>
        <w:gridCol w:w="709"/>
        <w:gridCol w:w="808"/>
        <w:gridCol w:w="851"/>
        <w:gridCol w:w="1276"/>
        <w:gridCol w:w="1134"/>
        <w:gridCol w:w="1275"/>
      </w:tblGrid>
      <w:tr w:rsidR="003A6D9D" w14:paraId="45C4E447" w14:textId="77777777" w:rsidTr="00A631B5">
        <w:trPr>
          <w:trHeight w:val="1220"/>
        </w:trPr>
        <w:tc>
          <w:tcPr>
            <w:tcW w:w="10206" w:type="dxa"/>
            <w:gridSpan w:val="10"/>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tcPr>
          <w:p w14:paraId="32C50E1D" w14:textId="77777777" w:rsidR="003A6D9D" w:rsidRDefault="008974C2">
            <w:pPr>
              <w:spacing w:before="200" w:line="360" w:lineRule="auto"/>
              <w:ind w:left="-680"/>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4CBB3AA0" w14:textId="77777777" w:rsidR="003A6D9D" w:rsidRDefault="008974C2">
            <w:pPr>
              <w:spacing w:before="200" w:line="360" w:lineRule="auto"/>
              <w:ind w:left="-680"/>
              <w:jc w:val="center"/>
              <w:rPr>
                <w:rFonts w:ascii="Times New Roman" w:eastAsia="Times New Roman" w:hAnsi="Times New Roman" w:cs="Times New Roman"/>
                <w:b/>
              </w:rPr>
            </w:pPr>
            <w:r>
              <w:rPr>
                <w:rFonts w:ascii="Times New Roman" w:eastAsia="Times New Roman" w:hAnsi="Times New Roman" w:cs="Times New Roman"/>
                <w:b/>
              </w:rPr>
              <w:t>CRONOGRAMA 2018</w:t>
            </w:r>
          </w:p>
        </w:tc>
      </w:tr>
      <w:tr w:rsidR="00A631B5" w14:paraId="5D805BEA" w14:textId="77777777" w:rsidTr="00A631B5">
        <w:trPr>
          <w:trHeight w:val="83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2D76595A" w14:textId="77777777" w:rsidR="003A6D9D" w:rsidRPr="00A631B5" w:rsidRDefault="008974C2" w:rsidP="00A631B5">
            <w:pPr>
              <w:spacing w:before="200" w:line="360" w:lineRule="auto"/>
              <w:ind w:left="-680" w:firstLine="699"/>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ACTIVIDAD</w:t>
            </w:r>
          </w:p>
        </w:tc>
        <w:tc>
          <w:tcPr>
            <w:tcW w:w="900"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304E9834"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MARZO</w:t>
            </w:r>
          </w:p>
        </w:tc>
        <w:tc>
          <w:tcPr>
            <w:tcW w:w="810"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5231D9CF"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ABRIL</w:t>
            </w:r>
          </w:p>
        </w:tc>
        <w:tc>
          <w:tcPr>
            <w:tcW w:w="751"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5D7DA8A6"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MAYO</w:t>
            </w:r>
          </w:p>
        </w:tc>
        <w:tc>
          <w:tcPr>
            <w:tcW w:w="709"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38BBC8F7"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JUNIO</w:t>
            </w:r>
          </w:p>
        </w:tc>
        <w:tc>
          <w:tcPr>
            <w:tcW w:w="808"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17196B59"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JULIO</w:t>
            </w:r>
          </w:p>
        </w:tc>
        <w:tc>
          <w:tcPr>
            <w:tcW w:w="851"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4537F0FA"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AGOSTO</w:t>
            </w:r>
          </w:p>
        </w:tc>
        <w:tc>
          <w:tcPr>
            <w:tcW w:w="1276"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0E2470C7"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SEPTIEMBRE</w:t>
            </w:r>
          </w:p>
        </w:tc>
        <w:tc>
          <w:tcPr>
            <w:tcW w:w="1134"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2707407C"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OCTUBRE</w:t>
            </w:r>
          </w:p>
        </w:tc>
        <w:tc>
          <w:tcPr>
            <w:tcW w:w="1275"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5C41A5BE" w14:textId="77777777" w:rsidR="003A6D9D" w:rsidRPr="00A631B5" w:rsidRDefault="008974C2" w:rsidP="00A631B5">
            <w:pPr>
              <w:spacing w:before="200" w:line="360" w:lineRule="auto"/>
              <w:ind w:left="-680"/>
              <w:jc w:val="right"/>
              <w:rPr>
                <w:rFonts w:ascii="Times New Roman" w:eastAsia="Times New Roman" w:hAnsi="Times New Roman" w:cs="Times New Roman"/>
                <w:b/>
                <w:sz w:val="16"/>
                <w:szCs w:val="16"/>
              </w:rPr>
            </w:pPr>
            <w:r w:rsidRPr="00A631B5">
              <w:rPr>
                <w:rFonts w:ascii="Times New Roman" w:eastAsia="Times New Roman" w:hAnsi="Times New Roman" w:cs="Times New Roman"/>
                <w:b/>
                <w:sz w:val="16"/>
                <w:szCs w:val="16"/>
              </w:rPr>
              <w:t>NOVIEMBRE</w:t>
            </w:r>
          </w:p>
        </w:tc>
      </w:tr>
      <w:tr w:rsidR="00A631B5" w14:paraId="262FB66B" w14:textId="77777777" w:rsidTr="00A631B5">
        <w:trPr>
          <w:trHeight w:val="12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2052FD72" w14:textId="77777777" w:rsidR="003A6D9D" w:rsidRDefault="008974C2" w:rsidP="00A631B5">
            <w:pPr>
              <w:spacing w:after="0" w:line="240" w:lineRule="auto"/>
              <w:ind w:left="19"/>
              <w:jc w:val="right"/>
              <w:rPr>
                <w:rFonts w:ascii="Times New Roman" w:eastAsia="Times New Roman" w:hAnsi="Times New Roman" w:cs="Times New Roman"/>
              </w:rPr>
            </w:pPr>
            <w:r>
              <w:rPr>
                <w:rFonts w:ascii="Times New Roman" w:eastAsia="Times New Roman" w:hAnsi="Times New Roman" w:cs="Times New Roman"/>
              </w:rPr>
              <w:t>Ajustes del proyecto escrito</w:t>
            </w:r>
          </w:p>
        </w:tc>
        <w:tc>
          <w:tcPr>
            <w:tcW w:w="900" w:type="dxa"/>
            <w:tcBorders>
              <w:top w:val="nil"/>
              <w:left w:val="nil"/>
              <w:bottom w:val="single" w:sz="7" w:space="0" w:color="000000"/>
              <w:right w:val="single" w:sz="7" w:space="0" w:color="000000"/>
            </w:tcBorders>
            <w:shd w:val="clear" w:color="auto" w:fill="000000" w:themeFill="text1"/>
            <w:tcMar>
              <w:top w:w="100" w:type="dxa"/>
              <w:left w:w="100" w:type="dxa"/>
              <w:bottom w:w="100" w:type="dxa"/>
              <w:right w:w="100" w:type="dxa"/>
            </w:tcMar>
          </w:tcPr>
          <w:p w14:paraId="2AD1C54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C8AC80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327AE9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460F99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7532A69"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C8EDCD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FBB87D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85610A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8C8B0B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4FFDFAD4"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0F75F639" w14:textId="77777777" w:rsidR="003A6D9D" w:rsidRDefault="008974C2" w:rsidP="00A631B5">
            <w:pPr>
              <w:spacing w:after="0" w:line="240" w:lineRule="auto"/>
              <w:ind w:left="-541" w:firstLine="560"/>
              <w:jc w:val="right"/>
              <w:rPr>
                <w:rFonts w:ascii="Times New Roman" w:eastAsia="Times New Roman" w:hAnsi="Times New Roman" w:cs="Times New Roman"/>
              </w:rPr>
            </w:pPr>
            <w:r>
              <w:rPr>
                <w:rFonts w:ascii="Times New Roman" w:eastAsia="Times New Roman" w:hAnsi="Times New Roman" w:cs="Times New Roman"/>
              </w:rPr>
              <w:t>Revisión estado del arte</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B73A9E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5F499114"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44F92C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BBE55A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FE7AE9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621E46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D43D52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E55FB1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38D54E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1AC87228" w14:textId="77777777" w:rsidTr="00A631B5">
        <w:trPr>
          <w:trHeight w:val="12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5D8C6E9B"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Revisión estadio</w:t>
            </w:r>
          </w:p>
          <w:p w14:paraId="6F7C171C"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del arte</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68F6F1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47A621DF"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B6E314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D65D67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6E0C934"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893980D"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13CDB2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6AF418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C70B479"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1B4CB6D3" w14:textId="77777777" w:rsidTr="00A631B5">
        <w:trPr>
          <w:trHeight w:val="15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16D02719"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Clasificación y organización</w:t>
            </w:r>
          </w:p>
          <w:p w14:paraId="4A78B742"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w:t>
            </w:r>
            <w:r w:rsidR="00A631B5">
              <w:rPr>
                <w:rFonts w:ascii="Times New Roman" w:eastAsia="Times New Roman" w:hAnsi="Times New Roman" w:cs="Times New Roman"/>
              </w:rPr>
              <w:t>r</w:t>
            </w:r>
            <w:r>
              <w:rPr>
                <w:rFonts w:ascii="Times New Roman" w:eastAsia="Times New Roman" w:hAnsi="Times New Roman" w:cs="Times New Roman"/>
              </w:rPr>
              <w:t>evisión</w:t>
            </w:r>
          </w:p>
          <w:p w14:paraId="141B3C44"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documental</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3E3B5A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1BC7CF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3712091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9F35B2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7FD911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5B3B44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A173BD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85E93DF"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F5BAEC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61669437" w14:textId="77777777" w:rsidTr="00A631B5">
        <w:trPr>
          <w:trHeight w:val="12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690E8EC6"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Planeación</w:t>
            </w:r>
          </w:p>
          <w:p w14:paraId="6E881EC3"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trabajo de campo</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711211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72E575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7D8F65F"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597097F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F81D51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2D8935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999757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F3BBED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21597A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58215BC9" w14:textId="77777777" w:rsidTr="00A631B5">
        <w:trPr>
          <w:trHeight w:val="6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3750D993"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Focus group</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3B79CD7"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608C60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9A2309F"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E30061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3365D73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4FE9B1E"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691BFF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07D458F"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0E263F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6FA17411" w14:textId="77777777" w:rsidTr="00A631B5">
        <w:trPr>
          <w:trHeight w:val="12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12CB0730" w14:textId="77777777" w:rsidR="003A6D9D" w:rsidRDefault="008974C2" w:rsidP="00A631B5">
            <w:pPr>
              <w:spacing w:after="0" w:line="240" w:lineRule="auto"/>
              <w:ind w:left="-680" w:firstLine="554"/>
              <w:jc w:val="right"/>
              <w:rPr>
                <w:rFonts w:ascii="Times New Roman" w:eastAsia="Times New Roman" w:hAnsi="Times New Roman" w:cs="Times New Roman"/>
              </w:rPr>
            </w:pPr>
            <w:r>
              <w:rPr>
                <w:rFonts w:ascii="Times New Roman" w:eastAsia="Times New Roman" w:hAnsi="Times New Roman" w:cs="Times New Roman"/>
              </w:rPr>
              <w:lastRenderedPageBreak/>
              <w:t>Trascripción de la información</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1DF75C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4B56B9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EED711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617AAF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050771A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9A08B29"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F0755C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7734BE7"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D3399D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47E1B233"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1FEE9B67"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Análisis de datos textuales</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FCC6F3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0D2B48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E64269D"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32A15C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0922FE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5343659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B9C203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F8C2B0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F5B97F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188192A9"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387E35B4"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Análisis </w:t>
            </w:r>
          </w:p>
          <w:p w14:paraId="5CDF18CD"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de resultados</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5C74537"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8B7398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2826D54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4D0A13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2C4A89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4D83C5E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34AFE3D"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F084F29"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CD1D26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2FEC691A"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3DE41DC2"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Análisis de</w:t>
            </w:r>
          </w:p>
          <w:p w14:paraId="73567670"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resultados</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70A942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BE2AAE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1C3611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F70B540"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31E648C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A8366D7"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4E0D30CE"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B161B7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A295D4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3EDAE414"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1B88CB09" w14:textId="77777777" w:rsidR="003A6D9D" w:rsidRDefault="008974C2" w:rsidP="00A631B5">
            <w:pPr>
              <w:spacing w:after="0" w:line="240" w:lineRule="auto"/>
              <w:ind w:left="-110"/>
              <w:jc w:val="right"/>
              <w:rPr>
                <w:rFonts w:ascii="Times New Roman" w:eastAsia="Times New Roman" w:hAnsi="Times New Roman" w:cs="Times New Roman"/>
              </w:rPr>
            </w:pPr>
            <w:r>
              <w:rPr>
                <w:rFonts w:ascii="Times New Roman" w:eastAsia="Times New Roman" w:hAnsi="Times New Roman" w:cs="Times New Roman"/>
              </w:rPr>
              <w:t>Elaboración informe final</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9E1E1C6"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99F4A0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EE824B2"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AD489F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6BCD51E"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548AF6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07DAB2D"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501CD65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7D58484E"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1865E88D" w14:textId="77777777" w:rsidTr="00A631B5">
        <w:trPr>
          <w:trHeight w:val="9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6E6CA3F6"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Elaboración</w:t>
            </w:r>
          </w:p>
          <w:p w14:paraId="58DB0642"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 informe final</w:t>
            </w:r>
          </w:p>
        </w:tc>
        <w:tc>
          <w:tcPr>
            <w:tcW w:w="90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58BEF69"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446C7C64"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10ECDBB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9B6286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C394D0B"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0D4D4D0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698FE71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FFFFFF"/>
            <w:tcMar>
              <w:top w:w="100" w:type="dxa"/>
              <w:left w:w="100" w:type="dxa"/>
              <w:bottom w:w="100" w:type="dxa"/>
              <w:right w:w="100" w:type="dxa"/>
            </w:tcMar>
          </w:tcPr>
          <w:p w14:paraId="50A070D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3616812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A631B5" w14:paraId="65F8B145" w14:textId="77777777" w:rsidTr="00A631B5">
        <w:trPr>
          <w:trHeight w:val="1280"/>
        </w:trPr>
        <w:tc>
          <w:tcPr>
            <w:tcW w:w="1692" w:type="dxa"/>
            <w:tcBorders>
              <w:top w:val="nil"/>
              <w:left w:val="single" w:sz="7" w:space="0" w:color="000000"/>
              <w:bottom w:val="single" w:sz="7" w:space="0" w:color="000000"/>
              <w:right w:val="single" w:sz="7" w:space="0" w:color="000000"/>
            </w:tcBorders>
            <w:shd w:val="clear" w:color="auto" w:fill="auto"/>
            <w:tcMar>
              <w:top w:w="100" w:type="dxa"/>
              <w:left w:w="100" w:type="dxa"/>
              <w:bottom w:w="100" w:type="dxa"/>
              <w:right w:w="100" w:type="dxa"/>
            </w:tcMar>
          </w:tcPr>
          <w:p w14:paraId="189716DB" w14:textId="77777777" w:rsidR="00A631B5"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 xml:space="preserve">Elaboración </w:t>
            </w:r>
          </w:p>
          <w:p w14:paraId="77549AC9" w14:textId="77777777" w:rsidR="003A6D9D" w:rsidRDefault="008974C2" w:rsidP="00A631B5">
            <w:pPr>
              <w:spacing w:after="0" w:line="240" w:lineRule="auto"/>
              <w:ind w:left="-680"/>
              <w:jc w:val="right"/>
              <w:rPr>
                <w:rFonts w:ascii="Times New Roman" w:eastAsia="Times New Roman" w:hAnsi="Times New Roman" w:cs="Times New Roman"/>
              </w:rPr>
            </w:pPr>
            <w:r>
              <w:rPr>
                <w:rFonts w:ascii="Times New Roman" w:eastAsia="Times New Roman" w:hAnsi="Times New Roman" w:cs="Times New Roman"/>
              </w:rPr>
              <w:t>de artículo científico</w:t>
            </w:r>
          </w:p>
        </w:tc>
        <w:tc>
          <w:tcPr>
            <w:tcW w:w="900"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03C2F8F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10"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69D5335A"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51"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332002ED"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709"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6E1D01E8"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08"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69DF09E1"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851"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2C8AEC75"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6"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689E17AC"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134" w:type="dxa"/>
            <w:tcBorders>
              <w:top w:val="nil"/>
              <w:left w:val="nil"/>
              <w:bottom w:val="single" w:sz="7" w:space="0" w:color="000000"/>
              <w:right w:val="single" w:sz="7" w:space="0" w:color="000000"/>
            </w:tcBorders>
            <w:shd w:val="clear" w:color="auto" w:fill="auto"/>
            <w:tcMar>
              <w:top w:w="100" w:type="dxa"/>
              <w:left w:w="100" w:type="dxa"/>
              <w:bottom w:w="100" w:type="dxa"/>
              <w:right w:w="100" w:type="dxa"/>
            </w:tcMar>
          </w:tcPr>
          <w:p w14:paraId="13FF1327"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c>
          <w:tcPr>
            <w:tcW w:w="1275" w:type="dxa"/>
            <w:tcBorders>
              <w:top w:val="nil"/>
              <w:left w:val="nil"/>
              <w:bottom w:val="single" w:sz="7" w:space="0" w:color="000000"/>
              <w:right w:val="single" w:sz="7" w:space="0" w:color="000000"/>
            </w:tcBorders>
            <w:shd w:val="clear" w:color="auto" w:fill="000000"/>
            <w:tcMar>
              <w:top w:w="100" w:type="dxa"/>
              <w:left w:w="100" w:type="dxa"/>
              <w:bottom w:w="100" w:type="dxa"/>
              <w:right w:w="100" w:type="dxa"/>
            </w:tcMar>
          </w:tcPr>
          <w:p w14:paraId="3B8E87B3" w14:textId="77777777" w:rsidR="003A6D9D" w:rsidRDefault="008974C2" w:rsidP="00A631B5">
            <w:pPr>
              <w:spacing w:after="0" w:line="240" w:lineRule="auto"/>
              <w:ind w:left="-680"/>
              <w:jc w:val="both"/>
              <w:rPr>
                <w:rFonts w:ascii="Times New Roman" w:eastAsia="Times New Roman" w:hAnsi="Times New Roman" w:cs="Times New Roman"/>
              </w:rPr>
            </w:pPr>
            <w:r>
              <w:rPr>
                <w:rFonts w:ascii="Times New Roman" w:eastAsia="Times New Roman" w:hAnsi="Times New Roman" w:cs="Times New Roman"/>
              </w:rPr>
              <w:t xml:space="preserve"> </w:t>
            </w:r>
          </w:p>
        </w:tc>
      </w:tr>
    </w:tbl>
    <w:p w14:paraId="10B59CB4" w14:textId="77777777" w:rsidR="003A6D9D" w:rsidRDefault="003A6D9D">
      <w:pPr>
        <w:jc w:val="both"/>
        <w:rPr>
          <w:rFonts w:ascii="Times New Roman" w:eastAsia="Times New Roman" w:hAnsi="Times New Roman" w:cs="Times New Roman"/>
        </w:rPr>
      </w:pPr>
    </w:p>
    <w:p w14:paraId="224969CD" w14:textId="0E76D509" w:rsidR="003A6D9D" w:rsidRDefault="007B3461">
      <w:pPr>
        <w:jc w:val="both"/>
        <w:rPr>
          <w:rFonts w:ascii="Times New Roman" w:eastAsia="Times New Roman" w:hAnsi="Times New Roman" w:cs="Times New Roman"/>
          <w:b/>
        </w:rPr>
      </w:pPr>
      <w:r>
        <w:rPr>
          <w:rFonts w:ascii="Times New Roman" w:eastAsia="Times New Roman" w:hAnsi="Times New Roman" w:cs="Times New Roman"/>
          <w:b/>
        </w:rPr>
        <w:t>Referencias</w:t>
      </w:r>
    </w:p>
    <w:p w14:paraId="2DB83073"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Abric</w:t>
      </w:r>
      <w:proofErr w:type="spellEnd"/>
      <w:r w:rsidRPr="007B3461">
        <w:rPr>
          <w:rFonts w:ascii="Times New Roman" w:eastAsia="Times New Roman" w:hAnsi="Times New Roman" w:cs="Times New Roman"/>
          <w:sz w:val="24"/>
          <w:szCs w:val="24"/>
        </w:rPr>
        <w:t xml:space="preserve">, J (2000). </w:t>
      </w:r>
      <w:r w:rsidRPr="007B3461">
        <w:rPr>
          <w:rFonts w:ascii="Times New Roman" w:eastAsia="Times New Roman" w:hAnsi="Times New Roman" w:cs="Times New Roman"/>
          <w:i/>
          <w:sz w:val="24"/>
          <w:szCs w:val="24"/>
        </w:rPr>
        <w:t>Prácticas sociales y representaciones</w:t>
      </w:r>
      <w:r w:rsidRPr="007B3461">
        <w:rPr>
          <w:rFonts w:ascii="Times New Roman" w:eastAsia="Times New Roman" w:hAnsi="Times New Roman" w:cs="Times New Roman"/>
          <w:sz w:val="24"/>
          <w:szCs w:val="24"/>
        </w:rPr>
        <w:t xml:space="preserve">. Ediciones </w:t>
      </w:r>
      <w:proofErr w:type="spellStart"/>
      <w:r w:rsidRPr="007B3461">
        <w:rPr>
          <w:rFonts w:ascii="Times New Roman" w:eastAsia="Times New Roman" w:hAnsi="Times New Roman" w:cs="Times New Roman"/>
          <w:sz w:val="24"/>
          <w:szCs w:val="24"/>
        </w:rPr>
        <w:t>Covdagan</w:t>
      </w:r>
      <w:proofErr w:type="spellEnd"/>
    </w:p>
    <w:p w14:paraId="0E278459" w14:textId="035FFA78"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 xml:space="preserve">Antequera, N. (2007).  </w:t>
      </w:r>
      <w:r w:rsidRPr="007B3461">
        <w:rPr>
          <w:rFonts w:ascii="Times New Roman" w:eastAsia="Times New Roman" w:hAnsi="Times New Roman" w:cs="Times New Roman"/>
          <w:i/>
          <w:sz w:val="24"/>
          <w:szCs w:val="24"/>
        </w:rPr>
        <w:t>Territorios urbanos. Diversidad cultural, dinamica socioeconomica y procesos de crecimiento urbano en la zona sur de Cochabamba</w:t>
      </w:r>
      <w:r>
        <w:rPr>
          <w:rFonts w:ascii="Times New Roman" w:eastAsia="Times New Roman" w:hAnsi="Times New Roman" w:cs="Times New Roman"/>
          <w:sz w:val="24"/>
          <w:szCs w:val="24"/>
        </w:rPr>
        <w:t xml:space="preserve">. </w:t>
      </w:r>
      <w:r w:rsidRPr="007B3461">
        <w:rPr>
          <w:rFonts w:ascii="Times New Roman" w:eastAsia="Times New Roman" w:hAnsi="Times New Roman" w:cs="Times New Roman"/>
          <w:sz w:val="24"/>
          <w:szCs w:val="24"/>
        </w:rPr>
        <w:t xml:space="preserve">Plural editores. </w:t>
      </w:r>
    </w:p>
    <w:p w14:paraId="1D0CF245" w14:textId="0C26B1AE" w:rsidR="007B3461" w:rsidRPr="004728D3" w:rsidRDefault="007B3461" w:rsidP="007B3461">
      <w:pPr>
        <w:spacing w:line="240" w:lineRule="auto"/>
        <w:ind w:left="720" w:hanging="720"/>
        <w:jc w:val="both"/>
        <w:rPr>
          <w:rFonts w:ascii="Times New Roman" w:hAnsi="Times New Roman" w:cs="Times New Roman"/>
          <w:sz w:val="24"/>
          <w:szCs w:val="24"/>
          <w:lang w:val="en-US"/>
        </w:rPr>
      </w:pPr>
      <w:proofErr w:type="spellStart"/>
      <w:r w:rsidRPr="004728D3">
        <w:rPr>
          <w:rFonts w:ascii="Times New Roman" w:hAnsi="Times New Roman" w:cs="Times New Roman"/>
          <w:sz w:val="24"/>
          <w:szCs w:val="24"/>
          <w:lang w:val="en-US"/>
        </w:rPr>
        <w:t>Bassand</w:t>
      </w:r>
      <w:proofErr w:type="spellEnd"/>
      <w:r w:rsidRPr="004728D3">
        <w:rPr>
          <w:rFonts w:ascii="Times New Roman" w:hAnsi="Times New Roman" w:cs="Times New Roman"/>
          <w:sz w:val="24"/>
          <w:szCs w:val="24"/>
          <w:lang w:val="en-US"/>
        </w:rPr>
        <w:t xml:space="preserve">, M (1990). </w:t>
      </w:r>
      <w:r w:rsidRPr="004728D3">
        <w:rPr>
          <w:rFonts w:ascii="Times New Roman" w:hAnsi="Times New Roman" w:cs="Times New Roman"/>
          <w:i/>
          <w:sz w:val="24"/>
          <w:szCs w:val="24"/>
          <w:lang w:val="en-US"/>
        </w:rPr>
        <w:t>Culture et regions de Europe</w:t>
      </w:r>
      <w:proofErr w:type="gramStart"/>
      <w:r w:rsidRPr="004728D3">
        <w:rPr>
          <w:rFonts w:ascii="Times New Roman" w:hAnsi="Times New Roman" w:cs="Times New Roman"/>
          <w:sz w:val="24"/>
          <w:szCs w:val="24"/>
          <w:lang w:val="en-US"/>
        </w:rPr>
        <w:t>,.</w:t>
      </w:r>
      <w:proofErr w:type="gramEnd"/>
      <w:r w:rsidRPr="004728D3">
        <w:rPr>
          <w:rFonts w:ascii="Times New Roman" w:hAnsi="Times New Roman" w:cs="Times New Roman"/>
          <w:sz w:val="24"/>
          <w:szCs w:val="24"/>
          <w:lang w:val="en-US"/>
        </w:rPr>
        <w:t xml:space="preserve"> </w:t>
      </w:r>
      <w:proofErr w:type="spellStart"/>
      <w:proofErr w:type="gramStart"/>
      <w:r w:rsidRPr="004728D3">
        <w:rPr>
          <w:rFonts w:ascii="Times New Roman" w:hAnsi="Times New Roman" w:cs="Times New Roman"/>
          <w:sz w:val="24"/>
          <w:szCs w:val="24"/>
          <w:lang w:val="en-US"/>
        </w:rPr>
        <w:t>arís</w:t>
      </w:r>
      <w:proofErr w:type="spellEnd"/>
      <w:proofErr w:type="gramEnd"/>
      <w:r w:rsidRPr="004728D3">
        <w:rPr>
          <w:rFonts w:ascii="Times New Roman" w:hAnsi="Times New Roman" w:cs="Times New Roman"/>
          <w:sz w:val="24"/>
          <w:szCs w:val="24"/>
          <w:lang w:val="en-US"/>
        </w:rPr>
        <w:t xml:space="preserve">: Presses </w:t>
      </w:r>
      <w:proofErr w:type="spellStart"/>
      <w:r w:rsidRPr="004728D3">
        <w:rPr>
          <w:rFonts w:ascii="Times New Roman" w:hAnsi="Times New Roman" w:cs="Times New Roman"/>
          <w:sz w:val="24"/>
          <w:szCs w:val="24"/>
          <w:lang w:val="en-US"/>
        </w:rPr>
        <w:t>Polytechniques</w:t>
      </w:r>
      <w:proofErr w:type="spellEnd"/>
      <w:r w:rsidRPr="004728D3">
        <w:rPr>
          <w:rFonts w:ascii="Times New Roman" w:hAnsi="Times New Roman" w:cs="Times New Roman"/>
          <w:sz w:val="24"/>
          <w:szCs w:val="24"/>
          <w:lang w:val="en-US"/>
        </w:rPr>
        <w:t xml:space="preserve"> et </w:t>
      </w:r>
      <w:proofErr w:type="spellStart"/>
      <w:r w:rsidRPr="004728D3">
        <w:rPr>
          <w:rFonts w:ascii="Times New Roman" w:hAnsi="Times New Roman" w:cs="Times New Roman"/>
          <w:sz w:val="24"/>
          <w:szCs w:val="24"/>
          <w:lang w:val="en-US"/>
        </w:rPr>
        <w:t>Universitaires</w:t>
      </w:r>
      <w:proofErr w:type="spellEnd"/>
      <w:r w:rsidRPr="004728D3">
        <w:rPr>
          <w:rFonts w:ascii="Times New Roman" w:hAnsi="Times New Roman" w:cs="Times New Roman"/>
          <w:sz w:val="24"/>
          <w:szCs w:val="24"/>
          <w:lang w:val="en-US"/>
        </w:rPr>
        <w:t xml:space="preserve"> </w:t>
      </w:r>
      <w:proofErr w:type="spellStart"/>
      <w:r w:rsidRPr="004728D3">
        <w:rPr>
          <w:rFonts w:ascii="Times New Roman" w:hAnsi="Times New Roman" w:cs="Times New Roman"/>
          <w:sz w:val="24"/>
          <w:szCs w:val="24"/>
          <w:lang w:val="en-US"/>
        </w:rPr>
        <w:t>Romandes</w:t>
      </w:r>
      <w:proofErr w:type="spellEnd"/>
      <w:r w:rsidRPr="004728D3">
        <w:rPr>
          <w:rFonts w:ascii="Times New Roman" w:hAnsi="Times New Roman" w:cs="Times New Roman"/>
          <w:sz w:val="24"/>
          <w:szCs w:val="24"/>
          <w:lang w:val="en-US"/>
        </w:rPr>
        <w:t>.</w:t>
      </w:r>
    </w:p>
    <w:p w14:paraId="14B713CA"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lastRenderedPageBreak/>
        <w:t xml:space="preserve">Berrio,  C (2014). ¡Vamos al centro Comercial! Consumo, visualidades del miedo en la Medellín contemporánea. </w:t>
      </w:r>
      <w:r w:rsidRPr="007B3461">
        <w:rPr>
          <w:rFonts w:ascii="Times New Roman" w:eastAsia="Times New Roman" w:hAnsi="Times New Roman" w:cs="Times New Roman"/>
          <w:i/>
          <w:sz w:val="24"/>
          <w:szCs w:val="24"/>
        </w:rPr>
        <w:t>Anagramas</w:t>
      </w:r>
      <w:r w:rsidRPr="007B3461">
        <w:rPr>
          <w:rFonts w:ascii="Times New Roman" w:eastAsia="Times New Roman" w:hAnsi="Times New Roman" w:cs="Times New Roman"/>
          <w:sz w:val="24"/>
          <w:szCs w:val="24"/>
        </w:rPr>
        <w:t>. 13(26), p. 159-178</w:t>
      </w:r>
    </w:p>
    <w:p w14:paraId="4E7EF43D"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 xml:space="preserve">Cáceres, G;  Sabatini, F; Salcedo, R y Blonda, L (2006). Malls en Santiago: luces y claroscuros. </w:t>
      </w:r>
      <w:r w:rsidRPr="007B3461">
        <w:rPr>
          <w:rFonts w:ascii="Times New Roman" w:eastAsia="Times New Roman" w:hAnsi="Times New Roman" w:cs="Times New Roman"/>
          <w:i/>
          <w:sz w:val="24"/>
          <w:szCs w:val="24"/>
        </w:rPr>
        <w:t>Consumos</w:t>
      </w:r>
      <w:r w:rsidRPr="007B3461">
        <w:rPr>
          <w:rFonts w:ascii="Times New Roman" w:eastAsia="Times New Roman" w:hAnsi="Times New Roman" w:cs="Times New Roman"/>
          <w:sz w:val="24"/>
          <w:szCs w:val="24"/>
        </w:rPr>
        <w:t>. (62), p. 42-56</w:t>
      </w:r>
    </w:p>
    <w:p w14:paraId="776CA96A"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Cáceres, Gonzalo, Sabatini, Francisco, Salcedo, Rodrigo y Blonda, Laura (2006). Malls de Santiago: luces y claroscuros. ARQ. P. 49 – 50.</w:t>
      </w:r>
    </w:p>
    <w:p w14:paraId="1EAC3EDF"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Castells</w:t>
      </w:r>
      <w:proofErr w:type="spellEnd"/>
      <w:r w:rsidRPr="007B3461">
        <w:rPr>
          <w:rFonts w:ascii="Times New Roman" w:eastAsia="Times New Roman" w:hAnsi="Times New Roman" w:cs="Times New Roman"/>
          <w:sz w:val="24"/>
          <w:szCs w:val="24"/>
        </w:rPr>
        <w:t xml:space="preserve">, M (2004). </w:t>
      </w:r>
      <w:r w:rsidRPr="007B3461">
        <w:rPr>
          <w:rFonts w:ascii="Times New Roman" w:eastAsia="Times New Roman" w:hAnsi="Times New Roman" w:cs="Times New Roman"/>
          <w:i/>
          <w:sz w:val="24"/>
          <w:szCs w:val="24"/>
        </w:rPr>
        <w:t>La era de la información: economía, sociedad y cultura</w:t>
      </w:r>
      <w:r w:rsidRPr="007B3461">
        <w:rPr>
          <w:rFonts w:ascii="Times New Roman" w:eastAsia="Times New Roman" w:hAnsi="Times New Roman" w:cs="Times New Roman"/>
          <w:sz w:val="24"/>
          <w:szCs w:val="24"/>
        </w:rPr>
        <w:t>. España: Siglo XXI Editores</w:t>
      </w:r>
    </w:p>
    <w:p w14:paraId="50F4B220"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Castells</w:t>
      </w:r>
      <w:proofErr w:type="spellEnd"/>
      <w:r w:rsidRPr="007B3461">
        <w:rPr>
          <w:rFonts w:ascii="Times New Roman" w:eastAsia="Times New Roman" w:hAnsi="Times New Roman" w:cs="Times New Roman"/>
          <w:sz w:val="24"/>
          <w:szCs w:val="24"/>
        </w:rPr>
        <w:t xml:space="preserve">, M. (1971). Introducción: prácticas teóricas, práctica política y problemas urbanos. En M. Castells, Problemas de investigación en sociología urbana (págs. 1-43). </w:t>
      </w:r>
      <w:proofErr w:type="gramStart"/>
      <w:r w:rsidRPr="007B3461">
        <w:rPr>
          <w:rFonts w:ascii="Times New Roman" w:eastAsia="Times New Roman" w:hAnsi="Times New Roman" w:cs="Times New Roman"/>
          <w:sz w:val="24"/>
          <w:szCs w:val="24"/>
        </w:rPr>
        <w:t>México :</w:t>
      </w:r>
      <w:proofErr w:type="gramEnd"/>
      <w:r w:rsidRPr="007B3461">
        <w:rPr>
          <w:rFonts w:ascii="Times New Roman" w:eastAsia="Times New Roman" w:hAnsi="Times New Roman" w:cs="Times New Roman"/>
          <w:sz w:val="24"/>
          <w:szCs w:val="24"/>
        </w:rPr>
        <w:t xml:space="preserve"> Siglo XXI .</w:t>
      </w:r>
    </w:p>
    <w:p w14:paraId="5662498B" w14:textId="18A41728"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Chacon</w:t>
      </w:r>
      <w:proofErr w:type="spellEnd"/>
      <w:r w:rsidRPr="007B3461">
        <w:rPr>
          <w:rFonts w:ascii="Times New Roman" w:eastAsia="Times New Roman" w:hAnsi="Times New Roman" w:cs="Times New Roman"/>
          <w:sz w:val="24"/>
          <w:szCs w:val="24"/>
        </w:rPr>
        <w:t>, F (2010). Hábitat-centralidad. Relación determinada por la transformación Problematización del fenómeno en centralidades conformadas a partir de centros comerciales. Bogotá: Universidad Nacional de Colombia.</w:t>
      </w:r>
    </w:p>
    <w:p w14:paraId="13AC441F" w14:textId="77777777" w:rsidR="007B3461" w:rsidRPr="007B3461" w:rsidRDefault="007B3461" w:rsidP="007B3461">
      <w:pPr>
        <w:spacing w:line="240" w:lineRule="auto"/>
        <w:ind w:left="720" w:hanging="720"/>
        <w:jc w:val="both"/>
        <w:rPr>
          <w:rFonts w:ascii="Times New Roman" w:hAnsi="Times New Roman" w:cs="Times New Roman"/>
          <w:sz w:val="24"/>
          <w:szCs w:val="24"/>
        </w:rPr>
      </w:pPr>
      <w:r w:rsidRPr="007B3461">
        <w:rPr>
          <w:rFonts w:ascii="Times New Roman" w:hAnsi="Times New Roman" w:cs="Times New Roman"/>
          <w:sz w:val="24"/>
          <w:szCs w:val="24"/>
        </w:rPr>
        <w:t xml:space="preserve">Cornejo, I (2006). El centro comercial desde la comunicación y la cultura. Un modelo analítico para su historia. </w:t>
      </w:r>
      <w:r w:rsidRPr="007B3461">
        <w:rPr>
          <w:rFonts w:ascii="Times New Roman" w:hAnsi="Times New Roman" w:cs="Times New Roman"/>
          <w:i/>
          <w:sz w:val="24"/>
          <w:szCs w:val="24"/>
        </w:rPr>
        <w:t>Convergencia</w:t>
      </w:r>
      <w:r w:rsidRPr="007B3461">
        <w:rPr>
          <w:rFonts w:ascii="Times New Roman" w:hAnsi="Times New Roman" w:cs="Times New Roman"/>
          <w:sz w:val="24"/>
          <w:szCs w:val="24"/>
        </w:rPr>
        <w:t>. 13 (40), p. 13-37</w:t>
      </w:r>
    </w:p>
    <w:p w14:paraId="52BE1EF2"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Dane</w:t>
      </w:r>
      <w:proofErr w:type="spellEnd"/>
      <w:r w:rsidRPr="007B3461">
        <w:rPr>
          <w:rFonts w:ascii="Times New Roman" w:eastAsia="Times New Roman" w:hAnsi="Times New Roman" w:cs="Times New Roman"/>
          <w:sz w:val="24"/>
          <w:szCs w:val="24"/>
        </w:rPr>
        <w:t xml:space="preserve">. (1994). Conceptos Básicos. Dane, 1-4. </w:t>
      </w:r>
    </w:p>
    <w:p w14:paraId="7B4D99B2"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Elizagarate</w:t>
      </w:r>
      <w:proofErr w:type="spellEnd"/>
      <w:r w:rsidRPr="007B3461">
        <w:rPr>
          <w:rFonts w:ascii="Times New Roman" w:eastAsia="Times New Roman" w:hAnsi="Times New Roman" w:cs="Times New Roman"/>
          <w:sz w:val="24"/>
          <w:szCs w:val="24"/>
        </w:rPr>
        <w:t xml:space="preserve">, E (2001). La ciudad: centro comercial abierto. </w:t>
      </w:r>
      <w:r w:rsidRPr="007B3461">
        <w:rPr>
          <w:rFonts w:ascii="Times New Roman" w:eastAsia="Times New Roman" w:hAnsi="Times New Roman" w:cs="Times New Roman"/>
          <w:i/>
          <w:sz w:val="24"/>
          <w:szCs w:val="24"/>
        </w:rPr>
        <w:t>Revista Dirección de Empresas</w:t>
      </w:r>
      <w:r w:rsidRPr="007B3461">
        <w:rPr>
          <w:rFonts w:ascii="Times New Roman" w:eastAsia="Times New Roman" w:hAnsi="Times New Roman" w:cs="Times New Roman"/>
          <w:sz w:val="24"/>
          <w:szCs w:val="24"/>
        </w:rPr>
        <w:t>. (9), p. 219-233</w:t>
      </w:r>
    </w:p>
    <w:p w14:paraId="6B0E4490" w14:textId="77777777" w:rsidR="007B3461" w:rsidRPr="004728D3" w:rsidRDefault="007B3461" w:rsidP="007B3461">
      <w:pPr>
        <w:spacing w:line="240" w:lineRule="auto"/>
        <w:ind w:left="720" w:hanging="720"/>
        <w:jc w:val="both"/>
        <w:rPr>
          <w:rFonts w:ascii="Times New Roman" w:eastAsia="Times New Roman" w:hAnsi="Times New Roman" w:cs="Times New Roman"/>
          <w:sz w:val="24"/>
          <w:szCs w:val="24"/>
          <w:lang w:val="en-US"/>
        </w:rPr>
      </w:pPr>
      <w:r w:rsidRPr="007B3461">
        <w:rPr>
          <w:rFonts w:ascii="Times New Roman" w:eastAsia="Times New Roman" w:hAnsi="Times New Roman" w:cs="Times New Roman"/>
          <w:sz w:val="24"/>
          <w:szCs w:val="24"/>
        </w:rPr>
        <w:t xml:space="preserve">Hernández, I; Hernández, J &amp; </w:t>
      </w:r>
      <w:proofErr w:type="spellStart"/>
      <w:r w:rsidRPr="007B3461">
        <w:rPr>
          <w:rFonts w:ascii="Times New Roman" w:eastAsia="Times New Roman" w:hAnsi="Times New Roman" w:cs="Times New Roman"/>
          <w:sz w:val="24"/>
          <w:szCs w:val="24"/>
        </w:rPr>
        <w:t>Hernández</w:t>
      </w:r>
      <w:proofErr w:type="gramStart"/>
      <w:r w:rsidRPr="007B3461">
        <w:rPr>
          <w:rFonts w:ascii="Times New Roman" w:eastAsia="Times New Roman" w:hAnsi="Times New Roman" w:cs="Times New Roman"/>
          <w:sz w:val="24"/>
          <w:szCs w:val="24"/>
        </w:rPr>
        <w:t>,R</w:t>
      </w:r>
      <w:proofErr w:type="spellEnd"/>
      <w:proofErr w:type="gramEnd"/>
      <w:r w:rsidRPr="007B3461">
        <w:rPr>
          <w:rFonts w:ascii="Times New Roman" w:eastAsia="Times New Roman" w:hAnsi="Times New Roman" w:cs="Times New Roman"/>
          <w:sz w:val="24"/>
          <w:szCs w:val="24"/>
        </w:rPr>
        <w:t xml:space="preserve"> (2013). Los centros comerciales: el nuevo paradigma de desarrollo y consumo de la sociedad moderna. </w:t>
      </w:r>
      <w:proofErr w:type="spellStart"/>
      <w:r w:rsidRPr="004728D3">
        <w:rPr>
          <w:rFonts w:ascii="Times New Roman" w:eastAsia="Times New Roman" w:hAnsi="Times New Roman" w:cs="Times New Roman"/>
          <w:i/>
          <w:sz w:val="24"/>
          <w:szCs w:val="24"/>
          <w:lang w:val="en-US"/>
        </w:rPr>
        <w:t>Artigos</w:t>
      </w:r>
      <w:proofErr w:type="spellEnd"/>
      <w:r w:rsidRPr="004728D3">
        <w:rPr>
          <w:rFonts w:ascii="Times New Roman" w:eastAsia="Times New Roman" w:hAnsi="Times New Roman" w:cs="Times New Roman"/>
          <w:i/>
          <w:sz w:val="24"/>
          <w:szCs w:val="24"/>
          <w:lang w:val="en-US"/>
        </w:rPr>
        <w:t xml:space="preserve"> e </w:t>
      </w:r>
      <w:proofErr w:type="spellStart"/>
      <w:r w:rsidRPr="004728D3">
        <w:rPr>
          <w:rFonts w:ascii="Times New Roman" w:eastAsia="Times New Roman" w:hAnsi="Times New Roman" w:cs="Times New Roman"/>
          <w:i/>
          <w:sz w:val="24"/>
          <w:szCs w:val="24"/>
          <w:lang w:val="en-US"/>
        </w:rPr>
        <w:t>ensaios</w:t>
      </w:r>
      <w:proofErr w:type="spellEnd"/>
      <w:r w:rsidRPr="004728D3">
        <w:rPr>
          <w:rFonts w:ascii="Times New Roman" w:eastAsia="Times New Roman" w:hAnsi="Times New Roman" w:cs="Times New Roman"/>
          <w:i/>
          <w:sz w:val="24"/>
          <w:szCs w:val="24"/>
          <w:lang w:val="en-US"/>
        </w:rPr>
        <w:t xml:space="preserve">. </w:t>
      </w:r>
      <w:r w:rsidRPr="004728D3">
        <w:rPr>
          <w:rFonts w:ascii="Times New Roman" w:eastAsia="Times New Roman" w:hAnsi="Times New Roman" w:cs="Times New Roman"/>
          <w:sz w:val="24"/>
          <w:szCs w:val="24"/>
          <w:lang w:val="en-US"/>
        </w:rPr>
        <w:t>17, p. 36-47</w:t>
      </w:r>
    </w:p>
    <w:p w14:paraId="1D692EBE" w14:textId="77777777" w:rsidR="007B3461" w:rsidRPr="007B3461" w:rsidRDefault="007B3461" w:rsidP="007B3461">
      <w:pPr>
        <w:spacing w:line="240" w:lineRule="auto"/>
        <w:ind w:left="720" w:hanging="720"/>
        <w:jc w:val="both"/>
        <w:rPr>
          <w:rFonts w:ascii="Times New Roman" w:hAnsi="Times New Roman" w:cs="Times New Roman"/>
          <w:sz w:val="24"/>
          <w:szCs w:val="24"/>
          <w:shd w:val="clear" w:color="auto" w:fill="FFFFFF"/>
        </w:rPr>
      </w:pPr>
      <w:proofErr w:type="spellStart"/>
      <w:r w:rsidRPr="007B3461">
        <w:rPr>
          <w:rFonts w:ascii="Times New Roman" w:hAnsi="Times New Roman" w:cs="Times New Roman"/>
          <w:sz w:val="24"/>
          <w:szCs w:val="24"/>
          <w:shd w:val="clear" w:color="auto" w:fill="FFFFFF"/>
          <w:lang w:val="en-US"/>
        </w:rPr>
        <w:t>Jovchelovitch</w:t>
      </w:r>
      <w:proofErr w:type="spellEnd"/>
      <w:r w:rsidRPr="007B3461">
        <w:rPr>
          <w:rFonts w:ascii="Times New Roman" w:hAnsi="Times New Roman" w:cs="Times New Roman"/>
          <w:sz w:val="24"/>
          <w:szCs w:val="24"/>
          <w:shd w:val="clear" w:color="auto" w:fill="FFFFFF"/>
          <w:lang w:val="en-US"/>
        </w:rPr>
        <w:t>, S. (2007). </w:t>
      </w:r>
      <w:r w:rsidRPr="007B3461">
        <w:rPr>
          <w:rFonts w:ascii="Times New Roman" w:hAnsi="Times New Roman" w:cs="Times New Roman"/>
          <w:i/>
          <w:iCs/>
          <w:sz w:val="24"/>
          <w:szCs w:val="24"/>
          <w:shd w:val="clear" w:color="auto" w:fill="FFFFFF"/>
          <w:lang w:val="en-US"/>
        </w:rPr>
        <w:t>Knowledge in Context: representations, community and culture. </w:t>
      </w:r>
      <w:r w:rsidRPr="007B3461">
        <w:rPr>
          <w:rFonts w:ascii="Times New Roman" w:hAnsi="Times New Roman" w:cs="Times New Roman"/>
          <w:sz w:val="24"/>
          <w:szCs w:val="24"/>
          <w:shd w:val="clear" w:color="auto" w:fill="FFFFFF"/>
        </w:rPr>
        <w:t xml:space="preserve">Londres: </w:t>
      </w:r>
      <w:proofErr w:type="spellStart"/>
      <w:r w:rsidRPr="007B3461">
        <w:rPr>
          <w:rFonts w:ascii="Times New Roman" w:hAnsi="Times New Roman" w:cs="Times New Roman"/>
          <w:sz w:val="24"/>
          <w:szCs w:val="24"/>
          <w:shd w:val="clear" w:color="auto" w:fill="FFFFFF"/>
        </w:rPr>
        <w:t>Routledge</w:t>
      </w:r>
      <w:proofErr w:type="spellEnd"/>
    </w:p>
    <w:p w14:paraId="6732EE30" w14:textId="74FA0E92" w:rsidR="007B3461" w:rsidRPr="007B3461" w:rsidRDefault="007B3461" w:rsidP="007B3461">
      <w:pPr>
        <w:spacing w:line="240" w:lineRule="auto"/>
        <w:ind w:left="720" w:hanging="720"/>
        <w:jc w:val="both"/>
        <w:rPr>
          <w:rFonts w:ascii="Times New Roman" w:eastAsia="Times New Roman" w:hAnsi="Times New Roman" w:cs="Times New Roman"/>
          <w:i/>
          <w:sz w:val="24"/>
          <w:szCs w:val="24"/>
        </w:rPr>
      </w:pPr>
      <w:r w:rsidRPr="007B3461">
        <w:rPr>
          <w:rFonts w:ascii="Times New Roman" w:eastAsia="Times New Roman" w:hAnsi="Times New Roman" w:cs="Times New Roman"/>
          <w:sz w:val="24"/>
          <w:szCs w:val="24"/>
        </w:rPr>
        <w:t xml:space="preserve">Linares, J (2014) Análisis de la implementación de centros comerciales  y su relación con el desarrollo urbano a escala zonal en Bogotá: el caso del centro comercial  Centro Mayor (2008- 2013). </w:t>
      </w:r>
      <w:r w:rsidRPr="007B3461">
        <w:rPr>
          <w:rFonts w:ascii="Times New Roman" w:eastAsia="Times New Roman" w:hAnsi="Times New Roman" w:cs="Times New Roman"/>
          <w:i/>
          <w:sz w:val="24"/>
          <w:szCs w:val="24"/>
        </w:rPr>
        <w:t>Tesis de grado.Profesional en gestión y desarrollo Urbano. Universidad del Rosario.</w:t>
      </w:r>
    </w:p>
    <w:p w14:paraId="27E88600" w14:textId="7F9F44BF"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 xml:space="preserve">Lulle, T y  </w:t>
      </w:r>
      <w:proofErr w:type="spellStart"/>
      <w:r w:rsidRPr="007B3461">
        <w:rPr>
          <w:rFonts w:ascii="Times New Roman" w:eastAsia="Times New Roman" w:hAnsi="Times New Roman" w:cs="Times New Roman"/>
          <w:sz w:val="24"/>
          <w:szCs w:val="24"/>
        </w:rPr>
        <w:t>Paquette</w:t>
      </w:r>
      <w:proofErr w:type="spellEnd"/>
      <w:r w:rsidRPr="007B3461">
        <w:rPr>
          <w:rFonts w:ascii="Times New Roman" w:eastAsia="Times New Roman" w:hAnsi="Times New Roman" w:cs="Times New Roman"/>
          <w:sz w:val="24"/>
          <w:szCs w:val="24"/>
        </w:rPr>
        <w:t xml:space="preserve">, C (2007).  Los grandes centros comerciales y la planificación urbana. Un análisis comparativo de dos metrópolis latinoamericanas. </w:t>
      </w:r>
      <w:r w:rsidRPr="007B3461">
        <w:rPr>
          <w:rFonts w:ascii="Times New Roman" w:eastAsia="Times New Roman" w:hAnsi="Times New Roman" w:cs="Times New Roman"/>
          <w:i/>
          <w:sz w:val="24"/>
          <w:szCs w:val="24"/>
        </w:rPr>
        <w:t>Estudios Demográficos y Urbanos</w:t>
      </w:r>
      <w:r w:rsidRPr="007B3461">
        <w:rPr>
          <w:rFonts w:ascii="Times New Roman" w:eastAsia="Times New Roman" w:hAnsi="Times New Roman" w:cs="Times New Roman"/>
          <w:sz w:val="24"/>
          <w:szCs w:val="24"/>
        </w:rPr>
        <w:t xml:space="preserve">. 22 (2), p. 337-361. Recuperado de:  </w:t>
      </w:r>
      <w:hyperlink r:id="rId7">
        <w:r w:rsidRPr="007B3461">
          <w:rPr>
            <w:rFonts w:ascii="Times New Roman" w:eastAsia="Times New Roman" w:hAnsi="Times New Roman" w:cs="Times New Roman"/>
            <w:color w:val="1155CC"/>
            <w:sz w:val="24"/>
            <w:szCs w:val="24"/>
            <w:u w:val="single"/>
          </w:rPr>
          <w:t>http://www.redalyc.org/pdf/312/31222203.pdf</w:t>
        </w:r>
      </w:hyperlink>
    </w:p>
    <w:p w14:paraId="1E696A52" w14:textId="77777777" w:rsidR="007B3461" w:rsidRPr="004728D3" w:rsidRDefault="007B3461" w:rsidP="007B3461">
      <w:pPr>
        <w:spacing w:line="240" w:lineRule="auto"/>
        <w:ind w:left="720" w:hanging="720"/>
        <w:jc w:val="both"/>
        <w:rPr>
          <w:rFonts w:ascii="Times New Roman" w:eastAsia="Times New Roman" w:hAnsi="Times New Roman" w:cs="Times New Roman"/>
          <w:sz w:val="24"/>
          <w:szCs w:val="24"/>
          <w:lang w:val="en-US"/>
        </w:rPr>
      </w:pPr>
      <w:r w:rsidRPr="007B3461">
        <w:rPr>
          <w:rFonts w:ascii="Times New Roman" w:eastAsia="Times New Roman" w:hAnsi="Times New Roman" w:cs="Times New Roman"/>
          <w:sz w:val="24"/>
          <w:szCs w:val="24"/>
        </w:rPr>
        <w:t xml:space="preserve">Medina, F (1998). El centro comercial “una burbuja de cristal”. Estudios sobre las culturas contemporáneas. </w:t>
      </w:r>
      <w:r w:rsidRPr="004728D3">
        <w:rPr>
          <w:rFonts w:ascii="Times New Roman" w:eastAsia="Times New Roman" w:hAnsi="Times New Roman" w:cs="Times New Roman"/>
          <w:sz w:val="24"/>
          <w:szCs w:val="24"/>
          <w:lang w:val="en-US"/>
        </w:rPr>
        <w:t>IV (08), p. 61-91</w:t>
      </w:r>
    </w:p>
    <w:p w14:paraId="7403F6C2" w14:textId="77777777" w:rsidR="007B3461" w:rsidRPr="007B3461" w:rsidRDefault="007B3461" w:rsidP="007B3461">
      <w:pPr>
        <w:spacing w:line="240" w:lineRule="auto"/>
        <w:ind w:left="720" w:hanging="720"/>
        <w:jc w:val="both"/>
        <w:rPr>
          <w:rFonts w:ascii="Times New Roman" w:hAnsi="Times New Roman" w:cs="Times New Roman"/>
          <w:i/>
          <w:sz w:val="24"/>
          <w:szCs w:val="24"/>
          <w:lang w:val="en-US"/>
        </w:rPr>
      </w:pPr>
      <w:r w:rsidRPr="007B3461">
        <w:rPr>
          <w:rFonts w:ascii="Times New Roman" w:hAnsi="Times New Roman" w:cs="Times New Roman"/>
          <w:sz w:val="24"/>
          <w:szCs w:val="24"/>
          <w:lang w:val="en-US"/>
        </w:rPr>
        <w:lastRenderedPageBreak/>
        <w:t xml:space="preserve">Moscovici, S (1976). </w:t>
      </w:r>
      <w:r w:rsidRPr="007B3461">
        <w:rPr>
          <w:rFonts w:ascii="Times New Roman" w:hAnsi="Times New Roman" w:cs="Times New Roman"/>
          <w:i/>
          <w:sz w:val="24"/>
          <w:szCs w:val="24"/>
          <w:lang w:val="en-US"/>
        </w:rPr>
        <w:t>Social influence and social change</w:t>
      </w:r>
      <w:r w:rsidRPr="007B3461">
        <w:rPr>
          <w:rFonts w:ascii="Times New Roman" w:hAnsi="Times New Roman" w:cs="Times New Roman"/>
          <w:sz w:val="24"/>
          <w:szCs w:val="24"/>
          <w:lang w:val="en-US"/>
        </w:rPr>
        <w:t xml:space="preserve">. </w:t>
      </w:r>
      <w:proofErr w:type="spellStart"/>
      <w:r w:rsidRPr="007B3461">
        <w:rPr>
          <w:rFonts w:ascii="Times New Roman" w:hAnsi="Times New Roman" w:cs="Times New Roman"/>
          <w:sz w:val="24"/>
          <w:szCs w:val="24"/>
          <w:lang w:val="en-US"/>
        </w:rPr>
        <w:t>Londres</w:t>
      </w:r>
      <w:proofErr w:type="spellEnd"/>
      <w:r w:rsidRPr="007B3461">
        <w:rPr>
          <w:rFonts w:ascii="Times New Roman" w:hAnsi="Times New Roman" w:cs="Times New Roman"/>
          <w:sz w:val="24"/>
          <w:szCs w:val="24"/>
          <w:lang w:val="en-US"/>
        </w:rPr>
        <w:t xml:space="preserve">: Published in cooperation with </w:t>
      </w:r>
      <w:proofErr w:type="spellStart"/>
      <w:r w:rsidRPr="007B3461">
        <w:rPr>
          <w:rFonts w:ascii="Times New Roman" w:hAnsi="Times New Roman" w:cs="Times New Roman"/>
          <w:sz w:val="24"/>
          <w:szCs w:val="24"/>
          <w:lang w:val="en-US"/>
        </w:rPr>
        <w:t>european</w:t>
      </w:r>
      <w:proofErr w:type="spellEnd"/>
      <w:r w:rsidRPr="007B3461">
        <w:rPr>
          <w:rFonts w:ascii="Times New Roman" w:hAnsi="Times New Roman" w:cs="Times New Roman"/>
          <w:sz w:val="24"/>
          <w:szCs w:val="24"/>
          <w:lang w:val="en-US"/>
        </w:rPr>
        <w:t xml:space="preserve"> association of experimental social psychology by academic press</w:t>
      </w:r>
    </w:p>
    <w:p w14:paraId="571E6AE9"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hAnsi="Times New Roman" w:cs="Times New Roman"/>
          <w:sz w:val="24"/>
          <w:szCs w:val="24"/>
        </w:rPr>
        <w:t xml:space="preserve">Müller, JM (1998), “Grandes centros comerciales y recreacionales en Santa Fe de Bogotá: origen, características y tendencias de desarrollo”. </w:t>
      </w:r>
      <w:r w:rsidRPr="007B3461">
        <w:rPr>
          <w:rFonts w:ascii="Times New Roman" w:hAnsi="Times New Roman" w:cs="Times New Roman"/>
          <w:i/>
          <w:sz w:val="24"/>
          <w:szCs w:val="24"/>
        </w:rPr>
        <w:t>Perspectiva Geográfica</w:t>
      </w:r>
      <w:r w:rsidRPr="007B3461">
        <w:rPr>
          <w:rFonts w:ascii="Times New Roman" w:hAnsi="Times New Roman" w:cs="Times New Roman"/>
          <w:sz w:val="24"/>
          <w:szCs w:val="24"/>
        </w:rPr>
        <w:t>. (3), p 48-87.</w:t>
      </w:r>
    </w:p>
    <w:p w14:paraId="44F83EFE" w14:textId="1CCB4F7B"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Munuera</w:t>
      </w:r>
      <w:proofErr w:type="spellEnd"/>
      <w:r w:rsidRPr="007B3461">
        <w:rPr>
          <w:rFonts w:ascii="Times New Roman" w:eastAsia="Times New Roman" w:hAnsi="Times New Roman" w:cs="Times New Roman"/>
          <w:sz w:val="24"/>
          <w:szCs w:val="24"/>
        </w:rPr>
        <w:t xml:space="preserve">, J.L. y Cuestas, P.J. (2006). Factores de atracción de los centros comerciales en España. </w:t>
      </w:r>
      <w:r w:rsidRPr="007B3461">
        <w:rPr>
          <w:rFonts w:ascii="Times New Roman" w:eastAsia="Times New Roman" w:hAnsi="Times New Roman" w:cs="Times New Roman"/>
          <w:i/>
          <w:sz w:val="24"/>
          <w:szCs w:val="24"/>
        </w:rPr>
        <w:t>Información Comercial Española</w:t>
      </w:r>
      <w:r w:rsidRPr="007B3461">
        <w:rPr>
          <w:rFonts w:ascii="Times New Roman" w:eastAsia="Times New Roman" w:hAnsi="Times New Roman" w:cs="Times New Roman"/>
          <w:sz w:val="24"/>
          <w:szCs w:val="24"/>
        </w:rPr>
        <w:t>, 828, p. 99-116.</w:t>
      </w:r>
    </w:p>
    <w:p w14:paraId="029561A8"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Napadensky</w:t>
      </w:r>
      <w:proofErr w:type="spellEnd"/>
      <w:r w:rsidRPr="007B3461">
        <w:rPr>
          <w:rFonts w:ascii="Times New Roman" w:eastAsia="Times New Roman" w:hAnsi="Times New Roman" w:cs="Times New Roman"/>
          <w:sz w:val="24"/>
          <w:szCs w:val="24"/>
        </w:rPr>
        <w:t xml:space="preserve">, A &amp; Rivera, F (2012). Espacios genéricos y apropiaciones sociales en centros comerciales. </w:t>
      </w:r>
      <w:r w:rsidRPr="007B3461">
        <w:rPr>
          <w:rFonts w:ascii="Times New Roman" w:eastAsia="Times New Roman" w:hAnsi="Times New Roman" w:cs="Times New Roman"/>
          <w:i/>
          <w:sz w:val="24"/>
          <w:szCs w:val="24"/>
        </w:rPr>
        <w:t xml:space="preserve">Revista Urbano. </w:t>
      </w:r>
      <w:r w:rsidRPr="007B3461">
        <w:rPr>
          <w:rFonts w:ascii="Times New Roman" w:eastAsia="Times New Roman" w:hAnsi="Times New Roman" w:cs="Times New Roman"/>
          <w:sz w:val="24"/>
          <w:szCs w:val="24"/>
        </w:rPr>
        <w:t xml:space="preserve">31, p. 32-51 </w:t>
      </w:r>
    </w:p>
    <w:p w14:paraId="447C27BF"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 xml:space="preserve">Pacheco, J  y </w:t>
      </w:r>
      <w:proofErr w:type="spellStart"/>
      <w:r w:rsidRPr="007B3461">
        <w:rPr>
          <w:rFonts w:ascii="Times New Roman" w:eastAsia="Times New Roman" w:hAnsi="Times New Roman" w:cs="Times New Roman"/>
          <w:sz w:val="24"/>
          <w:szCs w:val="24"/>
        </w:rPr>
        <w:t>Hewitt</w:t>
      </w:r>
      <w:proofErr w:type="spellEnd"/>
      <w:r w:rsidRPr="007B3461">
        <w:rPr>
          <w:rFonts w:ascii="Times New Roman" w:eastAsia="Times New Roman" w:hAnsi="Times New Roman" w:cs="Times New Roman"/>
          <w:sz w:val="24"/>
          <w:szCs w:val="24"/>
        </w:rPr>
        <w:t xml:space="preserve">, R (2010). El territorio como bien de consumo. segundo bloque: ciudad y territorio, p. 234-249.  Recuperado de: </w:t>
      </w:r>
      <w:hyperlink r:id="rId8" w:history="1">
        <w:r w:rsidRPr="007B3461">
          <w:rPr>
            <w:rStyle w:val="Hipervnculo"/>
            <w:rFonts w:ascii="Times New Roman" w:eastAsia="Times New Roman" w:hAnsi="Times New Roman" w:cs="Times New Roman"/>
            <w:sz w:val="24"/>
            <w:szCs w:val="24"/>
          </w:rPr>
          <w:t>file:///E:/Downloads/Dialnet-ElTerritorioComoBienDeConsumo-3262733.pdf</w:t>
        </w:r>
      </w:hyperlink>
    </w:p>
    <w:p w14:paraId="2AC09B75" w14:textId="68474FA7" w:rsidR="007B3461" w:rsidRPr="007B3461" w:rsidRDefault="007B3461" w:rsidP="007B3461">
      <w:pPr>
        <w:spacing w:line="240" w:lineRule="auto"/>
        <w:ind w:left="720" w:hanging="720"/>
        <w:jc w:val="both"/>
        <w:rPr>
          <w:rFonts w:ascii="Times New Roman" w:hAnsi="Times New Roman" w:cs="Times New Roman"/>
          <w:color w:val="111111"/>
          <w:sz w:val="24"/>
          <w:szCs w:val="24"/>
          <w:shd w:val="clear" w:color="auto" w:fill="FBFBF3"/>
        </w:rPr>
      </w:pPr>
      <w:proofErr w:type="spellStart"/>
      <w:r w:rsidRPr="007B3461">
        <w:rPr>
          <w:rFonts w:ascii="Times New Roman" w:eastAsia="Times New Roman" w:hAnsi="Times New Roman" w:cs="Times New Roman"/>
          <w:sz w:val="24"/>
          <w:szCs w:val="24"/>
        </w:rPr>
        <w:t>Pancorbo</w:t>
      </w:r>
      <w:proofErr w:type="spellEnd"/>
      <w:r w:rsidRPr="007B3461">
        <w:rPr>
          <w:rFonts w:ascii="Times New Roman" w:eastAsia="Times New Roman" w:hAnsi="Times New Roman" w:cs="Times New Roman"/>
          <w:sz w:val="24"/>
          <w:szCs w:val="24"/>
        </w:rPr>
        <w:t xml:space="preserve">, S; Benavides, L &amp; De </w:t>
      </w:r>
      <w:r w:rsidR="003E6068" w:rsidRPr="007B3461">
        <w:rPr>
          <w:rFonts w:ascii="Times New Roman" w:eastAsia="Times New Roman" w:hAnsi="Times New Roman" w:cs="Times New Roman"/>
          <w:sz w:val="24"/>
          <w:szCs w:val="24"/>
        </w:rPr>
        <w:t>León, (</w:t>
      </w:r>
      <w:r w:rsidRPr="007B3461">
        <w:rPr>
          <w:rFonts w:ascii="Times New Roman" w:eastAsia="Times New Roman" w:hAnsi="Times New Roman" w:cs="Times New Roman"/>
          <w:sz w:val="24"/>
          <w:szCs w:val="24"/>
        </w:rPr>
        <w:t xml:space="preserve">2011). </w:t>
      </w:r>
      <w:r w:rsidRPr="007B3461">
        <w:rPr>
          <w:rFonts w:ascii="Times New Roman" w:hAnsi="Times New Roman" w:cs="Times New Roman"/>
          <w:color w:val="111111"/>
          <w:sz w:val="24"/>
          <w:szCs w:val="24"/>
          <w:shd w:val="clear" w:color="auto" w:fill="FBFBF3"/>
        </w:rPr>
        <w:t xml:space="preserve">Centro comercial abierto, una estrategia para la revitalización del Centro Histórico Urbano de Matanzas. Arquitectura y </w:t>
      </w:r>
      <w:r w:rsidRPr="007B3461">
        <w:rPr>
          <w:rFonts w:ascii="Times New Roman" w:hAnsi="Times New Roman" w:cs="Times New Roman"/>
          <w:i/>
          <w:color w:val="111111"/>
          <w:sz w:val="24"/>
          <w:szCs w:val="24"/>
          <w:shd w:val="clear" w:color="auto" w:fill="FBFBF3"/>
        </w:rPr>
        <w:t>Urbanismo</w:t>
      </w:r>
      <w:r w:rsidRPr="007B3461">
        <w:rPr>
          <w:rFonts w:ascii="Times New Roman" w:hAnsi="Times New Roman" w:cs="Times New Roman"/>
          <w:color w:val="111111"/>
          <w:sz w:val="24"/>
          <w:szCs w:val="24"/>
          <w:shd w:val="clear" w:color="auto" w:fill="FBFBF3"/>
        </w:rPr>
        <w:t>. 32 (1), p. 46-49</w:t>
      </w:r>
    </w:p>
    <w:p w14:paraId="5C72DB84" w14:textId="77777777" w:rsidR="007B3461" w:rsidRPr="007B3461" w:rsidRDefault="007B3461" w:rsidP="007B3461">
      <w:pPr>
        <w:spacing w:line="240" w:lineRule="auto"/>
        <w:ind w:left="720" w:hanging="720"/>
        <w:jc w:val="both"/>
        <w:rPr>
          <w:rFonts w:ascii="Times New Roman" w:eastAsia="Times New Roman" w:hAnsi="Times New Roman" w:cs="Times New Roman"/>
          <w:i/>
          <w:sz w:val="24"/>
          <w:szCs w:val="24"/>
        </w:rPr>
      </w:pPr>
      <w:r w:rsidRPr="007B3461">
        <w:rPr>
          <w:rFonts w:ascii="Times New Roman" w:eastAsia="Times New Roman" w:hAnsi="Times New Roman" w:cs="Times New Roman"/>
          <w:sz w:val="24"/>
          <w:szCs w:val="24"/>
        </w:rPr>
        <w:t xml:space="preserve">Páramo, H (2013). Imagen de los centros comerciales: su análisis urbano y económico. </w:t>
      </w:r>
      <w:r w:rsidRPr="007B3461">
        <w:rPr>
          <w:rFonts w:ascii="Times New Roman" w:eastAsia="Times New Roman" w:hAnsi="Times New Roman" w:cs="Times New Roman"/>
          <w:i/>
          <w:sz w:val="24"/>
          <w:szCs w:val="24"/>
        </w:rPr>
        <w:t>Urbano</w:t>
      </w:r>
      <w:r w:rsidRPr="007B3461">
        <w:rPr>
          <w:rFonts w:ascii="Times New Roman" w:eastAsia="Times New Roman" w:hAnsi="Times New Roman" w:cs="Times New Roman"/>
          <w:sz w:val="24"/>
          <w:szCs w:val="24"/>
        </w:rPr>
        <w:t>. 16 (28), p. 68-74</w:t>
      </w:r>
      <w:r w:rsidRPr="007B3461">
        <w:rPr>
          <w:rFonts w:ascii="Times New Roman" w:eastAsia="Times New Roman" w:hAnsi="Times New Roman" w:cs="Times New Roman"/>
          <w:i/>
          <w:sz w:val="24"/>
          <w:szCs w:val="24"/>
        </w:rPr>
        <w:t xml:space="preserve"> </w:t>
      </w:r>
    </w:p>
    <w:p w14:paraId="164CBBF6" w14:textId="6B4B38A0" w:rsidR="007B3461" w:rsidRPr="007B3461" w:rsidRDefault="007B3461" w:rsidP="007B3461">
      <w:pPr>
        <w:spacing w:line="240" w:lineRule="auto"/>
        <w:ind w:left="720" w:hanging="720"/>
        <w:jc w:val="both"/>
        <w:rPr>
          <w:rFonts w:ascii="Times New Roman" w:hAnsi="Times New Roman" w:cs="Times New Roman"/>
          <w:sz w:val="24"/>
          <w:szCs w:val="24"/>
        </w:rPr>
      </w:pPr>
      <w:r w:rsidRPr="007B3461">
        <w:rPr>
          <w:rFonts w:ascii="Times New Roman" w:eastAsia="Times New Roman" w:hAnsi="Times New Roman" w:cs="Times New Roman"/>
          <w:sz w:val="24"/>
          <w:szCs w:val="24"/>
        </w:rPr>
        <w:t>Ramírez</w:t>
      </w:r>
      <w:r w:rsidR="000F4C34">
        <w:rPr>
          <w:rFonts w:ascii="Times New Roman" w:eastAsia="Times New Roman" w:hAnsi="Times New Roman" w:cs="Times New Roman"/>
          <w:sz w:val="24"/>
          <w:szCs w:val="24"/>
        </w:rPr>
        <w:t>, K</w:t>
      </w:r>
      <w:r w:rsidRPr="007B3461">
        <w:rPr>
          <w:rFonts w:ascii="Times New Roman" w:eastAsia="Times New Roman" w:hAnsi="Times New Roman" w:cs="Times New Roman"/>
          <w:sz w:val="24"/>
          <w:szCs w:val="24"/>
        </w:rPr>
        <w:t xml:space="preserve"> (1998). </w:t>
      </w:r>
      <w:r w:rsidRPr="007B3461">
        <w:rPr>
          <w:rFonts w:ascii="Times New Roman" w:hAnsi="Times New Roman" w:cs="Times New Roman"/>
          <w:sz w:val="24"/>
          <w:szCs w:val="24"/>
        </w:rPr>
        <w:t xml:space="preserve">La ciudad, espacio de construcción de ciudadanía. </w:t>
      </w:r>
      <w:r w:rsidRPr="007B3461">
        <w:rPr>
          <w:rFonts w:ascii="Times New Roman" w:hAnsi="Times New Roman" w:cs="Times New Roman"/>
          <w:i/>
          <w:sz w:val="24"/>
          <w:szCs w:val="24"/>
        </w:rPr>
        <w:t>Revista Enfoques: Ciencia Política y Administración Pública</w:t>
      </w:r>
      <w:r w:rsidRPr="007B3461">
        <w:rPr>
          <w:rFonts w:ascii="Times New Roman" w:hAnsi="Times New Roman" w:cs="Times New Roman"/>
          <w:sz w:val="24"/>
          <w:szCs w:val="24"/>
        </w:rPr>
        <w:t>. (7), p. 85-107</w:t>
      </w:r>
    </w:p>
    <w:p w14:paraId="18D39281" w14:textId="2CD9C8D9" w:rsidR="007B3461" w:rsidRPr="004728D3" w:rsidRDefault="00913687" w:rsidP="007B3461">
      <w:pPr>
        <w:spacing w:line="240" w:lineRule="auto"/>
        <w:ind w:left="72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Sabatinni</w:t>
      </w:r>
      <w:proofErr w:type="spellEnd"/>
      <w:r>
        <w:rPr>
          <w:rFonts w:ascii="Times New Roman" w:eastAsia="Times New Roman" w:hAnsi="Times New Roman" w:cs="Times New Roman"/>
          <w:sz w:val="24"/>
          <w:szCs w:val="24"/>
        </w:rPr>
        <w:t>, F</w:t>
      </w:r>
      <w:r w:rsidR="007B3461" w:rsidRPr="007B3461">
        <w:rPr>
          <w:rFonts w:ascii="Times New Roman" w:eastAsia="Times New Roman" w:hAnsi="Times New Roman" w:cs="Times New Roman"/>
          <w:sz w:val="24"/>
          <w:szCs w:val="24"/>
        </w:rPr>
        <w:t xml:space="preserve">. (2003) La segregación social del espacio en las ciudades de América Latina. </w:t>
      </w:r>
      <w:r w:rsidR="003E6068" w:rsidRPr="004728D3">
        <w:rPr>
          <w:rFonts w:ascii="Times New Roman" w:eastAsia="Times New Roman" w:hAnsi="Times New Roman" w:cs="Times New Roman"/>
          <w:i/>
          <w:sz w:val="24"/>
          <w:szCs w:val="24"/>
        </w:rPr>
        <w:t>Banco Interamericano de D</w:t>
      </w:r>
      <w:r w:rsidR="007B3461" w:rsidRPr="004728D3">
        <w:rPr>
          <w:rFonts w:ascii="Times New Roman" w:eastAsia="Times New Roman" w:hAnsi="Times New Roman" w:cs="Times New Roman"/>
          <w:i/>
          <w:sz w:val="24"/>
          <w:szCs w:val="24"/>
        </w:rPr>
        <w:t>esarrollo</w:t>
      </w:r>
      <w:r w:rsidR="003E6068" w:rsidRPr="004728D3">
        <w:rPr>
          <w:rFonts w:ascii="Times New Roman" w:eastAsia="Times New Roman" w:hAnsi="Times New Roman" w:cs="Times New Roman"/>
          <w:i/>
          <w:sz w:val="24"/>
          <w:szCs w:val="24"/>
        </w:rPr>
        <w:t xml:space="preserve">, </w:t>
      </w:r>
      <w:r w:rsidR="003E6068" w:rsidRPr="004728D3">
        <w:rPr>
          <w:rFonts w:ascii="Times New Roman" w:eastAsia="Times New Roman" w:hAnsi="Times New Roman" w:cs="Times New Roman"/>
          <w:sz w:val="24"/>
          <w:szCs w:val="24"/>
        </w:rPr>
        <w:t>p. 23-35</w:t>
      </w:r>
    </w:p>
    <w:p w14:paraId="07A812F1"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Sarlo</w:t>
      </w:r>
      <w:proofErr w:type="spellEnd"/>
      <w:r w:rsidRPr="007B3461">
        <w:rPr>
          <w:rFonts w:ascii="Times New Roman" w:eastAsia="Times New Roman" w:hAnsi="Times New Roman" w:cs="Times New Roman"/>
          <w:sz w:val="24"/>
          <w:szCs w:val="24"/>
        </w:rPr>
        <w:t xml:space="preserve">, B (2009). </w:t>
      </w:r>
      <w:r w:rsidRPr="007B3461">
        <w:rPr>
          <w:rFonts w:ascii="Times New Roman" w:eastAsia="Times New Roman" w:hAnsi="Times New Roman" w:cs="Times New Roman"/>
          <w:i/>
          <w:sz w:val="24"/>
          <w:szCs w:val="24"/>
        </w:rPr>
        <w:t>La ciudad vista. Mercancías y cultura urbana</w:t>
      </w:r>
      <w:r w:rsidRPr="007B3461">
        <w:rPr>
          <w:rFonts w:ascii="Times New Roman" w:eastAsia="Times New Roman" w:hAnsi="Times New Roman" w:cs="Times New Roman"/>
          <w:sz w:val="24"/>
          <w:szCs w:val="24"/>
        </w:rPr>
        <w:t>.  Argentina: Siglo XII Editores</w:t>
      </w:r>
    </w:p>
    <w:p w14:paraId="55EB643E" w14:textId="0C4C609F"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lang w:val="en-US"/>
        </w:rPr>
        <w:t xml:space="preserve">Stuart Hall (1997). </w:t>
      </w:r>
      <w:r w:rsidRPr="007B3461">
        <w:rPr>
          <w:rFonts w:ascii="Times New Roman" w:eastAsia="Times New Roman" w:hAnsi="Times New Roman" w:cs="Times New Roman"/>
          <w:i/>
          <w:sz w:val="24"/>
          <w:szCs w:val="24"/>
          <w:lang w:val="en-US"/>
        </w:rPr>
        <w:t>Representation: Cultural Representations and Signifying Practices</w:t>
      </w:r>
      <w:r w:rsidRPr="007B3461">
        <w:rPr>
          <w:rFonts w:ascii="Times New Roman" w:eastAsia="Times New Roman" w:hAnsi="Times New Roman" w:cs="Times New Roman"/>
          <w:sz w:val="24"/>
          <w:szCs w:val="24"/>
          <w:lang w:val="en-US"/>
        </w:rPr>
        <w:t xml:space="preserve">. </w:t>
      </w:r>
      <w:r w:rsidRPr="004728D3">
        <w:rPr>
          <w:rFonts w:ascii="Times New Roman" w:eastAsia="Times New Roman" w:hAnsi="Times New Roman" w:cs="Times New Roman"/>
          <w:sz w:val="24"/>
          <w:szCs w:val="24"/>
        </w:rPr>
        <w:t xml:space="preserve">London: </w:t>
      </w:r>
      <w:proofErr w:type="spellStart"/>
      <w:r w:rsidRPr="004728D3">
        <w:rPr>
          <w:rFonts w:ascii="Times New Roman" w:eastAsia="Times New Roman" w:hAnsi="Times New Roman" w:cs="Times New Roman"/>
          <w:sz w:val="24"/>
          <w:szCs w:val="24"/>
        </w:rPr>
        <w:t>Sage</w:t>
      </w:r>
      <w:proofErr w:type="spellEnd"/>
      <w:r w:rsidRPr="004728D3">
        <w:rPr>
          <w:rFonts w:ascii="Times New Roman" w:eastAsia="Times New Roman" w:hAnsi="Times New Roman" w:cs="Times New Roman"/>
          <w:sz w:val="24"/>
          <w:szCs w:val="24"/>
        </w:rPr>
        <w:t xml:space="preserve"> </w:t>
      </w:r>
      <w:proofErr w:type="spellStart"/>
      <w:r w:rsidRPr="004728D3">
        <w:rPr>
          <w:rFonts w:ascii="Times New Roman" w:eastAsia="Times New Roman" w:hAnsi="Times New Roman" w:cs="Times New Roman"/>
          <w:sz w:val="24"/>
          <w:szCs w:val="24"/>
        </w:rPr>
        <w:t>Publications</w:t>
      </w:r>
      <w:proofErr w:type="spellEnd"/>
    </w:p>
    <w:p w14:paraId="42717D4F" w14:textId="77777777"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r w:rsidRPr="007B3461">
        <w:rPr>
          <w:rFonts w:ascii="Times New Roman" w:eastAsia="Times New Roman" w:hAnsi="Times New Roman" w:cs="Times New Roman"/>
          <w:sz w:val="24"/>
          <w:szCs w:val="24"/>
        </w:rPr>
        <w:t xml:space="preserve">Uña, J. (2004). Diccionario de sociología (Págs. 1517-1518). Madrid: Universidad Rey Juan Carlos </w:t>
      </w:r>
    </w:p>
    <w:p w14:paraId="16E110ED" w14:textId="293EB62B" w:rsidR="007B3461" w:rsidRPr="007B3461" w:rsidRDefault="007B3461" w:rsidP="007B3461">
      <w:pPr>
        <w:spacing w:line="240" w:lineRule="auto"/>
        <w:ind w:left="720" w:hanging="720"/>
        <w:jc w:val="both"/>
        <w:rPr>
          <w:rFonts w:ascii="Times New Roman" w:eastAsia="Times New Roman" w:hAnsi="Times New Roman" w:cs="Times New Roman"/>
          <w:sz w:val="24"/>
          <w:szCs w:val="24"/>
        </w:rPr>
      </w:pPr>
      <w:proofErr w:type="spellStart"/>
      <w:r w:rsidRPr="007B3461">
        <w:rPr>
          <w:rFonts w:ascii="Times New Roman" w:eastAsia="Times New Roman" w:hAnsi="Times New Roman" w:cs="Times New Roman"/>
          <w:sz w:val="24"/>
          <w:szCs w:val="24"/>
        </w:rPr>
        <w:t>Wirth</w:t>
      </w:r>
      <w:proofErr w:type="spellEnd"/>
      <w:r w:rsidRPr="007B3461">
        <w:rPr>
          <w:rFonts w:ascii="Times New Roman" w:eastAsia="Times New Roman" w:hAnsi="Times New Roman" w:cs="Times New Roman"/>
          <w:sz w:val="24"/>
          <w:szCs w:val="24"/>
        </w:rPr>
        <w:t xml:space="preserve">, L. (1938). El urbanismo como modo de </w:t>
      </w:r>
      <w:proofErr w:type="gramStart"/>
      <w:r w:rsidRPr="007B3461">
        <w:rPr>
          <w:rFonts w:ascii="Times New Roman" w:eastAsia="Times New Roman" w:hAnsi="Times New Roman" w:cs="Times New Roman"/>
          <w:sz w:val="24"/>
          <w:szCs w:val="24"/>
        </w:rPr>
        <w:t>vida .</w:t>
      </w:r>
      <w:proofErr w:type="gramEnd"/>
      <w:r w:rsidRPr="007B3461">
        <w:rPr>
          <w:rFonts w:ascii="Times New Roman" w:eastAsia="Times New Roman" w:hAnsi="Times New Roman" w:cs="Times New Roman"/>
          <w:sz w:val="24"/>
          <w:szCs w:val="24"/>
        </w:rPr>
        <w:t xml:space="preserve"> </w:t>
      </w:r>
      <w:r w:rsidRPr="007B3461">
        <w:rPr>
          <w:rFonts w:ascii="Times New Roman" w:eastAsia="Times New Roman" w:hAnsi="Times New Roman" w:cs="Times New Roman"/>
          <w:i/>
          <w:sz w:val="24"/>
          <w:szCs w:val="24"/>
        </w:rPr>
        <w:t xml:space="preserve">Colección </w:t>
      </w:r>
      <w:proofErr w:type="gramStart"/>
      <w:r w:rsidRPr="007B3461">
        <w:rPr>
          <w:rFonts w:ascii="Times New Roman" w:eastAsia="Times New Roman" w:hAnsi="Times New Roman" w:cs="Times New Roman"/>
          <w:i/>
          <w:sz w:val="24"/>
          <w:szCs w:val="24"/>
        </w:rPr>
        <w:t>reserva</w:t>
      </w:r>
      <w:r w:rsidRPr="007B3461">
        <w:rPr>
          <w:rFonts w:ascii="Times New Roman" w:eastAsia="Times New Roman" w:hAnsi="Times New Roman" w:cs="Times New Roman"/>
          <w:sz w:val="24"/>
          <w:szCs w:val="24"/>
        </w:rPr>
        <w:t xml:space="preserve"> ,</w:t>
      </w:r>
      <w:proofErr w:type="gramEnd"/>
      <w:r w:rsidRPr="007B3461">
        <w:rPr>
          <w:rFonts w:ascii="Times New Roman" w:eastAsia="Times New Roman" w:hAnsi="Times New Roman" w:cs="Times New Roman"/>
          <w:sz w:val="24"/>
          <w:szCs w:val="24"/>
        </w:rPr>
        <w:t xml:space="preserve"> p. 1-14.</w:t>
      </w:r>
    </w:p>
    <w:p w14:paraId="0D1A9016" w14:textId="77777777" w:rsidR="007B3461" w:rsidRDefault="007B3461" w:rsidP="007B3461">
      <w:pPr>
        <w:spacing w:line="240" w:lineRule="auto"/>
        <w:ind w:left="720" w:hanging="720"/>
        <w:jc w:val="both"/>
        <w:rPr>
          <w:rFonts w:ascii="Times New Roman" w:eastAsia="Times New Roman" w:hAnsi="Times New Roman" w:cs="Times New Roman"/>
          <w:sz w:val="24"/>
          <w:szCs w:val="24"/>
        </w:rPr>
      </w:pPr>
    </w:p>
    <w:p w14:paraId="0636662F" w14:textId="77777777" w:rsidR="00FA7B93" w:rsidRDefault="00FA7B93" w:rsidP="007B3461">
      <w:pPr>
        <w:spacing w:line="240" w:lineRule="auto"/>
        <w:ind w:left="720" w:hanging="720"/>
        <w:jc w:val="both"/>
        <w:rPr>
          <w:rFonts w:ascii="Times New Roman" w:eastAsia="Times New Roman" w:hAnsi="Times New Roman" w:cs="Times New Roman"/>
          <w:sz w:val="24"/>
          <w:szCs w:val="24"/>
        </w:rPr>
      </w:pPr>
    </w:p>
    <w:p w14:paraId="6FFAC175" w14:textId="77777777" w:rsidR="00FA7B93" w:rsidRDefault="00FA7B93" w:rsidP="007B3461">
      <w:pPr>
        <w:spacing w:line="240" w:lineRule="auto"/>
        <w:ind w:left="720" w:hanging="720"/>
        <w:jc w:val="both"/>
        <w:rPr>
          <w:rFonts w:ascii="Times New Roman" w:eastAsia="Times New Roman" w:hAnsi="Times New Roman" w:cs="Times New Roman"/>
          <w:sz w:val="24"/>
          <w:szCs w:val="24"/>
        </w:rPr>
      </w:pPr>
    </w:p>
    <w:p w14:paraId="01DCA20A" w14:textId="77777777" w:rsidR="00FA7B93" w:rsidRPr="007B3461" w:rsidRDefault="00FA7B93" w:rsidP="007B3461">
      <w:pPr>
        <w:spacing w:line="240" w:lineRule="auto"/>
        <w:ind w:left="720" w:hanging="720"/>
        <w:jc w:val="both"/>
        <w:rPr>
          <w:rFonts w:ascii="Times New Roman" w:eastAsia="Times New Roman" w:hAnsi="Times New Roman" w:cs="Times New Roman"/>
          <w:sz w:val="24"/>
          <w:szCs w:val="24"/>
        </w:rPr>
      </w:pPr>
    </w:p>
    <w:p w14:paraId="5950D6CB" w14:textId="2251D2E8" w:rsidR="003A6D9D" w:rsidRDefault="008974C2">
      <w:pPr>
        <w:jc w:val="both"/>
        <w:rPr>
          <w:rFonts w:ascii="Times New Roman" w:eastAsia="Times New Roman" w:hAnsi="Times New Roman" w:cs="Times New Roman"/>
          <w:sz w:val="24"/>
          <w:szCs w:val="24"/>
        </w:rPr>
      </w:pPr>
      <w:bookmarkStart w:id="1" w:name="_gjdgxs" w:colFirst="0" w:colLast="0"/>
      <w:bookmarkEnd w:id="1"/>
      <w:r>
        <w:rPr>
          <w:rFonts w:ascii="Times New Roman" w:eastAsia="Times New Roman" w:hAnsi="Times New Roman" w:cs="Times New Roman"/>
          <w:b/>
          <w:sz w:val="24"/>
          <w:szCs w:val="24"/>
        </w:rPr>
        <w:lastRenderedPageBreak/>
        <w:t xml:space="preserve">Posibles evaluadores </w:t>
      </w:r>
    </w:p>
    <w:p w14:paraId="0D4D1FE9" w14:textId="77777777" w:rsidR="004E045B" w:rsidRPr="004E045B" w:rsidRDefault="004E045B" w:rsidP="004E045B">
      <w:pPr>
        <w:pBdr>
          <w:top w:val="none" w:sz="0" w:space="0" w:color="auto"/>
          <w:left w:val="none" w:sz="0" w:space="0" w:color="auto"/>
          <w:bottom w:val="none" w:sz="0" w:space="0" w:color="auto"/>
          <w:right w:val="none" w:sz="0" w:space="0" w:color="auto"/>
          <w:between w:val="none" w:sz="0" w:space="0" w:color="auto"/>
        </w:pBdr>
        <w:spacing w:line="240" w:lineRule="auto"/>
        <w:jc w:val="both"/>
        <w:rPr>
          <w:rFonts w:ascii="Times New Roman" w:hAnsi="Times New Roman" w:cs="Times New Roman"/>
          <w:color w:val="auto"/>
          <w:sz w:val="24"/>
          <w:szCs w:val="24"/>
        </w:rPr>
      </w:pPr>
      <w:r w:rsidRPr="004E045B">
        <w:rPr>
          <w:rFonts w:ascii="Times New Roman" w:hAnsi="Times New Roman" w:cs="Times New Roman"/>
          <w:sz w:val="24"/>
          <w:szCs w:val="24"/>
        </w:rPr>
        <w:t>Carmen Leonor Cruz Zubieta.Magister Psicología del consumidor.</w:t>
      </w:r>
    </w:p>
    <w:p w14:paraId="62CDF247" w14:textId="77777777" w:rsidR="004E045B" w:rsidRPr="004E045B" w:rsidRDefault="00495483" w:rsidP="004E045B">
      <w:pPr>
        <w:pBdr>
          <w:top w:val="none" w:sz="0" w:space="0" w:color="auto"/>
          <w:left w:val="none" w:sz="0" w:space="0" w:color="auto"/>
          <w:bottom w:val="none" w:sz="0" w:space="0" w:color="auto"/>
          <w:right w:val="none" w:sz="0" w:space="0" w:color="auto"/>
          <w:between w:val="none" w:sz="0" w:space="0" w:color="auto"/>
        </w:pBdr>
        <w:spacing w:line="240" w:lineRule="auto"/>
        <w:jc w:val="both"/>
        <w:rPr>
          <w:rFonts w:ascii="Times New Roman" w:hAnsi="Times New Roman" w:cs="Times New Roman"/>
          <w:color w:val="auto"/>
          <w:sz w:val="24"/>
          <w:szCs w:val="24"/>
        </w:rPr>
      </w:pPr>
      <w:hyperlink r:id="rId9" w:history="1">
        <w:r w:rsidR="004E045B" w:rsidRPr="004E045B">
          <w:rPr>
            <w:rFonts w:ascii="Times New Roman" w:hAnsi="Times New Roman" w:cs="Times New Roman"/>
            <w:color w:val="1155CC"/>
            <w:sz w:val="24"/>
            <w:szCs w:val="24"/>
            <w:u w:val="single"/>
          </w:rPr>
          <w:t>leonorcruz@hotmail.com</w:t>
        </w:r>
      </w:hyperlink>
    </w:p>
    <w:p w14:paraId="11D47652" w14:textId="77777777" w:rsidR="004E045B" w:rsidRPr="004E045B" w:rsidRDefault="004E045B" w:rsidP="004E045B">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auto"/>
          <w:sz w:val="24"/>
          <w:szCs w:val="24"/>
        </w:rPr>
      </w:pPr>
    </w:p>
    <w:p w14:paraId="1ECBEA2E" w14:textId="77777777" w:rsidR="004E045B" w:rsidRPr="004E045B" w:rsidRDefault="004E045B" w:rsidP="004E045B">
      <w:pPr>
        <w:pBdr>
          <w:top w:val="none" w:sz="0" w:space="0" w:color="auto"/>
          <w:left w:val="none" w:sz="0" w:space="0" w:color="auto"/>
          <w:bottom w:val="none" w:sz="0" w:space="0" w:color="auto"/>
          <w:right w:val="none" w:sz="0" w:space="0" w:color="auto"/>
          <w:between w:val="none" w:sz="0" w:space="0" w:color="auto"/>
        </w:pBdr>
        <w:spacing w:line="240" w:lineRule="auto"/>
        <w:jc w:val="both"/>
        <w:rPr>
          <w:rFonts w:ascii="Times New Roman" w:hAnsi="Times New Roman" w:cs="Times New Roman"/>
          <w:color w:val="auto"/>
          <w:sz w:val="24"/>
          <w:szCs w:val="24"/>
        </w:rPr>
      </w:pPr>
      <w:r w:rsidRPr="004E045B">
        <w:rPr>
          <w:rFonts w:ascii="Times New Roman" w:hAnsi="Times New Roman" w:cs="Times New Roman"/>
          <w:sz w:val="24"/>
          <w:szCs w:val="24"/>
        </w:rPr>
        <w:t>Diana Esperanza Oliveros. Candidata a doctora en Antropología.</w:t>
      </w:r>
    </w:p>
    <w:p w14:paraId="0FE397A4" w14:textId="77777777" w:rsidR="004E045B" w:rsidRPr="004E045B" w:rsidRDefault="00495483" w:rsidP="004E045B">
      <w:pPr>
        <w:pBdr>
          <w:top w:val="none" w:sz="0" w:space="0" w:color="auto"/>
          <w:left w:val="none" w:sz="0" w:space="0" w:color="auto"/>
          <w:bottom w:val="none" w:sz="0" w:space="0" w:color="auto"/>
          <w:right w:val="none" w:sz="0" w:space="0" w:color="auto"/>
          <w:between w:val="none" w:sz="0" w:space="0" w:color="auto"/>
        </w:pBdr>
        <w:spacing w:line="240" w:lineRule="auto"/>
        <w:jc w:val="both"/>
        <w:rPr>
          <w:rFonts w:ascii="Times New Roman" w:hAnsi="Times New Roman" w:cs="Times New Roman"/>
          <w:color w:val="auto"/>
          <w:sz w:val="24"/>
          <w:szCs w:val="24"/>
        </w:rPr>
      </w:pPr>
      <w:hyperlink r:id="rId10" w:history="1">
        <w:r w:rsidR="004E045B" w:rsidRPr="004E045B">
          <w:rPr>
            <w:rFonts w:ascii="Times New Roman" w:hAnsi="Times New Roman" w:cs="Times New Roman"/>
            <w:color w:val="1155CC"/>
            <w:sz w:val="24"/>
            <w:szCs w:val="24"/>
            <w:u w:val="single"/>
          </w:rPr>
          <w:t>deoliveros@gmail.com</w:t>
        </w:r>
      </w:hyperlink>
    </w:p>
    <w:p w14:paraId="293D3982" w14:textId="77777777" w:rsidR="004E045B" w:rsidRPr="004E045B" w:rsidRDefault="004E045B" w:rsidP="004E045B">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auto"/>
          <w:sz w:val="24"/>
          <w:szCs w:val="24"/>
        </w:rPr>
      </w:pPr>
    </w:p>
    <w:p w14:paraId="2CD3FC48" w14:textId="77777777" w:rsidR="00A631B5" w:rsidRDefault="00A631B5">
      <w:pPr>
        <w:jc w:val="both"/>
        <w:rPr>
          <w:rFonts w:ascii="Times New Roman" w:eastAsia="Times New Roman" w:hAnsi="Times New Roman" w:cs="Times New Roman"/>
          <w:sz w:val="24"/>
          <w:szCs w:val="24"/>
          <w:u w:val="single"/>
        </w:rPr>
      </w:pPr>
    </w:p>
    <w:sectPr w:rsidR="00A631B5">
      <w:headerReference w:type="default" r:id="rId11"/>
      <w:footerReference w:type="default" r:id="rId12"/>
      <w:pgSz w:w="12240" w:h="15840"/>
      <w:pgMar w:top="1418" w:right="1701" w:bottom="2268" w:left="1701"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F40B33" w14:textId="77777777" w:rsidR="00495483" w:rsidRDefault="00495483">
      <w:pPr>
        <w:spacing w:after="0" w:line="240" w:lineRule="auto"/>
      </w:pPr>
      <w:r>
        <w:separator/>
      </w:r>
    </w:p>
  </w:endnote>
  <w:endnote w:type="continuationSeparator" w:id="0">
    <w:p w14:paraId="257768BB" w14:textId="77777777" w:rsidR="00495483" w:rsidRDefault="004954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8F61B0" w14:textId="77777777" w:rsidR="003A6D9D" w:rsidRDefault="003A6D9D">
    <w:pPr>
      <w:tabs>
        <w:tab w:val="center" w:pos="4419"/>
        <w:tab w:val="right" w:pos="8838"/>
      </w:tabs>
      <w:spacing w:after="709" w:line="240" w:lineRule="auto"/>
      <w:ind w:left="-42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7ADA2A" w14:textId="77777777" w:rsidR="00495483" w:rsidRDefault="00495483">
      <w:pPr>
        <w:spacing w:after="0" w:line="240" w:lineRule="auto"/>
      </w:pPr>
      <w:r>
        <w:separator/>
      </w:r>
    </w:p>
  </w:footnote>
  <w:footnote w:type="continuationSeparator" w:id="0">
    <w:p w14:paraId="05992D00" w14:textId="77777777" w:rsidR="00495483" w:rsidRDefault="004954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1D747C" w14:textId="77777777" w:rsidR="003A6D9D" w:rsidRDefault="008974C2">
    <w:pPr>
      <w:tabs>
        <w:tab w:val="center" w:pos="4419"/>
        <w:tab w:val="right" w:pos="8838"/>
      </w:tabs>
      <w:spacing w:before="709" w:after="0" w:line="240" w:lineRule="auto"/>
      <w:rPr>
        <w:rFonts w:ascii="Times New Roman" w:eastAsia="Times New Roman" w:hAnsi="Times New Roman" w:cs="Times New Roman"/>
      </w:rPr>
    </w:pPr>
    <w:r>
      <w:rPr>
        <w:noProof/>
        <w:lang w:eastAsia="es-CO"/>
      </w:rPr>
      <w:drawing>
        <wp:anchor distT="0" distB="0" distL="114300" distR="114300" simplePos="0" relativeHeight="251658240" behindDoc="0" locked="0" layoutInCell="1" hidden="0" allowOverlap="1" wp14:anchorId="69657698" wp14:editId="74838247">
          <wp:simplePos x="0" y="0"/>
          <wp:positionH relativeFrom="margin">
            <wp:posOffset>0</wp:posOffset>
          </wp:positionH>
          <wp:positionV relativeFrom="paragraph">
            <wp:posOffset>-453389</wp:posOffset>
          </wp:positionV>
          <wp:extent cx="5667375" cy="914400"/>
          <wp:effectExtent l="0" t="0" r="0" b="0"/>
          <wp:wrapNone/>
          <wp:docPr id="1" name="image2.jpg" descr="Descripción: Macintosh HD:Users:ComunicacionesyMarcadeo:Desktop:2015:Febrero:10. membrete acreditacion-02.jpg"/>
          <wp:cNvGraphicFramePr/>
          <a:graphic xmlns:a="http://schemas.openxmlformats.org/drawingml/2006/main">
            <a:graphicData uri="http://schemas.openxmlformats.org/drawingml/2006/picture">
              <pic:pic xmlns:pic="http://schemas.openxmlformats.org/drawingml/2006/picture">
                <pic:nvPicPr>
                  <pic:cNvPr id="0" name="image2.jpg" descr="Descripción: Macintosh HD:Users:ComunicacionesyMarcadeo:Desktop:2015:Febrero:10. membrete acreditacion-02.jpg"/>
                  <pic:cNvPicPr preferRelativeResize="0"/>
                </pic:nvPicPr>
                <pic:blipFill>
                  <a:blip r:embed="rId1"/>
                  <a:srcRect/>
                  <a:stretch>
                    <a:fillRect/>
                  </a:stretch>
                </pic:blipFill>
                <pic:spPr>
                  <a:xfrm>
                    <a:off x="0" y="0"/>
                    <a:ext cx="5667375" cy="91440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D0B6E08"/>
    <w:multiLevelType w:val="hybridMultilevel"/>
    <w:tmpl w:val="BAC217CE"/>
    <w:lvl w:ilvl="0" w:tplc="8780DE6E">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B2610E9"/>
    <w:multiLevelType w:val="multilevel"/>
    <w:tmpl w:val="BFB2C7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F865437"/>
    <w:multiLevelType w:val="multilevel"/>
    <w:tmpl w:val="24286E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D9D"/>
    <w:rsid w:val="00015DE5"/>
    <w:rsid w:val="000D2705"/>
    <w:rsid w:val="000F4C34"/>
    <w:rsid w:val="00116999"/>
    <w:rsid w:val="0019319E"/>
    <w:rsid w:val="002672CD"/>
    <w:rsid w:val="002D2634"/>
    <w:rsid w:val="00321AEF"/>
    <w:rsid w:val="00365741"/>
    <w:rsid w:val="003A6D9D"/>
    <w:rsid w:val="003E6068"/>
    <w:rsid w:val="004728D3"/>
    <w:rsid w:val="00477A84"/>
    <w:rsid w:val="00495483"/>
    <w:rsid w:val="004A3C7C"/>
    <w:rsid w:val="004E045B"/>
    <w:rsid w:val="005606B6"/>
    <w:rsid w:val="00583299"/>
    <w:rsid w:val="006E118D"/>
    <w:rsid w:val="00722FA6"/>
    <w:rsid w:val="007B3461"/>
    <w:rsid w:val="007D1357"/>
    <w:rsid w:val="00866705"/>
    <w:rsid w:val="008974C2"/>
    <w:rsid w:val="00913687"/>
    <w:rsid w:val="00A631B5"/>
    <w:rsid w:val="00A73FFC"/>
    <w:rsid w:val="00C40957"/>
    <w:rsid w:val="00C53B0B"/>
    <w:rsid w:val="00D446BF"/>
    <w:rsid w:val="00D460F5"/>
    <w:rsid w:val="00D72261"/>
    <w:rsid w:val="00D74A36"/>
    <w:rsid w:val="00EA113D"/>
    <w:rsid w:val="00FA7B93"/>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62C0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s-CO" w:eastAsia="es-ES"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200" w:after="0" w:line="259" w:lineRule="auto"/>
      <w:outlineLvl w:val="1"/>
    </w:pPr>
    <w:rPr>
      <w:rFonts w:ascii="Cambria" w:eastAsia="Cambria" w:hAnsi="Cambria" w:cs="Cambria"/>
      <w:b/>
      <w:color w:val="4F81BD"/>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semiHidden/>
    <w:unhideWhenUsed/>
    <w:rsid w:val="004E045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hAnsi="Times New Roman" w:cs="Times New Roman"/>
      <w:color w:val="auto"/>
      <w:sz w:val="24"/>
      <w:szCs w:val="24"/>
    </w:rPr>
  </w:style>
  <w:style w:type="character" w:styleId="Hipervnculo">
    <w:name w:val="Hyperlink"/>
    <w:basedOn w:val="Fuentedeprrafopredeter"/>
    <w:uiPriority w:val="99"/>
    <w:semiHidden/>
    <w:unhideWhenUsed/>
    <w:rsid w:val="004E045B"/>
    <w:rPr>
      <w:color w:val="0000FF"/>
      <w:u w:val="single"/>
    </w:rPr>
  </w:style>
  <w:style w:type="paragraph" w:styleId="Prrafodelista">
    <w:name w:val="List Paragraph"/>
    <w:basedOn w:val="Normal"/>
    <w:uiPriority w:val="34"/>
    <w:qFormat/>
    <w:rsid w:val="004728D3"/>
    <w:pPr>
      <w:pBdr>
        <w:top w:val="none" w:sz="0" w:space="0" w:color="auto"/>
        <w:left w:val="none" w:sz="0" w:space="0" w:color="auto"/>
        <w:bottom w:val="none" w:sz="0" w:space="0" w:color="auto"/>
        <w:right w:val="none" w:sz="0" w:space="0" w:color="auto"/>
        <w:between w:val="none" w:sz="0" w:space="0" w:color="auto"/>
      </w:pBdr>
      <w:ind w:left="720"/>
      <w:contextualSpacing/>
    </w:pPr>
    <w:rPr>
      <w:rFonts w:asciiTheme="minorHAnsi" w:eastAsiaTheme="minorEastAsia" w:hAnsiTheme="minorHAnsi" w:cstheme="minorBidi"/>
      <w:color w:val="auto"/>
      <w:lang w:eastAsia="es-CO"/>
    </w:rPr>
  </w:style>
  <w:style w:type="table" w:styleId="Tablaconcuadrcula">
    <w:name w:val="Table Grid"/>
    <w:basedOn w:val="Tablanormal"/>
    <w:uiPriority w:val="59"/>
    <w:rsid w:val="00FA7B93"/>
    <w:pPr>
      <w:pBdr>
        <w:top w:val="none" w:sz="0" w:space="0" w:color="auto"/>
        <w:left w:val="none" w:sz="0" w:space="0" w:color="auto"/>
        <w:bottom w:val="none" w:sz="0" w:space="0" w:color="auto"/>
        <w:right w:val="none" w:sz="0" w:space="0" w:color="auto"/>
        <w:between w:val="none" w:sz="0" w:space="0" w:color="auto"/>
      </w:pBdr>
      <w:spacing w:after="0" w:line="240" w:lineRule="auto"/>
    </w:pPr>
    <w:rPr>
      <w:rFonts w:cs="Times New Roman"/>
      <w:color w:val="auto"/>
      <w:sz w:val="20"/>
      <w:szCs w:val="20"/>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30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file:///E:/Downloads/Dialnet-ElTerritorioComoBienDeConsumo-3262733.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edalyc.org/pdf/312/31222203.pdf"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eoliveros@gmail.com" TargetMode="External"/><Relationship Id="rId4" Type="http://schemas.openxmlformats.org/officeDocument/2006/relationships/webSettings" Target="webSettings.xml"/><Relationship Id="rId9" Type="http://schemas.openxmlformats.org/officeDocument/2006/relationships/hyperlink" Target="mailto:leonorcruz@hot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7410</Words>
  <Characters>40758</Characters>
  <Application>Microsoft Office Word</Application>
  <DocSecurity>0</DocSecurity>
  <Lines>339</Lines>
  <Paragraphs>96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48072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Docentes Facultad de Mercadeo</dc:creator>
  <cp:lastModifiedBy>Docentes Facultad de Mercadeo</cp:lastModifiedBy>
  <cp:revision>3</cp:revision>
  <cp:lastPrinted>2017-09-11T19:03:00Z</cp:lastPrinted>
  <dcterms:created xsi:type="dcterms:W3CDTF">2017-09-11T19:03:00Z</dcterms:created>
  <dcterms:modified xsi:type="dcterms:W3CDTF">2017-09-11T19:06:00Z</dcterms:modified>
</cp:coreProperties>
</file>