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C7B954" w14:textId="77777777" w:rsidR="002A18AF" w:rsidRPr="003057B1" w:rsidRDefault="00642463" w:rsidP="002A18AF">
      <w:pPr>
        <w:jc w:val="center"/>
        <w:rPr>
          <w:rFonts w:ascii="Times New Roman" w:hAnsi="Times New Roman" w:cs="Times New Roman"/>
          <w:b/>
          <w:lang w:val="es-ES"/>
        </w:rPr>
      </w:pPr>
      <w:r w:rsidRPr="003057B1">
        <w:rPr>
          <w:rFonts w:ascii="Times New Roman" w:hAnsi="Times New Roman" w:cs="Times New Roman"/>
          <w:b/>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3057B1" w14:paraId="127569C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1D7DF0" w14:textId="77777777" w:rsidR="002A18AF" w:rsidRPr="003057B1" w:rsidRDefault="002A18AF"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Título del proyecto</w:t>
            </w:r>
          </w:p>
        </w:tc>
      </w:tr>
      <w:tr w:rsidR="002A18AF" w:rsidRPr="003057B1" w14:paraId="3324C3B9"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66FDD6" w14:textId="77777777" w:rsidR="002A18AF" w:rsidRPr="003057B1" w:rsidRDefault="007A7740">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Los preacuerdos en el proceso penal colombiano: La dicotomía entre la responsabilidad penal por el delito cometido y el negociado.</w:t>
            </w:r>
          </w:p>
        </w:tc>
      </w:tr>
      <w:tr w:rsidR="00265B89" w:rsidRPr="003057B1" w14:paraId="68B64CE3"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7566E7" w14:textId="77777777" w:rsidR="00265B89" w:rsidRPr="003057B1" w:rsidRDefault="00265B89"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6F96576" w14:textId="77777777" w:rsidR="00265B89" w:rsidRPr="003057B1" w:rsidRDefault="00265B89" w:rsidP="00265B89">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Transdisciplinariedad - Aporte al PIM</w:t>
            </w:r>
          </w:p>
        </w:tc>
      </w:tr>
      <w:tr w:rsidR="00265B89" w:rsidRPr="003057B1" w14:paraId="1750F80C"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B08552" w14:textId="77777777" w:rsidR="00265B89" w:rsidRPr="003057B1" w:rsidRDefault="00265B89"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2F760FE" w14:textId="77777777" w:rsidR="00265B89" w:rsidRPr="003057B1" w:rsidRDefault="00265B89"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p>
        </w:tc>
      </w:tr>
      <w:tr w:rsidR="00265B89" w:rsidRPr="003057B1" w14:paraId="34B9359F"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489CEF" w14:textId="77777777" w:rsidR="00265B89" w:rsidRPr="003057B1" w:rsidRDefault="00265B89" w:rsidP="00265B89">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Articulación con funciones sustantivas y el sector social y productivo</w:t>
            </w:r>
          </w:p>
        </w:tc>
      </w:tr>
      <w:tr w:rsidR="00265B89" w:rsidRPr="003057B1" w14:paraId="13DEB09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4AE276" w14:textId="77777777" w:rsidR="00265B89" w:rsidRPr="003057B1" w:rsidRDefault="00265B89" w:rsidP="00265B89">
            <w:pPr>
              <w:spacing w:before="100" w:beforeAutospacing="1" w:after="100" w:afterAutospacing="1" w:line="240" w:lineRule="auto"/>
              <w:rPr>
                <w:rFonts w:ascii="Times New Roman" w:eastAsia="Times New Roman" w:hAnsi="Times New Roman" w:cs="Times New Roman"/>
                <w:b/>
                <w:bCs/>
                <w:color w:val="222222"/>
                <w:lang w:eastAsia="es-CO"/>
              </w:rPr>
            </w:pPr>
          </w:p>
        </w:tc>
      </w:tr>
      <w:tr w:rsidR="002A18AF" w:rsidRPr="003057B1" w14:paraId="21F8C6A6"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1289380" w14:textId="77777777" w:rsidR="002A18AF" w:rsidRPr="003057B1" w:rsidRDefault="002A18AF" w:rsidP="002A18AF">
            <w:pPr>
              <w:spacing w:after="0"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6CAF73C2" w14:textId="77777777" w:rsidR="002A18AF" w:rsidRPr="003057B1" w:rsidRDefault="002A18AF" w:rsidP="002A18AF">
            <w:pPr>
              <w:spacing w:after="0"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Línea de investigación en la que se inscribe el proyecto</w:t>
            </w:r>
          </w:p>
        </w:tc>
      </w:tr>
      <w:tr w:rsidR="002A18AF" w:rsidRPr="003057B1" w14:paraId="1FE4BC23"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E99ACE" w14:textId="77777777" w:rsidR="002A18AF" w:rsidRPr="003057B1" w:rsidRDefault="00F40C0A" w:rsidP="001D6087">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Derecho Público “Francisco de Vitoria”/ Línea activa: Derecho Penal y Realidad</w:t>
            </w:r>
          </w:p>
        </w:tc>
      </w:tr>
    </w:tbl>
    <w:p w14:paraId="25124263"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29651" w:type="dxa"/>
        <w:shd w:val="clear" w:color="auto" w:fill="FFFFFF"/>
        <w:tblLayout w:type="fixed"/>
        <w:tblLook w:val="04A0" w:firstRow="1" w:lastRow="0" w:firstColumn="1" w:lastColumn="0" w:noHBand="0" w:noVBand="1"/>
      </w:tblPr>
      <w:tblGrid>
        <w:gridCol w:w="1329"/>
        <w:gridCol w:w="3629"/>
        <w:gridCol w:w="2835"/>
        <w:gridCol w:w="10627"/>
        <w:gridCol w:w="237"/>
        <w:gridCol w:w="385"/>
        <w:gridCol w:w="10609"/>
      </w:tblGrid>
      <w:tr w:rsidR="00695A5E" w:rsidRPr="003057B1" w14:paraId="628E3A1E" w14:textId="77777777" w:rsidTr="00E9159F">
        <w:trPr>
          <w:trHeight w:val="516"/>
        </w:trPr>
        <w:tc>
          <w:tcPr>
            <w:tcW w:w="22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89A83B" w14:textId="77777777" w:rsidR="00695A5E" w:rsidRPr="003057B1" w:rsidRDefault="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Nombre del Investigador principal</w:t>
            </w:r>
          </w:p>
        </w:tc>
        <w:tc>
          <w:tcPr>
            <w:tcW w:w="61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407B839" w14:textId="77777777" w:rsidR="00695A5E" w:rsidRPr="003057B1" w:rsidRDefault="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CvLAC</w:t>
            </w:r>
          </w:p>
        </w:tc>
        <w:tc>
          <w:tcPr>
            <w:tcW w:w="47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73345EA" w14:textId="77777777" w:rsidR="00695A5E" w:rsidRPr="003057B1" w:rsidRDefault="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ORCID</w:t>
            </w:r>
          </w:p>
        </w:tc>
        <w:tc>
          <w:tcPr>
            <w:tcW w:w="179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50DE85E"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Google Académico</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3F3F3"/>
          </w:tcPr>
          <w:p w14:paraId="21982721"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3F3F3"/>
          </w:tcPr>
          <w:p w14:paraId="6521F3AE"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2D202C3F"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587DEC" w14:textId="77777777" w:rsidR="00695A5E" w:rsidRPr="003057B1" w:rsidRDefault="00695A5E">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Mateo Mejía Gallego</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E3853A" w14:textId="77777777" w:rsidR="00695A5E" w:rsidRPr="003057B1" w:rsidRDefault="003F2434">
            <w:pPr>
              <w:spacing w:after="0" w:line="240" w:lineRule="auto"/>
              <w:jc w:val="center"/>
              <w:rPr>
                <w:rFonts w:ascii="Times New Roman" w:eastAsia="Times New Roman" w:hAnsi="Times New Roman" w:cs="Times New Roman"/>
                <w:color w:val="222222"/>
                <w:lang w:eastAsia="es-CO"/>
              </w:rPr>
            </w:pPr>
            <w:hyperlink r:id="rId8" w:tgtFrame="_blank" w:history="1">
              <w:r w:rsidR="00695A5E" w:rsidRPr="003057B1">
                <w:rPr>
                  <w:rStyle w:val="Hipervnculo"/>
                  <w:rFonts w:ascii="Times New Roman" w:hAnsi="Times New Roman" w:cs="Times New Roman"/>
                  <w:bdr w:val="none" w:sz="0" w:space="0" w:color="auto" w:frame="1"/>
                  <w:shd w:val="clear" w:color="auto" w:fill="FFFFFF"/>
                </w:rPr>
                <w:t>https://scienti.colciencias.gov.co/cvlac/visualizador/generarCurriculoCv.do?cod_rh=0001655022</w:t>
              </w:r>
            </w:hyperlink>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7AC847" w14:textId="77777777" w:rsidR="00695A5E" w:rsidRPr="003057B1" w:rsidRDefault="003F2434">
            <w:pPr>
              <w:spacing w:after="0" w:line="240" w:lineRule="auto"/>
              <w:jc w:val="center"/>
              <w:rPr>
                <w:rFonts w:ascii="Times New Roman" w:eastAsia="Times New Roman" w:hAnsi="Times New Roman" w:cs="Times New Roman"/>
                <w:color w:val="222222"/>
                <w:lang w:eastAsia="es-CO"/>
              </w:rPr>
            </w:pPr>
            <w:hyperlink r:id="rId9" w:tgtFrame="_blank" w:history="1">
              <w:r w:rsidR="00695A5E" w:rsidRPr="003057B1">
                <w:rPr>
                  <w:rStyle w:val="Hipervnculo"/>
                  <w:rFonts w:ascii="Times New Roman" w:hAnsi="Times New Roman" w:cs="Times New Roman"/>
                  <w:bdr w:val="none" w:sz="0" w:space="0" w:color="auto" w:frame="1"/>
                  <w:shd w:val="clear" w:color="auto" w:fill="FFFFFF"/>
                </w:rPr>
                <w:t>https://orcid.org/0000-0001-7235-9088</w:t>
              </w:r>
            </w:hyperlink>
          </w:p>
        </w:tc>
        <w:tc>
          <w:tcPr>
            <w:tcW w:w="179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622D34" w14:textId="77777777" w:rsidR="00695A5E" w:rsidRPr="003057B1" w:rsidRDefault="003F2434" w:rsidP="00695A5E">
            <w:pPr>
              <w:spacing w:after="0" w:line="240" w:lineRule="auto"/>
              <w:ind w:right="7316"/>
              <w:jc w:val="center"/>
              <w:rPr>
                <w:rFonts w:ascii="Times New Roman" w:eastAsia="Times New Roman" w:hAnsi="Times New Roman" w:cs="Times New Roman"/>
                <w:color w:val="222222"/>
                <w:lang w:eastAsia="es-CO"/>
              </w:rPr>
            </w:pPr>
            <w:hyperlink r:id="rId10" w:tgtFrame="_blank" w:history="1">
              <w:r w:rsidR="00695A5E" w:rsidRPr="003057B1">
                <w:rPr>
                  <w:rStyle w:val="Hipervnculo"/>
                  <w:rFonts w:ascii="Times New Roman" w:hAnsi="Times New Roman" w:cs="Times New Roman"/>
                  <w:bdr w:val="none" w:sz="0" w:space="0" w:color="auto" w:frame="1"/>
                  <w:shd w:val="clear" w:color="auto" w:fill="FFFFFF"/>
                </w:rPr>
                <w:t>https://scholar.google.es/citations?user=rGbUfM4AAAAJ&amp;hl=es&amp;oi=ao</w:t>
              </w:r>
            </w:hyperlink>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FFFFF"/>
          </w:tcPr>
          <w:p w14:paraId="1F6CDC77" w14:textId="77777777" w:rsidR="00695A5E" w:rsidRPr="003057B1" w:rsidRDefault="00695A5E" w:rsidP="00695A5E">
            <w:pPr>
              <w:spacing w:after="0" w:line="240" w:lineRule="auto"/>
              <w:ind w:left="-5831" w:right="7316"/>
              <w:jc w:val="center"/>
              <w:rPr>
                <w:rFonts w:ascii="Times New Roman" w:hAnsi="Times New Roman" w:cs="Times New Roman"/>
              </w:rPr>
            </w:pPr>
          </w:p>
        </w:tc>
        <w:tc>
          <w:tcPr>
            <w:tcW w:w="1790" w:type="pct"/>
            <w:tcBorders>
              <w:top w:val="single" w:sz="6" w:space="0" w:color="DDDDDD"/>
              <w:left w:val="single" w:sz="6" w:space="0" w:color="DDDDDD"/>
              <w:bottom w:val="single" w:sz="6" w:space="0" w:color="DDDDDD"/>
              <w:right w:val="single" w:sz="6" w:space="0" w:color="DDDDDD"/>
            </w:tcBorders>
            <w:shd w:val="clear" w:color="auto" w:fill="FFFFFF"/>
          </w:tcPr>
          <w:p w14:paraId="2E527A07" w14:textId="77777777" w:rsidR="00695A5E" w:rsidRPr="003057B1" w:rsidRDefault="00695A5E" w:rsidP="00695A5E">
            <w:pPr>
              <w:spacing w:after="0" w:line="240" w:lineRule="auto"/>
              <w:ind w:left="-5831" w:right="7316"/>
              <w:jc w:val="center"/>
              <w:rPr>
                <w:rFonts w:ascii="Times New Roman" w:hAnsi="Times New Roman" w:cs="Times New Roman"/>
              </w:rPr>
            </w:pPr>
          </w:p>
        </w:tc>
      </w:tr>
      <w:tr w:rsidR="00695A5E" w:rsidRPr="003057B1" w14:paraId="620F9DE7"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4E2E39"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División</w:t>
            </w:r>
          </w:p>
        </w:tc>
        <w:tc>
          <w:tcPr>
            <w:tcW w:w="61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0502988"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Facultad</w:t>
            </w:r>
          </w:p>
        </w:tc>
        <w:tc>
          <w:tcPr>
            <w:tcW w:w="4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E5624AA"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Programa</w:t>
            </w:r>
          </w:p>
        </w:tc>
        <w:tc>
          <w:tcPr>
            <w:tcW w:w="179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C97AEE"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Grupo de investigación</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317DC8E4"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419090CB"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112CB72E"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297ED0"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 xml:space="preserve">Ciencias jurídicas y políticas </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F2A783"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w:t>
            </w:r>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111E0A" w14:textId="77777777" w:rsidR="00695A5E" w:rsidRPr="003057B1" w:rsidRDefault="00695A5E" w:rsidP="002A18AF">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Maestría en Derecho Penal</w:t>
            </w:r>
          </w:p>
        </w:tc>
        <w:tc>
          <w:tcPr>
            <w:tcW w:w="179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BA2A1E"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 Público “Francisco de Vitoria”</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FFFFF"/>
          </w:tcPr>
          <w:p w14:paraId="3DEE9B7D"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FFFFF"/>
          </w:tcPr>
          <w:p w14:paraId="05CFD50B"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4D95EF15"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7C0B51" w14:textId="77777777" w:rsidR="00695A5E" w:rsidRPr="003057B1" w:rsidRDefault="00695A5E" w:rsidP="00E6008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 xml:space="preserve">Nombre del Co-investigador </w:t>
            </w:r>
          </w:p>
        </w:tc>
        <w:tc>
          <w:tcPr>
            <w:tcW w:w="61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CB17B0" w14:textId="77777777" w:rsidR="00695A5E" w:rsidRPr="003057B1" w:rsidRDefault="00695A5E"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CvLAC</w:t>
            </w:r>
          </w:p>
        </w:tc>
        <w:tc>
          <w:tcPr>
            <w:tcW w:w="4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589F1D" w14:textId="77777777" w:rsidR="00695A5E" w:rsidRPr="003057B1" w:rsidRDefault="00695A5E"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ORCID</w:t>
            </w:r>
          </w:p>
        </w:tc>
        <w:tc>
          <w:tcPr>
            <w:tcW w:w="179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DD161E"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Google Académico</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10A65D09"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594BD778"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33D50A5C"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01E654" w14:textId="77777777" w:rsidR="00695A5E" w:rsidRPr="003057B1" w:rsidRDefault="00695A5E"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hAnsi="Times New Roman" w:cs="Times New Roman"/>
                <w:color w:val="323130"/>
                <w:shd w:val="clear" w:color="auto" w:fill="FFFFFF"/>
              </w:rPr>
              <w:t>José Leibniz Ledesma Romero</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EDD4FF" w14:textId="77777777" w:rsidR="00695A5E" w:rsidRPr="003057B1" w:rsidRDefault="003F2434"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1" w:tgtFrame="_blank" w:history="1">
              <w:r w:rsidR="00695A5E" w:rsidRPr="003057B1">
                <w:rPr>
                  <w:rStyle w:val="Hipervnculo"/>
                  <w:rFonts w:ascii="Times New Roman" w:hAnsi="Times New Roman" w:cs="Times New Roman"/>
                  <w:bdr w:val="none" w:sz="0" w:space="0" w:color="auto" w:frame="1"/>
                  <w:shd w:val="clear" w:color="auto" w:fill="FFFFFF"/>
                </w:rPr>
                <w:t>https://scienti.colciencias.gov.co/cvlac/visualizador/generarCurriculoCv.do?cod_rh=0001722899#</w:t>
              </w:r>
            </w:hyperlink>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11021F" w14:textId="77777777" w:rsidR="00695A5E" w:rsidRPr="003057B1" w:rsidRDefault="003F2434" w:rsidP="00AC47BF">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2" w:tgtFrame="_blank" w:tooltip="Protegido por Outlook: https://orcid.org/0000-0002-3848-9804. Haga clic o pulse para seguir el vínculo." w:history="1">
              <w:r w:rsidR="00695A5E" w:rsidRPr="003057B1">
                <w:rPr>
                  <w:rStyle w:val="Hipervnculo"/>
                  <w:rFonts w:ascii="Times New Roman" w:hAnsi="Times New Roman" w:cs="Times New Roman"/>
                  <w:bdr w:val="none" w:sz="0" w:space="0" w:color="auto" w:frame="1"/>
                  <w:shd w:val="clear" w:color="auto" w:fill="FFFFFF"/>
                </w:rPr>
                <w:t>https://orcid.org/0000-0002-3848-9804</w:t>
              </w:r>
            </w:hyperlink>
          </w:p>
        </w:tc>
        <w:tc>
          <w:tcPr>
            <w:tcW w:w="179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8B1DAE" w14:textId="77777777" w:rsidR="00695A5E" w:rsidRPr="003057B1" w:rsidRDefault="003F2434" w:rsidP="00695A5E">
            <w:pPr>
              <w:spacing w:before="100" w:beforeAutospacing="1" w:after="100" w:afterAutospacing="1" w:line="240" w:lineRule="auto"/>
              <w:ind w:right="7316"/>
              <w:jc w:val="center"/>
              <w:rPr>
                <w:rStyle w:val="Hipervnculo"/>
                <w:rFonts w:ascii="Times New Roman" w:hAnsi="Times New Roman" w:cs="Times New Roman"/>
                <w:bdr w:val="none" w:sz="0" w:space="0" w:color="auto" w:frame="1"/>
                <w:shd w:val="clear" w:color="auto" w:fill="FFFFFF"/>
              </w:rPr>
            </w:pPr>
            <w:hyperlink r:id="rId13" w:history="1">
              <w:r w:rsidR="00695A5E" w:rsidRPr="003057B1">
                <w:rPr>
                  <w:rStyle w:val="Hipervnculo"/>
                  <w:rFonts w:ascii="Times New Roman" w:hAnsi="Times New Roman" w:cs="Times New Roman"/>
                  <w:bdr w:val="none" w:sz="0" w:space="0" w:color="auto" w:frame="1"/>
                  <w:shd w:val="clear" w:color="auto" w:fill="FFFFFF"/>
                </w:rPr>
                <w:t>https://scholar.google.es/citations?hl=es&amp;pli=1&amp;user=rGbUfM4AAAA</w:t>
              </w:r>
            </w:hyperlink>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FFFFF"/>
          </w:tcPr>
          <w:p w14:paraId="50FE5B73" w14:textId="77777777" w:rsidR="00695A5E" w:rsidRPr="003057B1" w:rsidRDefault="00695A5E" w:rsidP="00695A5E">
            <w:pPr>
              <w:spacing w:before="100" w:beforeAutospacing="1" w:after="100" w:afterAutospacing="1" w:line="240" w:lineRule="auto"/>
              <w:ind w:left="-5831" w:right="7316"/>
              <w:jc w:val="center"/>
              <w:rPr>
                <w:rFonts w:ascii="Times New Roman" w:hAnsi="Times New Roman" w:cs="Times New Roman"/>
              </w:rPr>
            </w:pPr>
          </w:p>
        </w:tc>
        <w:tc>
          <w:tcPr>
            <w:tcW w:w="1790" w:type="pct"/>
            <w:tcBorders>
              <w:top w:val="single" w:sz="6" w:space="0" w:color="DDDDDD"/>
              <w:left w:val="single" w:sz="6" w:space="0" w:color="DDDDDD"/>
              <w:bottom w:val="single" w:sz="6" w:space="0" w:color="DDDDDD"/>
              <w:right w:val="single" w:sz="6" w:space="0" w:color="DDDDDD"/>
            </w:tcBorders>
            <w:shd w:val="clear" w:color="auto" w:fill="FFFFFF"/>
          </w:tcPr>
          <w:p w14:paraId="4907304E" w14:textId="77777777" w:rsidR="00695A5E" w:rsidRPr="003057B1" w:rsidRDefault="00695A5E" w:rsidP="00695A5E">
            <w:pPr>
              <w:spacing w:before="100" w:beforeAutospacing="1" w:after="100" w:afterAutospacing="1" w:line="240" w:lineRule="auto"/>
              <w:ind w:left="-5831" w:right="7316"/>
              <w:jc w:val="center"/>
              <w:rPr>
                <w:rFonts w:ascii="Times New Roman" w:hAnsi="Times New Roman" w:cs="Times New Roman"/>
              </w:rPr>
            </w:pPr>
          </w:p>
        </w:tc>
      </w:tr>
      <w:tr w:rsidR="00695A5E" w:rsidRPr="003057B1" w14:paraId="74567D7C"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FB4617" w14:textId="77777777" w:rsidR="00695A5E" w:rsidRPr="003057B1" w:rsidRDefault="00695A5E"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División</w:t>
            </w:r>
          </w:p>
        </w:tc>
        <w:tc>
          <w:tcPr>
            <w:tcW w:w="61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BC8B97" w14:textId="77777777" w:rsidR="00695A5E" w:rsidRPr="003057B1" w:rsidRDefault="00695A5E"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Facultad</w:t>
            </w:r>
          </w:p>
        </w:tc>
        <w:tc>
          <w:tcPr>
            <w:tcW w:w="4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43F247" w14:textId="77777777" w:rsidR="00695A5E" w:rsidRPr="003057B1" w:rsidRDefault="00695A5E"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Programa</w:t>
            </w:r>
          </w:p>
        </w:tc>
        <w:tc>
          <w:tcPr>
            <w:tcW w:w="179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B26023"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Grupo de investigación</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4F1F1075"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75C72800"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61B610A6"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18F70F"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 xml:space="preserve">Ciencias jurídicas y políticas </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CABB6A"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w:t>
            </w:r>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84977E"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Maestría en Derecho Penal</w:t>
            </w:r>
          </w:p>
        </w:tc>
        <w:tc>
          <w:tcPr>
            <w:tcW w:w="179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B48947"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 Público “Francisco de Vitoria”</w:t>
            </w:r>
          </w:p>
        </w:tc>
        <w:tc>
          <w:tcPr>
            <w:tcW w:w="105" w:type="pct"/>
            <w:gridSpan w:val="2"/>
            <w:tcBorders>
              <w:top w:val="single" w:sz="6" w:space="0" w:color="DDDDDD"/>
              <w:left w:val="single" w:sz="6" w:space="0" w:color="DDDDDD"/>
              <w:bottom w:val="single" w:sz="6" w:space="0" w:color="DDDDDD"/>
              <w:right w:val="single" w:sz="6" w:space="0" w:color="DDDDDD"/>
            </w:tcBorders>
            <w:shd w:val="clear" w:color="auto" w:fill="FFFFFF"/>
          </w:tcPr>
          <w:p w14:paraId="77032DB9"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c>
          <w:tcPr>
            <w:tcW w:w="1790" w:type="pct"/>
            <w:tcBorders>
              <w:top w:val="single" w:sz="6" w:space="0" w:color="DDDDDD"/>
              <w:left w:val="single" w:sz="6" w:space="0" w:color="DDDDDD"/>
              <w:bottom w:val="single" w:sz="6" w:space="0" w:color="DDDDDD"/>
              <w:right w:val="single" w:sz="6" w:space="0" w:color="DDDDDD"/>
            </w:tcBorders>
            <w:shd w:val="clear" w:color="auto" w:fill="FFFFFF"/>
          </w:tcPr>
          <w:p w14:paraId="4FFE169B" w14:textId="77777777" w:rsidR="00695A5E" w:rsidRPr="003057B1" w:rsidRDefault="00695A5E" w:rsidP="00695A5E">
            <w:pPr>
              <w:spacing w:before="100" w:beforeAutospacing="1" w:after="100" w:afterAutospacing="1" w:line="240" w:lineRule="auto"/>
              <w:ind w:left="-5831" w:right="7316"/>
              <w:jc w:val="center"/>
              <w:rPr>
                <w:rFonts w:ascii="Times New Roman" w:eastAsia="Times New Roman" w:hAnsi="Times New Roman" w:cs="Times New Roman"/>
                <w:b/>
                <w:bCs/>
                <w:color w:val="222222"/>
                <w:lang w:eastAsia="es-CO"/>
              </w:rPr>
            </w:pPr>
          </w:p>
        </w:tc>
      </w:tr>
      <w:tr w:rsidR="00695A5E" w:rsidRPr="003057B1" w14:paraId="061C9A93"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A99011"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 xml:space="preserve">Nombre del Co-investigador </w:t>
            </w:r>
          </w:p>
        </w:tc>
        <w:tc>
          <w:tcPr>
            <w:tcW w:w="61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0894E6"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CvLAC</w:t>
            </w:r>
          </w:p>
        </w:tc>
        <w:tc>
          <w:tcPr>
            <w:tcW w:w="47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450249"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ORCID</w:t>
            </w:r>
          </w:p>
        </w:tc>
        <w:tc>
          <w:tcPr>
            <w:tcW w:w="179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0A759658" w14:textId="77777777" w:rsidR="00ED7572" w:rsidRPr="003057B1" w:rsidRDefault="00ED7572" w:rsidP="00695A5E">
            <w:pPr>
              <w:spacing w:before="100" w:beforeAutospacing="1" w:after="100" w:afterAutospacing="1" w:line="240" w:lineRule="auto"/>
              <w:rPr>
                <w:rFonts w:ascii="Times New Roman" w:eastAsia="Times New Roman" w:hAnsi="Times New Roman" w:cs="Times New Roman"/>
                <w:b/>
                <w:bCs/>
                <w:color w:val="222222"/>
                <w:lang w:eastAsia="es-CO"/>
              </w:rPr>
            </w:pPr>
          </w:p>
          <w:p w14:paraId="5C157021" w14:textId="77777777" w:rsidR="00695A5E" w:rsidRPr="003057B1" w:rsidRDefault="00695A5E" w:rsidP="00695A5E">
            <w:pPr>
              <w:spacing w:before="100" w:beforeAutospacing="1" w:after="100" w:afterAutospacing="1" w:line="240" w:lineRule="auto"/>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Google Académico</w:t>
            </w:r>
          </w:p>
        </w:tc>
        <w:tc>
          <w:tcPr>
            <w:tcW w:w="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Pr>
          <w:p w14:paraId="3D7B8ABD"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c>
          <w:tcPr>
            <w:tcW w:w="185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864BF4"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Enlace Google Académico</w:t>
            </w:r>
          </w:p>
        </w:tc>
      </w:tr>
      <w:tr w:rsidR="00695A5E" w:rsidRPr="003057B1" w14:paraId="4D33EE00"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629F18"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lastRenderedPageBreak/>
              <w:t xml:space="preserve">Maite Bayona Aristizábal </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7E1D34" w14:textId="77777777" w:rsidR="00695A5E" w:rsidRPr="003057B1" w:rsidRDefault="003F2434"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4" w:history="1">
              <w:r w:rsidR="00ED7572" w:rsidRPr="003057B1">
                <w:rPr>
                  <w:rStyle w:val="Hipervnculo"/>
                  <w:rFonts w:ascii="Times New Roman" w:hAnsi="Times New Roman" w:cs="Times New Roman"/>
                </w:rPr>
                <w:t>https://scienti.colciencias.gov.co/cvlac/visualizador/generarCurriculoCv.do?cod_rh=0001445801</w:t>
              </w:r>
            </w:hyperlink>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334AA7" w14:textId="77777777" w:rsidR="00695A5E" w:rsidRPr="003057B1" w:rsidRDefault="003F2434" w:rsidP="00ED7572">
            <w:pPr>
              <w:spacing w:before="100" w:beforeAutospacing="1" w:after="100" w:afterAutospacing="1" w:line="240" w:lineRule="auto"/>
              <w:jc w:val="center"/>
              <w:rPr>
                <w:rFonts w:ascii="Times New Roman" w:eastAsia="Times New Roman" w:hAnsi="Times New Roman" w:cs="Times New Roman"/>
                <w:b/>
                <w:bCs/>
                <w:color w:val="222222"/>
                <w:lang w:eastAsia="es-CO"/>
              </w:rPr>
            </w:pPr>
            <w:hyperlink r:id="rId15" w:history="1">
              <w:r w:rsidR="00ED7572" w:rsidRPr="003057B1">
                <w:rPr>
                  <w:rStyle w:val="Hipervnculo"/>
                  <w:rFonts w:ascii="Times New Roman" w:hAnsi="Times New Roman" w:cs="Times New Roman"/>
                  <w:shd w:val="clear" w:color="auto" w:fill="FFFFFF"/>
                </w:rPr>
                <w:t>https://orcid.org/0000-0001-6196-2789</w:t>
              </w:r>
            </w:hyperlink>
            <w:r w:rsidR="00ED7572" w:rsidRPr="003057B1">
              <w:rPr>
                <w:rFonts w:ascii="Times New Roman" w:hAnsi="Times New Roman" w:cs="Times New Roman"/>
                <w:color w:val="494A4C"/>
                <w:shd w:val="clear" w:color="auto" w:fill="FFFFFF"/>
              </w:rPr>
              <w:t xml:space="preserve"> </w:t>
            </w:r>
          </w:p>
        </w:tc>
        <w:tc>
          <w:tcPr>
            <w:tcW w:w="1792" w:type="pct"/>
            <w:tcBorders>
              <w:top w:val="single" w:sz="6" w:space="0" w:color="DDDDDD"/>
              <w:left w:val="single" w:sz="6" w:space="0" w:color="DDDDDD"/>
              <w:bottom w:val="single" w:sz="6" w:space="0" w:color="DDDDDD"/>
              <w:right w:val="single" w:sz="6" w:space="0" w:color="DDDDDD"/>
            </w:tcBorders>
            <w:shd w:val="clear" w:color="auto" w:fill="FFFFFF"/>
          </w:tcPr>
          <w:p w14:paraId="73C3BEC2" w14:textId="77777777" w:rsidR="00695A5E" w:rsidRPr="003057B1" w:rsidRDefault="003F2434" w:rsidP="00695A5E">
            <w:pPr>
              <w:spacing w:before="100" w:beforeAutospacing="1" w:after="100" w:afterAutospacing="1" w:line="240" w:lineRule="auto"/>
              <w:rPr>
                <w:rFonts w:ascii="Times New Roman" w:eastAsia="Times New Roman" w:hAnsi="Times New Roman" w:cs="Times New Roman"/>
                <w:b/>
                <w:bCs/>
                <w:color w:val="222222"/>
                <w:lang w:eastAsia="es-CO"/>
              </w:rPr>
            </w:pPr>
            <w:hyperlink r:id="rId16" w:history="1">
              <w:r w:rsidR="00ED7572" w:rsidRPr="003057B1">
                <w:rPr>
                  <w:rStyle w:val="Hipervnculo"/>
                  <w:rFonts w:ascii="Times New Roman" w:hAnsi="Times New Roman" w:cs="Times New Roman"/>
                </w:rPr>
                <w:t>https://scholar.google.es/citations?user=kuEfkW0AAAAJ&amp;hl=es</w:t>
              </w:r>
            </w:hyperlink>
          </w:p>
        </w:tc>
        <w:tc>
          <w:tcPr>
            <w:tcW w:w="40" w:type="pct"/>
            <w:tcBorders>
              <w:top w:val="single" w:sz="6" w:space="0" w:color="DDDDDD"/>
              <w:left w:val="single" w:sz="6" w:space="0" w:color="DDDDDD"/>
              <w:bottom w:val="single" w:sz="6" w:space="0" w:color="DDDDDD"/>
              <w:right w:val="single" w:sz="6" w:space="0" w:color="DDDDDD"/>
            </w:tcBorders>
            <w:shd w:val="clear" w:color="auto" w:fill="FFFFFF"/>
          </w:tcPr>
          <w:p w14:paraId="377A0D5E"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c>
          <w:tcPr>
            <w:tcW w:w="18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5F9069"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r>
      <w:tr w:rsidR="00695A5E" w:rsidRPr="003057B1" w14:paraId="6CB815DA"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3E5861"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División</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D16E08"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Facultad</w:t>
            </w:r>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771F38"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Programa</w:t>
            </w:r>
          </w:p>
        </w:tc>
        <w:tc>
          <w:tcPr>
            <w:tcW w:w="1792" w:type="pct"/>
            <w:tcBorders>
              <w:top w:val="single" w:sz="6" w:space="0" w:color="DDDDDD"/>
              <w:left w:val="single" w:sz="6" w:space="0" w:color="DDDDDD"/>
              <w:bottom w:val="single" w:sz="6" w:space="0" w:color="DDDDDD"/>
              <w:right w:val="single" w:sz="6" w:space="0" w:color="DDDDDD"/>
            </w:tcBorders>
            <w:shd w:val="clear" w:color="auto" w:fill="FFFFFF"/>
          </w:tcPr>
          <w:p w14:paraId="2BF579EB" w14:textId="77777777" w:rsidR="00695A5E" w:rsidRPr="003057B1" w:rsidRDefault="00695A5E" w:rsidP="00695A5E">
            <w:pPr>
              <w:spacing w:before="100" w:beforeAutospacing="1" w:after="100" w:afterAutospacing="1" w:line="240" w:lineRule="auto"/>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Grupo de investigación</w:t>
            </w:r>
          </w:p>
        </w:tc>
        <w:tc>
          <w:tcPr>
            <w:tcW w:w="40" w:type="pct"/>
            <w:tcBorders>
              <w:top w:val="single" w:sz="6" w:space="0" w:color="DDDDDD"/>
              <w:left w:val="single" w:sz="6" w:space="0" w:color="DDDDDD"/>
              <w:bottom w:val="single" w:sz="6" w:space="0" w:color="DDDDDD"/>
              <w:right w:val="single" w:sz="6" w:space="0" w:color="DDDDDD"/>
            </w:tcBorders>
            <w:shd w:val="clear" w:color="auto" w:fill="FFFFFF"/>
          </w:tcPr>
          <w:p w14:paraId="0352E64B"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c>
          <w:tcPr>
            <w:tcW w:w="18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598E62"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Grupo de investigación</w:t>
            </w:r>
          </w:p>
        </w:tc>
      </w:tr>
      <w:tr w:rsidR="00695A5E" w:rsidRPr="003057B1" w14:paraId="4951B45D" w14:textId="77777777" w:rsidTr="00E9159F">
        <w:trPr>
          <w:trHeight w:val="536"/>
        </w:trPr>
        <w:tc>
          <w:tcPr>
            <w:tcW w:w="22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2B2B47"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 xml:space="preserve">Ciencias jurídicas y políticas </w:t>
            </w:r>
          </w:p>
        </w:tc>
        <w:tc>
          <w:tcPr>
            <w:tcW w:w="6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282FF7"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w:t>
            </w:r>
          </w:p>
        </w:tc>
        <w:tc>
          <w:tcPr>
            <w:tcW w:w="47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C4E33C" w14:textId="77777777" w:rsidR="00695A5E" w:rsidRPr="003057B1" w:rsidRDefault="00695A5E" w:rsidP="00695A5E">
            <w:pPr>
              <w:spacing w:before="100" w:beforeAutospacing="1" w:after="100" w:afterAutospacing="1" w:line="240" w:lineRule="auto"/>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Maestría en Derecho Penal</w:t>
            </w:r>
          </w:p>
        </w:tc>
        <w:tc>
          <w:tcPr>
            <w:tcW w:w="1792"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484E39BB" w14:textId="77777777" w:rsidR="00695A5E" w:rsidRPr="003057B1" w:rsidRDefault="00695A5E" w:rsidP="00695A5E">
            <w:pPr>
              <w:spacing w:before="100" w:beforeAutospacing="1" w:after="100" w:afterAutospacing="1" w:line="240" w:lineRule="auto"/>
              <w:ind w:right="7316"/>
              <w:jc w:val="center"/>
              <w:rPr>
                <w:rFonts w:ascii="Times New Roman" w:eastAsia="Times New Roman" w:hAnsi="Times New Roman" w:cs="Times New Roman"/>
                <w:bCs/>
                <w:color w:val="222222"/>
                <w:lang w:eastAsia="es-CO"/>
              </w:rPr>
            </w:pPr>
            <w:r w:rsidRPr="003057B1">
              <w:rPr>
                <w:rFonts w:ascii="Times New Roman" w:eastAsia="Times New Roman" w:hAnsi="Times New Roman" w:cs="Times New Roman"/>
                <w:bCs/>
                <w:color w:val="222222"/>
                <w:lang w:eastAsia="es-CO"/>
              </w:rPr>
              <w:t>Derecho Público “Francisco de Vitoria”</w:t>
            </w:r>
          </w:p>
        </w:tc>
        <w:tc>
          <w:tcPr>
            <w:tcW w:w="40" w:type="pct"/>
            <w:tcBorders>
              <w:top w:val="single" w:sz="6" w:space="0" w:color="DDDDDD"/>
              <w:left w:val="single" w:sz="6" w:space="0" w:color="DDDDDD"/>
              <w:bottom w:val="single" w:sz="6" w:space="0" w:color="DDDDDD"/>
              <w:right w:val="single" w:sz="6" w:space="0" w:color="DDDDDD"/>
            </w:tcBorders>
            <w:shd w:val="clear" w:color="auto" w:fill="FFFFFF"/>
          </w:tcPr>
          <w:p w14:paraId="7C0998F7"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c>
          <w:tcPr>
            <w:tcW w:w="185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3E3A5D" w14:textId="77777777" w:rsidR="00695A5E" w:rsidRPr="003057B1" w:rsidRDefault="00695A5E" w:rsidP="00695A5E">
            <w:pPr>
              <w:spacing w:before="100" w:beforeAutospacing="1" w:after="100" w:afterAutospacing="1" w:line="240" w:lineRule="auto"/>
              <w:ind w:left="-5831"/>
              <w:jc w:val="center"/>
              <w:rPr>
                <w:rFonts w:ascii="Times New Roman" w:eastAsia="Times New Roman" w:hAnsi="Times New Roman" w:cs="Times New Roman"/>
                <w:b/>
                <w:bCs/>
                <w:color w:val="222222"/>
                <w:lang w:eastAsia="es-CO"/>
              </w:rPr>
            </w:pPr>
          </w:p>
        </w:tc>
      </w:tr>
    </w:tbl>
    <w:p w14:paraId="5E811E90" w14:textId="77777777" w:rsidR="002A18AF" w:rsidRPr="003057B1" w:rsidRDefault="002A18AF" w:rsidP="002A18AF">
      <w:pPr>
        <w:spacing w:after="0" w:line="240" w:lineRule="auto"/>
        <w:rPr>
          <w:rFonts w:ascii="Times New Roman" w:eastAsia="Times New Roman" w:hAnsi="Times New Roman" w:cs="Times New Roman"/>
          <w:vanish/>
          <w:lang w:eastAsia="es-CO"/>
        </w:rPr>
      </w:pPr>
    </w:p>
    <w:p w14:paraId="1A7E5ECB" w14:textId="77777777" w:rsidR="002A18AF" w:rsidRPr="003057B1" w:rsidRDefault="002A18AF" w:rsidP="002A18AF">
      <w:pPr>
        <w:spacing w:after="0" w:line="240" w:lineRule="auto"/>
        <w:rPr>
          <w:rFonts w:ascii="Times New Roman" w:eastAsia="Times New Roman" w:hAnsi="Times New Roman" w:cs="Times New Roman"/>
          <w:vanish/>
          <w:lang w:eastAsia="es-CO"/>
        </w:rPr>
      </w:pPr>
    </w:p>
    <w:p w14:paraId="7D075B79"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7491"/>
        <w:gridCol w:w="7492"/>
      </w:tblGrid>
      <w:tr w:rsidR="002A18AF" w:rsidRPr="003057B1" w14:paraId="02ED09CF"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E4D26F9"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DCD53C"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Palabras clave</w:t>
            </w:r>
          </w:p>
        </w:tc>
      </w:tr>
      <w:tr w:rsidR="002A18AF" w:rsidRPr="003057B1" w14:paraId="5EDF2349"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9E07B7" w14:textId="77777777" w:rsidR="002A18AF" w:rsidRPr="003057B1" w:rsidRDefault="002A18AF">
            <w:pPr>
              <w:spacing w:after="0" w:line="240" w:lineRule="auto"/>
              <w:jc w:val="both"/>
              <w:rPr>
                <w:rFonts w:ascii="Times New Roman" w:eastAsia="Times New Roman" w:hAnsi="Times New Roman" w:cs="Times New Roman"/>
                <w:color w:val="222222"/>
                <w:lang w:eastAsia="es-CO"/>
              </w:rPr>
            </w:pPr>
          </w:p>
          <w:p w14:paraId="7B9AD630" w14:textId="77777777" w:rsidR="00E6008D" w:rsidRPr="003057B1" w:rsidRDefault="005416FF">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Los preacuerdos son negociaciones entre la fiscalía y la defensa, donde el procesado acepta los cargos formulados a cambio de una rebaja de pena. Existen varias modalidades de preacuerdos: simple, por degradación y readecuación típica.  En la modalidad de degradación y readecuación típica, la rebaja consiste en imponer la pena de un delito diferente al imputado o acusado, ya sea por la eliminación de un cargo, la variación de la modalidad de la conducta o el cambio del delito. La presente investigación se centra en establecer si, cuando se celebra un preacuerdo en la modalidad de degradación o readecuación típica, el juez, al momento de la sentencia, debe declarar responsabilidad penal por el delito cometido o por el negociado</w:t>
            </w:r>
            <w:r w:rsidR="00FE0064" w:rsidRPr="003057B1">
              <w:rPr>
                <w:rFonts w:ascii="Times New Roman" w:eastAsia="Times New Roman" w:hAnsi="Times New Roman" w:cs="Times New Roman"/>
                <w:color w:val="222222"/>
                <w:lang w:eastAsia="es-CO"/>
              </w:rPr>
              <w:t xml:space="preserve">, lo </w:t>
            </w:r>
            <w:r w:rsidR="00ED7572" w:rsidRPr="003057B1">
              <w:rPr>
                <w:rFonts w:ascii="Times New Roman" w:eastAsia="Times New Roman" w:hAnsi="Times New Roman" w:cs="Times New Roman"/>
                <w:color w:val="222222"/>
                <w:lang w:eastAsia="es-CO"/>
              </w:rPr>
              <w:t>anterior</w:t>
            </w:r>
            <w:r w:rsidR="00FE0064" w:rsidRPr="003057B1">
              <w:rPr>
                <w:rFonts w:ascii="Times New Roman" w:eastAsia="Times New Roman" w:hAnsi="Times New Roman" w:cs="Times New Roman"/>
                <w:color w:val="222222"/>
                <w:lang w:eastAsia="es-CO"/>
              </w:rPr>
              <w:t xml:space="preserve"> de la mano de las consecuencias jurídicas que implica cada una de las hipótesis.</w:t>
            </w:r>
          </w:p>
          <w:p w14:paraId="7E17F70E"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p w14:paraId="786DCB98"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p w14:paraId="27287BA2"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1BC19A" w14:textId="77777777" w:rsidR="002A18AF" w:rsidRPr="003057B1" w:rsidRDefault="00BB713F" w:rsidP="00BB713F">
            <w:pPr>
              <w:spacing w:after="0" w:line="240" w:lineRule="auto"/>
              <w:jc w:val="both"/>
              <w:rPr>
                <w:rFonts w:ascii="Times New Roman" w:eastAsia="Times New Roman" w:hAnsi="Times New Roman" w:cs="Times New Roman"/>
                <w:color w:val="222222"/>
                <w:lang w:eastAsia="es-CO"/>
              </w:rPr>
            </w:pPr>
            <w:r>
              <w:rPr>
                <w:rFonts w:ascii="Times New Roman" w:eastAsia="Times New Roman" w:hAnsi="Times New Roman" w:cs="Times New Roman"/>
                <w:color w:val="222222"/>
                <w:lang w:eastAsia="es-CO"/>
              </w:rPr>
              <w:t>Preacuerdos</w:t>
            </w:r>
            <w:r w:rsidR="005416FF" w:rsidRPr="003057B1">
              <w:rPr>
                <w:rFonts w:ascii="Times New Roman" w:eastAsia="Times New Roman" w:hAnsi="Times New Roman" w:cs="Times New Roman"/>
                <w:color w:val="222222"/>
                <w:lang w:eastAsia="es-CO"/>
              </w:rPr>
              <w:t>, justicia premial, responsabilidad penal</w:t>
            </w:r>
            <w:r w:rsidR="001A5C77" w:rsidRPr="003057B1">
              <w:rPr>
                <w:rFonts w:ascii="Times New Roman" w:eastAsia="Times New Roman" w:hAnsi="Times New Roman" w:cs="Times New Roman"/>
                <w:color w:val="222222"/>
                <w:lang w:eastAsia="es-CO"/>
              </w:rPr>
              <w:t>, sistema penal acusatorio</w:t>
            </w:r>
            <w:r>
              <w:rPr>
                <w:rFonts w:ascii="Times New Roman" w:eastAsia="Times New Roman" w:hAnsi="Times New Roman" w:cs="Times New Roman"/>
                <w:color w:val="222222"/>
                <w:lang w:eastAsia="es-CO"/>
              </w:rPr>
              <w:t>, negociaciones</w:t>
            </w:r>
          </w:p>
        </w:tc>
      </w:tr>
    </w:tbl>
    <w:p w14:paraId="31598867"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771AEBD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D2ABF0" w14:textId="77777777" w:rsidR="002A18AF" w:rsidRPr="003057B1" w:rsidRDefault="00E6008D" w:rsidP="00E6008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w:t>
            </w:r>
            <w:r w:rsidR="002A18AF" w:rsidRPr="003057B1">
              <w:rPr>
                <w:rFonts w:ascii="Times New Roman" w:eastAsia="Times New Roman" w:hAnsi="Times New Roman" w:cs="Times New Roman"/>
                <w:b/>
                <w:bCs/>
                <w:color w:val="222222"/>
                <w:lang w:eastAsia="es-CO"/>
              </w:rPr>
              <w:t>roblema de investigación</w:t>
            </w:r>
          </w:p>
        </w:tc>
      </w:tr>
      <w:tr w:rsidR="002A18AF" w:rsidRPr="003057B1" w14:paraId="058D4D2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ED61575" w14:textId="77777777" w:rsidR="000E74F8" w:rsidRPr="003057B1" w:rsidRDefault="000E74F8" w:rsidP="000E74F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La salida alterna de los preacuerdos, perteneciente a la categoría denominada “justicia premial”, se implementó en nuestro país con la ley 906 de 2004. Es una figura novedosa, ajena a</w:t>
            </w:r>
            <w:r w:rsidR="00680AA2" w:rsidRPr="003057B1">
              <w:rPr>
                <w:rFonts w:ascii="Times New Roman" w:eastAsia="Times New Roman" w:hAnsi="Times New Roman" w:cs="Times New Roman"/>
                <w:color w:val="222222"/>
                <w:lang w:eastAsia="es-CO"/>
              </w:rPr>
              <w:t xml:space="preserve"> la</w:t>
            </w:r>
            <w:r w:rsidRPr="003057B1">
              <w:rPr>
                <w:rFonts w:ascii="Times New Roman" w:eastAsia="Times New Roman" w:hAnsi="Times New Roman" w:cs="Times New Roman"/>
                <w:color w:val="222222"/>
                <w:lang w:eastAsia="es-CO"/>
              </w:rPr>
              <w:t xml:space="preserve"> tradición jurídica y cultural colombiana, por lo que desde su implementación, no solo han existido problemas de eficacia, sino de regulación e interpretación de su naturaleza, modalidades y fines. </w:t>
            </w:r>
          </w:p>
          <w:p w14:paraId="560203A4" w14:textId="77777777" w:rsidR="00680AA2" w:rsidRPr="003057B1" w:rsidRDefault="00680AA2" w:rsidP="000E74F8">
            <w:pPr>
              <w:spacing w:after="0" w:line="240" w:lineRule="auto"/>
              <w:jc w:val="both"/>
              <w:rPr>
                <w:rFonts w:ascii="Times New Roman" w:eastAsia="Times New Roman" w:hAnsi="Times New Roman" w:cs="Times New Roman"/>
                <w:color w:val="222222"/>
                <w:lang w:eastAsia="es-CO"/>
              </w:rPr>
            </w:pPr>
          </w:p>
          <w:p w14:paraId="26529820" w14:textId="77777777" w:rsidR="000E74F8" w:rsidRPr="003057B1" w:rsidRDefault="000E74F8" w:rsidP="000E74F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Uno de los principales problemas sobre los preacuerdos, recae sobre las modalidades de “degradación” y “readecuación típica”, pues en estas modalidades existe una clase de ficción jurídica, donde se impone una pena de un delito distinto al realmente acontecido.  Actualmente, se encuentra decantado que, frente a estas modalidades, se impone la pena del delito negociado; sin embargo, existe diversas interpretaciones entre los Magistrados de la Sala Penal de la Corte Suprema de Justicia y de los operadores judiciales, sobre el delito por el cual se debe declarar penalmente responsable, si es por el que realmente ocurrió o por el negociado, existiendo una diferencia</w:t>
            </w:r>
            <w:r w:rsidR="00680AA2" w:rsidRPr="003057B1">
              <w:rPr>
                <w:rFonts w:ascii="Times New Roman" w:eastAsia="Times New Roman" w:hAnsi="Times New Roman" w:cs="Times New Roman"/>
                <w:color w:val="222222"/>
                <w:lang w:eastAsia="es-CO"/>
              </w:rPr>
              <w:t xml:space="preserve"> sustancial</w:t>
            </w:r>
            <w:r w:rsidRPr="003057B1">
              <w:rPr>
                <w:rFonts w:ascii="Times New Roman" w:eastAsia="Times New Roman" w:hAnsi="Times New Roman" w:cs="Times New Roman"/>
                <w:color w:val="222222"/>
                <w:lang w:eastAsia="es-CO"/>
              </w:rPr>
              <w:t xml:space="preserve"> entre la pena a imponerse y el delito por el cual se declara la responsabilidad penal. </w:t>
            </w:r>
          </w:p>
          <w:p w14:paraId="49A2CC88" w14:textId="77777777" w:rsidR="00E6008D" w:rsidRPr="003057B1" w:rsidRDefault="000E74F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Por lo anterior, se formula el siguiente problema de investigación: ¿Cuándo se realiza un preacuerdo en la modalidad de degradación o readecuación típica, en la parte resolutiva de la sentencia, se debe declarar responsabilidad penal por el delito cometido o por el negociado?</w:t>
            </w:r>
          </w:p>
        </w:tc>
      </w:tr>
    </w:tbl>
    <w:p w14:paraId="18D4CF05"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7DC7DC7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16B91A"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Justificación</w:t>
            </w:r>
          </w:p>
        </w:tc>
      </w:tr>
      <w:tr w:rsidR="002A18AF" w:rsidRPr="003057B1" w14:paraId="6A805A9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7614F50"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p w14:paraId="6B2CB5F5"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Se ha podido establecer que, las sentencias representan el 5% del total de egresos del Sistema Penal Acusatorio Colombiano. </w:t>
            </w:r>
            <w:r w:rsidRPr="003057B1">
              <w:rPr>
                <w:rFonts w:ascii="Times New Roman" w:eastAsia="Times New Roman" w:hAnsi="Times New Roman" w:cs="Times New Roman"/>
                <w:i/>
                <w:color w:val="222222"/>
                <w:lang w:eastAsia="es-CO"/>
              </w:rPr>
              <w:t>A priori</w:t>
            </w:r>
            <w:r w:rsidRPr="003057B1">
              <w:rPr>
                <w:rFonts w:ascii="Times New Roman" w:eastAsia="Times New Roman" w:hAnsi="Times New Roman" w:cs="Times New Roman"/>
                <w:color w:val="222222"/>
                <w:lang w:eastAsia="es-CO"/>
              </w:rPr>
              <w:t xml:space="preserve"> resultaría esperanzador este porcentaje, teniendo en cuenta que el diseño previsto por el legislador de un sistema procesal penal como sistema premial, se esperaba que solo llegara a la etapa de juicio entre el 7 y el 10% de las causas, de modo que el grueso de la demanda fuera atendido en las fases procesales previas (en virtud de la aplicación de los mecanismos de terminación anticipada del proceso, negociaciones y preacuerdos, y del principio de oportunidad (</w:t>
            </w:r>
            <w:r w:rsidR="00352B23" w:rsidRPr="003057B1">
              <w:rPr>
                <w:rFonts w:ascii="Times New Roman" w:eastAsia="Times New Roman" w:hAnsi="Times New Roman" w:cs="Times New Roman"/>
                <w:color w:val="222222"/>
                <w:lang w:eastAsia="es-CO"/>
              </w:rPr>
              <w:t>CEJ</w:t>
            </w:r>
            <w:r w:rsidRPr="003057B1">
              <w:rPr>
                <w:rFonts w:ascii="Times New Roman" w:eastAsia="Times New Roman" w:hAnsi="Times New Roman" w:cs="Times New Roman"/>
                <w:color w:val="222222"/>
                <w:lang w:eastAsia="es-CO"/>
              </w:rPr>
              <w:t>)</w:t>
            </w:r>
          </w:p>
          <w:p w14:paraId="2D4D689F"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p>
          <w:p w14:paraId="0DB375E7"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Igualmente, estudios cuantitativos y cualitativos sobre el Sistema Penal, han señalado que, el 92 % del promedio total de sentencias proferidas para el periodo 2008-2014 fueron sentencias condenatorias. La forma en que se consiguieron estas sentencias, se ve reflejado en el siguiente gráfico:</w:t>
            </w:r>
          </w:p>
          <w:p w14:paraId="38BEE61A" w14:textId="77777777" w:rsidR="002049A8" w:rsidRPr="003057B1" w:rsidRDefault="002049A8" w:rsidP="002049A8">
            <w:pPr>
              <w:jc w:val="both"/>
              <w:rPr>
                <w:rFonts w:ascii="Times New Roman" w:hAnsi="Times New Roman" w:cs="Times New Roman"/>
              </w:rPr>
            </w:pPr>
          </w:p>
          <w:p w14:paraId="0E8E3C5B" w14:textId="77777777" w:rsidR="002049A8" w:rsidRPr="003057B1" w:rsidRDefault="002049A8" w:rsidP="002049A8">
            <w:pPr>
              <w:rPr>
                <w:rFonts w:ascii="Times New Roman" w:hAnsi="Times New Roman" w:cs="Times New Roman"/>
              </w:rPr>
            </w:pPr>
            <w:r w:rsidRPr="003057B1">
              <w:rPr>
                <w:rFonts w:ascii="Times New Roman" w:eastAsia="Times New Roman" w:hAnsi="Times New Roman" w:cs="Times New Roman"/>
                <w:noProof/>
                <w:color w:val="222222"/>
                <w:lang w:val="es-ES_tradnl" w:eastAsia="es-ES_tradnl"/>
              </w:rPr>
              <w:drawing>
                <wp:inline distT="0" distB="0" distL="0" distR="0" wp14:anchorId="59B4434E" wp14:editId="7386EBF7">
                  <wp:extent cx="5400040" cy="2897761"/>
                  <wp:effectExtent l="0" t="0" r="0" b="0"/>
                  <wp:docPr id="6" name="Marcador de contenido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Marcador de contenido 5"/>
                          <pic:cNvPicPr>
                            <a:picLocks noGrp="1" noChangeAspect="1"/>
                          </pic:cNvPicPr>
                        </pic:nvPicPr>
                        <pic:blipFill>
                          <a:blip r:embed="rId17"/>
                          <a:stretch>
                            <a:fillRect/>
                          </a:stretch>
                        </pic:blipFill>
                        <pic:spPr>
                          <a:xfrm>
                            <a:off x="0" y="0"/>
                            <a:ext cx="5400040" cy="2897761"/>
                          </a:xfrm>
                          <a:prstGeom prst="rect">
                            <a:avLst/>
                          </a:prstGeom>
                        </pic:spPr>
                      </pic:pic>
                    </a:graphicData>
                  </a:graphic>
                </wp:inline>
              </w:drawing>
            </w:r>
          </w:p>
          <w:p w14:paraId="01AE186C"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La CEJ, concluye que, de la anterior gráfica, se pueden establecer  tres datos importantes:</w:t>
            </w:r>
          </w:p>
          <w:p w14:paraId="0EEBA4E7" w14:textId="77777777" w:rsidR="002049A8" w:rsidRPr="003057B1" w:rsidRDefault="002049A8" w:rsidP="002049A8">
            <w:pPr>
              <w:pStyle w:val="Prrafodelista"/>
              <w:numPr>
                <w:ilvl w:val="0"/>
                <w:numId w:val="3"/>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el número de sentencias condenatorias por aceptación parcial de cargos se mantiene estable a lo largo del periodo, con un promedio de 557 sentencias anuales; </w:t>
            </w:r>
          </w:p>
          <w:p w14:paraId="0121F835" w14:textId="77777777" w:rsidR="002049A8" w:rsidRPr="003057B1" w:rsidRDefault="002049A8" w:rsidP="002049A8">
            <w:pPr>
              <w:pStyle w:val="Prrafodelista"/>
              <w:numPr>
                <w:ilvl w:val="0"/>
                <w:numId w:val="3"/>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el mayor porcentaje de sentencias condenatorias corresponde a sentencias por aceptación total de cargos; y</w:t>
            </w:r>
          </w:p>
          <w:p w14:paraId="0F3BBBE9" w14:textId="77777777" w:rsidR="002049A8" w:rsidRPr="003057B1" w:rsidRDefault="002049A8" w:rsidP="002049A8">
            <w:pPr>
              <w:pStyle w:val="Prrafodelista"/>
              <w:numPr>
                <w:ilvl w:val="0"/>
                <w:numId w:val="3"/>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durante el segundo quinquenio de implementación del Sistema Penal Acusatorio (2011 - 2014) se presenta una reducción significativa en el número de sentencias por aceptación total de cargos (casi 20.000) al tiempo que se presenta un aumento de casi el doble en el número de sentencias condenatorias por acuerdo o negociación (CEJ, </w:t>
            </w:r>
            <w:r w:rsidR="00F258D8" w:rsidRPr="003057B1">
              <w:rPr>
                <w:rFonts w:ascii="Times New Roman" w:eastAsia="Times New Roman" w:hAnsi="Times New Roman" w:cs="Times New Roman"/>
                <w:color w:val="222222"/>
                <w:lang w:eastAsia="es-CO"/>
              </w:rPr>
              <w:t>Pg.</w:t>
            </w:r>
            <w:r w:rsidRPr="003057B1">
              <w:rPr>
                <w:rFonts w:ascii="Times New Roman" w:eastAsia="Times New Roman" w:hAnsi="Times New Roman" w:cs="Times New Roman"/>
                <w:color w:val="222222"/>
                <w:lang w:eastAsia="es-CO"/>
              </w:rPr>
              <w:t xml:space="preserve"> 47 y 48)</w:t>
            </w:r>
          </w:p>
          <w:p w14:paraId="01A48509"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Por su parte, el siguiente gráfico ilustra la composición de las sentencias condenatorias:</w:t>
            </w:r>
          </w:p>
          <w:p w14:paraId="1F904968" w14:textId="77777777" w:rsidR="002049A8" w:rsidRPr="003057B1" w:rsidRDefault="002049A8" w:rsidP="002049A8">
            <w:pPr>
              <w:ind w:left="45"/>
              <w:rPr>
                <w:rFonts w:ascii="Times New Roman" w:hAnsi="Times New Roman" w:cs="Times New Roman"/>
              </w:rPr>
            </w:pPr>
            <w:r w:rsidRPr="003057B1">
              <w:rPr>
                <w:rFonts w:ascii="Times New Roman" w:eastAsia="Times New Roman" w:hAnsi="Times New Roman" w:cs="Times New Roman"/>
                <w:noProof/>
                <w:color w:val="222222"/>
                <w:lang w:val="es-ES_tradnl" w:eastAsia="es-ES_tradnl"/>
              </w:rPr>
              <w:lastRenderedPageBreak/>
              <w:drawing>
                <wp:inline distT="0" distB="0" distL="0" distR="0" wp14:anchorId="1A175167" wp14:editId="0B9A9AD6">
                  <wp:extent cx="5400040" cy="2893534"/>
                  <wp:effectExtent l="0" t="0" r="0" b="2540"/>
                  <wp:docPr id="4" name="Marcador de conteni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Marcador de contenido 3"/>
                          <pic:cNvPicPr>
                            <a:picLocks noGrp="1" noChangeAspect="1"/>
                          </pic:cNvPicPr>
                        </pic:nvPicPr>
                        <pic:blipFill>
                          <a:blip r:embed="rId18"/>
                          <a:stretch>
                            <a:fillRect/>
                          </a:stretch>
                        </pic:blipFill>
                        <pic:spPr>
                          <a:xfrm>
                            <a:off x="0" y="0"/>
                            <a:ext cx="5400040" cy="2893534"/>
                          </a:xfrm>
                          <a:prstGeom prst="rect">
                            <a:avLst/>
                          </a:prstGeom>
                        </pic:spPr>
                      </pic:pic>
                    </a:graphicData>
                  </a:graphic>
                </wp:inline>
              </w:drawing>
            </w:r>
          </w:p>
          <w:p w14:paraId="7D5CCD2B" w14:textId="77777777" w:rsidR="002049A8" w:rsidRPr="003057B1" w:rsidRDefault="002049A8" w:rsidP="002049A8">
            <w:pPr>
              <w:ind w:left="45"/>
              <w:rPr>
                <w:rFonts w:ascii="Times New Roman" w:hAnsi="Times New Roman" w:cs="Times New Roman"/>
              </w:rPr>
            </w:pPr>
          </w:p>
          <w:p w14:paraId="6C37E906"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La evidencia empírica respalda el impacto positivo de la justicia premial (aceptación de cargos, preacuerdos y negociaciones) en la eficiencia del proceso penal, las cuales representan el 86% de las sentencias condenatorias para el periodo analizado. Por otra parte, la reducción para el segundo quinquenio en el número de sentencias condenatorias por aceptación total de cargos, refleja los efectos de la eliminación de los </w:t>
            </w:r>
            <w:r w:rsidR="00352B23" w:rsidRPr="003057B1">
              <w:rPr>
                <w:rFonts w:ascii="Times New Roman" w:eastAsia="Times New Roman" w:hAnsi="Times New Roman" w:cs="Times New Roman"/>
                <w:color w:val="222222"/>
                <w:lang w:eastAsia="es-CO"/>
              </w:rPr>
              <w:t>beneficios penales (leyes 1098 y 1121 de 2006</w:t>
            </w:r>
            <w:r w:rsidRPr="003057B1">
              <w:rPr>
                <w:rFonts w:ascii="Times New Roman" w:eastAsia="Times New Roman" w:hAnsi="Times New Roman" w:cs="Times New Roman"/>
                <w:color w:val="222222"/>
                <w:lang w:eastAsia="es-CO"/>
              </w:rPr>
              <w:t>) en procesos iniciados tras estas reformas legales, que por la duración del proceso, para ese momento empezaron a llegar a la etapa de juicio. Igualmente, como lo ha señalado la CEJ, responde al impacto de la ley 1453 que modificó los beneficios por aceptación de cargos en los casos en los que se presentara captura en flagrancia, al disminuir la rebaja punitiva en la que consistía el beneficio (artículo 57 de la precitada ley). (CEJ, PG 49)</w:t>
            </w:r>
          </w:p>
          <w:p w14:paraId="37F37581"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p>
          <w:p w14:paraId="11EFA61D"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En la práctica el desmonte de incentivos derivados del preacuerdo, así como el desconocimiento de su naturaleza, alcance y finalidad, termina generando desgastes que implican llevar gran cantidad de casos hasta la etapa del juicio oral, corriendo el riesgo que en este escenario no se logre desvirtuar la presunción de inocencia. Lo anterior, justifica la presente investigación, la cual, en primer lugar, pretende clarificar la naturaleza, modalidad y alcance de los preacuerdos, para que esta figura pueda ser utilizada en mayor medida en el escenario judicial del país.</w:t>
            </w:r>
          </w:p>
          <w:p w14:paraId="31C46E9E" w14:textId="77777777" w:rsidR="002049A8" w:rsidRPr="003057B1" w:rsidRDefault="002049A8" w:rsidP="002049A8">
            <w:pPr>
              <w:spacing w:after="0" w:line="240" w:lineRule="auto"/>
              <w:jc w:val="both"/>
              <w:rPr>
                <w:rFonts w:ascii="Times New Roman" w:eastAsia="Times New Roman" w:hAnsi="Times New Roman" w:cs="Times New Roman"/>
                <w:color w:val="222222"/>
                <w:lang w:eastAsia="es-CO"/>
              </w:rPr>
            </w:pPr>
          </w:p>
          <w:p w14:paraId="57D47332" w14:textId="77777777" w:rsidR="00E6008D" w:rsidRPr="003057B1" w:rsidRDefault="002049A8">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Pero en segundo lugar, la presente investigación es pertinente, por cuanto pretende solucionar el problema </w:t>
            </w:r>
            <w:r w:rsidR="00352B23" w:rsidRPr="003057B1">
              <w:rPr>
                <w:rFonts w:ascii="Times New Roman" w:eastAsia="Times New Roman" w:hAnsi="Times New Roman" w:cs="Times New Roman"/>
                <w:color w:val="222222"/>
                <w:lang w:eastAsia="es-CO"/>
              </w:rPr>
              <w:t>teórico</w:t>
            </w:r>
            <w:r w:rsidRPr="003057B1">
              <w:rPr>
                <w:rFonts w:ascii="Times New Roman" w:eastAsia="Times New Roman" w:hAnsi="Times New Roman" w:cs="Times New Roman"/>
                <w:color w:val="222222"/>
                <w:lang w:eastAsia="es-CO"/>
              </w:rPr>
              <w:t xml:space="preserve">- práctico vigente que recae sobre los preacuerdos en las modalidades de “degradación” y “readecuación típica”, pues en estas modalidades existe una clase de ficción jurídica, donde se impone una pena de un delito distinto al realmente acontecido.  Actualmente, se encuentra decantado que, frente a estas modalidades, se impone la pena del delito negociado; sin embargo, existe diversas interpretaciones entre los Magistrados de la Sala Penal de la Corte Suprema de Justicia y de los operadores judiciales, sobre el delito por el cual se debe declarar penalmente responsable, si es por el que realmente ocurrió o por el negociado, existiendo una diferencia sustancial entre la pena a imponerse y el delito por el cual se declara la responsabilidad penal. </w:t>
            </w:r>
            <w:r w:rsidR="00352B23" w:rsidRPr="003057B1">
              <w:rPr>
                <w:rFonts w:ascii="Times New Roman" w:eastAsia="Times New Roman" w:hAnsi="Times New Roman" w:cs="Times New Roman"/>
                <w:color w:val="222222"/>
                <w:lang w:eastAsia="es-CO"/>
              </w:rPr>
              <w:t>Por lo anterior, se justifica y se</w:t>
            </w:r>
            <w:r w:rsidR="00FE0064" w:rsidRPr="003057B1">
              <w:rPr>
                <w:rFonts w:ascii="Times New Roman" w:eastAsia="Times New Roman" w:hAnsi="Times New Roman" w:cs="Times New Roman"/>
                <w:color w:val="222222"/>
                <w:lang w:eastAsia="es-CO"/>
              </w:rPr>
              <w:t xml:space="preserve"> hace necesario determinar a partir de los fines de los preacuerdos; la naturaleza de los preacuerdos; las modalidades </w:t>
            </w:r>
            <w:r w:rsidR="00FE0064" w:rsidRPr="003057B1">
              <w:rPr>
                <w:rFonts w:ascii="Times New Roman" w:eastAsia="Times New Roman" w:hAnsi="Times New Roman" w:cs="Times New Roman"/>
                <w:color w:val="222222"/>
                <w:lang w:eastAsia="es-CO"/>
              </w:rPr>
              <w:lastRenderedPageBreak/>
              <w:t xml:space="preserve">de preacuerdos; el principio de legalidad; la dogmática penal; los derechos y garantías de las víctimas, si es ajustado a nuestro modelo de Estado y esquema </w:t>
            </w:r>
            <w:r w:rsidR="00237C53" w:rsidRPr="003057B1">
              <w:rPr>
                <w:rFonts w:ascii="Times New Roman" w:eastAsia="Times New Roman" w:hAnsi="Times New Roman" w:cs="Times New Roman"/>
                <w:color w:val="222222"/>
                <w:lang w:eastAsia="es-CO"/>
              </w:rPr>
              <w:t>del proceso penal, condenar por un delito diferente de aquel en que incurrió el infracto</w:t>
            </w:r>
            <w:r w:rsidR="00974E75" w:rsidRPr="003057B1">
              <w:rPr>
                <w:rFonts w:ascii="Times New Roman" w:eastAsia="Times New Roman" w:hAnsi="Times New Roman" w:cs="Times New Roman"/>
                <w:color w:val="222222"/>
                <w:lang w:eastAsia="es-CO"/>
              </w:rPr>
              <w:t>r.</w:t>
            </w:r>
          </w:p>
          <w:p w14:paraId="0C54302A" w14:textId="77777777" w:rsidR="00D76CAA" w:rsidRPr="003057B1" w:rsidRDefault="00D76CAA">
            <w:pPr>
              <w:spacing w:after="0" w:line="240" w:lineRule="auto"/>
              <w:jc w:val="both"/>
              <w:rPr>
                <w:rFonts w:ascii="Times New Roman" w:eastAsia="Times New Roman" w:hAnsi="Times New Roman" w:cs="Times New Roman"/>
                <w:color w:val="222222"/>
                <w:lang w:eastAsia="es-CO"/>
              </w:rPr>
            </w:pPr>
          </w:p>
          <w:p w14:paraId="14C87D6C" w14:textId="77777777" w:rsidR="002A18AF" w:rsidRPr="003057B1" w:rsidRDefault="00D76CAA">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Y a partir de lo anterior, cuál debe </w:t>
            </w:r>
            <w:r w:rsidR="00974E75" w:rsidRPr="003057B1">
              <w:rPr>
                <w:rFonts w:ascii="Times New Roman" w:eastAsia="Times New Roman" w:hAnsi="Times New Roman" w:cs="Times New Roman"/>
                <w:color w:val="222222"/>
                <w:lang w:eastAsia="es-CO"/>
              </w:rPr>
              <w:t>ser el criterio que adopten los operadores de justicia, habiendo uniformidad sobre el particular, ya que la inseguridad jurídica da sensación de corrupción e impunidad.</w:t>
            </w:r>
          </w:p>
        </w:tc>
      </w:tr>
      <w:tr w:rsidR="00352B23" w:rsidRPr="003057B1" w14:paraId="6FFBAD0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215D0D" w14:textId="77777777" w:rsidR="00352B23" w:rsidRPr="003057B1" w:rsidRDefault="00352B23">
            <w:pPr>
              <w:spacing w:after="0" w:line="240" w:lineRule="auto"/>
              <w:jc w:val="both"/>
              <w:rPr>
                <w:rFonts w:ascii="Times New Roman" w:eastAsia="Times New Roman" w:hAnsi="Times New Roman" w:cs="Times New Roman"/>
                <w:color w:val="222222"/>
                <w:lang w:eastAsia="es-CO"/>
              </w:rPr>
            </w:pPr>
          </w:p>
        </w:tc>
      </w:tr>
    </w:tbl>
    <w:p w14:paraId="25293E82"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20F096C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A4FC2CA"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Objetivo general</w:t>
            </w:r>
          </w:p>
        </w:tc>
      </w:tr>
      <w:tr w:rsidR="002A18AF" w:rsidRPr="003057B1" w14:paraId="0B4F493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8D415A5" w14:textId="77777777" w:rsidR="00E6008D" w:rsidRPr="003057B1" w:rsidRDefault="00680AA2">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Determinar</w:t>
            </w:r>
            <w:r w:rsidR="003B55DF" w:rsidRPr="003057B1">
              <w:rPr>
                <w:rFonts w:ascii="Times New Roman" w:eastAsia="Times New Roman" w:hAnsi="Times New Roman" w:cs="Times New Roman"/>
                <w:color w:val="222222"/>
                <w:lang w:eastAsia="es-CO"/>
              </w:rPr>
              <w:t xml:space="preserve"> si,</w:t>
            </w:r>
            <w:r w:rsidRPr="003057B1">
              <w:rPr>
                <w:rFonts w:ascii="Times New Roman" w:eastAsia="Times New Roman" w:hAnsi="Times New Roman" w:cs="Times New Roman"/>
                <w:color w:val="222222"/>
                <w:lang w:eastAsia="es-CO"/>
              </w:rPr>
              <w:t xml:space="preserve"> cuándo se realiza un preacuerdo en la modalidad de degradación o readecuación típica, en la parte resolutiva de la sentencia, se debe declarar responsabilidad penal por el delito cometido o por el negociado</w:t>
            </w:r>
            <w:r w:rsidR="00F258D8" w:rsidRPr="003057B1">
              <w:rPr>
                <w:rFonts w:ascii="Times New Roman" w:eastAsia="Times New Roman" w:hAnsi="Times New Roman" w:cs="Times New Roman"/>
                <w:color w:val="222222"/>
                <w:lang w:eastAsia="es-CO"/>
              </w:rPr>
              <w:t xml:space="preserve">. </w:t>
            </w:r>
          </w:p>
        </w:tc>
      </w:tr>
    </w:tbl>
    <w:p w14:paraId="7BB96B05"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552F0B0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4B920F"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Objetivos específicos</w:t>
            </w:r>
          </w:p>
        </w:tc>
      </w:tr>
      <w:tr w:rsidR="002A18AF" w:rsidRPr="003057B1" w14:paraId="44DC1FA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8C64976" w14:textId="77777777" w:rsidR="002A18AF" w:rsidRPr="003057B1" w:rsidRDefault="002A18AF" w:rsidP="00E6008D">
            <w:pPr>
              <w:spacing w:after="0" w:line="240" w:lineRule="auto"/>
              <w:jc w:val="both"/>
              <w:rPr>
                <w:rFonts w:ascii="Times New Roman" w:eastAsia="Times New Roman" w:hAnsi="Times New Roman" w:cs="Times New Roman"/>
                <w:color w:val="222222"/>
                <w:lang w:eastAsia="es-CO"/>
              </w:rPr>
            </w:pPr>
          </w:p>
          <w:p w14:paraId="39FCDF67" w14:textId="77777777" w:rsidR="00E6008D" w:rsidRPr="003057B1" w:rsidRDefault="00680AA2" w:rsidP="008B5BD4">
            <w:pPr>
              <w:pStyle w:val="Prrafodelista"/>
              <w:numPr>
                <w:ilvl w:val="0"/>
                <w:numId w:val="4"/>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Describir el concepto y modalidad</w:t>
            </w:r>
            <w:r w:rsidR="00B74DE6" w:rsidRPr="003057B1">
              <w:rPr>
                <w:rFonts w:ascii="Times New Roman" w:eastAsia="Times New Roman" w:hAnsi="Times New Roman" w:cs="Times New Roman"/>
                <w:color w:val="222222"/>
                <w:lang w:eastAsia="es-CO"/>
              </w:rPr>
              <w:t>es</w:t>
            </w:r>
            <w:r w:rsidRPr="003057B1">
              <w:rPr>
                <w:rFonts w:ascii="Times New Roman" w:eastAsia="Times New Roman" w:hAnsi="Times New Roman" w:cs="Times New Roman"/>
                <w:color w:val="222222"/>
                <w:lang w:eastAsia="es-CO"/>
              </w:rPr>
              <w:t xml:space="preserve"> de los preacuerdos en Colombia</w:t>
            </w:r>
          </w:p>
          <w:p w14:paraId="35133A5A" w14:textId="77777777" w:rsidR="00B74DE6" w:rsidRPr="003057B1" w:rsidRDefault="00B74DE6" w:rsidP="00E6008D">
            <w:pPr>
              <w:spacing w:after="0" w:line="240" w:lineRule="auto"/>
              <w:jc w:val="both"/>
              <w:rPr>
                <w:rFonts w:ascii="Times New Roman" w:eastAsia="Times New Roman" w:hAnsi="Times New Roman" w:cs="Times New Roman"/>
                <w:color w:val="222222"/>
                <w:lang w:eastAsia="es-CO"/>
              </w:rPr>
            </w:pPr>
          </w:p>
          <w:p w14:paraId="3DB2508F" w14:textId="77777777" w:rsidR="00B74DE6" w:rsidRPr="003057B1" w:rsidRDefault="00B74DE6" w:rsidP="008B5BD4">
            <w:pPr>
              <w:pStyle w:val="Prrafodelista"/>
              <w:numPr>
                <w:ilvl w:val="0"/>
                <w:numId w:val="4"/>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Identificar en los ordenamientos jurídicos de </w:t>
            </w:r>
            <w:r w:rsidR="00822B43" w:rsidRPr="003057B1">
              <w:rPr>
                <w:rFonts w:ascii="Times New Roman" w:eastAsia="Times New Roman" w:hAnsi="Times New Roman" w:cs="Times New Roman"/>
                <w:color w:val="222222"/>
                <w:lang w:eastAsia="es-CO"/>
              </w:rPr>
              <w:t xml:space="preserve"> otros </w:t>
            </w:r>
            <w:r w:rsidR="00F258D8" w:rsidRPr="003057B1">
              <w:rPr>
                <w:rFonts w:ascii="Times New Roman" w:eastAsia="Times New Roman" w:hAnsi="Times New Roman" w:cs="Times New Roman"/>
                <w:color w:val="222222"/>
                <w:lang w:eastAsia="es-CO"/>
              </w:rPr>
              <w:t>países</w:t>
            </w:r>
            <w:r w:rsidR="00822B43" w:rsidRPr="003057B1">
              <w:rPr>
                <w:rFonts w:ascii="Times New Roman" w:eastAsia="Times New Roman" w:hAnsi="Times New Roman" w:cs="Times New Roman"/>
                <w:color w:val="222222"/>
                <w:lang w:eastAsia="es-CO"/>
              </w:rPr>
              <w:t>,</w:t>
            </w:r>
            <w:r w:rsidRPr="003057B1">
              <w:rPr>
                <w:rFonts w:ascii="Times New Roman" w:eastAsia="Times New Roman" w:hAnsi="Times New Roman" w:cs="Times New Roman"/>
                <w:color w:val="222222"/>
                <w:lang w:eastAsia="es-CO"/>
              </w:rPr>
              <w:t xml:space="preserve"> por cu</w:t>
            </w:r>
            <w:r w:rsidR="00822B43" w:rsidRPr="003057B1">
              <w:rPr>
                <w:rFonts w:ascii="Times New Roman" w:eastAsia="Times New Roman" w:hAnsi="Times New Roman" w:cs="Times New Roman"/>
                <w:color w:val="222222"/>
                <w:lang w:eastAsia="es-CO"/>
              </w:rPr>
              <w:t>ál</w:t>
            </w:r>
            <w:r w:rsidRPr="003057B1">
              <w:rPr>
                <w:rFonts w:ascii="Times New Roman" w:eastAsia="Times New Roman" w:hAnsi="Times New Roman" w:cs="Times New Roman"/>
                <w:color w:val="222222"/>
                <w:lang w:eastAsia="es-CO"/>
              </w:rPr>
              <w:t xml:space="preserve"> delito se declara responsabilidad penal cuando se celebran preacuerdos por degradación o readecuación típica.</w:t>
            </w:r>
          </w:p>
          <w:p w14:paraId="7CC94AD2" w14:textId="77777777" w:rsidR="00B74DE6" w:rsidRPr="003057B1" w:rsidRDefault="00B74DE6" w:rsidP="00E6008D">
            <w:pPr>
              <w:spacing w:after="0" w:line="240" w:lineRule="auto"/>
              <w:jc w:val="both"/>
              <w:rPr>
                <w:rFonts w:ascii="Times New Roman" w:eastAsia="Times New Roman" w:hAnsi="Times New Roman" w:cs="Times New Roman"/>
                <w:color w:val="222222"/>
                <w:lang w:eastAsia="es-CO"/>
              </w:rPr>
            </w:pPr>
          </w:p>
          <w:p w14:paraId="5148686D" w14:textId="77777777" w:rsidR="00B74DE6" w:rsidRPr="003057B1" w:rsidRDefault="0049275D" w:rsidP="008B5BD4">
            <w:pPr>
              <w:pStyle w:val="Prrafodelista"/>
              <w:numPr>
                <w:ilvl w:val="0"/>
                <w:numId w:val="4"/>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Establecer</w:t>
            </w:r>
            <w:r w:rsidR="008B5BD4" w:rsidRPr="003057B1">
              <w:rPr>
                <w:rFonts w:ascii="Times New Roman" w:eastAsia="Times New Roman" w:hAnsi="Times New Roman" w:cs="Times New Roman"/>
                <w:color w:val="222222"/>
                <w:lang w:eastAsia="es-CO"/>
              </w:rPr>
              <w:t xml:space="preserve"> las posturas</w:t>
            </w:r>
            <w:r w:rsidR="00B74DE6" w:rsidRPr="003057B1">
              <w:rPr>
                <w:rFonts w:ascii="Times New Roman" w:eastAsia="Times New Roman" w:hAnsi="Times New Roman" w:cs="Times New Roman"/>
                <w:color w:val="222222"/>
                <w:lang w:eastAsia="es-CO"/>
              </w:rPr>
              <w:t xml:space="preserve"> jurisprudenciales en Colombia, respecto a la declaratoria de responsabilidad penal cuando se celebran preacuerdos por degradación y readecuación típica </w:t>
            </w:r>
          </w:p>
          <w:p w14:paraId="61DB0D77" w14:textId="77777777" w:rsidR="00B74DE6" w:rsidRPr="003057B1" w:rsidRDefault="00B74DE6" w:rsidP="00E6008D">
            <w:pPr>
              <w:spacing w:after="0" w:line="240" w:lineRule="auto"/>
              <w:jc w:val="both"/>
              <w:rPr>
                <w:rFonts w:ascii="Times New Roman" w:eastAsia="Times New Roman" w:hAnsi="Times New Roman" w:cs="Times New Roman"/>
                <w:color w:val="222222"/>
                <w:lang w:eastAsia="es-CO"/>
              </w:rPr>
            </w:pPr>
          </w:p>
          <w:p w14:paraId="2BA06F57" w14:textId="77777777" w:rsidR="00E6008D" w:rsidRPr="003057B1" w:rsidRDefault="0049275D" w:rsidP="00E6008D">
            <w:pPr>
              <w:pStyle w:val="Prrafodelista"/>
              <w:numPr>
                <w:ilvl w:val="0"/>
                <w:numId w:val="4"/>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Establecer</w:t>
            </w:r>
            <w:r w:rsidR="00B74DE6" w:rsidRPr="003057B1">
              <w:rPr>
                <w:rFonts w:ascii="Times New Roman" w:eastAsia="Times New Roman" w:hAnsi="Times New Roman" w:cs="Times New Roman"/>
                <w:color w:val="222222"/>
                <w:lang w:eastAsia="es-CO"/>
              </w:rPr>
              <w:t xml:space="preserve"> la postura de operadores judiciales en la ciudad de Bogotá, respecto a cuál debe ser la declaratoria de responsabilidad </w:t>
            </w:r>
            <w:r w:rsidR="00822B43" w:rsidRPr="003057B1">
              <w:rPr>
                <w:rFonts w:ascii="Times New Roman" w:eastAsia="Times New Roman" w:hAnsi="Times New Roman" w:cs="Times New Roman"/>
                <w:color w:val="222222"/>
                <w:lang w:eastAsia="es-CO"/>
              </w:rPr>
              <w:t xml:space="preserve"> penal </w:t>
            </w:r>
            <w:r w:rsidR="00B74DE6" w:rsidRPr="003057B1">
              <w:rPr>
                <w:rFonts w:ascii="Times New Roman" w:eastAsia="Times New Roman" w:hAnsi="Times New Roman" w:cs="Times New Roman"/>
                <w:color w:val="222222"/>
                <w:lang w:eastAsia="es-CO"/>
              </w:rPr>
              <w:t>cuando se celebran preacuerdos por degradación y readecuación típica</w:t>
            </w:r>
            <w:r w:rsidR="00822B43" w:rsidRPr="003057B1">
              <w:rPr>
                <w:rFonts w:ascii="Times New Roman" w:eastAsia="Times New Roman" w:hAnsi="Times New Roman" w:cs="Times New Roman"/>
                <w:color w:val="222222"/>
                <w:lang w:eastAsia="es-CO"/>
              </w:rPr>
              <w:t xml:space="preserve">: precisando si se conceden o no subrogados y beneficios </w:t>
            </w:r>
            <w:r w:rsidR="00F258D8" w:rsidRPr="003057B1">
              <w:rPr>
                <w:rFonts w:ascii="Times New Roman" w:eastAsia="Times New Roman" w:hAnsi="Times New Roman" w:cs="Times New Roman"/>
                <w:color w:val="222222"/>
                <w:lang w:eastAsia="es-CO"/>
              </w:rPr>
              <w:t>dependiendo</w:t>
            </w:r>
            <w:r w:rsidR="00822B43" w:rsidRPr="003057B1">
              <w:rPr>
                <w:rFonts w:ascii="Times New Roman" w:eastAsia="Times New Roman" w:hAnsi="Times New Roman" w:cs="Times New Roman"/>
                <w:color w:val="222222"/>
                <w:lang w:eastAsia="es-CO"/>
              </w:rPr>
              <w:t xml:space="preserve"> de la conducta penal por la que condene el Juez de Conocimiento, que es diferente a la realmente comet</w:t>
            </w:r>
            <w:r w:rsidR="00237C53" w:rsidRPr="003057B1">
              <w:rPr>
                <w:rFonts w:ascii="Times New Roman" w:eastAsia="Times New Roman" w:hAnsi="Times New Roman" w:cs="Times New Roman"/>
                <w:color w:val="222222"/>
                <w:lang w:eastAsia="es-CO"/>
              </w:rPr>
              <w:t>ida.</w:t>
            </w:r>
          </w:p>
        </w:tc>
      </w:tr>
    </w:tbl>
    <w:p w14:paraId="4BB7AC67"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065A1E3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5DB79E" w14:textId="77777777" w:rsidR="002A18AF" w:rsidRPr="003057B1" w:rsidRDefault="00E6008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Estado del arte y marco conceptual</w:t>
            </w:r>
          </w:p>
        </w:tc>
      </w:tr>
      <w:tr w:rsidR="002A18AF" w:rsidRPr="003057B1" w14:paraId="53FABE8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A44DF98" w14:textId="77777777" w:rsidR="002A18AF" w:rsidRPr="003057B1" w:rsidRDefault="002A18AF">
            <w:pPr>
              <w:spacing w:after="0" w:line="240" w:lineRule="auto"/>
              <w:jc w:val="both"/>
              <w:rPr>
                <w:rFonts w:ascii="Times New Roman" w:eastAsia="Times New Roman" w:hAnsi="Times New Roman" w:cs="Times New Roman"/>
                <w:color w:val="222222"/>
                <w:lang w:eastAsia="es-CO"/>
              </w:rPr>
            </w:pPr>
          </w:p>
          <w:p w14:paraId="4F42A0FC" w14:textId="77777777" w:rsidR="00E6008D" w:rsidRPr="003057B1" w:rsidRDefault="00822B43">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Desde el 1 de enero de 2005 entró en Vigencia la ley 906 de 2004(Código de Procedi</w:t>
            </w:r>
            <w:r w:rsidR="00E16E87" w:rsidRPr="003057B1">
              <w:rPr>
                <w:rFonts w:ascii="Times New Roman" w:eastAsia="Times New Roman" w:hAnsi="Times New Roman" w:cs="Times New Roman"/>
                <w:color w:val="222222"/>
                <w:lang w:eastAsia="es-CO"/>
              </w:rPr>
              <w:t>m</w:t>
            </w:r>
            <w:r w:rsidRPr="003057B1">
              <w:rPr>
                <w:rFonts w:ascii="Times New Roman" w:eastAsia="Times New Roman" w:hAnsi="Times New Roman" w:cs="Times New Roman"/>
                <w:color w:val="222222"/>
                <w:lang w:eastAsia="es-CO"/>
              </w:rPr>
              <w:t xml:space="preserve">iento Penal con tendencia acusatoria), presentando como novedad los Preacuerdos y Negociaciones; institución procesal con efectos sustanciales que con el pasar del tiempo ha venido </w:t>
            </w:r>
            <w:r w:rsidR="00F258D8" w:rsidRPr="003057B1">
              <w:rPr>
                <w:rFonts w:ascii="Times New Roman" w:eastAsia="Times New Roman" w:hAnsi="Times New Roman" w:cs="Times New Roman"/>
                <w:color w:val="222222"/>
                <w:lang w:eastAsia="es-CO"/>
              </w:rPr>
              <w:t>aplicándose</w:t>
            </w:r>
            <w:r w:rsidRPr="003057B1">
              <w:rPr>
                <w:rFonts w:ascii="Times New Roman" w:eastAsia="Times New Roman" w:hAnsi="Times New Roman" w:cs="Times New Roman"/>
                <w:color w:val="222222"/>
                <w:lang w:eastAsia="es-CO"/>
              </w:rPr>
              <w:t>, dejándose al lad</w:t>
            </w:r>
            <w:r w:rsidR="002E6732" w:rsidRPr="003057B1">
              <w:rPr>
                <w:rFonts w:ascii="Times New Roman" w:eastAsia="Times New Roman" w:hAnsi="Times New Roman" w:cs="Times New Roman"/>
                <w:color w:val="222222"/>
                <w:lang w:eastAsia="es-CO"/>
              </w:rPr>
              <w:t>o el miedo que genera en los operadores de justicia entender e interpretar las diferentes modalidade</w:t>
            </w:r>
            <w:r w:rsidR="00FA1B5A" w:rsidRPr="003057B1">
              <w:rPr>
                <w:rFonts w:ascii="Times New Roman" w:eastAsia="Times New Roman" w:hAnsi="Times New Roman" w:cs="Times New Roman"/>
                <w:color w:val="222222"/>
                <w:lang w:eastAsia="es-CO"/>
              </w:rPr>
              <w:t>s</w:t>
            </w:r>
            <w:r w:rsidR="002E6732" w:rsidRPr="003057B1">
              <w:rPr>
                <w:rFonts w:ascii="Times New Roman" w:eastAsia="Times New Roman" w:hAnsi="Times New Roman" w:cs="Times New Roman"/>
                <w:color w:val="222222"/>
                <w:lang w:eastAsia="es-CO"/>
              </w:rPr>
              <w:t xml:space="preserve"> de terminación anticipada que señala el artículo 350 ibídem.</w:t>
            </w:r>
          </w:p>
          <w:p w14:paraId="4A26CA6C" w14:textId="77777777" w:rsidR="00FA1B5A" w:rsidRPr="003057B1" w:rsidRDefault="00FA1B5A">
            <w:pPr>
              <w:spacing w:after="0" w:line="240" w:lineRule="auto"/>
              <w:jc w:val="both"/>
              <w:rPr>
                <w:rFonts w:ascii="Times New Roman" w:eastAsia="Times New Roman" w:hAnsi="Times New Roman" w:cs="Times New Roman"/>
                <w:color w:val="222222"/>
                <w:lang w:eastAsia="es-CO"/>
              </w:rPr>
            </w:pPr>
          </w:p>
          <w:p w14:paraId="4D307A22" w14:textId="77777777" w:rsidR="00FA1B5A" w:rsidRPr="003057B1" w:rsidRDefault="00FA1B5A" w:rsidP="00FA1B5A">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Los preacuerdos se ubican dentro de la categoría de la justicia premial, los cuales consisten en una negociación entre el delegado de la Fiscalía General de la Nación y la Defensa, donde el procesado renuncia al derecho de gozar de un juicio justo, oral, imparcial, contradictorio y concentrado, aceptando  la responsabilidad penal de los cargos formulados por la Fiscalía, a cambio de una rebaja en la pena a imponerse</w:t>
            </w:r>
            <w:r w:rsidR="000D59A8" w:rsidRPr="003057B1">
              <w:rPr>
                <w:rFonts w:ascii="Times New Roman" w:eastAsia="Times New Roman" w:hAnsi="Times New Roman" w:cs="Times New Roman"/>
                <w:color w:val="222222"/>
                <w:lang w:eastAsia="es-CO"/>
              </w:rPr>
              <w:t xml:space="preserve"> (Saray y Uribe, </w:t>
            </w:r>
            <w:r w:rsidR="00AF361C" w:rsidRPr="003057B1">
              <w:rPr>
                <w:rFonts w:ascii="Times New Roman" w:eastAsia="Times New Roman" w:hAnsi="Times New Roman" w:cs="Times New Roman"/>
                <w:color w:val="222222"/>
                <w:lang w:eastAsia="es-CO"/>
              </w:rPr>
              <w:t>2017).</w:t>
            </w:r>
            <w:r w:rsidRPr="003057B1">
              <w:rPr>
                <w:rFonts w:ascii="Times New Roman" w:eastAsia="Times New Roman" w:hAnsi="Times New Roman" w:cs="Times New Roman"/>
                <w:color w:val="222222"/>
                <w:lang w:eastAsia="es-CO"/>
              </w:rPr>
              <w:t xml:space="preserve"> Por su parte, si bien el estado a través de la Fiscalía acuerda una rebaja de la pena, el beneficio que esta obtiene es la materialización de una sentencia condenatoria pronta, no teniendo que vencer en juicio al procesado, materializándose de esta manera los principios de eficacia, celeridad, economía procesal, entre otros. Igualmente, a la víctima, al obtener una justicia de manera eficaz y pronta, se le materializan sus derechos y garantías dentro del proceso penal. </w:t>
            </w:r>
          </w:p>
          <w:p w14:paraId="57CA4F94" w14:textId="77777777" w:rsidR="00FA1B5A" w:rsidRPr="003057B1" w:rsidRDefault="00FA1B5A" w:rsidP="00FA1B5A">
            <w:pPr>
              <w:jc w:val="both"/>
              <w:rPr>
                <w:rFonts w:ascii="Times New Roman" w:hAnsi="Times New Roman" w:cs="Times New Roman"/>
                <w:lang w:val="es-ES"/>
              </w:rPr>
            </w:pPr>
          </w:p>
          <w:p w14:paraId="075BC9D2" w14:textId="77777777" w:rsidR="00FA1B5A" w:rsidRPr="003057B1" w:rsidRDefault="00FA1B5A" w:rsidP="00FA1B5A">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Respecto a las finalidades de la justicia premial, cimento  estructural para la eficacia de los sistemas con tendencia acusatoria y adversarial, solo un porcentaje mínimo de los casos penales debe llegar a juicio, debiendo privilegiarse salidas alternas que eviten la congestión judicial y propendan por la humanización del proceso, la eficacia del goce de los derechos de las víctimas, la activación de la solución de los conflictos sociales que genera el delito y la materialización de la justicia restaurativa</w:t>
            </w:r>
            <w:r w:rsidR="00AF361C" w:rsidRPr="003057B1">
              <w:rPr>
                <w:rFonts w:ascii="Times New Roman" w:eastAsia="Times New Roman" w:hAnsi="Times New Roman" w:cs="Times New Roman"/>
                <w:color w:val="222222"/>
                <w:lang w:eastAsia="es-CO"/>
              </w:rPr>
              <w:t xml:space="preserve"> (</w:t>
            </w:r>
            <w:r w:rsidR="000D59A8" w:rsidRPr="003057B1">
              <w:rPr>
                <w:rFonts w:ascii="Times New Roman" w:eastAsia="Times New Roman" w:hAnsi="Times New Roman" w:cs="Times New Roman"/>
                <w:color w:val="222222"/>
                <w:lang w:eastAsia="es-CO"/>
              </w:rPr>
              <w:t>Sánchez, 2014)</w:t>
            </w:r>
            <w:r w:rsidRPr="003057B1">
              <w:rPr>
                <w:rFonts w:ascii="Times New Roman" w:eastAsia="Times New Roman" w:hAnsi="Times New Roman" w:cs="Times New Roman"/>
                <w:color w:val="222222"/>
                <w:lang w:eastAsia="es-CO"/>
              </w:rPr>
              <w:t xml:space="preserve">.  </w:t>
            </w:r>
          </w:p>
          <w:p w14:paraId="675A23BA" w14:textId="77777777" w:rsidR="00FA1B5A" w:rsidRPr="003057B1" w:rsidRDefault="00FA1B5A" w:rsidP="00FA1B5A">
            <w:pPr>
              <w:jc w:val="both"/>
              <w:rPr>
                <w:rFonts w:ascii="Times New Roman" w:hAnsi="Times New Roman" w:cs="Times New Roman"/>
              </w:rPr>
            </w:pPr>
          </w:p>
          <w:p w14:paraId="08197762" w14:textId="77777777" w:rsidR="00FA1B5A" w:rsidRPr="003057B1" w:rsidRDefault="00FA1B5A" w:rsidP="00896460">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Respecto a la naturaleza de los preacuerdos. Se debe partir afirmando que los preacuerdos no modifican el aspecto fáctico de los cargos imputados o acusados, sino que estos tienen una incidencia exclusiva en la pena. A</w:t>
            </w:r>
            <w:r w:rsidR="00FF2448" w:rsidRPr="003057B1">
              <w:rPr>
                <w:rFonts w:ascii="Times New Roman" w:eastAsia="Times New Roman" w:hAnsi="Times New Roman" w:cs="Times New Roman"/>
                <w:color w:val="222222"/>
                <w:lang w:eastAsia="es-CO"/>
              </w:rPr>
              <w:t>l respecto la Corte Suprema de J</w:t>
            </w:r>
            <w:r w:rsidRPr="003057B1">
              <w:rPr>
                <w:rFonts w:ascii="Times New Roman" w:eastAsia="Times New Roman" w:hAnsi="Times New Roman" w:cs="Times New Roman"/>
                <w:color w:val="222222"/>
                <w:lang w:eastAsia="es-CO"/>
              </w:rPr>
              <w:t>usticia ha establecido:</w:t>
            </w:r>
          </w:p>
          <w:p w14:paraId="540591CA" w14:textId="77777777" w:rsidR="00FA1B5A" w:rsidRPr="003057B1" w:rsidRDefault="00FA1B5A" w:rsidP="00896460">
            <w:pPr>
              <w:spacing w:after="0" w:line="240" w:lineRule="auto"/>
              <w:jc w:val="both"/>
              <w:rPr>
                <w:rFonts w:ascii="Times New Roman" w:eastAsia="Times New Roman" w:hAnsi="Times New Roman" w:cs="Times New Roman"/>
                <w:color w:val="222222"/>
                <w:lang w:eastAsia="es-CO"/>
              </w:rPr>
            </w:pPr>
          </w:p>
          <w:p w14:paraId="74B6CC25" w14:textId="77777777" w:rsidR="00FA1B5A" w:rsidRPr="003057B1" w:rsidRDefault="00FA1B5A" w:rsidP="00FA1B5A">
            <w:pPr>
              <w:jc w:val="both"/>
              <w:rPr>
                <w:rFonts w:ascii="Times New Roman" w:hAnsi="Times New Roman" w:cs="Times New Roman"/>
              </w:rPr>
            </w:pPr>
            <w:r w:rsidRPr="003057B1">
              <w:rPr>
                <w:rFonts w:ascii="Times New Roman" w:hAnsi="Times New Roman" w:cs="Times New Roman"/>
                <w:i/>
                <w:iCs/>
              </w:rPr>
              <w:t>“La tipicidad que resulta del negocio jurídico en la modalidad de eliminación de una agravante no implica al menos la modificación de la adecuación del comportamiento en el tipo básico conforme al cargo jurídicamente atribuido en la audiencia de imputación, hay solamente una degradación por razón de una circunstancia fáctica, personal, modal, de tiempo, lugar o cantidad, grado de participación o forma de</w:t>
            </w:r>
            <w:r w:rsidR="002D58A8" w:rsidRPr="003057B1">
              <w:rPr>
                <w:rFonts w:ascii="Times New Roman" w:hAnsi="Times New Roman" w:cs="Times New Roman"/>
                <w:i/>
                <w:iCs/>
              </w:rPr>
              <w:t xml:space="preserve"> </w:t>
            </w:r>
            <w:r w:rsidRPr="003057B1">
              <w:rPr>
                <w:rFonts w:ascii="Times New Roman" w:hAnsi="Times New Roman" w:cs="Times New Roman"/>
                <w:i/>
                <w:iCs/>
              </w:rPr>
              <w:t>culpabilidad que incide en la pena.</w:t>
            </w:r>
          </w:p>
          <w:p w14:paraId="23C29883" w14:textId="77777777" w:rsidR="00FA1B5A" w:rsidRPr="003057B1" w:rsidRDefault="00FA1B5A" w:rsidP="00FA1B5A">
            <w:pPr>
              <w:jc w:val="both"/>
              <w:rPr>
                <w:rFonts w:ascii="Times New Roman" w:hAnsi="Times New Roman" w:cs="Times New Roman"/>
              </w:rPr>
            </w:pPr>
            <w:r w:rsidRPr="003057B1">
              <w:rPr>
                <w:rFonts w:ascii="Times New Roman" w:hAnsi="Times New Roman" w:cs="Times New Roman"/>
              </w:rPr>
              <w:t>(…)</w:t>
            </w:r>
          </w:p>
          <w:p w14:paraId="7B6190CF" w14:textId="77777777" w:rsidR="00FA1B5A" w:rsidRPr="003057B1" w:rsidRDefault="00FA1B5A" w:rsidP="00FA1B5A">
            <w:pPr>
              <w:jc w:val="both"/>
              <w:rPr>
                <w:rFonts w:ascii="Times New Roman" w:hAnsi="Times New Roman" w:cs="Times New Roman"/>
                <w:i/>
                <w:iCs/>
              </w:rPr>
            </w:pPr>
            <w:r w:rsidRPr="003057B1">
              <w:rPr>
                <w:rFonts w:ascii="Times New Roman" w:hAnsi="Times New Roman" w:cs="Times New Roman"/>
                <w:i/>
                <w:iCs/>
              </w:rPr>
              <w:t>El juez deberá condenar por el delito imputado, el texto legal así lo indica, “el imputado </w:t>
            </w:r>
            <w:r w:rsidRPr="003057B1">
              <w:rPr>
                <w:rFonts w:ascii="Times New Roman" w:hAnsi="Times New Roman" w:cs="Times New Roman"/>
                <w:b/>
                <w:bCs/>
                <w:i/>
                <w:iCs/>
              </w:rPr>
              <w:t>se declarará culpable</w:t>
            </w:r>
            <w:r w:rsidRPr="003057B1">
              <w:rPr>
                <w:rFonts w:ascii="Times New Roman" w:hAnsi="Times New Roman" w:cs="Times New Roman"/>
                <w:i/>
                <w:iCs/>
              </w:rPr>
              <w:t> del delito </w:t>
            </w:r>
            <w:r w:rsidRPr="003057B1">
              <w:rPr>
                <w:rFonts w:ascii="Times New Roman" w:hAnsi="Times New Roman" w:cs="Times New Roman"/>
                <w:b/>
                <w:bCs/>
                <w:i/>
                <w:iCs/>
              </w:rPr>
              <w:t>imputado</w:t>
            </w:r>
            <w:r w:rsidRPr="003057B1">
              <w:rPr>
                <w:rFonts w:ascii="Times New Roman" w:hAnsi="Times New Roman" w:cs="Times New Roman"/>
                <w:i/>
                <w:iCs/>
              </w:rPr>
              <w:t>”, pero se debe imponer por razón del preacuerdo la pena que corresponda al cambio aceptado por la fiscalía, la que surja como consecuencia de la eliminación de una agravante o cargo específico, que es representativa de una degradación.</w:t>
            </w:r>
            <w:r w:rsidRPr="003057B1">
              <w:rPr>
                <w:rStyle w:val="Refdenotaalpie"/>
                <w:rFonts w:ascii="Times New Roman" w:hAnsi="Times New Roman" w:cs="Times New Roman"/>
                <w:i/>
                <w:iCs/>
              </w:rPr>
              <w:footnoteReference w:id="1"/>
            </w:r>
            <w:r w:rsidRPr="003057B1">
              <w:rPr>
                <w:rFonts w:ascii="Times New Roman" w:hAnsi="Times New Roman" w:cs="Times New Roman"/>
                <w:i/>
                <w:iCs/>
              </w:rPr>
              <w:t>”</w:t>
            </w:r>
          </w:p>
          <w:p w14:paraId="68FD5061"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Con relación a las modalidades de los preacuerdos, se ha establecido la siguiente clasificación:</w:t>
            </w:r>
          </w:p>
          <w:p w14:paraId="59018AC1"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p>
          <w:p w14:paraId="2B34EF12" w14:textId="77777777" w:rsidR="008B6F96" w:rsidRPr="003057B1" w:rsidRDefault="008B6F96" w:rsidP="008B6F96">
            <w:pPr>
              <w:spacing w:after="0" w:line="240" w:lineRule="auto"/>
              <w:jc w:val="both"/>
              <w:rPr>
                <w:rFonts w:ascii="Times New Roman" w:eastAsia="Times New Roman" w:hAnsi="Times New Roman" w:cs="Times New Roman"/>
                <w:b/>
                <w:color w:val="222222"/>
                <w:lang w:eastAsia="es-CO"/>
              </w:rPr>
            </w:pPr>
            <w:r w:rsidRPr="003057B1">
              <w:rPr>
                <w:rFonts w:ascii="Times New Roman" w:eastAsia="Times New Roman" w:hAnsi="Times New Roman" w:cs="Times New Roman"/>
                <w:b/>
                <w:color w:val="222222"/>
                <w:lang w:eastAsia="es-CO"/>
              </w:rPr>
              <w:t>Preacuerdo simple:</w:t>
            </w:r>
          </w:p>
          <w:p w14:paraId="28C46107"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p>
          <w:p w14:paraId="10CB1B11"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Preacuerdo conforme a los términos de la imputación, el indiciado se declara culpable del delito imputado (Artículo 350, inciso 1º del C.P.P).</w:t>
            </w:r>
          </w:p>
          <w:p w14:paraId="5ADA26A1"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p>
          <w:p w14:paraId="7E08C4F4"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Las partes admiten la existencia material del delito, la autoría y la responsabilidad en las condiciones en que se precisaron en la formulación de la imputación, pero se acuerda la cantidad de rebaja de pena que habrá de hacerse a la sanción impuesta, dada la fase procesal en que ese convenio se presente, además puede o no tener por objeto la negociación de subrogados o sustitutos penales.</w:t>
            </w:r>
          </w:p>
          <w:p w14:paraId="3178B602" w14:textId="77777777" w:rsidR="008B6F96" w:rsidRPr="003057B1" w:rsidRDefault="008B6F96" w:rsidP="008B6F96">
            <w:pPr>
              <w:spacing w:after="0" w:line="240" w:lineRule="auto"/>
              <w:jc w:val="both"/>
              <w:rPr>
                <w:rFonts w:ascii="Times New Roman" w:eastAsia="Times New Roman" w:hAnsi="Times New Roman" w:cs="Times New Roman"/>
                <w:color w:val="222222"/>
                <w:lang w:eastAsia="es-CO"/>
              </w:rPr>
            </w:pPr>
          </w:p>
          <w:p w14:paraId="7EEB3DD2" w14:textId="77777777" w:rsidR="008B6F96" w:rsidRPr="003057B1" w:rsidRDefault="008B6F96" w:rsidP="008B6F96">
            <w:pPr>
              <w:jc w:val="both"/>
              <w:rPr>
                <w:rFonts w:ascii="Times New Roman" w:eastAsia="Times New Roman" w:hAnsi="Times New Roman" w:cs="Times New Roman"/>
                <w:color w:val="222222"/>
                <w:lang w:val="es-ES" w:eastAsia="es-CO"/>
              </w:rPr>
            </w:pPr>
            <w:r w:rsidRPr="003057B1">
              <w:rPr>
                <w:rFonts w:ascii="Times New Roman" w:eastAsia="Times New Roman" w:hAnsi="Times New Roman" w:cs="Times New Roman"/>
                <w:color w:val="222222"/>
                <w:lang w:eastAsia="es-CO"/>
              </w:rPr>
              <w:t xml:space="preserve">En este caso el juez deberá condenar por el delito aceptado por el procesado, que se reitera, no es otro que el formulado en la audiencia de imputación.( CSJ, </w:t>
            </w:r>
            <w:r w:rsidRPr="003057B1">
              <w:rPr>
                <w:rFonts w:ascii="Times New Roman" w:eastAsia="Times New Roman" w:hAnsi="Times New Roman" w:cs="Times New Roman"/>
                <w:color w:val="222222"/>
                <w:lang w:val="es-ES_tradnl" w:eastAsia="es-CO"/>
              </w:rPr>
              <w:t>Sentencia SP7100-2016 -Salvamento de voto)</w:t>
            </w:r>
          </w:p>
          <w:p w14:paraId="21AF8BFD" w14:textId="77777777" w:rsidR="008B6F96" w:rsidRPr="003057B1" w:rsidRDefault="008B6F96" w:rsidP="008B6F96">
            <w:pPr>
              <w:spacing w:after="0" w:line="240" w:lineRule="auto"/>
              <w:jc w:val="both"/>
              <w:rPr>
                <w:rFonts w:ascii="Times New Roman" w:eastAsia="Times New Roman" w:hAnsi="Times New Roman" w:cs="Times New Roman"/>
                <w:b/>
                <w:color w:val="222222"/>
                <w:lang w:eastAsia="es-CO"/>
              </w:rPr>
            </w:pPr>
            <w:r w:rsidRPr="003057B1">
              <w:rPr>
                <w:rFonts w:ascii="Times New Roman" w:eastAsia="Times New Roman" w:hAnsi="Times New Roman" w:cs="Times New Roman"/>
                <w:b/>
                <w:color w:val="222222"/>
                <w:lang w:eastAsia="es-CO"/>
              </w:rPr>
              <w:t>Preacuerdo con degradación:</w:t>
            </w:r>
          </w:p>
          <w:p w14:paraId="669A358F" w14:textId="77777777" w:rsidR="008B6F96" w:rsidRPr="003057B1" w:rsidRDefault="008B6F96" w:rsidP="008B6F96">
            <w:pPr>
              <w:spacing w:after="0" w:line="240" w:lineRule="auto"/>
              <w:jc w:val="both"/>
              <w:rPr>
                <w:rFonts w:ascii="Times New Roman" w:eastAsia="Times New Roman" w:hAnsi="Times New Roman" w:cs="Times New Roman"/>
                <w:b/>
                <w:color w:val="222222"/>
                <w:lang w:eastAsia="es-CO"/>
              </w:rPr>
            </w:pPr>
          </w:p>
          <w:p w14:paraId="4505A82F"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Preacuerdo en el que el indiciado o procesado se declara culpable, pero con eliminación de una causal de agravación punitiva o algún cargo específico.</w:t>
            </w:r>
          </w:p>
          <w:p w14:paraId="0511E8DF" w14:textId="77777777" w:rsidR="008B6F96" w:rsidRPr="003057B1" w:rsidRDefault="008B6F96" w:rsidP="008B6F96">
            <w:pPr>
              <w:spacing w:after="0" w:line="240" w:lineRule="auto"/>
              <w:jc w:val="both"/>
              <w:rPr>
                <w:rFonts w:ascii="Times New Roman" w:eastAsia="Times New Roman" w:hAnsi="Times New Roman" w:cs="Times New Roman"/>
                <w:b/>
                <w:color w:val="222222"/>
                <w:lang w:eastAsia="es-CO"/>
              </w:rPr>
            </w:pPr>
          </w:p>
          <w:p w14:paraId="1B1F65AA"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Esta forma de preacordar está fijada en el inciso segundo del artículo 350 ídem, parte del supuesto que el Fiscal y el procesado aceptan que éste último se declara culpable del delito o los ilícitos que se le atribuyeron en la audiencia preliminar o, en su caso y de haber ocurrido, por el o los reatos señalados en la audiencia que se adicionó en la imputación, o acepte responsabilidad bajo la condición que se elimine cargo por uno de los atribuidos.</w:t>
            </w:r>
          </w:p>
          <w:p w14:paraId="1E8BFC82"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7B62C138"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El beneficio debe consistir en la menor pena que represente por la eliminación de una agravante o un “cargo específico” (numeral 1ª ídem).</w:t>
            </w:r>
          </w:p>
          <w:p w14:paraId="169B71D0"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646A04C3"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La tipicidad que resulta del negocio jurídico en la modalidad de</w:t>
            </w:r>
            <w:r w:rsidR="00154FF2" w:rsidRPr="003057B1">
              <w:rPr>
                <w:rFonts w:ascii="Times New Roman" w:eastAsia="Times New Roman" w:hAnsi="Times New Roman" w:cs="Times New Roman"/>
                <w:color w:val="222222"/>
                <w:lang w:eastAsia="es-CO"/>
              </w:rPr>
              <w:t xml:space="preserve"> </w:t>
            </w:r>
            <w:r w:rsidRPr="003057B1">
              <w:rPr>
                <w:rFonts w:ascii="Times New Roman" w:eastAsia="Times New Roman" w:hAnsi="Times New Roman" w:cs="Times New Roman"/>
                <w:color w:val="222222"/>
                <w:lang w:eastAsia="es-CO"/>
              </w:rPr>
              <w:t>eliminación de una agravante no implica al menos la modificación de la adecuación del comportamiento en el tipo básico conforme al cargo jurídicamente atribuido en la audiencia de imputación, hay solamente una degradación por razón de una circunstancia fáctica, personal, modal, de tiempo, lugar o cantidad, grado de participación o forma de</w:t>
            </w:r>
            <w:r w:rsidR="002D58A8" w:rsidRPr="003057B1">
              <w:rPr>
                <w:rFonts w:ascii="Times New Roman" w:eastAsia="Times New Roman" w:hAnsi="Times New Roman" w:cs="Times New Roman"/>
                <w:color w:val="222222"/>
                <w:lang w:eastAsia="es-CO"/>
              </w:rPr>
              <w:t xml:space="preserve"> </w:t>
            </w:r>
            <w:r w:rsidRPr="003057B1">
              <w:rPr>
                <w:rFonts w:ascii="Times New Roman" w:eastAsia="Times New Roman" w:hAnsi="Times New Roman" w:cs="Times New Roman"/>
                <w:color w:val="222222"/>
                <w:lang w:eastAsia="es-CO"/>
              </w:rPr>
              <w:t>culpabilidad que incide en la pena.</w:t>
            </w:r>
          </w:p>
          <w:p w14:paraId="5245A2A0"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547CC2A5"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Tal sería el caso en el que se acepta responsabilidad por un hurto simple cuando venía siendo indiciado o acusado por un hurto calificado, o se atenúa la participación de autor a cómplice, o la forma de conducta de dolosa a culposa, cuando la naturaleza del reato típicamente lo admite, entre otras eventualidades</w:t>
            </w:r>
          </w:p>
          <w:p w14:paraId="51440AB5"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3A5BA8A2"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En cambio, cuando el negocio jurídico consiste en la eliminación de un cargo, se parte de la base que se han imputado varias ilicitudes y la eliminación no de todas sino de una o algunas de éstas constituye el pacto, por tanto, se acepta culpabilidad por los demás reatos que el convenio no suprimió pero que sí fueron registrados como imputación jurídica en la audiencia preliminar. .(CSJ, </w:t>
            </w:r>
            <w:r w:rsidRPr="003057B1">
              <w:rPr>
                <w:rFonts w:ascii="Times New Roman" w:eastAsia="Times New Roman" w:hAnsi="Times New Roman" w:cs="Times New Roman"/>
                <w:color w:val="222222"/>
                <w:lang w:val="es-ES_tradnl" w:eastAsia="es-CO"/>
              </w:rPr>
              <w:t>Sentencia SP7100-2016 -Salvamento de voto)</w:t>
            </w:r>
          </w:p>
          <w:p w14:paraId="69611163"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4BE4E831" w14:textId="77777777" w:rsidR="008B6F96" w:rsidRPr="003057B1" w:rsidRDefault="008B6F96" w:rsidP="008B6F96">
            <w:pPr>
              <w:spacing w:after="0" w:line="240" w:lineRule="auto"/>
              <w:jc w:val="both"/>
              <w:rPr>
                <w:rFonts w:ascii="Times New Roman" w:eastAsia="Times New Roman" w:hAnsi="Times New Roman" w:cs="Times New Roman"/>
                <w:b/>
                <w:bCs/>
                <w:iCs/>
                <w:color w:val="222222"/>
                <w:lang w:val="es-ES_tradnl" w:eastAsia="es-CO"/>
              </w:rPr>
            </w:pPr>
            <w:r w:rsidRPr="003057B1">
              <w:rPr>
                <w:rFonts w:ascii="Times New Roman" w:eastAsia="Times New Roman" w:hAnsi="Times New Roman" w:cs="Times New Roman"/>
                <w:b/>
                <w:bCs/>
                <w:iCs/>
                <w:color w:val="222222"/>
                <w:lang w:val="es-ES_tradnl" w:eastAsia="es-CO"/>
              </w:rPr>
              <w:t>Preacuerdo con readecuación típica.</w:t>
            </w:r>
          </w:p>
          <w:p w14:paraId="27AC88DA"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210AE000"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Preacuerdo en el que el indiciado o procesado se declara culpable de un delito relacionado con el imputado pero de pena menor, es la modalidad de preacuerdo con readecuación típica de la conducta.</w:t>
            </w:r>
          </w:p>
          <w:p w14:paraId="39401A72"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p>
          <w:p w14:paraId="6B4354F6" w14:textId="77777777" w:rsidR="008B6F96" w:rsidRPr="003057B1" w:rsidRDefault="008B6F96" w:rsidP="008B6F96">
            <w:pPr>
              <w:tabs>
                <w:tab w:val="num" w:pos="720"/>
              </w:tabs>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Esta modalidad de negociación está prevista en el inciso segundo del artículo 350 del C.P. .(CSJ, </w:t>
            </w:r>
            <w:r w:rsidRPr="003057B1">
              <w:rPr>
                <w:rFonts w:ascii="Times New Roman" w:eastAsia="Times New Roman" w:hAnsi="Times New Roman" w:cs="Times New Roman"/>
                <w:color w:val="222222"/>
                <w:lang w:val="es-ES_tradnl" w:eastAsia="es-CO"/>
              </w:rPr>
              <w:t>Sentencia SP7100-2016 -Salvamento de voto)</w:t>
            </w:r>
          </w:p>
          <w:p w14:paraId="111F617F"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p w14:paraId="7BEC0FFD" w14:textId="77777777" w:rsidR="00E6008D" w:rsidRPr="003057B1" w:rsidRDefault="002E6732">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Uno de los temas que </w:t>
            </w:r>
            <w:r w:rsidR="00F258D8" w:rsidRPr="003057B1">
              <w:rPr>
                <w:rFonts w:ascii="Times New Roman" w:eastAsia="Times New Roman" w:hAnsi="Times New Roman" w:cs="Times New Roman"/>
                <w:color w:val="222222"/>
                <w:lang w:eastAsia="es-CO"/>
              </w:rPr>
              <w:t>más</w:t>
            </w:r>
            <w:r w:rsidRPr="003057B1">
              <w:rPr>
                <w:rFonts w:ascii="Times New Roman" w:eastAsia="Times New Roman" w:hAnsi="Times New Roman" w:cs="Times New Roman"/>
                <w:color w:val="222222"/>
                <w:lang w:eastAsia="es-CO"/>
              </w:rPr>
              <w:t xml:space="preserve"> genera discusión y controversia tiene que ver con el control material de los jueces de conocimiento a los preacuerdos celebrados entre Fiscalía y Defensa, cuestión que al día de hoy ha logrado cierta uniformidad, lo que a su vez representa que haya seguridad jurídica, justicia e igualdad.</w:t>
            </w:r>
          </w:p>
          <w:p w14:paraId="2A2E485C"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p w14:paraId="4C9AB72E" w14:textId="77777777" w:rsidR="00625880" w:rsidRPr="003057B1" w:rsidRDefault="002E6732">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No es pacífico  y existen criterios divergentes  en los operadores judiciales, de por qué delito condenar cuando las partes hacen un preacuerdo en la modalidad de degradación </w:t>
            </w:r>
            <w:r w:rsidR="00E92D1D" w:rsidRPr="003057B1">
              <w:rPr>
                <w:rFonts w:ascii="Times New Roman" w:eastAsia="Times New Roman" w:hAnsi="Times New Roman" w:cs="Times New Roman"/>
                <w:color w:val="222222"/>
                <w:lang w:eastAsia="es-CO"/>
              </w:rPr>
              <w:t xml:space="preserve">o readecuación </w:t>
            </w:r>
            <w:r w:rsidR="00F258D8" w:rsidRPr="003057B1">
              <w:rPr>
                <w:rFonts w:ascii="Times New Roman" w:eastAsia="Times New Roman" w:hAnsi="Times New Roman" w:cs="Times New Roman"/>
                <w:color w:val="222222"/>
                <w:lang w:eastAsia="es-CO"/>
              </w:rPr>
              <w:t>típica</w:t>
            </w:r>
            <w:r w:rsidR="00E92D1D" w:rsidRPr="003057B1">
              <w:rPr>
                <w:rFonts w:ascii="Times New Roman" w:eastAsia="Times New Roman" w:hAnsi="Times New Roman" w:cs="Times New Roman"/>
                <w:color w:val="222222"/>
                <w:lang w:eastAsia="es-CO"/>
              </w:rPr>
              <w:t xml:space="preserve">. Se condena por el delito cometido o el delito negociado, </w:t>
            </w:r>
            <w:r w:rsidR="00F313E8" w:rsidRPr="003057B1">
              <w:rPr>
                <w:rFonts w:ascii="Times New Roman" w:eastAsia="Times New Roman" w:hAnsi="Times New Roman" w:cs="Times New Roman"/>
                <w:color w:val="222222"/>
                <w:lang w:eastAsia="es-CO"/>
              </w:rPr>
              <w:t xml:space="preserve">problemática que precisamente aborda </w:t>
            </w:r>
            <w:r w:rsidR="00E92D1D" w:rsidRPr="003057B1">
              <w:rPr>
                <w:rFonts w:ascii="Times New Roman" w:eastAsia="Times New Roman" w:hAnsi="Times New Roman" w:cs="Times New Roman"/>
                <w:color w:val="222222"/>
                <w:lang w:eastAsia="es-CO"/>
              </w:rPr>
              <w:t xml:space="preserve"> la Corte</w:t>
            </w:r>
            <w:r w:rsidR="00F313E8" w:rsidRPr="003057B1">
              <w:rPr>
                <w:rFonts w:ascii="Times New Roman" w:eastAsia="Times New Roman" w:hAnsi="Times New Roman" w:cs="Times New Roman"/>
                <w:color w:val="222222"/>
                <w:lang w:eastAsia="es-CO"/>
              </w:rPr>
              <w:t xml:space="preserve"> Su</w:t>
            </w:r>
            <w:r w:rsidR="00237C53" w:rsidRPr="003057B1">
              <w:rPr>
                <w:rFonts w:ascii="Times New Roman" w:eastAsia="Times New Roman" w:hAnsi="Times New Roman" w:cs="Times New Roman"/>
                <w:color w:val="222222"/>
                <w:lang w:eastAsia="es-CO"/>
              </w:rPr>
              <w:t>prema</w:t>
            </w:r>
            <w:r w:rsidR="00F313E8" w:rsidRPr="003057B1">
              <w:rPr>
                <w:rFonts w:ascii="Times New Roman" w:eastAsia="Times New Roman" w:hAnsi="Times New Roman" w:cs="Times New Roman"/>
                <w:color w:val="222222"/>
                <w:lang w:eastAsia="es-CO"/>
              </w:rPr>
              <w:t xml:space="preserve"> de Justicia en varias decisione</w:t>
            </w:r>
            <w:r w:rsidR="00237C53" w:rsidRPr="003057B1">
              <w:rPr>
                <w:rFonts w:ascii="Times New Roman" w:eastAsia="Times New Roman" w:hAnsi="Times New Roman" w:cs="Times New Roman"/>
                <w:color w:val="222222"/>
                <w:lang w:eastAsia="es-CO"/>
              </w:rPr>
              <w:t>s</w:t>
            </w:r>
            <w:r w:rsidR="00F313E8" w:rsidRPr="003057B1">
              <w:rPr>
                <w:rFonts w:ascii="Times New Roman" w:eastAsia="Times New Roman" w:hAnsi="Times New Roman" w:cs="Times New Roman"/>
                <w:color w:val="222222"/>
                <w:lang w:eastAsia="es-CO"/>
              </w:rPr>
              <w:t xml:space="preserve">, señalando </w:t>
            </w:r>
            <w:r w:rsidR="00237C53" w:rsidRPr="003057B1">
              <w:rPr>
                <w:rFonts w:ascii="Times New Roman" w:eastAsia="Times New Roman" w:hAnsi="Times New Roman" w:cs="Times New Roman"/>
                <w:color w:val="222222"/>
                <w:lang w:eastAsia="es-CO"/>
              </w:rPr>
              <w:t>de manera dominante que se condena por el delito objeto de degradación o readecuación típica,</w:t>
            </w:r>
            <w:r w:rsidR="00625880" w:rsidRPr="003057B1">
              <w:rPr>
                <w:rFonts w:ascii="Times New Roman" w:eastAsia="Times New Roman" w:hAnsi="Times New Roman" w:cs="Times New Roman"/>
                <w:color w:val="222222"/>
                <w:lang w:eastAsia="es-CO"/>
              </w:rPr>
              <w:t xml:space="preserve"> teniendo tal</w:t>
            </w:r>
            <w:r w:rsidR="00237C53" w:rsidRPr="003057B1">
              <w:rPr>
                <w:rFonts w:ascii="Times New Roman" w:eastAsia="Times New Roman" w:hAnsi="Times New Roman" w:cs="Times New Roman"/>
                <w:color w:val="222222"/>
                <w:lang w:eastAsia="es-CO"/>
              </w:rPr>
              <w:t xml:space="preserve"> postura  como disidente al Magistrado  EUGENIO FERNANDEZ CARLIER, </w:t>
            </w:r>
            <w:r w:rsidR="00625880" w:rsidRPr="003057B1">
              <w:rPr>
                <w:rFonts w:ascii="Times New Roman" w:eastAsia="Times New Roman" w:hAnsi="Times New Roman" w:cs="Times New Roman"/>
                <w:color w:val="222222"/>
                <w:lang w:eastAsia="es-CO"/>
              </w:rPr>
              <w:t>quien sostiene lo contrario  y</w:t>
            </w:r>
            <w:r w:rsidR="00237C53" w:rsidRPr="003057B1">
              <w:rPr>
                <w:rFonts w:ascii="Times New Roman" w:eastAsia="Times New Roman" w:hAnsi="Times New Roman" w:cs="Times New Roman"/>
                <w:color w:val="222222"/>
                <w:lang w:eastAsia="es-CO"/>
              </w:rPr>
              <w:t xml:space="preserve"> ha salvado voto en decisiones 44.562; 46.684 y 47.732 del año 2016, </w:t>
            </w:r>
            <w:r w:rsidR="00625880" w:rsidRPr="003057B1">
              <w:rPr>
                <w:rFonts w:ascii="Times New Roman" w:eastAsia="Times New Roman" w:hAnsi="Times New Roman" w:cs="Times New Roman"/>
                <w:color w:val="222222"/>
                <w:lang w:eastAsia="es-CO"/>
              </w:rPr>
              <w:t xml:space="preserve">y su criterio es acogido a su vez </w:t>
            </w:r>
            <w:r w:rsidR="00237C53" w:rsidRPr="003057B1">
              <w:rPr>
                <w:rFonts w:ascii="Times New Roman" w:eastAsia="Times New Roman" w:hAnsi="Times New Roman" w:cs="Times New Roman"/>
                <w:color w:val="222222"/>
                <w:lang w:eastAsia="es-CO"/>
              </w:rPr>
              <w:t xml:space="preserve"> por varios </w:t>
            </w:r>
            <w:r w:rsidR="00625880" w:rsidRPr="003057B1">
              <w:rPr>
                <w:rFonts w:ascii="Times New Roman" w:eastAsia="Times New Roman" w:hAnsi="Times New Roman" w:cs="Times New Roman"/>
                <w:color w:val="222222"/>
                <w:lang w:eastAsia="es-CO"/>
              </w:rPr>
              <w:t xml:space="preserve">fiscales y </w:t>
            </w:r>
            <w:r w:rsidR="00237C53" w:rsidRPr="003057B1">
              <w:rPr>
                <w:rFonts w:ascii="Times New Roman" w:eastAsia="Times New Roman" w:hAnsi="Times New Roman" w:cs="Times New Roman"/>
                <w:color w:val="222222"/>
                <w:lang w:eastAsia="es-CO"/>
              </w:rPr>
              <w:t>jueces penales  de conocimiento</w:t>
            </w:r>
            <w:r w:rsidR="00625880" w:rsidRPr="003057B1">
              <w:rPr>
                <w:rFonts w:ascii="Times New Roman" w:eastAsia="Times New Roman" w:hAnsi="Times New Roman" w:cs="Times New Roman"/>
                <w:color w:val="222222"/>
                <w:lang w:eastAsia="es-CO"/>
              </w:rPr>
              <w:t>.</w:t>
            </w:r>
          </w:p>
          <w:p w14:paraId="66723DAB" w14:textId="77777777" w:rsidR="00625880" w:rsidRPr="003057B1" w:rsidRDefault="00625880">
            <w:pPr>
              <w:spacing w:after="0" w:line="240" w:lineRule="auto"/>
              <w:jc w:val="both"/>
              <w:rPr>
                <w:rFonts w:ascii="Times New Roman" w:eastAsia="Times New Roman" w:hAnsi="Times New Roman" w:cs="Times New Roman"/>
                <w:color w:val="222222"/>
                <w:lang w:eastAsia="es-CO"/>
              </w:rPr>
            </w:pPr>
          </w:p>
          <w:p w14:paraId="47B4C0C8" w14:textId="77777777" w:rsidR="00E6008D" w:rsidRPr="003057B1" w:rsidRDefault="00625880">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Las razones no son obvias, sino que admiten una interesante y profunda discusión, ya que gravitan en torno al </w:t>
            </w:r>
            <w:r w:rsidR="00237C53" w:rsidRPr="003057B1">
              <w:rPr>
                <w:rFonts w:ascii="Times New Roman" w:eastAsia="Times New Roman" w:hAnsi="Times New Roman" w:cs="Times New Roman"/>
                <w:color w:val="222222"/>
                <w:lang w:eastAsia="es-CO"/>
              </w:rPr>
              <w:t xml:space="preserve"> </w:t>
            </w:r>
            <w:r w:rsidRPr="003057B1">
              <w:rPr>
                <w:rFonts w:ascii="Times New Roman" w:eastAsia="Times New Roman" w:hAnsi="Times New Roman" w:cs="Times New Roman"/>
                <w:color w:val="222222"/>
                <w:lang w:eastAsia="es-CO"/>
              </w:rPr>
              <w:t xml:space="preserve">principio de legalidad; </w:t>
            </w:r>
            <w:r w:rsidR="002C20DB" w:rsidRPr="003057B1">
              <w:rPr>
                <w:rFonts w:ascii="Times New Roman" w:eastAsia="Times New Roman" w:hAnsi="Times New Roman" w:cs="Times New Roman"/>
                <w:color w:val="222222"/>
                <w:lang w:eastAsia="es-CO"/>
              </w:rPr>
              <w:t xml:space="preserve">los fines de los preacuerdos; </w:t>
            </w:r>
            <w:r w:rsidR="00D76CAA" w:rsidRPr="003057B1">
              <w:rPr>
                <w:rFonts w:ascii="Times New Roman" w:eastAsia="Times New Roman" w:hAnsi="Times New Roman" w:cs="Times New Roman"/>
                <w:color w:val="222222"/>
                <w:lang w:eastAsia="es-CO"/>
              </w:rPr>
              <w:t>el principio prohomine; la justicia premial; las garantías  debidas al Fiscal, el defensor, el procesado, la víctima y el Ministerio Público; la verdad en el proceso penal; el respeto y acatamiento del precedente jurisprudencial; el fisca</w:t>
            </w:r>
            <w:r w:rsidR="00F258D8" w:rsidRPr="003057B1">
              <w:rPr>
                <w:rFonts w:ascii="Times New Roman" w:eastAsia="Times New Roman" w:hAnsi="Times New Roman" w:cs="Times New Roman"/>
                <w:color w:val="222222"/>
                <w:lang w:eastAsia="es-CO"/>
              </w:rPr>
              <w:t xml:space="preserve">l no puede renunciar al </w:t>
            </w:r>
            <w:r w:rsidR="00D76CAA" w:rsidRPr="003057B1">
              <w:rPr>
                <w:rFonts w:ascii="Times New Roman" w:eastAsia="Times New Roman" w:hAnsi="Times New Roman" w:cs="Times New Roman"/>
                <w:color w:val="222222"/>
                <w:lang w:eastAsia="es-CO"/>
              </w:rPr>
              <w:t>ejercicio de la acción penal en los preacuerdos.</w:t>
            </w:r>
            <w:r w:rsidR="00974E75" w:rsidRPr="003057B1">
              <w:rPr>
                <w:rFonts w:ascii="Times New Roman" w:eastAsia="Times New Roman" w:hAnsi="Times New Roman" w:cs="Times New Roman"/>
                <w:color w:val="222222"/>
                <w:lang w:eastAsia="es-CO"/>
              </w:rPr>
              <w:t xml:space="preserve"> </w:t>
            </w:r>
          </w:p>
          <w:p w14:paraId="7C549590" w14:textId="77777777" w:rsidR="00E6008D" w:rsidRPr="003057B1" w:rsidRDefault="00E6008D">
            <w:pPr>
              <w:spacing w:after="0" w:line="240" w:lineRule="auto"/>
              <w:jc w:val="both"/>
              <w:rPr>
                <w:rFonts w:ascii="Times New Roman" w:eastAsia="Times New Roman" w:hAnsi="Times New Roman" w:cs="Times New Roman"/>
                <w:color w:val="222222"/>
                <w:lang w:eastAsia="es-CO"/>
              </w:rPr>
            </w:pPr>
          </w:p>
        </w:tc>
      </w:tr>
    </w:tbl>
    <w:p w14:paraId="556B4B2E"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1DB9E96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300845" w14:textId="77777777" w:rsidR="002A18AF" w:rsidRPr="003057B1" w:rsidRDefault="002A18AF">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lastRenderedPageBreak/>
              <w:t>Metodología</w:t>
            </w:r>
          </w:p>
        </w:tc>
      </w:tr>
      <w:tr w:rsidR="002A18AF" w:rsidRPr="003057B1" w14:paraId="6239FDF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03BDFF3" w14:textId="77777777" w:rsidR="002A18AF" w:rsidRPr="003057B1" w:rsidRDefault="002A18AF">
            <w:pPr>
              <w:spacing w:after="0" w:line="240" w:lineRule="auto"/>
              <w:jc w:val="both"/>
              <w:rPr>
                <w:rFonts w:ascii="Times New Roman" w:eastAsia="Times New Roman" w:hAnsi="Times New Roman" w:cs="Times New Roman"/>
                <w:color w:val="222222"/>
                <w:lang w:eastAsia="es-CO"/>
              </w:rPr>
            </w:pPr>
          </w:p>
          <w:p w14:paraId="140B245A" w14:textId="77777777" w:rsidR="00A22509" w:rsidRPr="003057B1" w:rsidRDefault="00A22509" w:rsidP="00A22509">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El diseño metodológico que se pretende utilizar en la presente investigación, se entrelaza con la finalidad de desarrollar los diferentes puntos del núcleo temático, mismos que se relacionan directamente con los objetivos específicos (1. Describir el concepto y modalidades de los preacuerdos en Colombia 2. Identificar en los ordenamientos jurídicos de otros países, por cuál delito se declara responsabilidad penal cuando se celebran preacuerdos por degradación o readecuación típica 3. </w:t>
            </w:r>
            <w:r w:rsidR="002D58A8" w:rsidRPr="003057B1">
              <w:rPr>
                <w:rFonts w:ascii="Times New Roman" w:eastAsia="Times New Roman" w:hAnsi="Times New Roman" w:cs="Times New Roman"/>
                <w:color w:val="222222"/>
                <w:lang w:eastAsia="es-CO"/>
              </w:rPr>
              <w:t>Establece</w:t>
            </w:r>
            <w:r w:rsidRPr="003057B1">
              <w:rPr>
                <w:rFonts w:ascii="Times New Roman" w:eastAsia="Times New Roman" w:hAnsi="Times New Roman" w:cs="Times New Roman"/>
                <w:color w:val="222222"/>
                <w:lang w:eastAsia="es-CO"/>
              </w:rPr>
              <w:t xml:space="preserve">r las posturas  jurisprudenciales en Colombia, respecto a la declaratoria de responsabilidad penal cuando se celebran preacuerdos por degradación y readecuación típica 4. </w:t>
            </w:r>
            <w:r w:rsidR="002D58A8" w:rsidRPr="003057B1">
              <w:rPr>
                <w:rFonts w:ascii="Times New Roman" w:eastAsia="Times New Roman" w:hAnsi="Times New Roman" w:cs="Times New Roman"/>
                <w:color w:val="222222"/>
                <w:lang w:eastAsia="es-CO"/>
              </w:rPr>
              <w:t>Establece</w:t>
            </w:r>
            <w:r w:rsidRPr="003057B1">
              <w:rPr>
                <w:rFonts w:ascii="Times New Roman" w:eastAsia="Times New Roman" w:hAnsi="Times New Roman" w:cs="Times New Roman"/>
                <w:color w:val="222222"/>
                <w:lang w:eastAsia="es-CO"/>
              </w:rPr>
              <w:t>r la postura de operadores judiciales en la ciudad de Bogotá, respecto a cuál debe ser la declaratoria de responsabilidad  penal cuando se celebran preacuerdos por degradación y readecuación típica: precisando si se conceden o no subrogados y beneficios dependiendo de la conducta penal por la que condene el Juez de Conocimiento, que es diferente a la realmente cometida.), y con el cumplimiento del objetivo general propuesto consistente en determinar si, cuándo se realiza un preacuerdo en la modalidad de degradación o readecuación típica, en la parte resolutiva de la sentencia, se debe declarar responsabilidad penal por el delito cometido o por el negociado. Por ello, la presente investigación se materializará en tres momentos o fases con su respectivo método investigativo. Las fases son:</w:t>
            </w:r>
          </w:p>
          <w:p w14:paraId="0A7E5795" w14:textId="77777777" w:rsidR="00A22509" w:rsidRPr="003057B1" w:rsidRDefault="00A22509" w:rsidP="00A22509">
            <w:pPr>
              <w:spacing w:line="360" w:lineRule="auto"/>
              <w:jc w:val="both"/>
              <w:rPr>
                <w:rFonts w:ascii="Times New Roman" w:hAnsi="Times New Roman" w:cs="Times New Roman"/>
              </w:rPr>
            </w:pPr>
          </w:p>
          <w:p w14:paraId="2BF2AA88" w14:textId="77777777" w:rsidR="00A22509" w:rsidRPr="003057B1" w:rsidRDefault="00A22509" w:rsidP="00F258D8">
            <w:pPr>
              <w:spacing w:line="240" w:lineRule="auto"/>
              <w:jc w:val="both"/>
              <w:rPr>
                <w:rFonts w:ascii="Times New Roman" w:hAnsi="Times New Roman" w:cs="Times New Roman"/>
              </w:rPr>
            </w:pPr>
            <w:r w:rsidRPr="003057B1">
              <w:rPr>
                <w:rFonts w:ascii="Times New Roman" w:hAnsi="Times New Roman" w:cs="Times New Roman"/>
                <w:b/>
              </w:rPr>
              <w:t>1)</w:t>
            </w:r>
            <w:r w:rsidRPr="003057B1">
              <w:rPr>
                <w:rFonts w:ascii="Times New Roman" w:hAnsi="Times New Roman" w:cs="Times New Roman"/>
                <w:b/>
              </w:rPr>
              <w:tab/>
              <w:t>Etapa descriptiva</w:t>
            </w:r>
            <w:r w:rsidRPr="003057B1">
              <w:rPr>
                <w:rFonts w:ascii="Times New Roman" w:hAnsi="Times New Roman" w:cs="Times New Roman"/>
              </w:rPr>
              <w:t xml:space="preserve">: </w:t>
            </w:r>
            <w:r w:rsidRPr="003057B1">
              <w:rPr>
                <w:rFonts w:ascii="Times New Roman" w:eastAsia="Times New Roman" w:hAnsi="Times New Roman" w:cs="Times New Roman"/>
                <w:color w:val="222222"/>
                <w:lang w:eastAsia="es-CO"/>
              </w:rPr>
              <w:t>se utilizará una metodología de investigación documental, a través de un enfoque cualitativo, dirigido al análisis de material normativo, jurisprudencial y doctrinario, que permita describir y entender los conceptos propuestos en los objetivos. En este primer momento de la investigación se llevará a cabo una pesquisa sobre los antecedentes históricos normativos, jurisprudenciales y doctrinales respecto al concepto, naturaleza, finalidad y eficacia de la figura de los preacuerdos en el proceso penal colombiano.</w:t>
            </w:r>
          </w:p>
          <w:p w14:paraId="1784E04F" w14:textId="77777777" w:rsidR="00A22509" w:rsidRPr="003057B1" w:rsidRDefault="00A22509" w:rsidP="00F258D8">
            <w:pPr>
              <w:spacing w:line="240" w:lineRule="auto"/>
              <w:jc w:val="both"/>
              <w:rPr>
                <w:rFonts w:ascii="Times New Roman" w:hAnsi="Times New Roman" w:cs="Times New Roman"/>
              </w:rPr>
            </w:pPr>
          </w:p>
          <w:p w14:paraId="5F9DE587" w14:textId="77777777" w:rsidR="00A22509" w:rsidRPr="003057B1" w:rsidRDefault="00A22509" w:rsidP="00F258D8">
            <w:pPr>
              <w:spacing w:line="240" w:lineRule="auto"/>
              <w:jc w:val="both"/>
              <w:rPr>
                <w:rFonts w:ascii="Times New Roman" w:eastAsia="Times New Roman" w:hAnsi="Times New Roman" w:cs="Times New Roman"/>
                <w:color w:val="222222"/>
                <w:lang w:eastAsia="es-CO"/>
              </w:rPr>
            </w:pPr>
            <w:r w:rsidRPr="003057B1">
              <w:rPr>
                <w:rFonts w:ascii="Times New Roman" w:hAnsi="Times New Roman" w:cs="Times New Roman"/>
                <w:b/>
              </w:rPr>
              <w:t>2)</w:t>
            </w:r>
            <w:r w:rsidRPr="003057B1">
              <w:rPr>
                <w:rFonts w:ascii="Times New Roman" w:hAnsi="Times New Roman" w:cs="Times New Roman"/>
                <w:b/>
              </w:rPr>
              <w:tab/>
              <w:t>Etapa de análisis y organizacional</w:t>
            </w:r>
            <w:r w:rsidRPr="003057B1">
              <w:rPr>
                <w:rFonts w:ascii="Times New Roman" w:hAnsi="Times New Roman" w:cs="Times New Roman"/>
              </w:rPr>
              <w:t xml:space="preserve">: </w:t>
            </w:r>
            <w:r w:rsidRPr="003057B1">
              <w:rPr>
                <w:rFonts w:ascii="Times New Roman" w:eastAsia="Times New Roman" w:hAnsi="Times New Roman" w:cs="Times New Roman"/>
                <w:color w:val="222222"/>
                <w:lang w:eastAsia="es-CO"/>
              </w:rPr>
              <w:t>se utilizará una metodología práctica, que permita organizar la información descriptiva a través de cuadros normativos, jurisprudenciales y doctrinarios, mapas conceptuales y base de datos, a partir de los que se pueda comprender la información recolectada en la etapa anterior, para después desarrollar los objetivos propuestos de forma descriptiva organizada. La finalidad de esta etapa investigativa, en primer lugar, será seleccionar los presupuestos temáticos útiles y necesarios para desarrollar los objetivos propuestos; y, en segundo lugar se utilizará un método lógico completamente cualitativo,  lo que permitirá brindar al texto un alcance explicativo, el cual estará compuesto por descripciones que se expondrán como acciones mentales interconectadas por la dialéctica o que se complementan lógicamente.</w:t>
            </w:r>
          </w:p>
          <w:p w14:paraId="477B5A0A" w14:textId="77777777" w:rsidR="00E6008D" w:rsidRPr="003057B1" w:rsidRDefault="00A22509">
            <w:pPr>
              <w:spacing w:after="0" w:line="240" w:lineRule="auto"/>
              <w:jc w:val="both"/>
              <w:rPr>
                <w:rFonts w:ascii="Times New Roman" w:eastAsia="Times New Roman" w:hAnsi="Times New Roman" w:cs="Times New Roman"/>
                <w:color w:val="222222"/>
                <w:lang w:eastAsia="es-CO"/>
              </w:rPr>
            </w:pPr>
            <w:r w:rsidRPr="003057B1">
              <w:rPr>
                <w:rFonts w:ascii="Times New Roman" w:hAnsi="Times New Roman" w:cs="Times New Roman"/>
                <w:b/>
              </w:rPr>
              <w:t>3)</w:t>
            </w:r>
            <w:r w:rsidRPr="003057B1">
              <w:rPr>
                <w:rFonts w:ascii="Times New Roman" w:hAnsi="Times New Roman" w:cs="Times New Roman"/>
                <w:b/>
              </w:rPr>
              <w:tab/>
              <w:t>Etapa propositiva:</w:t>
            </w:r>
            <w:r w:rsidRPr="003057B1">
              <w:rPr>
                <w:rFonts w:ascii="Times New Roman" w:hAnsi="Times New Roman" w:cs="Times New Roman"/>
              </w:rPr>
              <w:t xml:space="preserve"> </w:t>
            </w:r>
            <w:r w:rsidRPr="003057B1">
              <w:rPr>
                <w:rFonts w:ascii="Times New Roman" w:eastAsia="Times New Roman" w:hAnsi="Times New Roman" w:cs="Times New Roman"/>
                <w:color w:val="222222"/>
                <w:lang w:eastAsia="es-CO"/>
              </w:rPr>
              <w:t>se utilizará la combinación de una metodología práctica y teórica, donde se brinde el escenario para las críticas o posturas propositivas de la investigación, correspondiente a los problemas jurídicos derivados de los objetivos propuestos. En este escenario investigativo, una vez surtidas las etapas anteriores, se podrá  determinar si, cuándo se realiza un preacuerdo en la modalidad de degradación o readecuación típica, en la parte resolutiva de la sentencia, se debe declarar responsabilidad penal por el delito cometido o por el negociado. Lo anterior, se materializará en la entrega final de un artículo científico</w:t>
            </w:r>
            <w:r w:rsidR="00F258D8" w:rsidRPr="003057B1">
              <w:rPr>
                <w:rFonts w:ascii="Times New Roman" w:eastAsia="Times New Roman" w:hAnsi="Times New Roman" w:cs="Times New Roman"/>
                <w:color w:val="222222"/>
                <w:lang w:eastAsia="es-CO"/>
              </w:rPr>
              <w:t xml:space="preserve">. </w:t>
            </w:r>
          </w:p>
        </w:tc>
      </w:tr>
      <w:tr w:rsidR="001D6087" w:rsidRPr="003057B1" w14:paraId="32A46F8F"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5D189E8" w14:textId="77777777" w:rsidR="001D6087" w:rsidRPr="003057B1" w:rsidRDefault="001D6087" w:rsidP="001D608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Resultados esperados</w:t>
            </w:r>
          </w:p>
        </w:tc>
      </w:tr>
      <w:tr w:rsidR="001D6087" w:rsidRPr="003057B1" w14:paraId="1ADCF68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589877" w14:textId="77777777" w:rsidR="00A80C3B" w:rsidRPr="003057B1" w:rsidRDefault="00A80C3B" w:rsidP="00F80F34">
            <w:pPr>
              <w:spacing w:after="0" w:line="240" w:lineRule="auto"/>
              <w:jc w:val="both"/>
              <w:rPr>
                <w:rFonts w:ascii="Times New Roman" w:eastAsia="Times New Roman" w:hAnsi="Times New Roman" w:cs="Times New Roman"/>
                <w:color w:val="222222"/>
                <w:lang w:eastAsia="es-CO"/>
              </w:rPr>
            </w:pPr>
          </w:p>
          <w:p w14:paraId="06DDED11" w14:textId="77777777" w:rsidR="00A80C3B" w:rsidRPr="003057B1" w:rsidRDefault="00A80C3B" w:rsidP="00A80C3B">
            <w:pP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El principal resultado al cual apunta el proyecto de investigación, es impactar en el campo académico y judicial, respecto al correcto entendimiento del concepto, naturaleza y aplicación de la figura de los preacuerdos en el proceso penal colombiano. Con ello, se pretende contribuir con la superación de la arraigada cultura continental europea y su visión del proceso penal y buscar la eficacia del modelo procesal penal vigente.</w:t>
            </w:r>
          </w:p>
          <w:p w14:paraId="0ADC64DE" w14:textId="77777777" w:rsidR="00A80C3B" w:rsidRPr="003057B1" w:rsidRDefault="00A80C3B" w:rsidP="00F80F34">
            <w:pPr>
              <w:spacing w:after="0" w:line="240" w:lineRule="auto"/>
              <w:jc w:val="both"/>
              <w:rPr>
                <w:rFonts w:ascii="Times New Roman" w:eastAsia="Times New Roman" w:hAnsi="Times New Roman" w:cs="Times New Roman"/>
                <w:color w:val="222222"/>
                <w:lang w:eastAsia="es-CO"/>
              </w:rPr>
            </w:pPr>
          </w:p>
          <w:p w14:paraId="44165B43" w14:textId="77777777" w:rsidR="00F80F34" w:rsidRPr="003057B1" w:rsidRDefault="00A80C3B" w:rsidP="00F80F34">
            <w:p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Como consolidación de lo anterior, se proponen los siguientes p</w:t>
            </w:r>
            <w:r w:rsidR="00F80F34" w:rsidRPr="003057B1">
              <w:rPr>
                <w:rFonts w:ascii="Times New Roman" w:eastAsia="Times New Roman" w:hAnsi="Times New Roman" w:cs="Times New Roman"/>
                <w:color w:val="222222"/>
                <w:lang w:eastAsia="es-CO"/>
              </w:rPr>
              <w:t>roducto</w:t>
            </w:r>
            <w:r w:rsidRPr="003057B1">
              <w:rPr>
                <w:rFonts w:ascii="Times New Roman" w:eastAsia="Times New Roman" w:hAnsi="Times New Roman" w:cs="Times New Roman"/>
                <w:color w:val="222222"/>
                <w:lang w:eastAsia="es-CO"/>
              </w:rPr>
              <w:t>s</w:t>
            </w:r>
            <w:r w:rsidR="00F80F34" w:rsidRPr="003057B1">
              <w:rPr>
                <w:rFonts w:ascii="Times New Roman" w:eastAsia="Times New Roman" w:hAnsi="Times New Roman" w:cs="Times New Roman"/>
                <w:color w:val="222222"/>
                <w:lang w:eastAsia="es-CO"/>
              </w:rPr>
              <w:t xml:space="preserve"> resultado</w:t>
            </w:r>
            <w:r w:rsidRPr="003057B1">
              <w:rPr>
                <w:rFonts w:ascii="Times New Roman" w:eastAsia="Times New Roman" w:hAnsi="Times New Roman" w:cs="Times New Roman"/>
                <w:color w:val="222222"/>
                <w:lang w:eastAsia="es-CO"/>
              </w:rPr>
              <w:t>s</w:t>
            </w:r>
            <w:r w:rsidR="00F80F34" w:rsidRPr="003057B1">
              <w:rPr>
                <w:rFonts w:ascii="Times New Roman" w:eastAsia="Times New Roman" w:hAnsi="Times New Roman" w:cs="Times New Roman"/>
                <w:color w:val="222222"/>
                <w:lang w:eastAsia="es-CO"/>
              </w:rPr>
              <w:t xml:space="preserve"> de actividades de generación de nuevo conocimiento: </w:t>
            </w:r>
          </w:p>
          <w:p w14:paraId="28B7DF2D" w14:textId="77777777" w:rsidR="00F80F34" w:rsidRPr="003057B1" w:rsidRDefault="00F80F34" w:rsidP="00F80F34">
            <w:pPr>
              <w:spacing w:after="0" w:line="240" w:lineRule="auto"/>
              <w:jc w:val="both"/>
              <w:rPr>
                <w:rFonts w:ascii="Times New Roman" w:eastAsia="Times New Roman" w:hAnsi="Times New Roman" w:cs="Times New Roman"/>
                <w:color w:val="222222"/>
                <w:lang w:eastAsia="es-CO"/>
              </w:rPr>
            </w:pPr>
          </w:p>
          <w:p w14:paraId="30F97FEA" w14:textId="77777777" w:rsidR="001D6087" w:rsidRPr="003057B1" w:rsidRDefault="00F80F34" w:rsidP="00F80F34">
            <w:pPr>
              <w:pStyle w:val="Prrafodelista"/>
              <w:numPr>
                <w:ilvl w:val="0"/>
                <w:numId w:val="5"/>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lastRenderedPageBreak/>
              <w:t>Artículo científico de autoría de investigadores pertenecientes al grupo de investigación y profesores de la Maestría en Derecho penal de nuestra universidad.</w:t>
            </w:r>
          </w:p>
          <w:p w14:paraId="6EAD012E" w14:textId="77777777" w:rsidR="00F80F34" w:rsidRPr="003057B1" w:rsidRDefault="00F80F34" w:rsidP="00F80F34">
            <w:pPr>
              <w:pStyle w:val="Prrafodelista"/>
              <w:numPr>
                <w:ilvl w:val="0"/>
                <w:numId w:val="5"/>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 Producto resultado de actividades de apropiación social del Conocimiento. Circulación de conocimiento especializado: Conversatorio  de socialización</w:t>
            </w:r>
            <w:r w:rsidR="00250467" w:rsidRPr="003057B1">
              <w:rPr>
                <w:rFonts w:ascii="Times New Roman" w:eastAsia="Times New Roman" w:hAnsi="Times New Roman" w:cs="Times New Roman"/>
                <w:color w:val="222222"/>
                <w:lang w:eastAsia="es-CO"/>
              </w:rPr>
              <w:t xml:space="preserve"> (evento </w:t>
            </w:r>
            <w:r w:rsidR="002D58A8" w:rsidRPr="003057B1">
              <w:rPr>
                <w:rFonts w:ascii="Times New Roman" w:eastAsia="Times New Roman" w:hAnsi="Times New Roman" w:cs="Times New Roman"/>
                <w:color w:val="222222"/>
                <w:lang w:eastAsia="es-CO"/>
              </w:rPr>
              <w:t>científico</w:t>
            </w:r>
            <w:r w:rsidR="00250467" w:rsidRPr="003057B1">
              <w:rPr>
                <w:rFonts w:ascii="Times New Roman" w:eastAsia="Times New Roman" w:hAnsi="Times New Roman" w:cs="Times New Roman"/>
                <w:color w:val="222222"/>
                <w:lang w:eastAsia="es-CO"/>
              </w:rPr>
              <w:t>)</w:t>
            </w:r>
            <w:r w:rsidRPr="003057B1">
              <w:rPr>
                <w:rFonts w:ascii="Times New Roman" w:eastAsia="Times New Roman" w:hAnsi="Times New Roman" w:cs="Times New Roman"/>
                <w:color w:val="222222"/>
                <w:lang w:eastAsia="es-CO"/>
              </w:rPr>
              <w:t xml:space="preserve"> de los resultados producto de la investigación.</w:t>
            </w:r>
          </w:p>
          <w:p w14:paraId="7E13455B" w14:textId="77777777" w:rsidR="00250467" w:rsidRPr="003057B1" w:rsidRDefault="00250467" w:rsidP="00F80F34">
            <w:pPr>
              <w:pStyle w:val="Prrafodelista"/>
              <w:numPr>
                <w:ilvl w:val="0"/>
                <w:numId w:val="5"/>
              </w:numPr>
              <w:spacing w:after="0" w:line="240" w:lineRule="auto"/>
              <w:jc w:val="both"/>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Producto de formación de recuso humano: Dirección de dos tesis de maestría</w:t>
            </w:r>
          </w:p>
          <w:p w14:paraId="4458B9CE" w14:textId="77777777" w:rsidR="001D6087" w:rsidRPr="003057B1" w:rsidRDefault="001D6087" w:rsidP="001D6087">
            <w:pPr>
              <w:spacing w:after="0" w:line="240" w:lineRule="auto"/>
              <w:jc w:val="both"/>
              <w:rPr>
                <w:rFonts w:ascii="Times New Roman" w:eastAsia="Times New Roman" w:hAnsi="Times New Roman" w:cs="Times New Roman"/>
                <w:color w:val="222222"/>
                <w:lang w:eastAsia="es-CO"/>
              </w:rPr>
            </w:pPr>
          </w:p>
        </w:tc>
      </w:tr>
    </w:tbl>
    <w:p w14:paraId="29EA0843" w14:textId="77777777" w:rsidR="002A18AF" w:rsidRPr="003057B1" w:rsidRDefault="002A18AF" w:rsidP="002A18AF">
      <w:pPr>
        <w:spacing w:after="0" w:line="240" w:lineRule="auto"/>
        <w:rPr>
          <w:rFonts w:ascii="Times New Roman" w:eastAsia="Times New Roman" w:hAnsi="Times New Roman" w:cs="Times New Roman"/>
          <w:lang w:eastAsia="es-CO"/>
        </w:rPr>
      </w:pPr>
    </w:p>
    <w:p w14:paraId="124BB1CF" w14:textId="77777777" w:rsidR="00F258D8" w:rsidRPr="003057B1" w:rsidRDefault="00F258D8" w:rsidP="002A18AF">
      <w:pPr>
        <w:spacing w:after="0" w:line="240" w:lineRule="auto"/>
        <w:rPr>
          <w:rFonts w:ascii="Times New Roman" w:eastAsia="Times New Roman" w:hAnsi="Times New Roman" w:cs="Times New Roman"/>
          <w:lang w:eastAsia="es-CO"/>
        </w:rPr>
      </w:pPr>
    </w:p>
    <w:p w14:paraId="7CF0FFE7" w14:textId="77777777" w:rsidR="00F258D8" w:rsidRPr="003057B1" w:rsidRDefault="00F258D8" w:rsidP="002A18AF">
      <w:pPr>
        <w:spacing w:after="0" w:line="240" w:lineRule="auto"/>
        <w:rPr>
          <w:rFonts w:ascii="Times New Roman" w:eastAsia="Times New Roman" w:hAnsi="Times New Roman" w:cs="Times New Roman"/>
          <w:lang w:eastAsia="es-CO"/>
        </w:rPr>
      </w:pPr>
    </w:p>
    <w:p w14:paraId="4496397A" w14:textId="77777777" w:rsidR="00F258D8" w:rsidRPr="003057B1" w:rsidRDefault="00F258D8" w:rsidP="002A18AF">
      <w:pPr>
        <w:spacing w:after="0" w:line="240" w:lineRule="auto"/>
        <w:rPr>
          <w:rFonts w:ascii="Times New Roman" w:eastAsia="Times New Roman" w:hAnsi="Times New Roman" w:cs="Times New Roman"/>
          <w:lang w:eastAsia="es-CO"/>
        </w:rPr>
      </w:pPr>
    </w:p>
    <w:p w14:paraId="5227E133" w14:textId="77777777" w:rsidR="00F258D8" w:rsidRPr="003057B1" w:rsidRDefault="00F258D8" w:rsidP="002A18AF">
      <w:pPr>
        <w:spacing w:after="0" w:line="240" w:lineRule="auto"/>
        <w:rPr>
          <w:rFonts w:ascii="Times New Roman" w:eastAsia="Times New Roman" w:hAnsi="Times New Roman" w:cs="Times New Roman"/>
          <w:lang w:eastAsia="es-CO"/>
        </w:rPr>
      </w:pPr>
    </w:p>
    <w:p w14:paraId="5EF7403C" w14:textId="77777777" w:rsidR="00F258D8" w:rsidRPr="003057B1" w:rsidRDefault="00F258D8" w:rsidP="002A18AF">
      <w:pPr>
        <w:spacing w:after="0" w:line="240" w:lineRule="auto"/>
        <w:rPr>
          <w:rFonts w:ascii="Times New Roman" w:eastAsia="Times New Roman" w:hAnsi="Times New Roman" w:cs="Times New Roman"/>
          <w:lang w:eastAsia="es-CO"/>
        </w:rPr>
      </w:pPr>
    </w:p>
    <w:p w14:paraId="4E682E6A" w14:textId="77777777" w:rsidR="00F258D8" w:rsidRPr="003057B1" w:rsidRDefault="00F258D8" w:rsidP="002A18AF">
      <w:pPr>
        <w:spacing w:after="0" w:line="240" w:lineRule="auto"/>
        <w:rPr>
          <w:rFonts w:ascii="Times New Roman" w:eastAsia="Times New Roman" w:hAnsi="Times New Roman" w:cs="Times New Roman"/>
          <w:lang w:eastAsia="es-CO"/>
        </w:rPr>
      </w:pPr>
    </w:p>
    <w:p w14:paraId="0DC97293" w14:textId="77777777" w:rsidR="00F258D8" w:rsidRPr="003057B1" w:rsidRDefault="00F258D8" w:rsidP="002A18AF">
      <w:pPr>
        <w:spacing w:after="0" w:line="240" w:lineRule="auto"/>
        <w:rPr>
          <w:rFonts w:ascii="Times New Roman" w:eastAsia="Times New Roman" w:hAnsi="Times New Roman" w:cs="Times New Roman"/>
          <w:lang w:eastAsia="es-CO"/>
        </w:rPr>
      </w:pPr>
    </w:p>
    <w:p w14:paraId="043D319F" w14:textId="77777777" w:rsidR="001D6087" w:rsidRPr="003057B1" w:rsidRDefault="001D6087" w:rsidP="002A18AF">
      <w:pPr>
        <w:spacing w:after="0" w:line="240" w:lineRule="auto"/>
        <w:rPr>
          <w:rFonts w:ascii="Times New Roman" w:eastAsia="Times New Roman" w:hAnsi="Times New Roman" w:cs="Times New Roman"/>
          <w:lang w:eastAsia="es-CO"/>
        </w:rPr>
      </w:pPr>
    </w:p>
    <w:p w14:paraId="3AA5476D" w14:textId="77777777" w:rsidR="001D6087" w:rsidRPr="003057B1" w:rsidRDefault="001D6087" w:rsidP="002A18AF">
      <w:pPr>
        <w:spacing w:after="0" w:line="240" w:lineRule="auto"/>
        <w:rPr>
          <w:rFonts w:ascii="Times New Roman" w:eastAsia="Times New Roman" w:hAnsi="Times New Roman" w:cs="Times New Roman"/>
          <w:b/>
          <w:lang w:eastAsia="es-CO"/>
        </w:rPr>
      </w:pPr>
      <w:r w:rsidRPr="003057B1">
        <w:rPr>
          <w:rFonts w:ascii="Times New Roman" w:eastAsia="Times New Roman" w:hAnsi="Times New Roman" w:cs="Times New Roman"/>
          <w:b/>
          <w:lang w:eastAsia="es-CO"/>
        </w:rPr>
        <w:t>Cronograma</w:t>
      </w:r>
    </w:p>
    <w:tbl>
      <w:tblPr>
        <w:tblW w:w="14591" w:type="dxa"/>
        <w:tblCellMar>
          <w:left w:w="70" w:type="dxa"/>
          <w:right w:w="70" w:type="dxa"/>
        </w:tblCellMar>
        <w:tblLook w:val="04A0" w:firstRow="1" w:lastRow="0" w:firstColumn="1" w:lastColumn="0" w:noHBand="0" w:noVBand="1"/>
      </w:tblPr>
      <w:tblGrid>
        <w:gridCol w:w="1104"/>
        <w:gridCol w:w="1149"/>
        <w:gridCol w:w="476"/>
        <w:gridCol w:w="524"/>
        <w:gridCol w:w="174"/>
        <w:gridCol w:w="240"/>
        <w:gridCol w:w="240"/>
        <w:gridCol w:w="241"/>
        <w:gridCol w:w="241"/>
        <w:gridCol w:w="209"/>
        <w:gridCol w:w="209"/>
        <w:gridCol w:w="209"/>
        <w:gridCol w:w="209"/>
        <w:gridCol w:w="174"/>
        <w:gridCol w:w="174"/>
        <w:gridCol w:w="278"/>
        <w:gridCol w:w="278"/>
        <w:gridCol w:w="278"/>
        <w:gridCol w:w="278"/>
        <w:gridCol w:w="278"/>
        <w:gridCol w:w="278"/>
        <w:gridCol w:w="278"/>
        <w:gridCol w:w="278"/>
        <w:gridCol w:w="278"/>
        <w:gridCol w:w="278"/>
        <w:gridCol w:w="278"/>
        <w:gridCol w:w="58"/>
        <w:gridCol w:w="169"/>
        <w:gridCol w:w="174"/>
        <w:gridCol w:w="278"/>
        <w:gridCol w:w="278"/>
        <w:gridCol w:w="278"/>
        <w:gridCol w:w="63"/>
        <w:gridCol w:w="267"/>
        <w:gridCol w:w="278"/>
        <w:gridCol w:w="278"/>
        <w:gridCol w:w="278"/>
        <w:gridCol w:w="300"/>
        <w:gridCol w:w="300"/>
        <w:gridCol w:w="300"/>
        <w:gridCol w:w="300"/>
        <w:gridCol w:w="278"/>
        <w:gridCol w:w="278"/>
        <w:gridCol w:w="278"/>
        <w:gridCol w:w="278"/>
        <w:gridCol w:w="59"/>
        <w:gridCol w:w="271"/>
        <w:gridCol w:w="336"/>
        <w:gridCol w:w="336"/>
        <w:gridCol w:w="336"/>
        <w:gridCol w:w="6"/>
      </w:tblGrid>
      <w:tr w:rsidR="001D6087" w:rsidRPr="003057B1" w14:paraId="6122A0B3" w14:textId="7777777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1B1EFF2"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524EFE77"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3B84F645"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76E8832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50FBE042"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69D71845"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BCAF62A"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3452A710"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61DFE9C0"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66175BE4"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292D1E4F"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42F0866E"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2061F99D"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69B1B2BB"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NOVIEMBRE</w:t>
            </w:r>
          </w:p>
        </w:tc>
      </w:tr>
      <w:tr w:rsidR="00BB713F" w:rsidRPr="003057B1" w14:paraId="6905BB20" w14:textId="77777777"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14:paraId="087BDB08" w14:textId="77777777" w:rsidR="001D6087" w:rsidRPr="003057B1" w:rsidRDefault="001D6087" w:rsidP="001D6087">
            <w:pPr>
              <w:spacing w:after="0" w:line="240" w:lineRule="auto"/>
              <w:rPr>
                <w:rFonts w:ascii="Times New Roman" w:eastAsia="Times New Roman" w:hAnsi="Times New Roman" w:cs="Times New Roman"/>
                <w:b/>
                <w:bCs/>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14:paraId="128E79E1" w14:textId="77777777" w:rsidR="001D6087" w:rsidRPr="003057B1" w:rsidRDefault="001D6087" w:rsidP="001D6087">
            <w:pPr>
              <w:spacing w:after="0" w:line="240" w:lineRule="auto"/>
              <w:rPr>
                <w:rFonts w:ascii="Times New Roman" w:eastAsia="Times New Roman" w:hAnsi="Times New Roman" w:cs="Times New Roman"/>
                <w:b/>
                <w:bCs/>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7EE67A83"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Inicio</w:t>
            </w:r>
          </w:p>
        </w:tc>
        <w:tc>
          <w:tcPr>
            <w:tcW w:w="755" w:type="dxa"/>
            <w:tcBorders>
              <w:top w:val="nil"/>
              <w:left w:val="nil"/>
              <w:bottom w:val="single" w:sz="8" w:space="0" w:color="auto"/>
              <w:right w:val="nil"/>
            </w:tcBorders>
            <w:shd w:val="clear" w:color="000000" w:fill="FFCC00"/>
            <w:noWrap/>
            <w:vAlign w:val="center"/>
            <w:hideMark/>
          </w:tcPr>
          <w:p w14:paraId="6AF6E242"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1C52E2C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32D1EBC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3A4F90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1975E22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5A72BB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7E8C3D3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514C51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68DABF7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2AF0924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6A2850E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7B5C1E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2DDB0E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DD7BD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897149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6FDCB4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16C6E9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7DC2E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24E7A72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603F20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068201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5A3619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17E33B1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35EB06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2A2517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81BE0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08ED66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2C31B6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1FE57C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5579DA0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3EAE715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453E3FC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0021080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0E3E263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014C3FB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34</w:t>
            </w:r>
          </w:p>
        </w:tc>
        <w:tc>
          <w:tcPr>
            <w:tcW w:w="249" w:type="dxa"/>
            <w:tcBorders>
              <w:top w:val="nil"/>
              <w:left w:val="nil"/>
              <w:bottom w:val="single" w:sz="8" w:space="0" w:color="auto"/>
              <w:right w:val="nil"/>
            </w:tcBorders>
            <w:shd w:val="clear" w:color="000000" w:fill="FFCC00"/>
            <w:noWrap/>
            <w:vAlign w:val="center"/>
            <w:hideMark/>
          </w:tcPr>
          <w:p w14:paraId="6534C8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34EB305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3DAB133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670BE32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4E15B99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327DA3B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18FE260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41</w:t>
            </w:r>
          </w:p>
        </w:tc>
      </w:tr>
      <w:tr w:rsidR="001D6087" w:rsidRPr="003057B1" w14:paraId="73E60D91" w14:textId="77777777" w:rsidTr="00B6311A">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1BE899A3"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r w:rsidR="00B6311A" w:rsidRPr="003057B1">
              <w:rPr>
                <w:rFonts w:ascii="Times New Roman" w:eastAsia="Times New Roman" w:hAnsi="Times New Roman" w:cs="Times New Roman"/>
                <w:lang w:eastAsia="es-CO"/>
              </w:rPr>
              <w:t>Etapa descriptiva</w:t>
            </w:r>
          </w:p>
        </w:tc>
        <w:tc>
          <w:tcPr>
            <w:tcW w:w="1566" w:type="dxa"/>
            <w:tcBorders>
              <w:top w:val="nil"/>
              <w:left w:val="nil"/>
              <w:bottom w:val="single" w:sz="4" w:space="0" w:color="auto"/>
              <w:right w:val="single" w:sz="8" w:space="0" w:color="auto"/>
            </w:tcBorders>
            <w:shd w:val="clear" w:color="auto" w:fill="auto"/>
            <w:vAlign w:val="center"/>
            <w:hideMark/>
          </w:tcPr>
          <w:p w14:paraId="455AC1FB"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r w:rsidR="00B6311A" w:rsidRPr="003057B1">
              <w:rPr>
                <w:rFonts w:ascii="Times New Roman" w:eastAsia="Times New Roman" w:hAnsi="Times New Roman" w:cs="Times New Roman"/>
                <w:lang w:eastAsia="es-CO"/>
              </w:rPr>
              <w:t>Mateo Mejía Gallego</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45D083C3"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nil"/>
              <w:left w:val="nil"/>
              <w:bottom w:val="nil"/>
              <w:right w:val="nil"/>
            </w:tcBorders>
            <w:shd w:val="clear" w:color="000000" w:fill="FF8080"/>
            <w:vAlign w:val="center"/>
            <w:hideMark/>
          </w:tcPr>
          <w:p w14:paraId="6B5BB7EA"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38AB715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70AD47" w:themeFill="accent6"/>
            <w:vAlign w:val="center"/>
            <w:hideMark/>
          </w:tcPr>
          <w:p w14:paraId="2426D3B8"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1" w:type="dxa"/>
            <w:tcBorders>
              <w:top w:val="nil"/>
              <w:left w:val="single" w:sz="4" w:space="0" w:color="auto"/>
              <w:bottom w:val="single" w:sz="4" w:space="0" w:color="auto"/>
              <w:right w:val="nil"/>
            </w:tcBorders>
            <w:shd w:val="clear" w:color="auto" w:fill="70AD47" w:themeFill="accent6"/>
            <w:vAlign w:val="center"/>
            <w:hideMark/>
          </w:tcPr>
          <w:p w14:paraId="00950287"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1" w:type="dxa"/>
            <w:tcBorders>
              <w:top w:val="nil"/>
              <w:left w:val="single" w:sz="4" w:space="0" w:color="auto"/>
              <w:bottom w:val="single" w:sz="4" w:space="0" w:color="auto"/>
              <w:right w:val="single" w:sz="4" w:space="0" w:color="auto"/>
            </w:tcBorders>
            <w:shd w:val="clear" w:color="auto" w:fill="70AD47" w:themeFill="accent6"/>
            <w:vAlign w:val="center"/>
            <w:hideMark/>
          </w:tcPr>
          <w:p w14:paraId="6F8EAFDC"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2" w:type="dxa"/>
            <w:tcBorders>
              <w:top w:val="nil"/>
              <w:left w:val="nil"/>
              <w:bottom w:val="single" w:sz="4" w:space="0" w:color="auto"/>
              <w:right w:val="single" w:sz="8" w:space="0" w:color="auto"/>
            </w:tcBorders>
            <w:shd w:val="clear" w:color="auto" w:fill="70AD47" w:themeFill="accent6"/>
            <w:vAlign w:val="center"/>
            <w:hideMark/>
          </w:tcPr>
          <w:p w14:paraId="4FFD7B51"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1" w:type="dxa"/>
            <w:tcBorders>
              <w:top w:val="nil"/>
              <w:left w:val="nil"/>
              <w:bottom w:val="single" w:sz="4" w:space="0" w:color="auto"/>
              <w:right w:val="nil"/>
            </w:tcBorders>
            <w:shd w:val="clear" w:color="auto" w:fill="70AD47" w:themeFill="accent6"/>
            <w:vAlign w:val="center"/>
            <w:hideMark/>
          </w:tcPr>
          <w:p w14:paraId="4A70A320"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1" w:type="dxa"/>
            <w:tcBorders>
              <w:top w:val="nil"/>
              <w:left w:val="single" w:sz="4" w:space="0" w:color="auto"/>
              <w:bottom w:val="single" w:sz="4" w:space="0" w:color="auto"/>
              <w:right w:val="single" w:sz="4" w:space="0" w:color="auto"/>
            </w:tcBorders>
            <w:shd w:val="clear" w:color="auto" w:fill="70AD47" w:themeFill="accent6"/>
            <w:vAlign w:val="center"/>
            <w:hideMark/>
          </w:tcPr>
          <w:p w14:paraId="5E2ECE27"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1" w:type="dxa"/>
            <w:tcBorders>
              <w:top w:val="nil"/>
              <w:left w:val="nil"/>
              <w:bottom w:val="single" w:sz="4" w:space="0" w:color="auto"/>
              <w:right w:val="single" w:sz="4" w:space="0" w:color="auto"/>
            </w:tcBorders>
            <w:shd w:val="clear" w:color="auto" w:fill="70AD47" w:themeFill="accent6"/>
            <w:vAlign w:val="center"/>
            <w:hideMark/>
          </w:tcPr>
          <w:p w14:paraId="44A78B9B"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12" w:type="dxa"/>
            <w:tcBorders>
              <w:top w:val="nil"/>
              <w:left w:val="nil"/>
              <w:bottom w:val="single" w:sz="4" w:space="0" w:color="auto"/>
              <w:right w:val="single" w:sz="8" w:space="0" w:color="auto"/>
            </w:tcBorders>
            <w:shd w:val="clear" w:color="auto" w:fill="70AD47" w:themeFill="accent6"/>
            <w:vAlign w:val="center"/>
            <w:hideMark/>
          </w:tcPr>
          <w:p w14:paraId="6AA38030"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372" w:type="dxa"/>
            <w:gridSpan w:val="2"/>
            <w:tcBorders>
              <w:top w:val="single" w:sz="8" w:space="0" w:color="auto"/>
              <w:left w:val="nil"/>
              <w:bottom w:val="single" w:sz="4" w:space="0" w:color="auto"/>
              <w:right w:val="nil"/>
            </w:tcBorders>
            <w:shd w:val="clear" w:color="auto" w:fill="70AD47" w:themeFill="accent6"/>
            <w:vAlign w:val="center"/>
            <w:hideMark/>
          </w:tcPr>
          <w:p w14:paraId="1D79AB33"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single" w:sz="4" w:space="0" w:color="auto"/>
              <w:bottom w:val="single" w:sz="4" w:space="0" w:color="auto"/>
              <w:right w:val="single" w:sz="4" w:space="0" w:color="auto"/>
            </w:tcBorders>
            <w:shd w:val="clear" w:color="auto" w:fill="70AD47" w:themeFill="accent6"/>
            <w:vAlign w:val="center"/>
            <w:hideMark/>
          </w:tcPr>
          <w:p w14:paraId="5FA97D5F"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nil"/>
              <w:bottom w:val="single" w:sz="4" w:space="0" w:color="auto"/>
              <w:right w:val="single" w:sz="4" w:space="0" w:color="auto"/>
            </w:tcBorders>
            <w:shd w:val="clear" w:color="auto" w:fill="70AD47" w:themeFill="accent6"/>
            <w:vAlign w:val="center"/>
            <w:hideMark/>
          </w:tcPr>
          <w:p w14:paraId="043B880C"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nil"/>
              <w:bottom w:val="single" w:sz="4" w:space="0" w:color="auto"/>
              <w:right w:val="single" w:sz="8" w:space="0" w:color="auto"/>
            </w:tcBorders>
            <w:shd w:val="clear" w:color="auto" w:fill="70AD47" w:themeFill="accent6"/>
            <w:vAlign w:val="center"/>
            <w:hideMark/>
          </w:tcPr>
          <w:p w14:paraId="7ADEE25D"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nil"/>
              <w:bottom w:val="single" w:sz="4" w:space="0" w:color="auto"/>
              <w:right w:val="single" w:sz="4" w:space="0" w:color="auto"/>
            </w:tcBorders>
            <w:shd w:val="clear" w:color="auto" w:fill="70AD47" w:themeFill="accent6"/>
            <w:vAlign w:val="center"/>
            <w:hideMark/>
          </w:tcPr>
          <w:p w14:paraId="539EF7DB"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nil"/>
              <w:bottom w:val="single" w:sz="4" w:space="0" w:color="auto"/>
              <w:right w:val="nil"/>
            </w:tcBorders>
            <w:shd w:val="clear" w:color="auto" w:fill="70AD47" w:themeFill="accent6"/>
            <w:vAlign w:val="center"/>
            <w:hideMark/>
          </w:tcPr>
          <w:p w14:paraId="14975FF5"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single" w:sz="4" w:space="0" w:color="auto"/>
              <w:bottom w:val="single" w:sz="4" w:space="0" w:color="auto"/>
              <w:right w:val="nil"/>
            </w:tcBorders>
            <w:shd w:val="clear" w:color="auto" w:fill="70AD47" w:themeFill="accent6"/>
            <w:vAlign w:val="center"/>
            <w:hideMark/>
          </w:tcPr>
          <w:p w14:paraId="0E48F3DA"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single" w:sz="4" w:space="0" w:color="auto"/>
              <w:bottom w:val="single" w:sz="4" w:space="0" w:color="auto"/>
              <w:right w:val="single" w:sz="8" w:space="0" w:color="auto"/>
            </w:tcBorders>
            <w:shd w:val="clear" w:color="auto" w:fill="70AD47" w:themeFill="accent6"/>
            <w:vAlign w:val="center"/>
            <w:hideMark/>
          </w:tcPr>
          <w:p w14:paraId="1FBFAE5D"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r w:rsidRPr="003057B1">
              <w:rPr>
                <w:rFonts w:ascii="Times New Roman" w:eastAsia="Times New Roman" w:hAnsi="Times New Roman" w:cs="Times New Roman"/>
                <w:highlight w:val="green"/>
                <w:lang w:eastAsia="es-CO"/>
              </w:rPr>
              <w:t> </w:t>
            </w:r>
          </w:p>
        </w:tc>
        <w:tc>
          <w:tcPr>
            <w:tcW w:w="249" w:type="dxa"/>
            <w:tcBorders>
              <w:top w:val="nil"/>
              <w:left w:val="nil"/>
              <w:bottom w:val="single" w:sz="4" w:space="0" w:color="auto"/>
              <w:right w:val="nil"/>
            </w:tcBorders>
            <w:shd w:val="clear" w:color="auto" w:fill="auto"/>
            <w:vAlign w:val="center"/>
            <w:hideMark/>
          </w:tcPr>
          <w:p w14:paraId="1790FA28"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FD9983D"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p>
        </w:tc>
        <w:tc>
          <w:tcPr>
            <w:tcW w:w="249" w:type="dxa"/>
            <w:tcBorders>
              <w:top w:val="nil"/>
              <w:left w:val="nil"/>
              <w:bottom w:val="single" w:sz="4" w:space="0" w:color="auto"/>
              <w:right w:val="single" w:sz="4" w:space="0" w:color="auto"/>
            </w:tcBorders>
            <w:shd w:val="clear" w:color="auto" w:fill="auto"/>
            <w:vAlign w:val="center"/>
            <w:hideMark/>
          </w:tcPr>
          <w:p w14:paraId="49B22F7B" w14:textId="77777777" w:rsidR="001D6087" w:rsidRPr="003057B1" w:rsidRDefault="001D6087" w:rsidP="001D6087">
            <w:pPr>
              <w:spacing w:after="0" w:line="240" w:lineRule="auto"/>
              <w:jc w:val="center"/>
              <w:rPr>
                <w:rFonts w:ascii="Times New Roman" w:eastAsia="Times New Roman" w:hAnsi="Times New Roman" w:cs="Times New Roman"/>
                <w:highlight w:val="green"/>
                <w:lang w:eastAsia="es-CO"/>
              </w:rPr>
            </w:pPr>
          </w:p>
        </w:tc>
        <w:tc>
          <w:tcPr>
            <w:tcW w:w="249" w:type="dxa"/>
            <w:tcBorders>
              <w:top w:val="nil"/>
              <w:left w:val="nil"/>
              <w:bottom w:val="single" w:sz="4" w:space="0" w:color="auto"/>
              <w:right w:val="single" w:sz="8" w:space="0" w:color="auto"/>
            </w:tcBorders>
            <w:shd w:val="clear" w:color="auto" w:fill="auto"/>
            <w:vAlign w:val="center"/>
            <w:hideMark/>
          </w:tcPr>
          <w:p w14:paraId="53D45AE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14B0F66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3E907F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E3339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03F362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40D00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61E7B6F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630BE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CC858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042B08A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F881A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592D55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D0F0CC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569F22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7C97E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DCD79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4828D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0454215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8FF7F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028DE7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AEBD20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1072CBD8" w14:textId="77777777" w:rsidTr="00B6311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BA37394"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r w:rsidR="00B6311A" w:rsidRPr="003057B1">
              <w:rPr>
                <w:rFonts w:ascii="Times New Roman" w:eastAsia="Times New Roman" w:hAnsi="Times New Roman" w:cs="Times New Roman"/>
                <w:lang w:eastAsia="es-CO"/>
              </w:rPr>
              <w:t>Etapa de análisis y organizacional</w:t>
            </w:r>
          </w:p>
        </w:tc>
        <w:tc>
          <w:tcPr>
            <w:tcW w:w="1566" w:type="dxa"/>
            <w:tcBorders>
              <w:top w:val="nil"/>
              <w:left w:val="nil"/>
              <w:bottom w:val="single" w:sz="4" w:space="0" w:color="auto"/>
              <w:right w:val="single" w:sz="8" w:space="0" w:color="auto"/>
            </w:tcBorders>
            <w:shd w:val="clear" w:color="auto" w:fill="auto"/>
            <w:vAlign w:val="center"/>
            <w:hideMark/>
          </w:tcPr>
          <w:p w14:paraId="2895D101"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r w:rsidR="00B6311A" w:rsidRPr="003057B1">
              <w:rPr>
                <w:rFonts w:ascii="Times New Roman" w:eastAsia="Times New Roman" w:hAnsi="Times New Roman" w:cs="Times New Roman"/>
                <w:lang w:eastAsia="es-CO"/>
              </w:rPr>
              <w:t>Mateo Mejía Gallego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67FDDD8"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26E7013"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1CE631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5BD440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8E86B8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7712A5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B7192A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7F14356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552CDA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4A8298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24EF4A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A0D13E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62C2095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EE43A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7A7063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DA7031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B2E545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6B67207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5472C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8C4338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FF0000"/>
            <w:vAlign w:val="center"/>
            <w:hideMark/>
          </w:tcPr>
          <w:p w14:paraId="59F8B567"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single" w:sz="4" w:space="0" w:color="auto"/>
            </w:tcBorders>
            <w:shd w:val="clear" w:color="auto" w:fill="FF0000"/>
            <w:vAlign w:val="center"/>
            <w:hideMark/>
          </w:tcPr>
          <w:p w14:paraId="35540C95"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single" w:sz="4" w:space="0" w:color="auto"/>
            </w:tcBorders>
            <w:shd w:val="clear" w:color="auto" w:fill="FF0000"/>
            <w:vAlign w:val="center"/>
            <w:hideMark/>
          </w:tcPr>
          <w:p w14:paraId="747373A3"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single" w:sz="8" w:space="0" w:color="auto"/>
            </w:tcBorders>
            <w:shd w:val="clear" w:color="auto" w:fill="FF0000"/>
            <w:vAlign w:val="center"/>
            <w:hideMark/>
          </w:tcPr>
          <w:p w14:paraId="0C28274F"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186" w:type="dxa"/>
            <w:gridSpan w:val="2"/>
            <w:tcBorders>
              <w:top w:val="nil"/>
              <w:left w:val="nil"/>
              <w:bottom w:val="single" w:sz="4" w:space="0" w:color="auto"/>
              <w:right w:val="nil"/>
            </w:tcBorders>
            <w:shd w:val="clear" w:color="auto" w:fill="FF0000"/>
            <w:vAlign w:val="center"/>
            <w:hideMark/>
          </w:tcPr>
          <w:p w14:paraId="7B78B52C"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186" w:type="dxa"/>
            <w:tcBorders>
              <w:top w:val="nil"/>
              <w:left w:val="nil"/>
              <w:bottom w:val="single" w:sz="4" w:space="0" w:color="auto"/>
              <w:right w:val="nil"/>
            </w:tcBorders>
            <w:shd w:val="clear" w:color="auto" w:fill="FF0000"/>
            <w:vAlign w:val="center"/>
            <w:hideMark/>
          </w:tcPr>
          <w:p w14:paraId="60CB5105"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single" w:sz="4" w:space="0" w:color="auto"/>
            </w:tcBorders>
            <w:shd w:val="clear" w:color="auto" w:fill="FF0000"/>
            <w:vAlign w:val="center"/>
            <w:hideMark/>
          </w:tcPr>
          <w:p w14:paraId="72F0065A"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single" w:sz="4" w:space="0" w:color="auto"/>
            </w:tcBorders>
            <w:shd w:val="clear" w:color="auto" w:fill="FF0000"/>
            <w:vAlign w:val="center"/>
            <w:hideMark/>
          </w:tcPr>
          <w:p w14:paraId="7D30AD38"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single" w:sz="8" w:space="0" w:color="auto"/>
            </w:tcBorders>
            <w:shd w:val="clear" w:color="auto" w:fill="FF0000"/>
            <w:vAlign w:val="center"/>
            <w:hideMark/>
          </w:tcPr>
          <w:p w14:paraId="4F72275E"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gridSpan w:val="2"/>
            <w:tcBorders>
              <w:top w:val="nil"/>
              <w:left w:val="nil"/>
              <w:bottom w:val="single" w:sz="4" w:space="0" w:color="auto"/>
              <w:right w:val="single" w:sz="4" w:space="0" w:color="auto"/>
            </w:tcBorders>
            <w:shd w:val="clear" w:color="auto" w:fill="FF0000"/>
            <w:vAlign w:val="center"/>
            <w:hideMark/>
          </w:tcPr>
          <w:p w14:paraId="695D1BE2"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nil"/>
            </w:tcBorders>
            <w:shd w:val="clear" w:color="auto" w:fill="FF0000"/>
            <w:vAlign w:val="center"/>
            <w:hideMark/>
          </w:tcPr>
          <w:p w14:paraId="3403AC08"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nil"/>
            </w:tcBorders>
            <w:shd w:val="clear" w:color="auto" w:fill="FF0000"/>
            <w:vAlign w:val="center"/>
            <w:hideMark/>
          </w:tcPr>
          <w:p w14:paraId="0BEB7D36"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single" w:sz="8" w:space="0" w:color="auto"/>
            </w:tcBorders>
            <w:shd w:val="clear" w:color="auto" w:fill="FF0000"/>
            <w:vAlign w:val="center"/>
            <w:hideMark/>
          </w:tcPr>
          <w:p w14:paraId="642F2CF9"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65" w:type="dxa"/>
            <w:tcBorders>
              <w:top w:val="nil"/>
              <w:left w:val="nil"/>
              <w:bottom w:val="single" w:sz="4" w:space="0" w:color="auto"/>
              <w:right w:val="nil"/>
            </w:tcBorders>
            <w:shd w:val="clear" w:color="auto" w:fill="FF0000"/>
            <w:vAlign w:val="center"/>
            <w:hideMark/>
          </w:tcPr>
          <w:p w14:paraId="00DD3AAE"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nil"/>
            </w:tcBorders>
            <w:shd w:val="clear" w:color="auto" w:fill="FF0000"/>
            <w:vAlign w:val="center"/>
            <w:hideMark/>
          </w:tcPr>
          <w:p w14:paraId="4220E01B"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nil"/>
            </w:tcBorders>
            <w:shd w:val="clear" w:color="auto" w:fill="FF0000"/>
            <w:vAlign w:val="center"/>
            <w:hideMark/>
          </w:tcPr>
          <w:p w14:paraId="02423CD0"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single" w:sz="4" w:space="0" w:color="auto"/>
              <w:bottom w:val="single" w:sz="4" w:space="0" w:color="auto"/>
              <w:right w:val="single" w:sz="8" w:space="0" w:color="auto"/>
            </w:tcBorders>
            <w:shd w:val="clear" w:color="auto" w:fill="FF0000"/>
            <w:vAlign w:val="center"/>
            <w:hideMark/>
          </w:tcPr>
          <w:p w14:paraId="42239DB4" w14:textId="77777777" w:rsidR="001D6087" w:rsidRPr="003057B1" w:rsidRDefault="001D6087" w:rsidP="001D6087">
            <w:pPr>
              <w:spacing w:after="0" w:line="240" w:lineRule="auto"/>
              <w:jc w:val="center"/>
              <w:rPr>
                <w:rFonts w:ascii="Times New Roman" w:eastAsia="Times New Roman" w:hAnsi="Times New Roman" w:cs="Times New Roman"/>
                <w:highlight w:val="red"/>
                <w:lang w:eastAsia="es-CO"/>
              </w:rPr>
            </w:pPr>
            <w:r w:rsidRPr="003057B1">
              <w:rPr>
                <w:rFonts w:ascii="Times New Roman" w:eastAsia="Times New Roman" w:hAnsi="Times New Roman" w:cs="Times New Roman"/>
                <w:highlight w:val="red"/>
                <w:lang w:eastAsia="es-CO"/>
              </w:rPr>
              <w:t> </w:t>
            </w:r>
          </w:p>
        </w:tc>
        <w:tc>
          <w:tcPr>
            <w:tcW w:w="249" w:type="dxa"/>
            <w:tcBorders>
              <w:top w:val="nil"/>
              <w:left w:val="nil"/>
              <w:bottom w:val="single" w:sz="4" w:space="0" w:color="auto"/>
              <w:right w:val="nil"/>
            </w:tcBorders>
            <w:shd w:val="clear" w:color="auto" w:fill="auto"/>
            <w:vAlign w:val="center"/>
            <w:hideMark/>
          </w:tcPr>
          <w:p w14:paraId="6B65C75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9CB03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2017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24F45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0EBF21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8627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6A5D9C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3A15CD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B6311A" w:rsidRPr="003057B1" w14:paraId="04A8BE6F" w14:textId="77777777" w:rsidTr="00B6311A">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14:paraId="1F02D225" w14:textId="77777777" w:rsidR="00B6311A" w:rsidRPr="003057B1" w:rsidRDefault="00B6311A"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Etapa propositiva</w:t>
            </w:r>
          </w:p>
        </w:tc>
        <w:tc>
          <w:tcPr>
            <w:tcW w:w="1566" w:type="dxa"/>
            <w:tcBorders>
              <w:top w:val="nil"/>
              <w:left w:val="nil"/>
              <w:bottom w:val="single" w:sz="4" w:space="0" w:color="auto"/>
              <w:right w:val="single" w:sz="8" w:space="0" w:color="auto"/>
            </w:tcBorders>
            <w:shd w:val="clear" w:color="auto" w:fill="auto"/>
            <w:vAlign w:val="center"/>
          </w:tcPr>
          <w:p w14:paraId="4A44A384" w14:textId="77777777" w:rsidR="00B6311A" w:rsidRPr="003057B1" w:rsidRDefault="00B6311A"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Mateo Mejía Gallego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14:paraId="4641E322" w14:textId="77777777" w:rsidR="00B6311A" w:rsidRPr="003057B1" w:rsidRDefault="00B6311A" w:rsidP="001D6087">
            <w:pPr>
              <w:spacing w:after="0" w:line="240" w:lineRule="auto"/>
              <w:jc w:val="center"/>
              <w:rPr>
                <w:rFonts w:ascii="Times New Roman" w:eastAsia="Times New Roman" w:hAnsi="Times New Roman" w:cs="Times New Roman"/>
                <w:b/>
                <w:bCs/>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tcPr>
          <w:p w14:paraId="68B36392" w14:textId="77777777" w:rsidR="00B6311A" w:rsidRPr="003057B1" w:rsidRDefault="00B6311A" w:rsidP="001D6087">
            <w:pPr>
              <w:spacing w:after="0" w:line="240" w:lineRule="auto"/>
              <w:jc w:val="center"/>
              <w:rPr>
                <w:rFonts w:ascii="Times New Roman" w:eastAsia="Times New Roman" w:hAnsi="Times New Roman" w:cs="Times New Roman"/>
                <w:b/>
                <w:bCs/>
                <w:lang w:eastAsia="es-CO"/>
              </w:rPr>
            </w:pPr>
          </w:p>
        </w:tc>
        <w:tc>
          <w:tcPr>
            <w:tcW w:w="196" w:type="dxa"/>
            <w:tcBorders>
              <w:top w:val="nil"/>
              <w:left w:val="single" w:sz="4" w:space="0" w:color="auto"/>
              <w:bottom w:val="nil"/>
              <w:right w:val="single" w:sz="4" w:space="0" w:color="auto"/>
            </w:tcBorders>
            <w:shd w:val="diagCross" w:color="000000" w:fill="C0C0C0"/>
            <w:vAlign w:val="center"/>
          </w:tcPr>
          <w:p w14:paraId="44FFB82C"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single" w:sz="8" w:space="0" w:color="auto"/>
              <w:bottom w:val="single" w:sz="4" w:space="0" w:color="auto"/>
              <w:right w:val="nil"/>
            </w:tcBorders>
            <w:shd w:val="clear" w:color="auto" w:fill="auto"/>
            <w:vAlign w:val="center"/>
          </w:tcPr>
          <w:p w14:paraId="21494B8D"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single" w:sz="4" w:space="0" w:color="auto"/>
              <w:bottom w:val="single" w:sz="4" w:space="0" w:color="auto"/>
              <w:right w:val="nil"/>
            </w:tcBorders>
            <w:shd w:val="clear" w:color="auto" w:fill="auto"/>
            <w:vAlign w:val="center"/>
          </w:tcPr>
          <w:p w14:paraId="13E4125A"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2FA0CE07"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2" w:type="dxa"/>
            <w:tcBorders>
              <w:top w:val="nil"/>
              <w:left w:val="nil"/>
              <w:bottom w:val="single" w:sz="4" w:space="0" w:color="auto"/>
              <w:right w:val="single" w:sz="8" w:space="0" w:color="auto"/>
            </w:tcBorders>
            <w:shd w:val="clear" w:color="auto" w:fill="auto"/>
            <w:vAlign w:val="center"/>
          </w:tcPr>
          <w:p w14:paraId="470CB962"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nil"/>
              <w:bottom w:val="single" w:sz="4" w:space="0" w:color="auto"/>
              <w:right w:val="nil"/>
            </w:tcBorders>
            <w:shd w:val="clear" w:color="auto" w:fill="auto"/>
            <w:vAlign w:val="center"/>
          </w:tcPr>
          <w:p w14:paraId="4E30D272"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42064431"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1" w:type="dxa"/>
            <w:tcBorders>
              <w:top w:val="nil"/>
              <w:left w:val="nil"/>
              <w:bottom w:val="single" w:sz="4" w:space="0" w:color="auto"/>
              <w:right w:val="single" w:sz="4" w:space="0" w:color="auto"/>
            </w:tcBorders>
            <w:shd w:val="clear" w:color="auto" w:fill="auto"/>
            <w:vAlign w:val="center"/>
          </w:tcPr>
          <w:p w14:paraId="0572F168"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12" w:type="dxa"/>
            <w:tcBorders>
              <w:top w:val="nil"/>
              <w:left w:val="nil"/>
              <w:bottom w:val="single" w:sz="4" w:space="0" w:color="auto"/>
              <w:right w:val="single" w:sz="8" w:space="0" w:color="auto"/>
            </w:tcBorders>
            <w:shd w:val="clear" w:color="auto" w:fill="auto"/>
            <w:vAlign w:val="center"/>
          </w:tcPr>
          <w:p w14:paraId="25A3E1F3"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186" w:type="dxa"/>
            <w:tcBorders>
              <w:top w:val="nil"/>
              <w:left w:val="nil"/>
              <w:bottom w:val="single" w:sz="4" w:space="0" w:color="auto"/>
              <w:right w:val="nil"/>
            </w:tcBorders>
            <w:shd w:val="clear" w:color="auto" w:fill="auto"/>
            <w:vAlign w:val="center"/>
          </w:tcPr>
          <w:p w14:paraId="1B1FDF7A"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186" w:type="dxa"/>
            <w:tcBorders>
              <w:top w:val="nil"/>
              <w:left w:val="nil"/>
              <w:bottom w:val="single" w:sz="4" w:space="0" w:color="auto"/>
              <w:right w:val="nil"/>
            </w:tcBorders>
            <w:shd w:val="clear" w:color="auto" w:fill="auto"/>
            <w:vAlign w:val="center"/>
          </w:tcPr>
          <w:p w14:paraId="30CD07A4"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44AADA85"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4" w:space="0" w:color="auto"/>
            </w:tcBorders>
            <w:shd w:val="clear" w:color="auto" w:fill="auto"/>
            <w:vAlign w:val="center"/>
          </w:tcPr>
          <w:p w14:paraId="698E0624"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8" w:space="0" w:color="auto"/>
            </w:tcBorders>
            <w:shd w:val="clear" w:color="auto" w:fill="auto"/>
            <w:vAlign w:val="center"/>
          </w:tcPr>
          <w:p w14:paraId="088E8D84"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4" w:space="0" w:color="auto"/>
            </w:tcBorders>
            <w:shd w:val="clear" w:color="auto" w:fill="auto"/>
            <w:vAlign w:val="center"/>
          </w:tcPr>
          <w:p w14:paraId="5FD7ACC9"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nil"/>
            </w:tcBorders>
            <w:shd w:val="clear" w:color="auto" w:fill="auto"/>
            <w:vAlign w:val="center"/>
          </w:tcPr>
          <w:p w14:paraId="700C7ED2"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nil"/>
            </w:tcBorders>
            <w:shd w:val="clear" w:color="auto" w:fill="auto"/>
            <w:vAlign w:val="center"/>
          </w:tcPr>
          <w:p w14:paraId="2A6A3C65"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489BBD24"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nil"/>
            </w:tcBorders>
            <w:shd w:val="clear" w:color="auto" w:fill="auto"/>
            <w:vAlign w:val="center"/>
          </w:tcPr>
          <w:p w14:paraId="19B3EEBD"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26DA8847"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4" w:space="0" w:color="auto"/>
            </w:tcBorders>
            <w:shd w:val="clear" w:color="auto" w:fill="auto"/>
            <w:vAlign w:val="center"/>
          </w:tcPr>
          <w:p w14:paraId="28AAC770"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8" w:space="0" w:color="auto"/>
            </w:tcBorders>
            <w:shd w:val="clear" w:color="auto" w:fill="auto"/>
            <w:vAlign w:val="center"/>
          </w:tcPr>
          <w:p w14:paraId="3AB1DDA4"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186" w:type="dxa"/>
            <w:gridSpan w:val="2"/>
            <w:tcBorders>
              <w:top w:val="nil"/>
              <w:left w:val="nil"/>
              <w:bottom w:val="single" w:sz="4" w:space="0" w:color="auto"/>
              <w:right w:val="nil"/>
            </w:tcBorders>
            <w:shd w:val="clear" w:color="auto" w:fill="auto"/>
            <w:vAlign w:val="center"/>
          </w:tcPr>
          <w:p w14:paraId="5490C122"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186" w:type="dxa"/>
            <w:tcBorders>
              <w:top w:val="nil"/>
              <w:left w:val="nil"/>
              <w:bottom w:val="single" w:sz="4" w:space="0" w:color="auto"/>
              <w:right w:val="nil"/>
            </w:tcBorders>
            <w:shd w:val="clear" w:color="auto" w:fill="auto"/>
            <w:vAlign w:val="center"/>
          </w:tcPr>
          <w:p w14:paraId="504E060C"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5C4AEC40"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4" w:space="0" w:color="auto"/>
            </w:tcBorders>
            <w:shd w:val="clear" w:color="auto" w:fill="auto"/>
            <w:vAlign w:val="center"/>
          </w:tcPr>
          <w:p w14:paraId="415630B0"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single" w:sz="8" w:space="0" w:color="auto"/>
            </w:tcBorders>
            <w:shd w:val="clear" w:color="auto" w:fill="auto"/>
            <w:vAlign w:val="center"/>
          </w:tcPr>
          <w:p w14:paraId="229696D2"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gridSpan w:val="2"/>
            <w:tcBorders>
              <w:top w:val="nil"/>
              <w:left w:val="nil"/>
              <w:bottom w:val="single" w:sz="4" w:space="0" w:color="auto"/>
              <w:right w:val="single" w:sz="4" w:space="0" w:color="auto"/>
            </w:tcBorders>
            <w:shd w:val="clear" w:color="auto" w:fill="auto"/>
            <w:vAlign w:val="center"/>
          </w:tcPr>
          <w:p w14:paraId="0624C9B0"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nil"/>
            </w:tcBorders>
            <w:shd w:val="clear" w:color="auto" w:fill="auto"/>
            <w:vAlign w:val="center"/>
          </w:tcPr>
          <w:p w14:paraId="4C5A1EC8"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nil"/>
            </w:tcBorders>
            <w:shd w:val="clear" w:color="auto" w:fill="auto"/>
            <w:vAlign w:val="center"/>
          </w:tcPr>
          <w:p w14:paraId="385BC130"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330F22CF"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65" w:type="dxa"/>
            <w:tcBorders>
              <w:top w:val="nil"/>
              <w:left w:val="nil"/>
              <w:bottom w:val="single" w:sz="4" w:space="0" w:color="auto"/>
              <w:right w:val="nil"/>
            </w:tcBorders>
            <w:shd w:val="clear" w:color="auto" w:fill="auto"/>
            <w:vAlign w:val="center"/>
          </w:tcPr>
          <w:p w14:paraId="66B726E7"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nil"/>
            </w:tcBorders>
            <w:shd w:val="clear" w:color="auto" w:fill="auto"/>
            <w:vAlign w:val="center"/>
          </w:tcPr>
          <w:p w14:paraId="1B5C659B"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nil"/>
            </w:tcBorders>
            <w:shd w:val="clear" w:color="auto" w:fill="auto"/>
            <w:vAlign w:val="center"/>
          </w:tcPr>
          <w:p w14:paraId="42B29E2F"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596B57BA" w14:textId="77777777" w:rsidR="00B6311A" w:rsidRPr="003057B1" w:rsidRDefault="00B6311A" w:rsidP="001D6087">
            <w:pPr>
              <w:spacing w:after="0" w:line="240" w:lineRule="auto"/>
              <w:jc w:val="center"/>
              <w:rPr>
                <w:rFonts w:ascii="Times New Roman" w:eastAsia="Times New Roman" w:hAnsi="Times New Roman" w:cs="Times New Roman"/>
                <w:lang w:eastAsia="es-CO"/>
              </w:rPr>
            </w:pPr>
          </w:p>
        </w:tc>
        <w:tc>
          <w:tcPr>
            <w:tcW w:w="249" w:type="dxa"/>
            <w:tcBorders>
              <w:top w:val="nil"/>
              <w:left w:val="nil"/>
              <w:bottom w:val="single" w:sz="4" w:space="0" w:color="auto"/>
              <w:right w:val="nil"/>
            </w:tcBorders>
            <w:shd w:val="clear" w:color="auto" w:fill="5B9BD5" w:themeFill="accent1"/>
            <w:vAlign w:val="center"/>
          </w:tcPr>
          <w:p w14:paraId="06114E92"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nil"/>
            </w:tcBorders>
            <w:shd w:val="clear" w:color="auto" w:fill="5B9BD5" w:themeFill="accent1"/>
            <w:vAlign w:val="center"/>
          </w:tcPr>
          <w:p w14:paraId="60FFDBE7"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nil"/>
            </w:tcBorders>
            <w:shd w:val="clear" w:color="auto" w:fill="5B9BD5" w:themeFill="accent1"/>
            <w:vAlign w:val="center"/>
          </w:tcPr>
          <w:p w14:paraId="52A414D8"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single" w:sz="8" w:space="0" w:color="auto"/>
            </w:tcBorders>
            <w:shd w:val="clear" w:color="auto" w:fill="5B9BD5" w:themeFill="accent1"/>
            <w:vAlign w:val="center"/>
          </w:tcPr>
          <w:p w14:paraId="7BC079D5"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gridSpan w:val="2"/>
            <w:tcBorders>
              <w:top w:val="nil"/>
              <w:left w:val="nil"/>
              <w:bottom w:val="single" w:sz="4" w:space="0" w:color="auto"/>
              <w:right w:val="nil"/>
            </w:tcBorders>
            <w:shd w:val="clear" w:color="auto" w:fill="5B9BD5" w:themeFill="accent1"/>
            <w:vAlign w:val="center"/>
          </w:tcPr>
          <w:p w14:paraId="220ED8A4"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nil"/>
            </w:tcBorders>
            <w:shd w:val="clear" w:color="auto" w:fill="5B9BD5" w:themeFill="accent1"/>
            <w:vAlign w:val="center"/>
          </w:tcPr>
          <w:p w14:paraId="2E99D396"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nil"/>
            </w:tcBorders>
            <w:shd w:val="clear" w:color="auto" w:fill="5B9BD5" w:themeFill="accent1"/>
            <w:vAlign w:val="center"/>
          </w:tcPr>
          <w:p w14:paraId="5E56EA52"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c>
          <w:tcPr>
            <w:tcW w:w="249" w:type="dxa"/>
            <w:tcBorders>
              <w:top w:val="nil"/>
              <w:left w:val="single" w:sz="4" w:space="0" w:color="auto"/>
              <w:bottom w:val="single" w:sz="4" w:space="0" w:color="auto"/>
              <w:right w:val="single" w:sz="8" w:space="0" w:color="auto"/>
            </w:tcBorders>
            <w:shd w:val="clear" w:color="auto" w:fill="5B9BD5" w:themeFill="accent1"/>
            <w:vAlign w:val="center"/>
          </w:tcPr>
          <w:p w14:paraId="47683AE8" w14:textId="77777777" w:rsidR="00B6311A" w:rsidRPr="003057B1" w:rsidRDefault="00B6311A" w:rsidP="001D6087">
            <w:pPr>
              <w:spacing w:after="0" w:line="240" w:lineRule="auto"/>
              <w:jc w:val="center"/>
              <w:rPr>
                <w:rFonts w:ascii="Times New Roman" w:eastAsia="Times New Roman" w:hAnsi="Times New Roman" w:cs="Times New Roman"/>
                <w:color w:val="5B9BD5" w:themeColor="accent1"/>
                <w:lang w:eastAsia="es-CO"/>
              </w:rPr>
            </w:pPr>
          </w:p>
        </w:tc>
      </w:tr>
      <w:tr w:rsidR="001D6087" w:rsidRPr="003057B1" w14:paraId="63A1F024"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89E6E3B"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0F7B954"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A8DBAEF"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A49407C"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73BB0D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7FBC8C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152354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9D2234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DA14A9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5FB85CB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ECA106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8E5230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97D9FE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36D45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321E891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87E856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8D0D44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E6B838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DA28C1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FE44BD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43DF42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CD85B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628EB03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70C054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343F7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730ED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470E50A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B39407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E6A92E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92B64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C67C67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4369D8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E46F28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D309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529C30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6E2B807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EC33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17D4FC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6AA98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9F6CC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C14160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9CC09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960CD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7078859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AA94B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D339F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6465C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7624F970"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6867549"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7F4E540C"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AFB4B17"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157C9F94"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902ABB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68323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FECA4A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74351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925783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2D81AD0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2D881E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6FC148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FACF6F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198BD6E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4BFF59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33E93D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2BAE9C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7A7AAE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653FC1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EFAE39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F9B42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B82158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880236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6DACD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30E8D1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046DC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498A03D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4EC15D2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B1EFD5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EEA464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C96F0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5A3AE7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53691D6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9A53F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93BFC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40315D6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0DA4CF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1C7207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35E17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117FA8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F22A5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50033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098D94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42D479B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4F5F0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BFCF2F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02F2A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04FD07F2"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03824430"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77E9AB6"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F021794"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E4F4BFA"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3228D0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F897C9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87DA36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6F21AF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100E47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4A4ABE8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07BBAD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5BB079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31E3A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9B6AE1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040A8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B7FC2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F4BE2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33725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B72DC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3641CE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B4F20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B5CDE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3A9358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D77F46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DE8FF2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9015F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38A7661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903830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6C5754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030522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8CC483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FFBE3C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D5D91F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B6BBA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4AC61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399E767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3279F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E7C981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CE3BB7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79CA46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5B857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51B163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B3037D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43DAF0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3F831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95F4C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DB8EA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52ACCFD1"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A268FE0"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46A70B9"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27335DB"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8E60BCB"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C5F40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D4186E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5E0A25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5C077F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3C7E7F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371B04B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29192D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5BBF7B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71AC94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39A8593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A72BA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E57FA8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03318A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344E7F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584359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C08BE8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82BF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0F629C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EACF90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CDA5D8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043EC8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8D5A5A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4740AA6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16D5CBC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F8023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F78C44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70FA82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EB27C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04D7B5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781FED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11B55F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30BD3A2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6D7D3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16A12B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5C6E2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DFB14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45CCA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D0F39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91D4A4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73B6A97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90B5E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9FB0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453ECB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38400E1C"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AAD6CB3"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7A2FFED1"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E4F986E"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E977B37"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45EE33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73FA71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FFA36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CF8BE5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DAA976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747EF9B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63E131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66FCCF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A164D7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64A670C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60412BA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F3489B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D935E4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995E51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681E4B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030200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4903A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1D30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FEB9E9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D30B9A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15067C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4AB462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09AEBA0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F238E6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21B334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88A07A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255412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BB05B3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7A7364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DAF71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F464CB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16FA62E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EB0D78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14995A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EFE532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DC8B6D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1B39F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8C575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DFF291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10D8A06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8DDCE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60EC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6C2E7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36F4A6E2"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0C6A1175"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C2C5B57"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CB90E65"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26A00D9"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7AF5B9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D59E37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C77E8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F1B9CA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1554F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70C712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02EAAC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95963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5522BE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C6B3C5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8F7E13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884A4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F97832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290445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399B1A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A40AEB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E7C00B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63462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2C498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B0A4F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59858A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08E2B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092B957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68123D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ED5770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E435B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908B49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E05384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94E09B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D865B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5C3C17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31E2398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C643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70F63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460003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1F4457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1AEFF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7537A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AE5598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7BA8C25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359C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B00A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786BC5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1969395C"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62B2EBF0"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05124D1A"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A249C0A"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982EAF2"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E7C326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DA6C09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136F73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B5A4D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7825D2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6F3C2A6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232D88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3AA893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05FD84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57F903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71920D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A0D042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0666E7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4A9B56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DA23F1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45C029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DB560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17F62B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EFA039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868387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14AB0D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96FF40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06F080C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53888DB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8B237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804E0B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E2D5B9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D208A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46A48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6331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45D52C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7B3C955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3A4C0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D827FB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26AF9B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CFA67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5D9B4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1BE4B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822111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7DF6FD5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762E0B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53466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0C10EF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28018C7F"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74CA4766"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lastRenderedPageBreak/>
              <w:t> </w:t>
            </w:r>
          </w:p>
        </w:tc>
        <w:tc>
          <w:tcPr>
            <w:tcW w:w="1566" w:type="dxa"/>
            <w:tcBorders>
              <w:top w:val="nil"/>
              <w:left w:val="nil"/>
              <w:bottom w:val="single" w:sz="8" w:space="0" w:color="auto"/>
              <w:right w:val="single" w:sz="8" w:space="0" w:color="auto"/>
            </w:tcBorders>
            <w:shd w:val="clear" w:color="auto" w:fill="auto"/>
            <w:vAlign w:val="center"/>
            <w:hideMark/>
          </w:tcPr>
          <w:p w14:paraId="0F22111D"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14:paraId="28F73F28"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nil"/>
              <w:left w:val="nil"/>
              <w:bottom w:val="single" w:sz="8" w:space="0" w:color="auto"/>
              <w:right w:val="nil"/>
            </w:tcBorders>
            <w:shd w:val="clear" w:color="000000" w:fill="FF8080"/>
            <w:vAlign w:val="center"/>
            <w:hideMark/>
          </w:tcPr>
          <w:p w14:paraId="303EAF29"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6FD2724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7776614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137F0B8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0BEB1EE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560E49D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8" w:space="0" w:color="auto"/>
              <w:right w:val="nil"/>
            </w:tcBorders>
            <w:shd w:val="clear" w:color="auto" w:fill="auto"/>
            <w:vAlign w:val="center"/>
            <w:hideMark/>
          </w:tcPr>
          <w:p w14:paraId="7D3435A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56FAC1A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6CE4CF4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20F1CBC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7723BF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3187B6A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3E7600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500F488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55E9CF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9B795F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23017C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B049FF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B79784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0E07584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4AD2E05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6F4E15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4B76876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8" w:space="0" w:color="auto"/>
              <w:right w:val="nil"/>
            </w:tcBorders>
            <w:shd w:val="clear" w:color="auto" w:fill="auto"/>
            <w:vAlign w:val="center"/>
            <w:hideMark/>
          </w:tcPr>
          <w:p w14:paraId="1D34388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776883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7F85FE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528B012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39B8740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744763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71B0640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6FB680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5D34AA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8" w:space="0" w:color="auto"/>
              <w:right w:val="nil"/>
            </w:tcBorders>
            <w:shd w:val="clear" w:color="auto" w:fill="auto"/>
            <w:vAlign w:val="center"/>
            <w:hideMark/>
          </w:tcPr>
          <w:p w14:paraId="55E4E98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9DEA9B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7E22BA7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1559066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13588CA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71851E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B0A30E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103EE8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8" w:space="0" w:color="auto"/>
              <w:right w:val="nil"/>
            </w:tcBorders>
            <w:shd w:val="clear" w:color="auto" w:fill="auto"/>
            <w:vAlign w:val="center"/>
            <w:hideMark/>
          </w:tcPr>
          <w:p w14:paraId="2EE2A9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8915C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BA0097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1598F5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680C401E"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E77A7DF"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F6FF7A5"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757C426A"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3B0CD5AB"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766DD00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DD233E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41EB1F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89EF4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525178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1B04944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9BA03E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035462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6D23D8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A90718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26085C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BF8606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296619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E2A2A4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2A5CD6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DC4A9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CB8B37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4C963B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5D03905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CC5352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958B1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069E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110C615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22FFF02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FACA09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C99C94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2CC5FE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587B4A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2292F3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1047F8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49D739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1768A3B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5CF22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CC3949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6295D4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BECF5A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9958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E1DCA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0DB066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7D9264E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36ED6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3F6F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E9BBF7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66DD7673"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3904B8A8"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052CE53E"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66337B1"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75C55AB"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C4F6F3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E697E1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4018448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E08C92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219B12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1EAE639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32E53D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435358B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F7F36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E644E8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69253E5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D6BEA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D5D7F2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6E3337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53A163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073792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FC7F7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9B333C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6AD6259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46C289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45DAE2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8EFCA3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722D7FF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5692F45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EB527C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6C45D5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63D3D6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66962B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53FE1A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485D5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312CE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4694FF3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D0F1A7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77770B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C2C17B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2977FC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0DF8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02D5A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FCA9C5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6ADD86E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8E4EE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76945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D24C66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5DFD5802"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91609B8"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D7FBFEB"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8F27FAC"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A18D981"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65CF28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6D19FA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2E7A0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AFB2F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16119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650ED0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450DDB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D57730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EE4A57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4ABA7F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7858306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A45F91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71FC8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4F2066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3ECC08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CA3322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BC872C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3E7864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416E05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CA8D9A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4B274B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339DC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50383E8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18C357C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90A15A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2ED644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2D1C5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5A4E49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31E224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8E3DE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AEA64D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7D2B91B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817B1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15AD22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43DFF7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297F0A8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9C45B5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CEFE1F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9BCB76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47D3E2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6B64E8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EF917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AC8F2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4FB46B21"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B263A70"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649CC23D"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6CD4790C"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2E34A7DD"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5188F5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A3FF67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2DE0DD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BC6B5B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135426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nil"/>
            </w:tcBorders>
            <w:shd w:val="clear" w:color="auto" w:fill="auto"/>
            <w:vAlign w:val="center"/>
            <w:hideMark/>
          </w:tcPr>
          <w:p w14:paraId="73417A5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1FECD9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72226F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43CEC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00583AD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53D658C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118516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F81B2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537C57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79E8B7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85A3BE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8B8488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C2835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11363BF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8A80B0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1BC45F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ED4EB9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4" w:space="0" w:color="auto"/>
              <w:right w:val="nil"/>
            </w:tcBorders>
            <w:shd w:val="clear" w:color="auto" w:fill="auto"/>
            <w:vAlign w:val="center"/>
            <w:hideMark/>
          </w:tcPr>
          <w:p w14:paraId="495E2DE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4" w:space="0" w:color="auto"/>
              <w:right w:val="nil"/>
            </w:tcBorders>
            <w:shd w:val="clear" w:color="auto" w:fill="auto"/>
            <w:vAlign w:val="center"/>
            <w:hideMark/>
          </w:tcPr>
          <w:p w14:paraId="3D131C0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1272C1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D2FEE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78A365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C529D1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78604E4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A796A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54AE8D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4" w:space="0" w:color="auto"/>
              <w:right w:val="nil"/>
            </w:tcBorders>
            <w:shd w:val="clear" w:color="auto" w:fill="auto"/>
            <w:vAlign w:val="center"/>
            <w:hideMark/>
          </w:tcPr>
          <w:p w14:paraId="15D47DF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3F0529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059DC5CD"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B9F38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4" w:space="0" w:color="auto"/>
              <w:right w:val="nil"/>
            </w:tcBorders>
            <w:shd w:val="clear" w:color="auto" w:fill="auto"/>
            <w:vAlign w:val="center"/>
            <w:hideMark/>
          </w:tcPr>
          <w:p w14:paraId="48BF983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40707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8268AC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A795B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4" w:space="0" w:color="auto"/>
              <w:right w:val="nil"/>
            </w:tcBorders>
            <w:shd w:val="clear" w:color="auto" w:fill="auto"/>
            <w:vAlign w:val="center"/>
            <w:hideMark/>
          </w:tcPr>
          <w:p w14:paraId="6D28677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2176C4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A26E8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D76555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r w:rsidR="001D6087" w:rsidRPr="003057B1" w14:paraId="39E82143"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577EB53E"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14:paraId="32FBE6B6" w14:textId="77777777" w:rsidR="001D6087" w:rsidRPr="003057B1" w:rsidRDefault="001D6087" w:rsidP="001D6087">
            <w:pPr>
              <w:spacing w:after="0" w:line="240" w:lineRule="auto"/>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664"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04CEB022"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755" w:type="dxa"/>
            <w:tcBorders>
              <w:top w:val="single" w:sz="4" w:space="0" w:color="auto"/>
              <w:left w:val="nil"/>
              <w:bottom w:val="single" w:sz="8" w:space="0" w:color="auto"/>
              <w:right w:val="single" w:sz="4" w:space="0" w:color="auto"/>
            </w:tcBorders>
            <w:shd w:val="clear" w:color="000000" w:fill="FF8080"/>
            <w:vAlign w:val="center"/>
            <w:hideMark/>
          </w:tcPr>
          <w:p w14:paraId="0847BDEE" w14:textId="77777777" w:rsidR="001D6087" w:rsidRPr="003057B1" w:rsidRDefault="001D6087" w:rsidP="001D6087">
            <w:pPr>
              <w:spacing w:after="0" w:line="240" w:lineRule="auto"/>
              <w:jc w:val="center"/>
              <w:rPr>
                <w:rFonts w:ascii="Times New Roman" w:eastAsia="Times New Roman" w:hAnsi="Times New Roman" w:cs="Times New Roman"/>
                <w:b/>
                <w:bCs/>
                <w:lang w:eastAsia="es-CO"/>
              </w:rPr>
            </w:pPr>
            <w:r w:rsidRPr="003057B1">
              <w:rPr>
                <w:rFonts w:ascii="Times New Roman" w:eastAsia="Times New Roman" w:hAnsi="Times New Roman" w:cs="Times New Roman"/>
                <w:b/>
                <w:bCs/>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434E021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22B21F4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26664C6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3D8E811C"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EFBD9A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8" w:space="0" w:color="auto"/>
              <w:right w:val="nil"/>
            </w:tcBorders>
            <w:shd w:val="clear" w:color="auto" w:fill="auto"/>
            <w:vAlign w:val="center"/>
            <w:hideMark/>
          </w:tcPr>
          <w:p w14:paraId="3ED9A44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3E7FEBA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4C7FE71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61D1488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34D74CF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42B059E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274BE6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53B9D2C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1AD725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ACD86D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49B9A40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1D70299"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08BA82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68BEFB0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1B1C026"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B251B8B"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99E5DA4"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gridSpan w:val="2"/>
            <w:tcBorders>
              <w:top w:val="nil"/>
              <w:left w:val="nil"/>
              <w:bottom w:val="single" w:sz="8" w:space="0" w:color="auto"/>
              <w:right w:val="nil"/>
            </w:tcBorders>
            <w:shd w:val="clear" w:color="auto" w:fill="auto"/>
            <w:vAlign w:val="center"/>
            <w:hideMark/>
          </w:tcPr>
          <w:p w14:paraId="4B7B4B9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186" w:type="dxa"/>
            <w:tcBorders>
              <w:top w:val="nil"/>
              <w:left w:val="nil"/>
              <w:bottom w:val="single" w:sz="8" w:space="0" w:color="auto"/>
              <w:right w:val="nil"/>
            </w:tcBorders>
            <w:shd w:val="clear" w:color="auto" w:fill="auto"/>
            <w:vAlign w:val="center"/>
            <w:hideMark/>
          </w:tcPr>
          <w:p w14:paraId="5410F41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297114B0"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23360D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38177EE3"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786B8F5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51663A38"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9D452E1"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17C681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65" w:type="dxa"/>
            <w:tcBorders>
              <w:top w:val="nil"/>
              <w:left w:val="nil"/>
              <w:bottom w:val="single" w:sz="8" w:space="0" w:color="auto"/>
              <w:right w:val="nil"/>
            </w:tcBorders>
            <w:shd w:val="clear" w:color="auto" w:fill="auto"/>
            <w:vAlign w:val="center"/>
            <w:hideMark/>
          </w:tcPr>
          <w:p w14:paraId="5CB218D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376FCBD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56EAF75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F201D27"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nil"/>
              <w:bottom w:val="single" w:sz="8" w:space="0" w:color="auto"/>
              <w:right w:val="nil"/>
            </w:tcBorders>
            <w:shd w:val="clear" w:color="auto" w:fill="auto"/>
            <w:vAlign w:val="center"/>
            <w:hideMark/>
          </w:tcPr>
          <w:p w14:paraId="5E0B126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9CD937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EA02AB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19324BE"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gridSpan w:val="2"/>
            <w:tcBorders>
              <w:top w:val="nil"/>
              <w:left w:val="nil"/>
              <w:bottom w:val="single" w:sz="8" w:space="0" w:color="auto"/>
              <w:right w:val="nil"/>
            </w:tcBorders>
            <w:shd w:val="clear" w:color="auto" w:fill="auto"/>
            <w:vAlign w:val="center"/>
            <w:hideMark/>
          </w:tcPr>
          <w:p w14:paraId="74F54F55"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1F16692"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4F897BA"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FE1863F" w14:textId="77777777" w:rsidR="001D6087" w:rsidRPr="003057B1" w:rsidRDefault="001D6087" w:rsidP="001D6087">
            <w:pPr>
              <w:spacing w:after="0" w:line="240" w:lineRule="auto"/>
              <w:jc w:val="center"/>
              <w:rPr>
                <w:rFonts w:ascii="Times New Roman" w:eastAsia="Times New Roman" w:hAnsi="Times New Roman" w:cs="Times New Roman"/>
                <w:lang w:eastAsia="es-CO"/>
              </w:rPr>
            </w:pPr>
            <w:r w:rsidRPr="003057B1">
              <w:rPr>
                <w:rFonts w:ascii="Times New Roman" w:eastAsia="Times New Roman" w:hAnsi="Times New Roman" w:cs="Times New Roman"/>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RPr="003057B1" w14:paraId="6399E4EE" w14:textId="77777777"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1950E348"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F2BEFC3"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Presupuesto</w:t>
            </w:r>
          </w:p>
        </w:tc>
      </w:tr>
      <w:tr w:rsidR="00FF231C" w:rsidRPr="003057B1" w14:paraId="590D85F8" w14:textId="77777777"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1F0572E"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C4D3596"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Horas nómina</w:t>
            </w:r>
          </w:p>
        </w:tc>
      </w:tr>
      <w:tr w:rsidR="00FF231C" w:rsidRPr="003057B1" w14:paraId="05152F25" w14:textId="77777777"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6D96A0F"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DC6C208"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0E54B2"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D3F573"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637C0CE0"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906CDE2" w14:textId="77777777" w:rsidR="00FF231C" w:rsidRPr="003057B1" w:rsidRDefault="00FF231C" w:rsidP="00FF231C">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Total ($)</w:t>
            </w:r>
            <w:r w:rsidR="00F258D8" w:rsidRPr="003057B1">
              <w:rPr>
                <w:rStyle w:val="Refdenotaalpie"/>
                <w:rFonts w:ascii="Times New Roman" w:eastAsia="Times New Roman" w:hAnsi="Times New Roman" w:cs="Times New Roman"/>
                <w:b/>
                <w:bCs/>
                <w:color w:val="222222"/>
                <w:lang w:eastAsia="es-CO"/>
              </w:rPr>
              <w:footnoteReference w:id="2"/>
            </w:r>
          </w:p>
        </w:tc>
      </w:tr>
      <w:tr w:rsidR="00FF231C" w:rsidRPr="003057B1" w14:paraId="56CF5A05" w14:textId="77777777"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8BE6254" w14:textId="77777777" w:rsidR="00FF231C" w:rsidRPr="003057B1" w:rsidRDefault="00FF231C"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CEF9B8" w14:textId="77777777" w:rsidR="00FF231C" w:rsidRPr="003057B1" w:rsidRDefault="002F27F6"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Mateo Mejía Gallego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4EF371"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DE0998"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D22FA5D"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EB9C13" w14:textId="77777777" w:rsidR="00FF231C" w:rsidRPr="003057B1" w:rsidRDefault="003057B1"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$10.727.500</w:t>
            </w:r>
          </w:p>
        </w:tc>
      </w:tr>
      <w:tr w:rsidR="00FF231C" w:rsidRPr="003057B1" w14:paraId="435CA432" w14:textId="77777777"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BBD58D7" w14:textId="77777777" w:rsidR="00FF231C" w:rsidRPr="003057B1" w:rsidRDefault="00FF231C"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0626F1"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José Leibniz Ledesma Romero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10C8B0"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EFD94F"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30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3708F94" w14:textId="77777777" w:rsidR="00FF231C" w:rsidRPr="003057B1" w:rsidRDefault="00C30E64"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40FF7B" w14:textId="77777777" w:rsidR="003057B1" w:rsidRPr="003057B1" w:rsidRDefault="003057B1" w:rsidP="003057B1">
            <w:pPr>
              <w:spacing w:after="0" w:line="240" w:lineRule="auto"/>
              <w:jc w:val="center"/>
              <w:rPr>
                <w:rFonts w:ascii="Times New Roman" w:eastAsia="Times New Roman" w:hAnsi="Times New Roman" w:cs="Times New Roman"/>
                <w:color w:val="222222"/>
                <w:lang w:eastAsia="es-CO"/>
              </w:rPr>
            </w:pPr>
          </w:p>
          <w:p w14:paraId="5895B593" w14:textId="77777777" w:rsidR="003057B1" w:rsidRPr="003057B1" w:rsidRDefault="003057B1" w:rsidP="003057B1">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$3.315.000</w:t>
            </w:r>
          </w:p>
          <w:p w14:paraId="0263A279" w14:textId="77777777" w:rsidR="003057B1" w:rsidRPr="003057B1" w:rsidRDefault="003057B1" w:rsidP="003057B1">
            <w:pPr>
              <w:spacing w:after="0" w:line="240" w:lineRule="auto"/>
              <w:jc w:val="center"/>
              <w:rPr>
                <w:rFonts w:ascii="Times New Roman" w:eastAsia="Times New Roman" w:hAnsi="Times New Roman" w:cs="Times New Roman"/>
                <w:color w:val="222222"/>
                <w:lang w:eastAsia="es-CO"/>
              </w:rPr>
            </w:pPr>
          </w:p>
        </w:tc>
      </w:tr>
      <w:tr w:rsidR="00FF231C" w:rsidRPr="003057B1" w14:paraId="50A0BC53" w14:textId="77777777"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413DA65" w14:textId="77777777" w:rsidR="00FF231C" w:rsidRPr="003057B1" w:rsidRDefault="00FF231C" w:rsidP="00FF231C">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AE496F" w14:textId="77777777" w:rsidR="00FF231C" w:rsidRPr="003057B1" w:rsidRDefault="00F258D8"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Maite Bayona Aristizabal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43DAA6" w14:textId="77777777" w:rsidR="00FF231C" w:rsidRPr="003057B1" w:rsidRDefault="00F258D8"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27FC67" w14:textId="77777777" w:rsidR="00FF231C" w:rsidRPr="003057B1" w:rsidRDefault="006628FE" w:rsidP="00FF231C">
            <w:pPr>
              <w:spacing w:after="0" w:line="240" w:lineRule="auto"/>
              <w:jc w:val="center"/>
              <w:rPr>
                <w:rFonts w:ascii="Times New Roman" w:eastAsia="Times New Roman" w:hAnsi="Times New Roman" w:cs="Times New Roman"/>
                <w:color w:val="222222"/>
                <w:lang w:eastAsia="es-CO"/>
              </w:rPr>
            </w:pPr>
            <w:r>
              <w:rPr>
                <w:rFonts w:ascii="Times New Roman" w:eastAsia="Times New Roman" w:hAnsi="Times New Roman" w:cs="Times New Roman"/>
                <w:color w:val="222222"/>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00ADD0D" w14:textId="77777777" w:rsidR="00FF231C" w:rsidRPr="003057B1" w:rsidRDefault="00F258D8" w:rsidP="00FF231C">
            <w:pPr>
              <w:spacing w:after="0" w:line="240" w:lineRule="auto"/>
              <w:jc w:val="center"/>
              <w:rPr>
                <w:rFonts w:ascii="Times New Roman" w:eastAsia="Times New Roman" w:hAnsi="Times New Roman" w:cs="Times New Roman"/>
                <w:color w:val="222222"/>
                <w:lang w:eastAsia="es-CO"/>
              </w:rPr>
            </w:pPr>
            <w:r w:rsidRPr="003057B1">
              <w:rPr>
                <w:rFonts w:ascii="Times New Roman" w:eastAsia="Times New Roman" w:hAnsi="Times New Roman" w:cs="Times New Roman"/>
                <w:color w:val="222222"/>
                <w:lang w:eastAsia="es-CO"/>
              </w:rPr>
              <w:t xml:space="preserve">Bogotá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CF0932" w14:textId="77777777" w:rsidR="00FF231C" w:rsidRPr="003057B1" w:rsidRDefault="006628FE" w:rsidP="00FF231C">
            <w:pPr>
              <w:spacing w:after="0" w:line="240" w:lineRule="auto"/>
              <w:jc w:val="center"/>
              <w:rPr>
                <w:rFonts w:ascii="Times New Roman" w:eastAsia="Times New Roman" w:hAnsi="Times New Roman" w:cs="Times New Roman"/>
                <w:color w:val="222222"/>
                <w:lang w:eastAsia="es-CO"/>
              </w:rPr>
            </w:pPr>
            <w:r>
              <w:rPr>
                <w:rFonts w:ascii="Times New Roman" w:eastAsia="Times New Roman" w:hAnsi="Times New Roman" w:cs="Times New Roman"/>
                <w:color w:val="222222"/>
                <w:lang w:eastAsia="es-CO"/>
              </w:rPr>
              <w:t>N/A</w:t>
            </w:r>
          </w:p>
        </w:tc>
      </w:tr>
      <w:tr w:rsidR="003057B1" w:rsidRPr="003057B1" w14:paraId="3F09C7B4" w14:textId="77777777"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41658B0D" w14:textId="77777777" w:rsidR="003057B1" w:rsidRPr="003057B1" w:rsidRDefault="003057B1" w:rsidP="00FF231C">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9455D3"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AD7345"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2BDC09"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AA50110"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269AB5"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r>
      <w:tr w:rsidR="003057B1" w:rsidRPr="003057B1" w14:paraId="30EE5D3B" w14:textId="77777777"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53F15D6" w14:textId="77777777" w:rsidR="003057B1" w:rsidRPr="003057B1" w:rsidRDefault="003057B1" w:rsidP="00FF231C">
            <w:pPr>
              <w:spacing w:after="0"/>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359D98"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EB8497"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4A93C9"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1145479"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F96041" w14:textId="77777777" w:rsidR="003057B1" w:rsidRPr="003057B1" w:rsidRDefault="003057B1" w:rsidP="00FF231C">
            <w:pPr>
              <w:spacing w:after="0" w:line="240" w:lineRule="auto"/>
              <w:jc w:val="center"/>
              <w:rPr>
                <w:rFonts w:ascii="Times New Roman" w:eastAsia="Times New Roman" w:hAnsi="Times New Roman" w:cs="Times New Roman"/>
                <w:color w:val="222222"/>
                <w:lang w:eastAsia="es-CO"/>
              </w:rPr>
            </w:pPr>
          </w:p>
        </w:tc>
      </w:tr>
    </w:tbl>
    <w:p w14:paraId="437B5C14" w14:textId="77777777" w:rsidR="00B66D74" w:rsidRPr="003057B1" w:rsidRDefault="00B66D74" w:rsidP="003057B1">
      <w:pPr>
        <w:tabs>
          <w:tab w:val="left" w:pos="2460"/>
        </w:tabs>
        <w:rPr>
          <w:rFonts w:ascii="Times New Roman" w:eastAsia="Times New Roman" w:hAnsi="Times New Roman" w:cs="Times New Roman"/>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3057B1" w14:paraId="2BF6DFD7"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E883538" w14:textId="77777777" w:rsidR="00FF231C" w:rsidRPr="003057B1" w:rsidRDefault="00FF231C" w:rsidP="00ED1717">
            <w:pPr>
              <w:ind w:left="-108" w:right="-108"/>
              <w:jc w:val="center"/>
              <w:rPr>
                <w:rFonts w:ascii="Times New Roman" w:hAnsi="Times New Roman" w:cs="Times New Roman"/>
                <w:b/>
              </w:rPr>
            </w:pPr>
            <w:r w:rsidRPr="003057B1">
              <w:rPr>
                <w:rFonts w:ascii="Times New Roman" w:hAnsi="Times New Roman" w:cs="Times New Roman"/>
                <w:b/>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A6E89E5" w14:textId="77777777" w:rsidR="00FF231C" w:rsidRPr="003057B1" w:rsidRDefault="00FF231C" w:rsidP="00ED1717">
            <w:pPr>
              <w:jc w:val="center"/>
              <w:rPr>
                <w:rFonts w:ascii="Times New Roman" w:hAnsi="Times New Roman" w:cs="Times New Roman"/>
                <w:b/>
              </w:rPr>
            </w:pPr>
            <w:r w:rsidRPr="003057B1">
              <w:rPr>
                <w:rFonts w:ascii="Times New Roman" w:hAnsi="Times New Roman" w:cs="Times New Roman"/>
                <w:b/>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DAD0D66" w14:textId="77777777" w:rsidR="00FF231C" w:rsidRPr="003057B1" w:rsidRDefault="00FF231C" w:rsidP="00ED1717">
            <w:pPr>
              <w:jc w:val="center"/>
              <w:rPr>
                <w:rFonts w:ascii="Times New Roman" w:hAnsi="Times New Roman" w:cs="Times New Roman"/>
                <w:b/>
              </w:rPr>
            </w:pPr>
            <w:r w:rsidRPr="003057B1">
              <w:rPr>
                <w:rFonts w:ascii="Times New Roman" w:hAnsi="Times New Roman" w:cs="Times New Roman"/>
                <w:b/>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E801F4" w14:textId="77777777" w:rsidR="00FF231C" w:rsidRPr="003057B1" w:rsidRDefault="00FF231C" w:rsidP="00ED1717">
            <w:pPr>
              <w:spacing w:before="100" w:beforeAutospacing="1" w:after="100" w:afterAutospacing="1"/>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9FF03E" w14:textId="77777777" w:rsidR="00FF231C" w:rsidRPr="003057B1" w:rsidRDefault="00FF231C" w:rsidP="00ED1717">
            <w:pPr>
              <w:spacing w:before="100" w:beforeAutospacing="1" w:after="100" w:afterAutospacing="1"/>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7D04514" w14:textId="77777777" w:rsidR="00FF231C" w:rsidRPr="003057B1" w:rsidRDefault="00FF231C" w:rsidP="00ED1717">
            <w:pPr>
              <w:spacing w:before="100" w:beforeAutospacing="1" w:after="100" w:afterAutospacing="1"/>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Total ($)</w:t>
            </w:r>
          </w:p>
        </w:tc>
      </w:tr>
      <w:tr w:rsidR="00FF231C" w:rsidRPr="003057B1" w14:paraId="5C8C2C27"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8F61133" w14:textId="77777777" w:rsidR="00FF231C" w:rsidRPr="003057B1" w:rsidRDefault="00FF231C" w:rsidP="00ED1717">
            <w:pPr>
              <w:jc w:val="center"/>
              <w:rPr>
                <w:rFonts w:ascii="Times New Roman" w:hAnsi="Times New Roman" w:cs="Times New Roman"/>
                <w:b/>
              </w:rPr>
            </w:pPr>
            <w:r w:rsidRPr="003057B1">
              <w:rPr>
                <w:rFonts w:ascii="Times New Roman" w:hAnsi="Times New Roman" w:cs="Times New Roman"/>
                <w:b/>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2FEA00D"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0D4EFA5A"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29E70A31"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1F7EB5D2"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B11FFB8"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7409269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886CD1B"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6773EBB"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17AE4F12"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151C35CA"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76484E76"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EF6FB07"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7F5D88D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E1B4488"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720D3AD"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61654526"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051AB094"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6BF4D536"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AA46258"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436CD7E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2573C6E"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7B614EA"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0F4D1D64" w14:textId="77777777" w:rsidR="00FF231C" w:rsidRPr="003057B1" w:rsidRDefault="00FF231C" w:rsidP="00ED1717">
            <w:pP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1C6D4AA4"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27D529BB"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7AEAE98"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2067E0CB"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1A2CAB3" w14:textId="77777777" w:rsidR="00FF231C" w:rsidRPr="003057B1" w:rsidRDefault="00FF231C" w:rsidP="00ED1717">
            <w:pPr>
              <w:jc w:val="center"/>
              <w:rPr>
                <w:rFonts w:ascii="Times New Roman" w:hAnsi="Times New Roman" w:cs="Times New Roman"/>
                <w:b/>
              </w:rPr>
            </w:pPr>
            <w:r w:rsidRPr="003057B1">
              <w:rPr>
                <w:rFonts w:ascii="Times New Roman" w:hAnsi="Times New Roman" w:cs="Times New Roman"/>
                <w:b/>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D470773"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48F59920" w14:textId="77777777" w:rsidR="00FF231C" w:rsidRPr="003057B1" w:rsidRDefault="00FF231C" w:rsidP="00ED1717">
            <w:pP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11002C02"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4EA4F1DD"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8DF7A69"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35728A5A"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C278CA2" w14:textId="77777777" w:rsidR="00FF231C" w:rsidRPr="003057B1" w:rsidRDefault="00FF231C" w:rsidP="00ED1717">
            <w:pPr>
              <w:jc w:val="cente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tcPr>
          <w:p w14:paraId="244B083B"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D87900E" w14:textId="77777777" w:rsidR="00FF231C" w:rsidRPr="003057B1" w:rsidRDefault="00FF231C" w:rsidP="00ED1717">
            <w:pP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04AE5403"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2ED9B25C"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14:paraId="709C40E5"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6207871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06326D99" w14:textId="77777777" w:rsidR="00FF231C" w:rsidRPr="003057B1" w:rsidRDefault="00FF231C" w:rsidP="00ED1717">
            <w:pPr>
              <w:jc w:val="cente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tcPr>
          <w:p w14:paraId="57A34452"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2D80F168" w14:textId="77777777" w:rsidR="00FF231C" w:rsidRPr="003057B1" w:rsidRDefault="00FF231C" w:rsidP="00ED1717">
            <w:pPr>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46B9E0AC"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63ED01AC"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tcPr>
          <w:p w14:paraId="1665FF80" w14:textId="77777777" w:rsidR="00FF231C" w:rsidRPr="003057B1" w:rsidRDefault="00FF231C" w:rsidP="00ED1717">
            <w:pPr>
              <w:jc w:val="both"/>
              <w:rPr>
                <w:rFonts w:ascii="Times New Roman" w:hAnsi="Times New Roman" w:cs="Times New Roman"/>
              </w:rPr>
            </w:pPr>
          </w:p>
        </w:tc>
      </w:tr>
      <w:tr w:rsidR="00FF231C" w:rsidRPr="003057B1" w14:paraId="31C2022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5D5B8DF"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3221C1B"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4E9CEA29"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74D00321"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6B1510D5"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233A15C"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5EA11C6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AD8EFFF"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F7C106E"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058F437A"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641C4801"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2C034068"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CA9ACB"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3F16D3A0"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5CAD61B" w14:textId="77777777" w:rsidR="00FF231C" w:rsidRPr="003057B1" w:rsidRDefault="00FF231C" w:rsidP="00ED1717">
            <w:pPr>
              <w:rPr>
                <w:rFonts w:ascii="Times New Roman" w:hAnsi="Times New Roman" w:cs="Times New Roman"/>
                <w:b/>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3184C956" w14:textId="77777777" w:rsidR="00FF231C" w:rsidRPr="003057B1" w:rsidRDefault="00FF231C" w:rsidP="00ED1717">
            <w:pPr>
              <w:jc w:val="both"/>
              <w:rPr>
                <w:rFonts w:ascii="Times New Roman" w:hAnsi="Times New Roman" w:cs="Times New Roman"/>
                <w:b/>
              </w:rPr>
            </w:pPr>
            <w:r w:rsidRPr="003057B1">
              <w:rPr>
                <w:rFonts w:ascii="Times New Roman" w:hAnsi="Times New Roman" w:cs="Times New Roman"/>
                <w:b/>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4E2CC7ED" w14:textId="77777777" w:rsidR="00FF231C" w:rsidRPr="003057B1" w:rsidRDefault="00FF231C" w:rsidP="00ED1717">
            <w:pPr>
              <w:jc w:val="both"/>
              <w:rPr>
                <w:rFonts w:ascii="Times New Roman" w:hAnsi="Times New Roman" w:cs="Times New Roman"/>
              </w:rPr>
            </w:pPr>
          </w:p>
        </w:tc>
        <w:tc>
          <w:tcPr>
            <w:tcW w:w="1275" w:type="dxa"/>
            <w:tcBorders>
              <w:top w:val="single" w:sz="4" w:space="0" w:color="auto"/>
              <w:left w:val="single" w:sz="4" w:space="0" w:color="auto"/>
              <w:bottom w:val="single" w:sz="4" w:space="0" w:color="auto"/>
              <w:right w:val="single" w:sz="4" w:space="0" w:color="auto"/>
            </w:tcBorders>
          </w:tcPr>
          <w:p w14:paraId="26FEA737" w14:textId="77777777" w:rsidR="00FF231C" w:rsidRPr="003057B1" w:rsidRDefault="00FF231C" w:rsidP="00ED1717">
            <w:pPr>
              <w:jc w:val="both"/>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14:paraId="1261B3D6" w14:textId="77777777" w:rsidR="00FF231C" w:rsidRPr="003057B1" w:rsidRDefault="00FF231C" w:rsidP="00ED1717">
            <w:pPr>
              <w:jc w:val="both"/>
              <w:rPr>
                <w:rFonts w:ascii="Times New Roman" w:hAnsi="Times New Roman" w:cs="Times New Roman"/>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93CDDD3" w14:textId="77777777" w:rsidR="00FF231C" w:rsidRPr="003057B1" w:rsidRDefault="00FF231C" w:rsidP="00ED1717">
            <w:pPr>
              <w:jc w:val="both"/>
              <w:rPr>
                <w:rFonts w:ascii="Times New Roman" w:hAnsi="Times New Roman" w:cs="Times New Roman"/>
              </w:rPr>
            </w:pPr>
            <w:r w:rsidRPr="003057B1">
              <w:rPr>
                <w:rFonts w:ascii="Times New Roman" w:hAnsi="Times New Roman" w:cs="Times New Roman"/>
              </w:rPr>
              <w:t>$ 0</w:t>
            </w:r>
          </w:p>
        </w:tc>
      </w:tr>
      <w:tr w:rsidR="00FF231C" w:rsidRPr="003057B1" w14:paraId="59C74421" w14:textId="77777777" w:rsidTr="005416FF">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69C17125" w14:textId="77777777" w:rsidR="00FF231C" w:rsidRPr="003057B1" w:rsidRDefault="00FF231C" w:rsidP="00FF231C">
            <w:pPr>
              <w:jc w:val="right"/>
              <w:rPr>
                <w:rFonts w:ascii="Times New Roman" w:hAnsi="Times New Roman" w:cs="Times New Roman"/>
              </w:rPr>
            </w:pPr>
            <w:r w:rsidRPr="003057B1">
              <w:rPr>
                <w:rFonts w:ascii="Times New Roman" w:hAnsi="Times New Roman" w:cs="Times New Roman"/>
                <w:b/>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3D1E9858" w14:textId="77777777" w:rsidR="00FF231C" w:rsidRPr="003057B1" w:rsidRDefault="00FF231C" w:rsidP="00ED1717">
            <w:pPr>
              <w:jc w:val="both"/>
              <w:rPr>
                <w:rFonts w:ascii="Times New Roman" w:hAnsi="Times New Roman" w:cs="Times New Roman"/>
              </w:rPr>
            </w:pPr>
          </w:p>
        </w:tc>
      </w:tr>
    </w:tbl>
    <w:p w14:paraId="4C8D8FDD" w14:textId="77777777" w:rsidR="00ED1717" w:rsidRPr="003057B1" w:rsidRDefault="00ED1717" w:rsidP="001D6087">
      <w:pPr>
        <w:spacing w:after="0" w:line="240" w:lineRule="auto"/>
        <w:rPr>
          <w:rFonts w:ascii="Times New Roman" w:eastAsia="Times New Roman" w:hAnsi="Times New Roman" w:cs="Times New Roman"/>
          <w:lang w:eastAsia="es-CO"/>
        </w:rPr>
      </w:pPr>
    </w:p>
    <w:tbl>
      <w:tblPr>
        <w:tblW w:w="14983" w:type="dxa"/>
        <w:shd w:val="clear" w:color="auto" w:fill="FFFFFF"/>
        <w:tblLook w:val="04A0" w:firstRow="1" w:lastRow="0" w:firstColumn="1" w:lastColumn="0" w:noHBand="0" w:noVBand="1"/>
      </w:tblPr>
      <w:tblGrid>
        <w:gridCol w:w="14983"/>
      </w:tblGrid>
      <w:tr w:rsidR="002A18AF" w:rsidRPr="003057B1" w14:paraId="1A55F2E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D4DE02" w14:textId="77777777" w:rsidR="002A18AF" w:rsidRPr="003057B1" w:rsidRDefault="002A18AF" w:rsidP="00ED1717">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3057B1">
              <w:rPr>
                <w:rFonts w:ascii="Times New Roman" w:eastAsia="Times New Roman" w:hAnsi="Times New Roman" w:cs="Times New Roman"/>
                <w:b/>
                <w:bCs/>
                <w:color w:val="222222"/>
                <w:lang w:eastAsia="es-CO"/>
              </w:rPr>
              <w:t>Referencia</w:t>
            </w:r>
            <w:r w:rsidR="00ED1717" w:rsidRPr="003057B1">
              <w:rPr>
                <w:rFonts w:ascii="Times New Roman" w:eastAsia="Times New Roman" w:hAnsi="Times New Roman" w:cs="Times New Roman"/>
                <w:b/>
                <w:bCs/>
                <w:color w:val="222222"/>
                <w:lang w:eastAsia="es-CO"/>
              </w:rPr>
              <w:t xml:space="preserve"> bibliográficas</w:t>
            </w:r>
          </w:p>
        </w:tc>
      </w:tr>
      <w:tr w:rsidR="002A18AF" w:rsidRPr="003057B1" w14:paraId="227C6CF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E556635"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Arias, J. (2006). El sistema acusatorio colombiano. Análisis desde su implementación. Bogotá: Ediciones Jurídicas Hernán Morales.</w:t>
            </w:r>
          </w:p>
          <w:p w14:paraId="5D3EDF9C"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Arias, Juan y Otros. (2005) Proceso Penal Acusatorio Colombiano, Nuevo Manejo de la Prueba, Tomo I. Colombia: Ediciones Jurídicas Andrés Morales.</w:t>
            </w:r>
          </w:p>
          <w:p w14:paraId="5015544A"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Armenta, T. (2012). Sistemas procesales penales. La justicia penal en Europa y América. Madrid: Marcial Pons.</w:t>
            </w:r>
          </w:p>
          <w:p w14:paraId="5D4F74F2"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Armenta, T. (2014). Estudios de Justicia Penal. Madrid. Editorial Marcial Pons.</w:t>
            </w:r>
          </w:p>
          <w:p w14:paraId="4C464E7E"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Atienza, M. y Ruiz, J. (1996). Las piezas del derecho. Barcelona: Ariel.</w:t>
            </w:r>
          </w:p>
          <w:p w14:paraId="403E04CD"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Bachmaier. L. (2008). Proceso Penal y sistemas acusatorios. Madrid. Editorial Marcial Pons</w:t>
            </w:r>
          </w:p>
          <w:p w14:paraId="264AFBD3"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t xml:space="preserve">Bastidas, P. (2009). El modelo constitucional del Estado Social y democrático de derecho, sus desafíos y la constitucionalización del proceso. Via Iuris, 45-59. Obtenido de </w:t>
            </w:r>
            <w:hyperlink r:id="rId19" w:history="1">
              <w:r w:rsidRPr="003057B1">
                <w:rPr>
                  <w:rFonts w:ascii="Times New Roman" w:hAnsi="Times New Roman" w:cs="Times New Roman"/>
                  <w:i/>
                  <w:iCs/>
                  <w:noProof/>
                </w:rPr>
                <w:t>http://www.redalyc.org/pdf/2739/273920959005.pdf</w:t>
              </w:r>
            </w:hyperlink>
          </w:p>
          <w:p w14:paraId="25AB8ED8" w14:textId="77777777" w:rsidR="00B6311A" w:rsidRPr="003057B1" w:rsidRDefault="00B6311A" w:rsidP="00B6311A">
            <w:pPr>
              <w:pStyle w:val="Bibliografa"/>
              <w:ind w:left="720" w:hanging="720"/>
              <w:rPr>
                <w:rFonts w:ascii="Times New Roman" w:hAnsi="Times New Roman" w:cs="Times New Roman"/>
                <w:i/>
                <w:iCs/>
                <w:noProof/>
              </w:rPr>
            </w:pPr>
            <w:r w:rsidRPr="003057B1">
              <w:rPr>
                <w:rFonts w:ascii="Times New Roman" w:hAnsi="Times New Roman" w:cs="Times New Roman"/>
                <w:i/>
                <w:iCs/>
                <w:noProof/>
              </w:rPr>
              <w:lastRenderedPageBreak/>
              <w:t>Bañol, J. (2014). Reconocimiento de las principales audiencias preliminares en el marco de la ley 906 de 2004. Bogotá: Universidad Católica.</w:t>
            </w:r>
          </w:p>
          <w:p w14:paraId="4193A8FE"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Chiesa Aponte, E. (1995). Derecho procesal penal de Puerto Rico y Estados Unidos. Bogotá : Forum.</w:t>
            </w:r>
          </w:p>
          <w:p w14:paraId="58C6FEC6"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Chiesa Aponte, E. (2005). Tratado de Derecho Probatorio. San Juan: Publicaciones JTS.</w:t>
            </w:r>
          </w:p>
          <w:p w14:paraId="6528DE59"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Chiesa Aponte, Ernesto L (2005). Tratado de Derecho Probatorio. Estados Unidos de Norte America: Tomo. I. Publicaciones JTS Luiggi Abraham Abraham Editora Asociada, reimpresión de la primera edición año 2005, impreso en los Estadios Unidos de Norte América.</w:t>
            </w:r>
          </w:p>
          <w:p w14:paraId="6BE6F62A"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Chiesa Aponte, Ernesto L. (1995) Derecho Procesal Penal de Puerto Rico y Estados Unidos. Bogotá: Vol. II. Editorial Forum.</w:t>
            </w:r>
          </w:p>
          <w:p w14:paraId="167E9070"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Chiesa, E. (1993). Comentarios al código penal modelo para los EE.UU. Diferencias y semejanzas con la legislación colombiana. Bogotá: Editorial Jurídica Futuro.</w:t>
            </w:r>
          </w:p>
          <w:p w14:paraId="1077D0D0"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Chorres Benavente, Hesbert. (2011). La Aplicación de la Teoría del Caso y La Teoría del Delito en El Proceso Penal Acusatorio. Editorial Bosch Editor.</w:t>
            </w:r>
          </w:p>
          <w:p w14:paraId="5F9270E9"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Climent Durán, C. (1999). La Prueba Penal. Valencia: Tirant lo Blanch Valencia.</w:t>
            </w:r>
          </w:p>
          <w:p w14:paraId="10028113"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Copi, I., &amp; Cohen, C. (2007). Introducción a la lógica. México D.F.: Limusa.</w:t>
            </w:r>
          </w:p>
          <w:p w14:paraId="4B1E74FE"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Couture, E. (2008). Valoración judicial de las pruebas. Bogotá: Editorial Jurídica de Colombia.</w:t>
            </w:r>
          </w:p>
          <w:p w14:paraId="6A7B0BDD"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Crawford v. Washington, 541 U.S. 36 (Corte Suprema de los Estados Unidos 8 de marzo de 2004). Obtenido de http://federalevidence.com/pdf/2007/13-SCt/Crawford_v._Washington.pdf</w:t>
            </w:r>
          </w:p>
          <w:p w14:paraId="0D830417"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Cuello, G. (2008). Derecho Probatorio y pruebas penales”. Bogotá: Primera edición Legis.</w:t>
            </w:r>
          </w:p>
          <w:p w14:paraId="7640A1EC"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 xml:space="preserve">Damaska, M. (1992). </w:t>
            </w:r>
            <w:r w:rsidRPr="003057B1">
              <w:rPr>
                <w:rFonts w:ascii="Times New Roman" w:hAnsi="Times New Roman" w:cs="Times New Roman"/>
                <w:noProof/>
                <w:lang w:val="en-US"/>
              </w:rPr>
              <w:t xml:space="preserve">Of  Hearsay and its Analogues, Minn. L Rev. 425. Connecticut: Yale Law School Faculty Scholarship Series. </w:t>
            </w:r>
            <w:r w:rsidRPr="003057B1">
              <w:rPr>
                <w:rFonts w:ascii="Times New Roman" w:hAnsi="Times New Roman" w:cs="Times New Roman"/>
                <w:noProof/>
              </w:rPr>
              <w:t>Paper 1580.</w:t>
            </w:r>
          </w:p>
          <w:p w14:paraId="2890C416"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Damaska, M. (1999). Aspectos globales de la reforma del proceso penal. En Reformas de la justicia penal en las Américas. Fundación para el Debido Proceso Legal. "Reformas a la Justicia Penal en las Américas" (págs. 12 - 21). Washington: cooperación con la Fundación Interamericana de Abogados.</w:t>
            </w:r>
          </w:p>
          <w:p w14:paraId="54BF4274"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lang w:val="en-US"/>
              </w:rPr>
              <w:t xml:space="preserve">Dawson, J. (1960). A history of law judges. </w:t>
            </w:r>
            <w:r w:rsidRPr="003057B1">
              <w:rPr>
                <w:rFonts w:ascii="Times New Roman" w:hAnsi="Times New Roman" w:cs="Times New Roman"/>
                <w:noProof/>
              </w:rPr>
              <w:t>Cambridge: Cambrigde Mass.</w:t>
            </w:r>
          </w:p>
          <w:p w14:paraId="48653A66"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Daza González, Alfonso (Dir. Investigación) y otros. (2010). Las Causales de aplicación del principio de oportunidad en la Ley 906 de 2004. Bogotá: Universidad Libre.</w:t>
            </w:r>
          </w:p>
          <w:p w14:paraId="6E7E4839"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Daza, A. (2015). Evidencia Ilícita y cláusula de exclusión. Bogotá: Grupo Editorial Ibáñez.</w:t>
            </w:r>
          </w:p>
          <w:p w14:paraId="7DA5A57E"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De Castro González Alejandro. “El Contra interrogatorio, estudio sobre la práctica de la prueba testimonial adversa”, librería jurídica COMLIBROS.</w:t>
            </w:r>
          </w:p>
          <w:p w14:paraId="56CADD77"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Decastro González, A. (01 de abril de 2008). El uso de documentos y escritos en la audiencia de juicio oral. Criterio Jurídico, 8(1), 131-155.</w:t>
            </w:r>
          </w:p>
          <w:p w14:paraId="3F9F0076"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Dei Malatesta, N (1978). Lógica de las pruebas en materia criminal. Bogotá: Temis v. I, 2ª ed.</w:t>
            </w:r>
          </w:p>
          <w:p w14:paraId="51E18DBA"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 xml:space="preserve">Dellepiane, A (1972). Nueva Teoría de la Prueba. Bogotá: Temis. 7ª ed. </w:t>
            </w:r>
          </w:p>
          <w:p w14:paraId="5506F0C3"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lastRenderedPageBreak/>
              <w:t>Devis Echandía, H. (1979). Compendio de derecho procesal (tomo II: Pruebas judiciales) (6.a ed.). Bogotá: ABC.</w:t>
            </w:r>
          </w:p>
          <w:p w14:paraId="064F3AAA"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Devis Echandía, H. (1993). Teoría general de la prueba judicial. Medellín: Biblioteca jupridica Dike.</w:t>
            </w:r>
          </w:p>
          <w:p w14:paraId="288A4CB9"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Douglas vs. Alabama, 380 U.S. 415 (Corte Suprema de Estados Unidos 5 de abril de 1965).</w:t>
            </w:r>
          </w:p>
          <w:p w14:paraId="5CAE1B30"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Duce, M. &amp; Riego, C. (2007). Proceso Penal. Chile: Jurídica de Chile</w:t>
            </w:r>
          </w:p>
          <w:p w14:paraId="1E55F34E"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 xml:space="preserve">Hendler, E. (2014). </w:t>
            </w:r>
            <w:r w:rsidRPr="003057B1">
              <w:rPr>
                <w:rFonts w:ascii="Times New Roman" w:hAnsi="Times New Roman" w:cs="Times New Roman"/>
                <w:i/>
                <w:iCs/>
                <w:noProof/>
              </w:rPr>
              <w:t>Sistemas penales comparados.</w:t>
            </w:r>
            <w:r w:rsidRPr="003057B1">
              <w:rPr>
                <w:rFonts w:ascii="Times New Roman" w:hAnsi="Times New Roman" w:cs="Times New Roman"/>
                <w:noProof/>
              </w:rPr>
              <w:t xml:space="preserve"> Buenos aires: Ediciones Didot.</w:t>
            </w:r>
          </w:p>
          <w:p w14:paraId="6263BC45" w14:textId="77777777" w:rsidR="00B6311A" w:rsidRPr="003057B1" w:rsidRDefault="00B6311A" w:rsidP="00B6311A">
            <w:pPr>
              <w:rPr>
                <w:rFonts w:ascii="Times New Roman" w:hAnsi="Times New Roman" w:cs="Times New Roman"/>
              </w:rPr>
            </w:pPr>
            <w:r w:rsidRPr="003057B1">
              <w:rPr>
                <w:rFonts w:ascii="Times New Roman" w:hAnsi="Times New Roman" w:cs="Times New Roman"/>
              </w:rPr>
              <w:t>Sánchez, A. F. (2016). Acuerdos y allanamientos: descubrimiento probatorio anticipado. Bogotá: Universidad Externado de Colombia</w:t>
            </w:r>
          </w:p>
          <w:p w14:paraId="273A811A" w14:textId="77777777" w:rsidR="00B6311A" w:rsidRPr="003057B1" w:rsidRDefault="00B6311A" w:rsidP="00B6311A">
            <w:pPr>
              <w:rPr>
                <w:rFonts w:ascii="Times New Roman" w:hAnsi="Times New Roman" w:cs="Times New Roman"/>
              </w:rPr>
            </w:pPr>
            <w:r w:rsidRPr="003057B1">
              <w:rPr>
                <w:rFonts w:ascii="Times New Roman" w:hAnsi="Times New Roman" w:cs="Times New Roman"/>
              </w:rPr>
              <w:t>Saray,  N. (2015). Incidente de reparación integral de perjuicios. Bogotá:  Leyer Editores</w:t>
            </w:r>
          </w:p>
          <w:p w14:paraId="0A779AB7" w14:textId="77777777" w:rsidR="00B6311A" w:rsidRPr="003057B1" w:rsidRDefault="00B6311A" w:rsidP="00B6311A">
            <w:pPr>
              <w:rPr>
                <w:rFonts w:ascii="Times New Roman" w:hAnsi="Times New Roman" w:cs="Times New Roman"/>
              </w:rPr>
            </w:pPr>
            <w:r w:rsidRPr="003057B1">
              <w:rPr>
                <w:rFonts w:ascii="Times New Roman" w:hAnsi="Times New Roman" w:cs="Times New Roman"/>
              </w:rPr>
              <w:t>Saray, N &amp; Uribe S. (2017). Preacuerdos y negociaciones entre la fiscalía y el imputado o acusado. Bogotá: Leyer.</w:t>
            </w:r>
          </w:p>
          <w:p w14:paraId="297710E9" w14:textId="77777777" w:rsidR="00B6311A" w:rsidRPr="003057B1" w:rsidRDefault="00B6311A">
            <w:pPr>
              <w:rPr>
                <w:rFonts w:ascii="Times New Roman" w:hAnsi="Times New Roman" w:cs="Times New Roman"/>
                <w:lang w:val="en-US"/>
              </w:rPr>
            </w:pPr>
            <w:r w:rsidRPr="003057B1">
              <w:rPr>
                <w:rFonts w:ascii="Times New Roman" w:hAnsi="Times New Roman" w:cs="Times New Roman"/>
              </w:rPr>
              <w:t xml:space="preserve">Saray, N. (2017A). Procedimiento Penal Acusatorio. Imputación, acusación, preparatoria, juicio oral. </w:t>
            </w:r>
            <w:r w:rsidRPr="003057B1">
              <w:rPr>
                <w:rFonts w:ascii="Times New Roman" w:hAnsi="Times New Roman" w:cs="Times New Roman"/>
                <w:lang w:val="en-US"/>
              </w:rPr>
              <w:t>Bogota: Leyer.</w:t>
            </w:r>
          </w:p>
          <w:p w14:paraId="57D0777C" w14:textId="77777777" w:rsidR="00B6311A" w:rsidRPr="003057B1" w:rsidRDefault="00B6311A" w:rsidP="00B6311A">
            <w:pPr>
              <w:pStyle w:val="Bibliografa"/>
              <w:ind w:left="720" w:hanging="720"/>
              <w:rPr>
                <w:rFonts w:ascii="Times New Roman" w:hAnsi="Times New Roman" w:cs="Times New Roman"/>
                <w:noProof/>
                <w:lang w:val="en-US"/>
              </w:rPr>
            </w:pPr>
            <w:r w:rsidRPr="003057B1">
              <w:rPr>
                <w:rFonts w:ascii="Times New Roman" w:hAnsi="Times New Roman" w:cs="Times New Roman"/>
                <w:noProof/>
                <w:lang w:val="en-US"/>
              </w:rPr>
              <w:t>Wigmore, J. (1974). Evidence in Trials at Common Law, Volumen 5. EE UU: Little, Brown.</w:t>
            </w:r>
          </w:p>
          <w:p w14:paraId="7384BCC4" w14:textId="77777777" w:rsidR="00B6311A" w:rsidRPr="003057B1" w:rsidRDefault="00B6311A" w:rsidP="00B6311A">
            <w:pPr>
              <w:pStyle w:val="Bibliografa"/>
              <w:ind w:left="720" w:hanging="720"/>
              <w:rPr>
                <w:rFonts w:ascii="Times New Roman" w:hAnsi="Times New Roman" w:cs="Times New Roman"/>
                <w:noProof/>
                <w:lang w:val="en-US"/>
              </w:rPr>
            </w:pPr>
            <w:r w:rsidRPr="003057B1">
              <w:rPr>
                <w:rFonts w:ascii="Times New Roman" w:hAnsi="Times New Roman" w:cs="Times New Roman"/>
                <w:noProof/>
                <w:lang w:val="en-US"/>
              </w:rPr>
              <w:t>Wigmore, J. H. (1940). Wigmore on evidence. JSTOR.</w:t>
            </w:r>
          </w:p>
          <w:p w14:paraId="464A9A8C" w14:textId="77777777" w:rsidR="00B6311A" w:rsidRPr="003057B1" w:rsidRDefault="00B6311A" w:rsidP="00B6311A">
            <w:pPr>
              <w:pStyle w:val="Bibliografa"/>
              <w:ind w:left="720" w:hanging="720"/>
              <w:rPr>
                <w:rFonts w:ascii="Times New Roman" w:hAnsi="Times New Roman" w:cs="Times New Roman"/>
                <w:noProof/>
                <w:lang w:val="en-US"/>
              </w:rPr>
            </w:pPr>
            <w:r w:rsidRPr="003057B1">
              <w:rPr>
                <w:rFonts w:ascii="Times New Roman" w:hAnsi="Times New Roman" w:cs="Times New Roman"/>
                <w:noProof/>
                <w:lang w:val="en-US"/>
              </w:rPr>
              <w:t>1Wigmore, John Henry, “The Principles of Judicial Prof. As given by logic, psychology, and general experience and illustrated bay judicial trials”. William S. Hein &amp; Co. Inc. Buffalo. New Cork 2000.</w:t>
            </w:r>
          </w:p>
          <w:p w14:paraId="3717C3B4"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lang w:val="en-US"/>
              </w:rPr>
              <w:t xml:space="preserve">Yowell, P. (2012). </w:t>
            </w:r>
            <w:r w:rsidRPr="003057B1">
              <w:rPr>
                <w:rFonts w:ascii="Times New Roman" w:hAnsi="Times New Roman" w:cs="Times New Roman"/>
                <w:noProof/>
              </w:rPr>
              <w:t>Legislación, Common Law, Y la Virtud de la Claridad. Revista chilena de Derecho, 481-512.</w:t>
            </w:r>
          </w:p>
          <w:p w14:paraId="25BB97E0" w14:textId="77777777" w:rsidR="00B6311A" w:rsidRPr="003057B1" w:rsidRDefault="00B6311A" w:rsidP="00B6311A">
            <w:pPr>
              <w:pStyle w:val="Bibliografa"/>
              <w:ind w:left="720" w:hanging="720"/>
              <w:rPr>
                <w:rFonts w:ascii="Times New Roman" w:hAnsi="Times New Roman" w:cs="Times New Roman"/>
                <w:noProof/>
              </w:rPr>
            </w:pPr>
            <w:r w:rsidRPr="003057B1">
              <w:rPr>
                <w:rFonts w:ascii="Times New Roman" w:hAnsi="Times New Roman" w:cs="Times New Roman"/>
                <w:noProof/>
              </w:rPr>
              <w:t>Zamora, M. L. (La intervención del Ministerio Público en el Sistema Acusatorio. Revista Jurisdictio, Número 2. Recuperado de https://encolombia.com/derecho/revistajurisdiction/revista12/intervencion-acusatorio/</w:t>
            </w:r>
          </w:p>
          <w:p w14:paraId="28BE2ACB" w14:textId="77777777" w:rsidR="00ED1717" w:rsidRPr="003057B1" w:rsidRDefault="00B6311A" w:rsidP="003057B1">
            <w:pPr>
              <w:pStyle w:val="Bibliografa"/>
              <w:ind w:left="720" w:hanging="720"/>
              <w:rPr>
                <w:rFonts w:ascii="Times New Roman" w:hAnsi="Times New Roman" w:cs="Times New Roman"/>
                <w:noProof/>
              </w:rPr>
            </w:pPr>
            <w:r w:rsidRPr="003057B1">
              <w:rPr>
                <w:rFonts w:ascii="Times New Roman" w:hAnsi="Times New Roman" w:cs="Times New Roman"/>
                <w:noProof/>
              </w:rPr>
              <w:t>Zapp, David y García Rangel, Sara (Traductora). (2006) Reglamento Federal de Enjuiciamiento Penal, En Español/Ingles. Estados Unidos: Editorial Legal Pu-blications in Spanish.</w:t>
            </w:r>
          </w:p>
        </w:tc>
      </w:tr>
    </w:tbl>
    <w:p w14:paraId="1A6DE514" w14:textId="77777777" w:rsidR="002A18AF" w:rsidRPr="003057B1" w:rsidRDefault="002A18AF" w:rsidP="002A18AF">
      <w:pPr>
        <w:spacing w:after="0" w:line="240" w:lineRule="auto"/>
        <w:rPr>
          <w:rFonts w:ascii="Times New Roman" w:eastAsia="Times New Roman" w:hAnsi="Times New Roman" w:cs="Times New Roman"/>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3057B1" w14:paraId="0257D98D" w14:textId="77777777" w:rsidTr="00ED1717">
        <w:tc>
          <w:tcPr>
            <w:tcW w:w="0" w:type="auto"/>
            <w:shd w:val="clear" w:color="auto" w:fill="FFFFFF"/>
            <w:tcMar>
              <w:top w:w="15" w:type="dxa"/>
              <w:left w:w="15" w:type="dxa"/>
              <w:bottom w:w="15" w:type="dxa"/>
              <w:right w:w="15" w:type="dxa"/>
            </w:tcMar>
            <w:vAlign w:val="center"/>
            <w:hideMark/>
          </w:tcPr>
          <w:p w14:paraId="04F9E877" w14:textId="77777777" w:rsidR="00ED1717" w:rsidRPr="003057B1" w:rsidRDefault="00ED1717">
            <w:pPr>
              <w:spacing w:after="0"/>
              <w:rPr>
                <w:rFonts w:ascii="Times New Roman" w:hAnsi="Times New Roman" w:cs="Times New Roman"/>
                <w:lang w:eastAsia="es-CO"/>
              </w:rPr>
            </w:pPr>
          </w:p>
        </w:tc>
      </w:tr>
    </w:tbl>
    <w:p w14:paraId="7F41B229" w14:textId="77777777" w:rsidR="002A18AF" w:rsidRPr="003057B1" w:rsidRDefault="002A18AF" w:rsidP="002A18AF">
      <w:pPr>
        <w:rPr>
          <w:rFonts w:ascii="Times New Roman" w:hAnsi="Times New Roman" w:cs="Times New Roman"/>
        </w:rPr>
      </w:pPr>
      <w:bookmarkStart w:id="0" w:name="_GoBack"/>
      <w:bookmarkEnd w:id="0"/>
    </w:p>
    <w:p w14:paraId="165CDB17" w14:textId="77777777" w:rsidR="00642463" w:rsidRPr="003057B1" w:rsidRDefault="00642463" w:rsidP="00642463">
      <w:pPr>
        <w:jc w:val="center"/>
        <w:rPr>
          <w:rFonts w:ascii="Times New Roman" w:hAnsi="Times New Roman" w:cs="Times New Roman"/>
          <w:b/>
          <w:lang w:val="es-ES"/>
        </w:rPr>
      </w:pPr>
    </w:p>
    <w:p w14:paraId="034DC612" w14:textId="77777777" w:rsidR="00642463" w:rsidRPr="003057B1" w:rsidRDefault="00642463" w:rsidP="00642463">
      <w:pPr>
        <w:jc w:val="center"/>
        <w:rPr>
          <w:rFonts w:ascii="Times New Roman" w:hAnsi="Times New Roman" w:cs="Times New Roman"/>
          <w:b/>
          <w:lang w:val="es-ES"/>
        </w:rPr>
      </w:pPr>
    </w:p>
    <w:sectPr w:rsidR="00642463" w:rsidRPr="003057B1" w:rsidSect="00265B89">
      <w:headerReference w:type="even" r:id="rId20"/>
      <w:headerReference w:type="default" r:id="rId21"/>
      <w:footerReference w:type="default" r:id="rId22"/>
      <w:headerReference w:type="first" r:id="rId23"/>
      <w:footerReference w:type="first" r:id="rId2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3D2814" w14:textId="77777777" w:rsidR="003F2434" w:rsidRDefault="003F2434" w:rsidP="00F14D0D">
      <w:pPr>
        <w:spacing w:after="0" w:line="240" w:lineRule="auto"/>
      </w:pPr>
      <w:r>
        <w:separator/>
      </w:r>
    </w:p>
  </w:endnote>
  <w:endnote w:type="continuationSeparator" w:id="0">
    <w:p w14:paraId="2AACC77D" w14:textId="77777777" w:rsidR="003F2434" w:rsidRDefault="003F2434"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0126189B" w14:textId="77777777" w:rsidR="00ED7572" w:rsidRDefault="00ED7572">
    <w:pPr>
      <w:pStyle w:val="Piedepgina"/>
    </w:pPr>
    <w:r w:rsidRPr="00ED1717">
      <w:rPr>
        <w:noProof/>
        <w:lang w:val="es-ES_tradnl" w:eastAsia="es-ES_tradnl"/>
      </w:rPr>
      <w:drawing>
        <wp:anchor distT="0" distB="0" distL="114300" distR="114300" simplePos="0" relativeHeight="251688960" behindDoc="0" locked="0" layoutInCell="1" allowOverlap="1" wp14:anchorId="37EDD922" wp14:editId="3AAFACE4">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71200D8" w14:textId="77777777" w:rsidR="00ED7572" w:rsidRDefault="00ED7572">
    <w:pPr>
      <w:pStyle w:val="Piedepgina"/>
    </w:pPr>
    <w:r>
      <w:rPr>
        <w:noProof/>
        <w:lang w:val="es-ES_tradnl" w:eastAsia="es-ES_tradnl"/>
      </w:rPr>
      <w:drawing>
        <wp:anchor distT="0" distB="0" distL="114300" distR="114300" simplePos="0" relativeHeight="251679744" behindDoc="0" locked="0" layoutInCell="1" allowOverlap="1" wp14:anchorId="5A30D951" wp14:editId="1F0DE41A">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A9BE39" w14:textId="77777777" w:rsidR="003F2434" w:rsidRDefault="003F2434" w:rsidP="00F14D0D">
      <w:pPr>
        <w:spacing w:after="0" w:line="240" w:lineRule="auto"/>
      </w:pPr>
      <w:r>
        <w:separator/>
      </w:r>
    </w:p>
  </w:footnote>
  <w:footnote w:type="continuationSeparator" w:id="0">
    <w:p w14:paraId="1CBFA571" w14:textId="77777777" w:rsidR="003F2434" w:rsidRDefault="003F2434" w:rsidP="00F14D0D">
      <w:pPr>
        <w:spacing w:after="0" w:line="240" w:lineRule="auto"/>
      </w:pPr>
      <w:r>
        <w:continuationSeparator/>
      </w:r>
    </w:p>
  </w:footnote>
  <w:footnote w:id="1">
    <w:p w14:paraId="72F46D98" w14:textId="77777777" w:rsidR="00ED7572" w:rsidRPr="00EB2E58" w:rsidRDefault="00ED7572" w:rsidP="00FA1B5A">
      <w:pPr>
        <w:pStyle w:val="Textonotapie"/>
      </w:pPr>
      <w:r>
        <w:rPr>
          <w:rStyle w:val="Refdenotaalpie"/>
        </w:rPr>
        <w:footnoteRef/>
      </w:r>
      <w:r>
        <w:t xml:space="preserve"> Corte Suprema de Justicia, Sala Penal, </w:t>
      </w:r>
      <w:r w:rsidRPr="00EB2E58">
        <w:t>Sentencia SP7100-2016 (Salvamento de voto)</w:t>
      </w:r>
    </w:p>
    <w:p w14:paraId="261D4A3F" w14:textId="77777777" w:rsidR="00ED7572" w:rsidRPr="00EB2E58" w:rsidRDefault="00ED7572" w:rsidP="00FA1B5A">
      <w:pPr>
        <w:pStyle w:val="Textonotapie"/>
        <w:rPr>
          <w:lang w:val="es-ES"/>
        </w:rPr>
      </w:pPr>
    </w:p>
  </w:footnote>
  <w:footnote w:id="2">
    <w:p w14:paraId="4CB60743" w14:textId="77777777" w:rsidR="00F258D8" w:rsidRDefault="00F258D8">
      <w:pPr>
        <w:pStyle w:val="Textonotapie"/>
      </w:pPr>
      <w:r>
        <w:rPr>
          <w:rStyle w:val="Refdenotaalpie"/>
        </w:rPr>
        <w:footnoteRef/>
      </w:r>
      <w:r>
        <w:t xml:space="preserve"> </w:t>
      </w:r>
      <w:r>
        <w:rPr>
          <w:b/>
        </w:rPr>
        <w:t>Salario / horas nómina totales X horas asignadas FODEIN</w:t>
      </w:r>
      <w:r w:rsidRPr="0066135E">
        <w:rPr>
          <w:b/>
        </w:rPr>
        <w:t xml:space="preserve"> X</w:t>
      </w:r>
      <w:r>
        <w:rPr>
          <w:b/>
        </w:rPr>
        <w:t xml:space="preserve"> </w:t>
      </w:r>
      <w:r w:rsidRPr="0066135E">
        <w:rPr>
          <w:b/>
        </w:rPr>
        <w:t>10</w:t>
      </w:r>
      <w:r>
        <w:rPr>
          <w:b/>
        </w:rPr>
        <w:t xml:space="preserve"> meses</w:t>
      </w:r>
      <w:r w:rsidRPr="0066135E">
        <w:rPr>
          <w:b/>
        </w:rPr>
        <w:t>.</w:t>
      </w:r>
      <w:r>
        <w:rPr>
          <w:b/>
        </w:rP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BFE0662" w14:textId="77777777" w:rsidR="00ED7572" w:rsidRDefault="003F2434">
    <w:pPr>
      <w:pStyle w:val="Encabezado"/>
    </w:pPr>
    <w:r>
      <w:rPr>
        <w:noProof/>
      </w:rPr>
      <w:pict w14:anchorId="4E3B6A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05A38646" w14:textId="77777777" w:rsidR="00ED7572" w:rsidRDefault="00ED7572" w:rsidP="00ED1717">
    <w:pPr>
      <w:pStyle w:val="Encabezado"/>
      <w:jc w:val="right"/>
      <w:rPr>
        <w:sz w:val="14"/>
        <w:szCs w:val="16"/>
        <w:lang w:val="es-ES"/>
      </w:rPr>
    </w:pPr>
    <w:r w:rsidRPr="00ED1717">
      <w:rPr>
        <w:noProof/>
        <w:lang w:val="es-ES_tradnl" w:eastAsia="es-ES_tradnl"/>
      </w:rPr>
      <w:drawing>
        <wp:anchor distT="0" distB="0" distL="114300" distR="114300" simplePos="0" relativeHeight="251687936" behindDoc="0" locked="0" layoutInCell="1" allowOverlap="1" wp14:anchorId="585FC84A" wp14:editId="6D93A3BC">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62EBA4" w14:textId="77777777" w:rsidR="00ED7572" w:rsidRDefault="00ED7572" w:rsidP="004F1944">
    <w:pPr>
      <w:pStyle w:val="Encabezado"/>
      <w:jc w:val="right"/>
      <w:rPr>
        <w:sz w:val="14"/>
        <w:szCs w:val="16"/>
        <w:lang w:val="es-ES"/>
      </w:rPr>
    </w:pPr>
  </w:p>
  <w:p w14:paraId="06F6E5F9" w14:textId="77777777" w:rsidR="00ED7572" w:rsidRPr="004F1944" w:rsidRDefault="00ED757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B713F">
      <w:rPr>
        <w:b/>
        <w:bCs/>
        <w:noProof/>
        <w:sz w:val="14"/>
        <w:szCs w:val="16"/>
      </w:rPr>
      <w:t>11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B713F">
      <w:rPr>
        <w:b/>
        <w:bCs/>
        <w:noProof/>
        <w:sz w:val="14"/>
        <w:szCs w:val="16"/>
      </w:rPr>
      <w:t>13</w:t>
    </w:r>
    <w:r w:rsidRPr="006930C8">
      <w:rPr>
        <w:b/>
        <w:bCs/>
        <w:sz w:val="14"/>
        <w:szCs w:val="16"/>
      </w:rPr>
      <w:fldChar w:fldCharType="end"/>
    </w:r>
    <w:r w:rsidR="003F2434">
      <w:rPr>
        <w:noProof/>
        <w:lang w:eastAsia="es-CO"/>
      </w:rPr>
      <w:pict w14:anchorId="53FD4F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sdt>
    <w:sdtPr>
      <w:id w:val="-259836580"/>
      <w:docPartObj>
        <w:docPartGallery w:val="Page Numbers (Top of Page)"/>
        <w:docPartUnique/>
      </w:docPartObj>
    </w:sdtPr>
    <w:sdtEndPr>
      <w:rPr>
        <w:b/>
      </w:rPr>
    </w:sdtEndPr>
    <w:sdtContent>
      <w:p w14:paraId="3B2F1FE2" w14:textId="77777777" w:rsidR="00ED7572" w:rsidRDefault="00ED7572" w:rsidP="00E6008D">
        <w:pPr>
          <w:spacing w:after="0" w:line="240" w:lineRule="auto"/>
          <w:jc w:val="center"/>
        </w:pPr>
        <w:r w:rsidRPr="00280851">
          <w:rPr>
            <w:b/>
            <w:noProof/>
            <w:sz w:val="20"/>
            <w:lang w:val="es-ES_tradnl" w:eastAsia="es-ES_tradnl"/>
          </w:rPr>
          <w:drawing>
            <wp:anchor distT="0" distB="0" distL="114300" distR="114300" simplePos="0" relativeHeight="251675648" behindDoc="0" locked="0" layoutInCell="1" allowOverlap="1" wp14:anchorId="008881DF" wp14:editId="0FEAEFB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E6F2AA" w14:textId="77777777" w:rsidR="00ED7572" w:rsidRDefault="00ED757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B713F">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B713F">
          <w:rPr>
            <w:b/>
            <w:bCs/>
            <w:noProof/>
            <w:sz w:val="14"/>
            <w:szCs w:val="16"/>
          </w:rPr>
          <w:t>13</w:t>
        </w:r>
        <w:r w:rsidRPr="006930C8">
          <w:rPr>
            <w:b/>
            <w:bCs/>
            <w:sz w:val="14"/>
            <w:szCs w:val="16"/>
          </w:rPr>
          <w:fldChar w:fldCharType="end"/>
        </w:r>
        <w:r w:rsidR="003F2434">
          <w:rPr>
            <w:noProof/>
            <w:lang w:eastAsia="es-CO"/>
          </w:rPr>
          <w:pict w14:anchorId="42FB70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Users/grafico1908/Desktop/escudo.png"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14:paraId="4BF81F8D" w14:textId="77777777" w:rsidR="00ED7572" w:rsidRPr="00A34F4E" w:rsidRDefault="003F2434" w:rsidP="00A34F4E">
    <w:pPr>
      <w:pStyle w:val="Encabezado"/>
      <w:jc w:val="right"/>
      <w:rPr>
        <w:sz w:val="14"/>
        <w:szCs w:val="16"/>
      </w:rPr>
    </w:pPr>
    <w:r>
      <w:rPr>
        <w:noProof/>
      </w:rPr>
      <w:pict w14:anchorId="431365B0">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FA6773"/>
    <w:multiLevelType w:val="hybridMultilevel"/>
    <w:tmpl w:val="4A004E7A"/>
    <w:lvl w:ilvl="0" w:tplc="B77EED2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4D0A4E7C"/>
    <w:multiLevelType w:val="hybridMultilevel"/>
    <w:tmpl w:val="3F68E2EA"/>
    <w:lvl w:ilvl="0" w:tplc="0C0A0013">
      <w:start w:val="1"/>
      <w:numFmt w:val="upperRoman"/>
      <w:lvlText w:val="%1."/>
      <w:lvlJc w:val="righ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4E55271"/>
    <w:multiLevelType w:val="hybridMultilevel"/>
    <w:tmpl w:val="E000FCC0"/>
    <w:lvl w:ilvl="0" w:tplc="F7CA914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7973758B"/>
    <w:multiLevelType w:val="hybridMultilevel"/>
    <w:tmpl w:val="5C7A3BA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CO"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20DCF"/>
    <w:rsid w:val="000311DD"/>
    <w:rsid w:val="00061113"/>
    <w:rsid w:val="000720B3"/>
    <w:rsid w:val="0009117E"/>
    <w:rsid w:val="000A1F3D"/>
    <w:rsid w:val="000D4132"/>
    <w:rsid w:val="000D59A8"/>
    <w:rsid w:val="000E74F8"/>
    <w:rsid w:val="00141983"/>
    <w:rsid w:val="00154FD7"/>
    <w:rsid w:val="00154FF2"/>
    <w:rsid w:val="00164DA3"/>
    <w:rsid w:val="00194D98"/>
    <w:rsid w:val="001A5C77"/>
    <w:rsid w:val="001C406F"/>
    <w:rsid w:val="001C6852"/>
    <w:rsid w:val="001C71E1"/>
    <w:rsid w:val="001D6087"/>
    <w:rsid w:val="001F6D20"/>
    <w:rsid w:val="002049A8"/>
    <w:rsid w:val="00237C53"/>
    <w:rsid w:val="00250467"/>
    <w:rsid w:val="00251442"/>
    <w:rsid w:val="00251825"/>
    <w:rsid w:val="002652B5"/>
    <w:rsid w:val="00265B89"/>
    <w:rsid w:val="00280851"/>
    <w:rsid w:val="002A18AF"/>
    <w:rsid w:val="002B1A55"/>
    <w:rsid w:val="002C20DB"/>
    <w:rsid w:val="002C3E46"/>
    <w:rsid w:val="002D58A8"/>
    <w:rsid w:val="002E6732"/>
    <w:rsid w:val="002F01CC"/>
    <w:rsid w:val="002F27F6"/>
    <w:rsid w:val="003057B1"/>
    <w:rsid w:val="00311E44"/>
    <w:rsid w:val="00343306"/>
    <w:rsid w:val="00352B23"/>
    <w:rsid w:val="0036247F"/>
    <w:rsid w:val="00387219"/>
    <w:rsid w:val="003A22B3"/>
    <w:rsid w:val="003B55DF"/>
    <w:rsid w:val="003D2DF8"/>
    <w:rsid w:val="003F2434"/>
    <w:rsid w:val="00403605"/>
    <w:rsid w:val="0043464E"/>
    <w:rsid w:val="00450B25"/>
    <w:rsid w:val="0049275D"/>
    <w:rsid w:val="004A0718"/>
    <w:rsid w:val="004D6E9B"/>
    <w:rsid w:val="004F1944"/>
    <w:rsid w:val="00515B61"/>
    <w:rsid w:val="00535D0F"/>
    <w:rsid w:val="005416FF"/>
    <w:rsid w:val="0058167B"/>
    <w:rsid w:val="00582B5F"/>
    <w:rsid w:val="00583222"/>
    <w:rsid w:val="005C6AF4"/>
    <w:rsid w:val="005D3A79"/>
    <w:rsid w:val="005D7AC3"/>
    <w:rsid w:val="006021B7"/>
    <w:rsid w:val="0061319F"/>
    <w:rsid w:val="00617F7C"/>
    <w:rsid w:val="00625880"/>
    <w:rsid w:val="00642463"/>
    <w:rsid w:val="006628FE"/>
    <w:rsid w:val="0067092C"/>
    <w:rsid w:val="00676308"/>
    <w:rsid w:val="00680AA2"/>
    <w:rsid w:val="006930C8"/>
    <w:rsid w:val="00694B49"/>
    <w:rsid w:val="00695A5E"/>
    <w:rsid w:val="006B54CC"/>
    <w:rsid w:val="006E3336"/>
    <w:rsid w:val="006F4699"/>
    <w:rsid w:val="007002B4"/>
    <w:rsid w:val="00712F55"/>
    <w:rsid w:val="00737531"/>
    <w:rsid w:val="0074016F"/>
    <w:rsid w:val="0076408E"/>
    <w:rsid w:val="00767012"/>
    <w:rsid w:val="00794EE7"/>
    <w:rsid w:val="007A22DD"/>
    <w:rsid w:val="007A7740"/>
    <w:rsid w:val="007E1E78"/>
    <w:rsid w:val="00822B43"/>
    <w:rsid w:val="00833F6C"/>
    <w:rsid w:val="00845E6D"/>
    <w:rsid w:val="00895EED"/>
    <w:rsid w:val="00896460"/>
    <w:rsid w:val="008B5BD4"/>
    <w:rsid w:val="008B6F96"/>
    <w:rsid w:val="008C1647"/>
    <w:rsid w:val="008D2ED2"/>
    <w:rsid w:val="008D47D0"/>
    <w:rsid w:val="008D6920"/>
    <w:rsid w:val="009038BA"/>
    <w:rsid w:val="00922517"/>
    <w:rsid w:val="00924CCC"/>
    <w:rsid w:val="00930E63"/>
    <w:rsid w:val="00944309"/>
    <w:rsid w:val="00954C2A"/>
    <w:rsid w:val="00974E75"/>
    <w:rsid w:val="0099314B"/>
    <w:rsid w:val="009974C6"/>
    <w:rsid w:val="009C1711"/>
    <w:rsid w:val="009D2CE3"/>
    <w:rsid w:val="009F368A"/>
    <w:rsid w:val="00A04BC7"/>
    <w:rsid w:val="00A176B8"/>
    <w:rsid w:val="00A22509"/>
    <w:rsid w:val="00A34F4E"/>
    <w:rsid w:val="00A512B6"/>
    <w:rsid w:val="00A7673D"/>
    <w:rsid w:val="00A80C3B"/>
    <w:rsid w:val="00AC18D3"/>
    <w:rsid w:val="00AC47BF"/>
    <w:rsid w:val="00AF361C"/>
    <w:rsid w:val="00AF545E"/>
    <w:rsid w:val="00B00682"/>
    <w:rsid w:val="00B2385F"/>
    <w:rsid w:val="00B35FB6"/>
    <w:rsid w:val="00B6311A"/>
    <w:rsid w:val="00B6632E"/>
    <w:rsid w:val="00B66D74"/>
    <w:rsid w:val="00B705C7"/>
    <w:rsid w:val="00B70772"/>
    <w:rsid w:val="00B74DE6"/>
    <w:rsid w:val="00BB19D9"/>
    <w:rsid w:val="00BB1DE8"/>
    <w:rsid w:val="00BB713F"/>
    <w:rsid w:val="00BC465F"/>
    <w:rsid w:val="00BE7BB4"/>
    <w:rsid w:val="00C15915"/>
    <w:rsid w:val="00C17434"/>
    <w:rsid w:val="00C30E64"/>
    <w:rsid w:val="00C4364A"/>
    <w:rsid w:val="00C46EE5"/>
    <w:rsid w:val="00C5405E"/>
    <w:rsid w:val="00C57E95"/>
    <w:rsid w:val="00C65B97"/>
    <w:rsid w:val="00C7499F"/>
    <w:rsid w:val="00CB03E7"/>
    <w:rsid w:val="00CB1DDB"/>
    <w:rsid w:val="00CC77C3"/>
    <w:rsid w:val="00CE3EBE"/>
    <w:rsid w:val="00D05F45"/>
    <w:rsid w:val="00D11105"/>
    <w:rsid w:val="00D12CA2"/>
    <w:rsid w:val="00D2386B"/>
    <w:rsid w:val="00D34553"/>
    <w:rsid w:val="00D540AA"/>
    <w:rsid w:val="00D76CAA"/>
    <w:rsid w:val="00DA4D9D"/>
    <w:rsid w:val="00DC124D"/>
    <w:rsid w:val="00DE419F"/>
    <w:rsid w:val="00DF5941"/>
    <w:rsid w:val="00E034DF"/>
    <w:rsid w:val="00E06338"/>
    <w:rsid w:val="00E16E87"/>
    <w:rsid w:val="00E41954"/>
    <w:rsid w:val="00E55B73"/>
    <w:rsid w:val="00E6008D"/>
    <w:rsid w:val="00E65262"/>
    <w:rsid w:val="00E75BAD"/>
    <w:rsid w:val="00E762C6"/>
    <w:rsid w:val="00E9159F"/>
    <w:rsid w:val="00E92D1D"/>
    <w:rsid w:val="00EA042A"/>
    <w:rsid w:val="00EA5619"/>
    <w:rsid w:val="00EB3A66"/>
    <w:rsid w:val="00EC5323"/>
    <w:rsid w:val="00ED1717"/>
    <w:rsid w:val="00ED7572"/>
    <w:rsid w:val="00F14D0D"/>
    <w:rsid w:val="00F243E8"/>
    <w:rsid w:val="00F258D8"/>
    <w:rsid w:val="00F313E8"/>
    <w:rsid w:val="00F34710"/>
    <w:rsid w:val="00F40C0A"/>
    <w:rsid w:val="00F528F3"/>
    <w:rsid w:val="00F55938"/>
    <w:rsid w:val="00F6577D"/>
    <w:rsid w:val="00F80F34"/>
    <w:rsid w:val="00F925F4"/>
    <w:rsid w:val="00FA1B5A"/>
    <w:rsid w:val="00FA5249"/>
    <w:rsid w:val="00FB33BC"/>
    <w:rsid w:val="00FC2DA2"/>
    <w:rsid w:val="00FE0064"/>
    <w:rsid w:val="00FF157E"/>
    <w:rsid w:val="00FF231C"/>
    <w:rsid w:val="00FF244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4CEEC5ED"/>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styleId="Bibliografa">
    <w:name w:val="Bibliography"/>
    <w:basedOn w:val="Normal"/>
    <w:next w:val="Normal"/>
    <w:uiPriority w:val="37"/>
    <w:unhideWhenUsed/>
    <w:rsid w:val="00B631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orcid.org/0000-0001-7235-9088" TargetMode="External"/><Relationship Id="rId20" Type="http://schemas.openxmlformats.org/officeDocument/2006/relationships/header" Target="header1.xml"/><Relationship Id="rId21" Type="http://schemas.openxmlformats.org/officeDocument/2006/relationships/header" Target="header2.xml"/><Relationship Id="rId22" Type="http://schemas.openxmlformats.org/officeDocument/2006/relationships/footer" Target="footer1.xml"/><Relationship Id="rId23" Type="http://schemas.openxmlformats.org/officeDocument/2006/relationships/header" Target="header3.xml"/><Relationship Id="rId24" Type="http://schemas.openxmlformats.org/officeDocument/2006/relationships/footer" Target="footer2.xml"/><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hyperlink" Target="https://scholar.google.es/citations?user=rGbUfM4AAAAJ&amp;hl=es&amp;oi=ao" TargetMode="External"/><Relationship Id="rId11" Type="http://schemas.openxmlformats.org/officeDocument/2006/relationships/hyperlink" Target="https://scienti.colciencias.gov.co/cvlac/visualizador/generarCurriculoCv.do?cod_rh=0001722899" TargetMode="External"/><Relationship Id="rId12" Type="http://schemas.openxmlformats.org/officeDocument/2006/relationships/hyperlink" Target="https://eur04.safelinks.protection.outlook.com/?url=https%3A%2F%2Forcid.org%2F0000-0002-3848-9804&amp;data=02%7C01%7C%7Cded0c669f3ef4563edbd08d705d89239%7C84df9e7fe9f640afb435aaaaaaaaaaaa%7C1%7C0%7C636984300028117791&amp;sdata=IWJxd6jTzqNjvOHnkh3InfncT%2B6uHfh7PVnYmxf%2B30s%3D&amp;reserved=0" TargetMode="External"/><Relationship Id="rId13" Type="http://schemas.openxmlformats.org/officeDocument/2006/relationships/hyperlink" Target="https://scholar.google.es/citations?hl=es&amp;pli=1&amp;user=rGbUfM4AAAA" TargetMode="External"/><Relationship Id="rId14" Type="http://schemas.openxmlformats.org/officeDocument/2006/relationships/hyperlink" Target="https://scienti.colciencias.gov.co/cvlac/visualizador/generarCurriculoCv.do?cod_rh=0001445801" TargetMode="External"/><Relationship Id="rId15" Type="http://schemas.openxmlformats.org/officeDocument/2006/relationships/hyperlink" Target="https://orcid.org/0000-0001-6196-2789" TargetMode="External"/><Relationship Id="rId16" Type="http://schemas.openxmlformats.org/officeDocument/2006/relationships/hyperlink" Target="https://scholar.google.es/citations?user=kuEfkW0AAAAJ&amp;hl=es" TargetMode="External"/><Relationship Id="rId17" Type="http://schemas.openxmlformats.org/officeDocument/2006/relationships/image" Target="media/image1.png"/><Relationship Id="rId18" Type="http://schemas.openxmlformats.org/officeDocument/2006/relationships/image" Target="media/image2.png"/><Relationship Id="rId19" Type="http://schemas.openxmlformats.org/officeDocument/2006/relationships/hyperlink" Target="http://www.redalyc.org/pdf/2739/273920959005.pdf"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scienti.colciencias.gov.co/cvlac/visualizador/generarCurriculoCv.do?cod_rh=0001655022"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4CA32A-A20F-964E-9DD0-AA5F5A1B62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4878</Words>
  <Characters>26829</Characters>
  <Application>Microsoft Macintosh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Usuario de Microsoft Office</cp:lastModifiedBy>
  <cp:revision>2</cp:revision>
  <cp:lastPrinted>2019-08-08T21:47:00Z</cp:lastPrinted>
  <dcterms:created xsi:type="dcterms:W3CDTF">2019-08-08T21:54:00Z</dcterms:created>
  <dcterms:modified xsi:type="dcterms:W3CDTF">2019-08-08T21:54:00Z</dcterms:modified>
</cp:coreProperties>
</file>